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459E4">
      <w:pPr>
        <w:rPr>
          <w:rFonts w:ascii="宋体" w:hAnsi="宋体"/>
          <w:sz w:val="28"/>
          <w:szCs w:val="36"/>
        </w:rPr>
      </w:pPr>
      <w:r>
        <w:rPr>
          <w:rFonts w:hint="eastAsia" w:eastAsia="仿宋_GB2312"/>
          <w:sz w:val="36"/>
          <w:szCs w:val="36"/>
          <w:lang w:eastAsia="zh-CN"/>
        </w:rPr>
        <w:drawing>
          <wp:anchor distT="0" distB="0" distL="114300" distR="114300" simplePos="0" relativeHeight="251664384" behindDoc="0" locked="0" layoutInCell="1" allowOverlap="1">
            <wp:simplePos x="0" y="0"/>
            <wp:positionH relativeFrom="column">
              <wp:posOffset>-728345</wp:posOffset>
            </wp:positionH>
            <wp:positionV relativeFrom="paragraph">
              <wp:posOffset>-753110</wp:posOffset>
            </wp:positionV>
            <wp:extent cx="6567805" cy="9942830"/>
            <wp:effectExtent l="0" t="0" r="4445" b="1270"/>
            <wp:wrapNone/>
            <wp:docPr id="16" name="图片 5" descr="aa3be97e1b15ea6723e2ace215f167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descr="aa3be97e1b15ea6723e2ace215f167de"/>
                    <pic:cNvPicPr>
                      <a:picLocks noChangeAspect="1"/>
                    </pic:cNvPicPr>
                  </pic:nvPicPr>
                  <pic:blipFill>
                    <a:blip r:embed="rId7"/>
                    <a:stretch>
                      <a:fillRect/>
                    </a:stretch>
                  </pic:blipFill>
                  <pic:spPr>
                    <a:xfrm>
                      <a:off x="0" y="0"/>
                      <a:ext cx="6567805" cy="9942830"/>
                    </a:xfrm>
                    <a:prstGeom prst="rect">
                      <a:avLst/>
                    </a:prstGeom>
                    <a:noFill/>
                    <a:ln>
                      <a:noFill/>
                    </a:ln>
                  </pic:spPr>
                </pic:pic>
              </a:graphicData>
            </a:graphic>
          </wp:anchor>
        </w:drawing>
      </w:r>
      <w:r>
        <w:rPr>
          <w:rFonts w:ascii="宋体" w:hAnsi="宋体"/>
          <w:sz w:val="28"/>
          <w:szCs w:val="36"/>
        </w:rPr>
        <w:br w:type="page"/>
      </w:r>
    </w:p>
    <w:p w14:paraId="333C813E">
      <w:pPr>
        <w:jc w:val="center"/>
        <w:rPr>
          <w:sz w:val="28"/>
          <w:szCs w:val="36"/>
        </w:rPr>
      </w:pPr>
      <w:r>
        <w:rPr>
          <w:rFonts w:ascii="宋体" w:hAnsi="宋体"/>
          <w:sz w:val="28"/>
          <w:szCs w:val="36"/>
        </w:rPr>
        <w:t>目录</w:t>
      </w:r>
    </w:p>
    <w:p w14:paraId="671A9F71">
      <w:pPr>
        <w:pStyle w:val="13"/>
        <w:tabs>
          <w:tab w:val="right" w:leader="dot" w:pos="8844"/>
        </w:tabs>
      </w:pPr>
      <w:r>
        <w:fldChar w:fldCharType="begin"/>
      </w:r>
      <w:r>
        <w:instrText xml:space="preserve">TOC \o "1-1" \h \u </w:instrText>
      </w:r>
      <w:r>
        <w:fldChar w:fldCharType="separate"/>
      </w:r>
    </w:p>
    <w:p w14:paraId="55BABDC5">
      <w:pPr>
        <w:pStyle w:val="13"/>
        <w:tabs>
          <w:tab w:val="right" w:leader="dot" w:pos="8844"/>
        </w:tabs>
      </w:pPr>
      <w:r>
        <w:fldChar w:fldCharType="begin"/>
      </w:r>
      <w:r>
        <w:instrText xml:space="preserve"> HYPERLINK \l _Toc10216 </w:instrText>
      </w:r>
      <w:r>
        <w:fldChar w:fldCharType="separate"/>
      </w:r>
      <w:r>
        <w:t>一、建设项目基本情况</w:t>
      </w:r>
      <w:r>
        <w:tab/>
      </w:r>
      <w:r>
        <w:fldChar w:fldCharType="begin"/>
      </w:r>
      <w:r>
        <w:instrText xml:space="preserve"> PAGEREF _Toc10216 \h </w:instrText>
      </w:r>
      <w:r>
        <w:fldChar w:fldCharType="separate"/>
      </w:r>
      <w:r>
        <w:t>1</w:t>
      </w:r>
      <w:r>
        <w:fldChar w:fldCharType="end"/>
      </w:r>
      <w:r>
        <w:fldChar w:fldCharType="end"/>
      </w:r>
    </w:p>
    <w:p w14:paraId="2576AE64">
      <w:pPr>
        <w:pStyle w:val="13"/>
        <w:tabs>
          <w:tab w:val="right" w:leader="dot" w:pos="8844"/>
        </w:tabs>
      </w:pPr>
      <w:r>
        <w:fldChar w:fldCharType="begin"/>
      </w:r>
      <w:r>
        <w:instrText xml:space="preserve"> HYPERLINK \l _Toc10168 </w:instrText>
      </w:r>
      <w:r>
        <w:fldChar w:fldCharType="separate"/>
      </w:r>
      <w:r>
        <w:rPr>
          <w:rFonts w:hint="eastAsia"/>
        </w:rPr>
        <w:t xml:space="preserve">二、 </w:t>
      </w:r>
      <w:r>
        <w:t>建设项目工程分析</w:t>
      </w:r>
      <w:r>
        <w:tab/>
      </w:r>
      <w:r>
        <w:fldChar w:fldCharType="begin"/>
      </w:r>
      <w:r>
        <w:instrText xml:space="preserve"> PAGEREF _Toc10168 \h </w:instrText>
      </w:r>
      <w:r>
        <w:fldChar w:fldCharType="separate"/>
      </w:r>
      <w:r>
        <w:t>8</w:t>
      </w:r>
      <w:r>
        <w:fldChar w:fldCharType="end"/>
      </w:r>
      <w:r>
        <w:fldChar w:fldCharType="end"/>
      </w:r>
    </w:p>
    <w:p w14:paraId="320A1361">
      <w:pPr>
        <w:pStyle w:val="13"/>
        <w:tabs>
          <w:tab w:val="right" w:leader="dot" w:pos="8844"/>
        </w:tabs>
      </w:pPr>
      <w:r>
        <w:fldChar w:fldCharType="begin"/>
      </w:r>
      <w:r>
        <w:instrText xml:space="preserve"> HYPERLINK \l _Toc3680 </w:instrText>
      </w:r>
      <w:r>
        <w:fldChar w:fldCharType="separate"/>
      </w:r>
      <w:r>
        <w:t>三、区域环境质量现状、环境保护目标及评价标准</w:t>
      </w:r>
      <w:r>
        <w:tab/>
      </w:r>
      <w:r>
        <w:fldChar w:fldCharType="begin"/>
      </w:r>
      <w:r>
        <w:instrText xml:space="preserve"> PAGEREF _Toc3680 \h </w:instrText>
      </w:r>
      <w:r>
        <w:fldChar w:fldCharType="separate"/>
      </w:r>
      <w:r>
        <w:t>28</w:t>
      </w:r>
      <w:r>
        <w:fldChar w:fldCharType="end"/>
      </w:r>
      <w:r>
        <w:fldChar w:fldCharType="end"/>
      </w:r>
    </w:p>
    <w:p w14:paraId="60BC29CC">
      <w:pPr>
        <w:pStyle w:val="13"/>
        <w:tabs>
          <w:tab w:val="right" w:leader="dot" w:pos="8844"/>
        </w:tabs>
      </w:pPr>
      <w:r>
        <w:fldChar w:fldCharType="begin"/>
      </w:r>
      <w:r>
        <w:instrText xml:space="preserve"> HYPERLINK \l _Toc16141 </w:instrText>
      </w:r>
      <w:r>
        <w:fldChar w:fldCharType="separate"/>
      </w:r>
      <w:r>
        <w:t>四、主要环境影响和保护措施</w:t>
      </w:r>
      <w:r>
        <w:tab/>
      </w:r>
      <w:r>
        <w:fldChar w:fldCharType="begin"/>
      </w:r>
      <w:r>
        <w:instrText xml:space="preserve"> PAGEREF _Toc16141 \h </w:instrText>
      </w:r>
      <w:r>
        <w:fldChar w:fldCharType="separate"/>
      </w:r>
      <w:r>
        <w:t>39</w:t>
      </w:r>
      <w:r>
        <w:fldChar w:fldCharType="end"/>
      </w:r>
      <w:r>
        <w:fldChar w:fldCharType="end"/>
      </w:r>
    </w:p>
    <w:p w14:paraId="20CC9984">
      <w:pPr>
        <w:pStyle w:val="13"/>
        <w:tabs>
          <w:tab w:val="right" w:leader="dot" w:pos="8844"/>
        </w:tabs>
      </w:pPr>
      <w:r>
        <w:fldChar w:fldCharType="begin"/>
      </w:r>
      <w:r>
        <w:instrText xml:space="preserve"> HYPERLINK \l _Toc31302 </w:instrText>
      </w:r>
      <w:r>
        <w:fldChar w:fldCharType="separate"/>
      </w:r>
      <w:r>
        <w:t>五、环境保护措施监督检查清单</w:t>
      </w:r>
      <w:r>
        <w:tab/>
      </w:r>
      <w:r>
        <w:fldChar w:fldCharType="begin"/>
      </w:r>
      <w:r>
        <w:instrText xml:space="preserve"> PAGEREF _Toc31302 \h </w:instrText>
      </w:r>
      <w:r>
        <w:fldChar w:fldCharType="separate"/>
      </w:r>
      <w:r>
        <w:t>81</w:t>
      </w:r>
      <w:r>
        <w:fldChar w:fldCharType="end"/>
      </w:r>
      <w:r>
        <w:fldChar w:fldCharType="end"/>
      </w:r>
    </w:p>
    <w:p w14:paraId="5D427FAC">
      <w:pPr>
        <w:pStyle w:val="13"/>
        <w:tabs>
          <w:tab w:val="right" w:leader="dot" w:pos="8844"/>
        </w:tabs>
      </w:pPr>
      <w:r>
        <w:fldChar w:fldCharType="begin"/>
      </w:r>
      <w:r>
        <w:instrText xml:space="preserve"> HYPERLINK \l _Toc12105 </w:instrText>
      </w:r>
      <w:r>
        <w:fldChar w:fldCharType="separate"/>
      </w:r>
      <w:r>
        <w:t>六、结论</w:t>
      </w:r>
      <w:r>
        <w:tab/>
      </w:r>
      <w:r>
        <w:fldChar w:fldCharType="begin"/>
      </w:r>
      <w:r>
        <w:instrText xml:space="preserve"> PAGEREF _Toc12105 \h </w:instrText>
      </w:r>
      <w:r>
        <w:fldChar w:fldCharType="separate"/>
      </w:r>
      <w:r>
        <w:t>87</w:t>
      </w:r>
      <w:r>
        <w:fldChar w:fldCharType="end"/>
      </w:r>
      <w:r>
        <w:fldChar w:fldCharType="end"/>
      </w:r>
    </w:p>
    <w:p w14:paraId="4A946C61">
      <w:pPr>
        <w:pStyle w:val="13"/>
        <w:tabs>
          <w:tab w:val="right" w:leader="dot" w:pos="8844"/>
        </w:tabs>
      </w:pPr>
    </w:p>
    <w:p w14:paraId="0FC5EC8B">
      <w:pPr>
        <w:pStyle w:val="22"/>
        <w:keepNext w:val="0"/>
        <w:keepLines w:val="0"/>
        <w:pageBreakBefore w:val="0"/>
        <w:widowControl/>
        <w:tabs>
          <w:tab w:val="right" w:leader="dot" w:pos="8844"/>
        </w:tabs>
        <w:kinsoku/>
        <w:wordWrap/>
        <w:overflowPunct/>
        <w:topLinePunct w:val="0"/>
        <w:autoSpaceDE/>
        <w:autoSpaceDN/>
        <w:bidi w:val="0"/>
        <w:adjustRightInd/>
        <w:snapToGrid/>
        <w:spacing w:line="340" w:lineRule="exact"/>
        <w:textAlignment w:val="auto"/>
        <w:rPr>
          <w:rFonts w:hint="eastAsia" w:ascii="Times New Roman" w:hAnsi="Times New Roman" w:eastAsia="宋体" w:cs="Times New Roman"/>
          <w:b w:val="0"/>
          <w:bCs w:val="0"/>
          <w:sz w:val="21"/>
          <w:szCs w:val="21"/>
          <w:lang w:val="en-US" w:eastAsia="zh-CN"/>
        </w:rPr>
      </w:pPr>
      <w:r>
        <w:fldChar w:fldCharType="end"/>
      </w:r>
      <w:bookmarkStart w:id="0" w:name="_Toc10216"/>
      <w:bookmarkStart w:id="1" w:name="_Toc13556"/>
      <w:bookmarkStart w:id="2" w:name="_Toc30388"/>
    </w:p>
    <w:p w14:paraId="7E79128F">
      <w:pPr>
        <w:pStyle w:val="2"/>
        <w:rPr>
          <w:color w:val="auto"/>
        </w:rPr>
      </w:pPr>
      <w:r>
        <w:rPr>
          <w:rFonts w:hint="eastAsia"/>
          <w:b w:val="0"/>
          <w:bCs w:val="0"/>
          <w:sz w:val="21"/>
          <w:szCs w:val="21"/>
          <w:lang w:val="en-US" w:eastAsia="zh-CN"/>
        </w:rPr>
        <w:br w:type="page"/>
      </w:r>
      <w:bookmarkStart w:id="20" w:name="_GoBack"/>
      <w:bookmarkEnd w:id="20"/>
      <w:r>
        <w:rPr>
          <w:color w:val="auto"/>
        </w:rPr>
        <w:t>一、建设项目基本情况</w:t>
      </w:r>
      <w:bookmarkEnd w:id="0"/>
      <w:bookmarkEnd w:id="1"/>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7"/>
        <w:gridCol w:w="2028"/>
        <w:gridCol w:w="2289"/>
        <w:gridCol w:w="3551"/>
      </w:tblGrid>
      <w:tr w14:paraId="7F7A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97" w:type="dxa"/>
            <w:noWrap w:val="0"/>
            <w:tcMar>
              <w:top w:w="16" w:type="dxa"/>
              <w:left w:w="16" w:type="dxa"/>
              <w:right w:w="16" w:type="dxa"/>
            </w:tcMar>
            <w:vAlign w:val="center"/>
          </w:tcPr>
          <w:p w14:paraId="29729D9F">
            <w:pPr>
              <w:adjustRightInd w:val="0"/>
              <w:snapToGrid w:val="0"/>
              <w:jc w:val="center"/>
              <w:rPr>
                <w:sz w:val="24"/>
              </w:rPr>
            </w:pPr>
            <w:r>
              <w:rPr>
                <w:sz w:val="24"/>
              </w:rPr>
              <w:t>建设项目名称</w:t>
            </w:r>
          </w:p>
        </w:tc>
        <w:tc>
          <w:tcPr>
            <w:tcW w:w="7868" w:type="dxa"/>
            <w:gridSpan w:val="3"/>
            <w:noWrap w:val="0"/>
            <w:vAlign w:val="center"/>
          </w:tcPr>
          <w:p w14:paraId="622E6445">
            <w:pPr>
              <w:adjustRightInd w:val="0"/>
              <w:snapToGrid w:val="0"/>
              <w:jc w:val="center"/>
              <w:rPr>
                <w:rFonts w:hint="eastAsia" w:eastAsia="宋体"/>
                <w:color w:val="auto"/>
                <w:sz w:val="24"/>
                <w:lang w:eastAsia="zh-CN"/>
              </w:rPr>
            </w:pPr>
            <w:r>
              <w:rPr>
                <w:rFonts w:hint="eastAsia"/>
                <w:color w:val="auto"/>
                <w:sz w:val="24"/>
                <w:lang w:eastAsia="zh-CN"/>
              </w:rPr>
              <w:t>闽侯县人民医院祥谦分院项目</w:t>
            </w:r>
          </w:p>
        </w:tc>
      </w:tr>
      <w:tr w14:paraId="3EEE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4" w:hRule="atLeast"/>
          <w:jc w:val="center"/>
        </w:trPr>
        <w:tc>
          <w:tcPr>
            <w:tcW w:w="997" w:type="dxa"/>
            <w:noWrap w:val="0"/>
            <w:tcMar>
              <w:top w:w="16" w:type="dxa"/>
              <w:left w:w="16" w:type="dxa"/>
              <w:right w:w="16" w:type="dxa"/>
            </w:tcMar>
            <w:vAlign w:val="center"/>
          </w:tcPr>
          <w:p w14:paraId="522E228D">
            <w:pPr>
              <w:adjustRightInd w:val="0"/>
              <w:snapToGrid w:val="0"/>
              <w:jc w:val="center"/>
              <w:rPr>
                <w:sz w:val="24"/>
              </w:rPr>
            </w:pPr>
            <w:r>
              <w:rPr>
                <w:sz w:val="24"/>
              </w:rPr>
              <w:t>项目代码</w:t>
            </w:r>
          </w:p>
        </w:tc>
        <w:tc>
          <w:tcPr>
            <w:tcW w:w="7868" w:type="dxa"/>
            <w:gridSpan w:val="3"/>
            <w:noWrap w:val="0"/>
            <w:vAlign w:val="center"/>
          </w:tcPr>
          <w:p w14:paraId="4BBB24E5">
            <w:pPr>
              <w:adjustRightInd w:val="0"/>
              <w:snapToGrid w:val="0"/>
              <w:jc w:val="center"/>
              <w:rPr>
                <w:rFonts w:hint="eastAsia" w:eastAsia="宋体"/>
                <w:color w:val="auto"/>
                <w:sz w:val="24"/>
                <w:lang w:val="en-US" w:eastAsia="zh-CN"/>
              </w:rPr>
            </w:pPr>
            <w:r>
              <w:rPr>
                <w:rFonts w:hint="eastAsia" w:eastAsia="宋体"/>
                <w:color w:val="auto"/>
                <w:sz w:val="24"/>
                <w:szCs w:val="32"/>
                <w:lang w:eastAsia="zh-CN"/>
              </w:rPr>
              <w:t>2406-350121-04-01-441268</w:t>
            </w:r>
          </w:p>
        </w:tc>
      </w:tr>
      <w:tr w14:paraId="78D0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97" w:type="dxa"/>
            <w:noWrap w:val="0"/>
            <w:tcMar>
              <w:top w:w="16" w:type="dxa"/>
              <w:left w:w="16" w:type="dxa"/>
              <w:right w:w="16" w:type="dxa"/>
            </w:tcMar>
            <w:vAlign w:val="center"/>
          </w:tcPr>
          <w:p w14:paraId="474AFFE7">
            <w:pPr>
              <w:adjustRightInd w:val="0"/>
              <w:snapToGrid w:val="0"/>
              <w:jc w:val="center"/>
              <w:rPr>
                <w:sz w:val="24"/>
              </w:rPr>
            </w:pPr>
            <w:r>
              <w:rPr>
                <w:sz w:val="24"/>
              </w:rPr>
              <w:t>建设单位联系人</w:t>
            </w:r>
          </w:p>
        </w:tc>
        <w:tc>
          <w:tcPr>
            <w:tcW w:w="2028" w:type="dxa"/>
            <w:noWrap w:val="0"/>
            <w:vAlign w:val="center"/>
          </w:tcPr>
          <w:p w14:paraId="2CA14A2B">
            <w:pPr>
              <w:adjustRightInd w:val="0"/>
              <w:snapToGrid w:val="0"/>
              <w:jc w:val="center"/>
              <w:rPr>
                <w:color w:val="000000"/>
                <w:sz w:val="24"/>
              </w:rPr>
            </w:pPr>
            <w:r>
              <w:rPr>
                <w:rFonts w:hint="eastAsia"/>
                <w:color w:val="000000"/>
                <w:sz w:val="24"/>
              </w:rPr>
              <w:t xml:space="preserve"> </w:t>
            </w:r>
          </w:p>
        </w:tc>
        <w:tc>
          <w:tcPr>
            <w:tcW w:w="2289" w:type="dxa"/>
            <w:noWrap w:val="0"/>
            <w:vAlign w:val="center"/>
          </w:tcPr>
          <w:p w14:paraId="2A2D2ED7">
            <w:pPr>
              <w:adjustRightInd w:val="0"/>
              <w:snapToGrid w:val="0"/>
              <w:jc w:val="center"/>
              <w:rPr>
                <w:color w:val="000000"/>
                <w:sz w:val="24"/>
              </w:rPr>
            </w:pPr>
            <w:r>
              <w:rPr>
                <w:color w:val="000000"/>
                <w:sz w:val="24"/>
              </w:rPr>
              <w:t>联系方式</w:t>
            </w:r>
          </w:p>
        </w:tc>
        <w:tc>
          <w:tcPr>
            <w:tcW w:w="3551" w:type="dxa"/>
            <w:noWrap w:val="0"/>
            <w:vAlign w:val="center"/>
          </w:tcPr>
          <w:p w14:paraId="52B74260">
            <w:pPr>
              <w:adjustRightInd w:val="0"/>
              <w:snapToGrid w:val="0"/>
              <w:jc w:val="center"/>
              <w:rPr>
                <w:color w:val="000000"/>
                <w:sz w:val="24"/>
              </w:rPr>
            </w:pPr>
          </w:p>
        </w:tc>
      </w:tr>
      <w:tr w14:paraId="62F8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7" w:hRule="atLeast"/>
          <w:jc w:val="center"/>
        </w:trPr>
        <w:tc>
          <w:tcPr>
            <w:tcW w:w="997" w:type="dxa"/>
            <w:noWrap w:val="0"/>
            <w:tcMar>
              <w:top w:w="16" w:type="dxa"/>
              <w:left w:w="16" w:type="dxa"/>
              <w:right w:w="16" w:type="dxa"/>
            </w:tcMar>
            <w:vAlign w:val="center"/>
          </w:tcPr>
          <w:p w14:paraId="2ABEF329">
            <w:pPr>
              <w:adjustRightInd w:val="0"/>
              <w:snapToGrid w:val="0"/>
              <w:jc w:val="center"/>
              <w:rPr>
                <w:sz w:val="24"/>
              </w:rPr>
            </w:pPr>
            <w:r>
              <w:rPr>
                <w:sz w:val="24"/>
              </w:rPr>
              <w:t>建设地点</w:t>
            </w:r>
          </w:p>
        </w:tc>
        <w:tc>
          <w:tcPr>
            <w:tcW w:w="7868" w:type="dxa"/>
            <w:gridSpan w:val="3"/>
            <w:noWrap w:val="0"/>
            <w:vAlign w:val="center"/>
          </w:tcPr>
          <w:p w14:paraId="195FEC04">
            <w:pPr>
              <w:pStyle w:val="23"/>
              <w:spacing w:line="240" w:lineRule="auto"/>
              <w:ind w:firstLine="0"/>
              <w:jc w:val="center"/>
              <w:rPr>
                <w:rFonts w:hint="eastAsia" w:eastAsia="宋体" w:cs="Times New Roman"/>
                <w:color w:val="auto"/>
                <w:sz w:val="24"/>
                <w:szCs w:val="24"/>
                <w:lang w:eastAsia="zh-CN"/>
              </w:rPr>
            </w:pPr>
            <w:r>
              <w:rPr>
                <w:rFonts w:hint="eastAsia" w:eastAsia="宋体" w:cs="Times New Roman"/>
                <w:color w:val="auto"/>
                <w:sz w:val="24"/>
                <w:szCs w:val="24"/>
                <w:lang w:eastAsia="zh-CN"/>
              </w:rPr>
              <w:t>福建省闽侯县尚干镇洋中村桥头东1号</w:t>
            </w:r>
          </w:p>
        </w:tc>
      </w:tr>
      <w:tr w14:paraId="64D9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97" w:type="dxa"/>
            <w:noWrap w:val="0"/>
            <w:tcMar>
              <w:top w:w="16" w:type="dxa"/>
              <w:left w:w="16" w:type="dxa"/>
              <w:right w:w="16" w:type="dxa"/>
            </w:tcMar>
            <w:vAlign w:val="center"/>
          </w:tcPr>
          <w:p w14:paraId="29F2C50B">
            <w:pPr>
              <w:adjustRightInd w:val="0"/>
              <w:snapToGrid w:val="0"/>
              <w:jc w:val="center"/>
              <w:rPr>
                <w:sz w:val="24"/>
              </w:rPr>
            </w:pPr>
            <w:r>
              <w:rPr>
                <w:sz w:val="24"/>
              </w:rPr>
              <w:t>地理坐标</w:t>
            </w:r>
          </w:p>
        </w:tc>
        <w:tc>
          <w:tcPr>
            <w:tcW w:w="7868" w:type="dxa"/>
            <w:gridSpan w:val="3"/>
            <w:noWrap w:val="0"/>
            <w:vAlign w:val="center"/>
          </w:tcPr>
          <w:p w14:paraId="220FB728">
            <w:pPr>
              <w:jc w:val="center"/>
              <w:rPr>
                <w:rFonts w:hint="eastAsia"/>
                <w:color w:val="auto"/>
                <w:sz w:val="24"/>
              </w:rPr>
            </w:pPr>
            <w:r>
              <w:rPr>
                <w:color w:val="auto"/>
                <w:sz w:val="24"/>
              </w:rPr>
              <w:t>（</w:t>
            </w:r>
            <w:r>
              <w:rPr>
                <w:rFonts w:hint="eastAsia"/>
                <w:color w:val="auto"/>
                <w:sz w:val="24"/>
                <w:u w:val="single"/>
              </w:rPr>
              <w:t>119</w:t>
            </w:r>
            <w:r>
              <w:rPr>
                <w:color w:val="auto"/>
                <w:sz w:val="24"/>
              </w:rPr>
              <w:t>度</w:t>
            </w:r>
            <w:r>
              <w:rPr>
                <w:rFonts w:hint="eastAsia"/>
                <w:color w:val="auto"/>
                <w:sz w:val="24"/>
                <w:u w:val="single"/>
                <w:lang w:val="en-US" w:eastAsia="zh-CN"/>
              </w:rPr>
              <w:t>2</w:t>
            </w:r>
            <w:r>
              <w:rPr>
                <w:rFonts w:hint="eastAsia"/>
                <w:color w:val="auto"/>
                <w:sz w:val="24"/>
                <w:u w:val="single"/>
              </w:rPr>
              <w:t>3</w:t>
            </w:r>
            <w:r>
              <w:rPr>
                <w:color w:val="auto"/>
                <w:sz w:val="24"/>
              </w:rPr>
              <w:t>分</w:t>
            </w:r>
            <w:r>
              <w:rPr>
                <w:rFonts w:hint="eastAsia"/>
                <w:color w:val="auto"/>
                <w:sz w:val="24"/>
                <w:u w:val="single"/>
              </w:rPr>
              <w:t>20.4</w:t>
            </w:r>
            <w:r>
              <w:rPr>
                <w:rFonts w:hint="eastAsia"/>
                <w:color w:val="auto"/>
                <w:sz w:val="24"/>
                <w:u w:val="single"/>
                <w:lang w:val="en-US" w:eastAsia="zh-CN"/>
              </w:rPr>
              <w:t>4</w:t>
            </w:r>
            <w:r>
              <w:rPr>
                <w:color w:val="auto"/>
                <w:sz w:val="24"/>
              </w:rPr>
              <w:t>秒，</w:t>
            </w:r>
            <w:r>
              <w:rPr>
                <w:rFonts w:hint="eastAsia"/>
                <w:color w:val="auto"/>
                <w:sz w:val="24"/>
                <w:u w:val="single"/>
                <w:lang w:val="en-US" w:eastAsia="zh-CN"/>
              </w:rPr>
              <w:t>25</w:t>
            </w:r>
            <w:r>
              <w:rPr>
                <w:color w:val="auto"/>
                <w:sz w:val="24"/>
              </w:rPr>
              <w:t>度</w:t>
            </w:r>
            <w:r>
              <w:rPr>
                <w:rFonts w:hint="eastAsia"/>
                <w:color w:val="auto"/>
                <w:sz w:val="24"/>
                <w:u w:val="single"/>
                <w:lang w:val="en-US" w:eastAsia="zh-CN"/>
              </w:rPr>
              <w:t>5</w:t>
            </w:r>
            <w:r>
              <w:rPr>
                <w:rFonts w:hint="eastAsia"/>
                <w:color w:val="auto"/>
                <w:sz w:val="24"/>
                <w:u w:val="single"/>
              </w:rPr>
              <w:t>5</w:t>
            </w:r>
            <w:r>
              <w:rPr>
                <w:color w:val="auto"/>
                <w:sz w:val="24"/>
              </w:rPr>
              <w:t>分</w:t>
            </w:r>
            <w:r>
              <w:rPr>
                <w:rFonts w:hint="eastAsia"/>
                <w:color w:val="auto"/>
                <w:sz w:val="24"/>
                <w:u w:val="single"/>
                <w:lang w:val="en-US" w:eastAsia="zh-CN"/>
              </w:rPr>
              <w:t>25.61</w:t>
            </w:r>
            <w:r>
              <w:rPr>
                <w:color w:val="auto"/>
                <w:sz w:val="24"/>
              </w:rPr>
              <w:t>秒）</w:t>
            </w:r>
          </w:p>
        </w:tc>
      </w:tr>
      <w:tr w14:paraId="6130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997" w:type="dxa"/>
            <w:noWrap w:val="0"/>
            <w:tcMar>
              <w:top w:w="16" w:type="dxa"/>
              <w:left w:w="16" w:type="dxa"/>
              <w:right w:w="16" w:type="dxa"/>
            </w:tcMar>
            <w:vAlign w:val="center"/>
          </w:tcPr>
          <w:p w14:paraId="441F6FE5">
            <w:pPr>
              <w:adjustRightInd w:val="0"/>
              <w:snapToGrid w:val="0"/>
              <w:jc w:val="center"/>
              <w:rPr>
                <w:sz w:val="24"/>
              </w:rPr>
            </w:pPr>
            <w:r>
              <w:rPr>
                <w:sz w:val="24"/>
              </w:rPr>
              <w:t>国民经济</w:t>
            </w:r>
          </w:p>
          <w:p w14:paraId="385104AC">
            <w:pPr>
              <w:adjustRightInd w:val="0"/>
              <w:snapToGrid w:val="0"/>
              <w:jc w:val="center"/>
              <w:rPr>
                <w:sz w:val="24"/>
              </w:rPr>
            </w:pPr>
            <w:r>
              <w:rPr>
                <w:sz w:val="24"/>
              </w:rPr>
              <w:t>行业类别</w:t>
            </w:r>
          </w:p>
        </w:tc>
        <w:tc>
          <w:tcPr>
            <w:tcW w:w="2028" w:type="dxa"/>
            <w:noWrap w:val="0"/>
            <w:vAlign w:val="center"/>
          </w:tcPr>
          <w:p w14:paraId="3DFC124F">
            <w:pPr>
              <w:adjustRightInd w:val="0"/>
              <w:snapToGrid w:val="0"/>
              <w:jc w:val="center"/>
              <w:rPr>
                <w:rFonts w:hint="eastAsia"/>
                <w:color w:val="auto"/>
                <w:kern w:val="0"/>
                <w:sz w:val="24"/>
              </w:rPr>
            </w:pPr>
            <w:r>
              <w:rPr>
                <w:color w:val="auto"/>
                <w:kern w:val="0"/>
                <w:sz w:val="24"/>
              </w:rPr>
              <w:t>[Q84</w:t>
            </w:r>
            <w:r>
              <w:rPr>
                <w:rFonts w:hint="eastAsia"/>
                <w:color w:val="auto"/>
                <w:kern w:val="0"/>
                <w:sz w:val="24"/>
              </w:rPr>
              <w:t>1</w:t>
            </w:r>
            <w:r>
              <w:rPr>
                <w:color w:val="auto"/>
                <w:kern w:val="0"/>
                <w:sz w:val="24"/>
              </w:rPr>
              <w:t>1]</w:t>
            </w:r>
            <w:r>
              <w:rPr>
                <w:rFonts w:hint="eastAsia"/>
                <w:color w:val="auto"/>
                <w:kern w:val="0"/>
                <w:sz w:val="24"/>
              </w:rPr>
              <w:t>综合医院</w:t>
            </w:r>
          </w:p>
        </w:tc>
        <w:tc>
          <w:tcPr>
            <w:tcW w:w="2289" w:type="dxa"/>
            <w:noWrap w:val="0"/>
            <w:vAlign w:val="center"/>
          </w:tcPr>
          <w:p w14:paraId="21CE628C">
            <w:pPr>
              <w:adjustRightInd w:val="0"/>
              <w:snapToGrid w:val="0"/>
              <w:jc w:val="center"/>
              <w:rPr>
                <w:color w:val="auto"/>
                <w:sz w:val="24"/>
              </w:rPr>
            </w:pPr>
            <w:bookmarkStart w:id="3" w:name="_Hlk49843745"/>
            <w:r>
              <w:rPr>
                <w:color w:val="auto"/>
                <w:sz w:val="24"/>
              </w:rPr>
              <w:t>建设项目</w:t>
            </w:r>
          </w:p>
          <w:p w14:paraId="357216E2">
            <w:pPr>
              <w:adjustRightInd w:val="0"/>
              <w:snapToGrid w:val="0"/>
              <w:jc w:val="center"/>
              <w:rPr>
                <w:color w:val="auto"/>
                <w:sz w:val="24"/>
              </w:rPr>
            </w:pPr>
            <w:r>
              <w:rPr>
                <w:color w:val="auto"/>
                <w:sz w:val="24"/>
              </w:rPr>
              <w:t>行业类别</w:t>
            </w:r>
            <w:bookmarkEnd w:id="3"/>
          </w:p>
        </w:tc>
        <w:tc>
          <w:tcPr>
            <w:tcW w:w="3551" w:type="dxa"/>
            <w:noWrap w:val="0"/>
            <w:vAlign w:val="center"/>
          </w:tcPr>
          <w:p w14:paraId="5B337A54">
            <w:pPr>
              <w:adjustRightInd w:val="0"/>
              <w:snapToGrid w:val="0"/>
              <w:jc w:val="left"/>
              <w:rPr>
                <w:color w:val="auto"/>
                <w:kern w:val="0"/>
                <w:sz w:val="24"/>
              </w:rPr>
            </w:pPr>
            <w:r>
              <w:rPr>
                <w:color w:val="auto"/>
                <w:kern w:val="0"/>
                <w:sz w:val="24"/>
              </w:rPr>
              <w:t>四十九</w:t>
            </w:r>
            <w:r>
              <w:rPr>
                <w:rFonts w:hint="eastAsia"/>
                <w:color w:val="auto"/>
                <w:kern w:val="0"/>
                <w:sz w:val="24"/>
                <w:lang w:eastAsia="zh-CN"/>
              </w:rPr>
              <w:t>、</w:t>
            </w:r>
            <w:r>
              <w:rPr>
                <w:color w:val="auto"/>
                <w:kern w:val="0"/>
                <w:sz w:val="24"/>
              </w:rPr>
              <w:t>卫生</w:t>
            </w:r>
            <w:r>
              <w:rPr>
                <w:rFonts w:hint="eastAsia"/>
                <w:color w:val="auto"/>
                <w:kern w:val="0"/>
                <w:sz w:val="24"/>
                <w:lang w:val="en-US" w:eastAsia="zh-CN"/>
              </w:rPr>
              <w:t>84-</w:t>
            </w:r>
            <w:r>
              <w:rPr>
                <w:color w:val="auto"/>
                <w:kern w:val="0"/>
                <w:sz w:val="24"/>
              </w:rPr>
              <w:t>108</w:t>
            </w:r>
            <w:r>
              <w:rPr>
                <w:rFonts w:hint="eastAsia"/>
                <w:color w:val="auto"/>
                <w:kern w:val="0"/>
                <w:sz w:val="24"/>
                <w:lang w:eastAsia="zh-CN"/>
              </w:rPr>
              <w:t>、</w:t>
            </w:r>
            <w:r>
              <w:rPr>
                <w:color w:val="auto"/>
                <w:kern w:val="0"/>
                <w:sz w:val="24"/>
              </w:rPr>
              <w:t>医院</w:t>
            </w:r>
          </w:p>
          <w:p w14:paraId="298640B6">
            <w:pPr>
              <w:adjustRightInd w:val="0"/>
              <w:snapToGrid w:val="0"/>
              <w:jc w:val="left"/>
              <w:rPr>
                <w:color w:val="auto"/>
                <w:sz w:val="24"/>
              </w:rPr>
            </w:pPr>
            <w:r>
              <w:rPr>
                <w:rFonts w:ascii="宋体" w:hAnsi="宋体" w:eastAsia="宋体" w:cs="宋体"/>
                <w:sz w:val="24"/>
                <w:szCs w:val="24"/>
              </w:rPr>
              <w:t>其他（住院床位</w:t>
            </w:r>
            <w:r>
              <w:rPr>
                <w:rFonts w:hint="default" w:ascii="Times New Roman" w:hAnsi="Times New Roman" w:eastAsia="宋体" w:cs="Times New Roman"/>
                <w:sz w:val="24"/>
                <w:szCs w:val="24"/>
              </w:rPr>
              <w:t>20</w:t>
            </w:r>
            <w:r>
              <w:rPr>
                <w:rFonts w:ascii="宋体" w:hAnsi="宋体" w:eastAsia="宋体" w:cs="宋体"/>
                <w:sz w:val="24"/>
                <w:szCs w:val="24"/>
              </w:rPr>
              <w:t>张以下的除外）</w:t>
            </w:r>
          </w:p>
        </w:tc>
      </w:tr>
      <w:tr w14:paraId="2E31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997" w:type="dxa"/>
            <w:noWrap w:val="0"/>
            <w:tcMar>
              <w:top w:w="16" w:type="dxa"/>
              <w:left w:w="16" w:type="dxa"/>
              <w:right w:w="16" w:type="dxa"/>
            </w:tcMar>
            <w:vAlign w:val="center"/>
          </w:tcPr>
          <w:p w14:paraId="2149715E">
            <w:pPr>
              <w:adjustRightInd w:val="0"/>
              <w:snapToGrid w:val="0"/>
              <w:jc w:val="center"/>
              <w:rPr>
                <w:sz w:val="24"/>
              </w:rPr>
            </w:pPr>
            <w:r>
              <w:rPr>
                <w:sz w:val="24"/>
              </w:rPr>
              <w:t>建设性质</w:t>
            </w:r>
          </w:p>
        </w:tc>
        <w:tc>
          <w:tcPr>
            <w:tcW w:w="2028" w:type="dxa"/>
            <w:noWrap w:val="0"/>
            <w:vAlign w:val="center"/>
          </w:tcPr>
          <w:p w14:paraId="6328E96C">
            <w:pPr>
              <w:jc w:val="left"/>
              <w:rPr>
                <w:color w:val="auto"/>
                <w:sz w:val="24"/>
              </w:rPr>
            </w:pPr>
            <w:r>
              <w:rPr>
                <w:rFonts w:hint="eastAsia"/>
                <w:color w:val="auto"/>
                <w:sz w:val="24"/>
                <w:lang w:eastAsia="zh-CN"/>
              </w:rPr>
              <w:t>□</w:t>
            </w:r>
            <w:r>
              <w:rPr>
                <w:color w:val="auto"/>
                <w:sz w:val="24"/>
              </w:rPr>
              <w:t>新建（迁建）</w:t>
            </w:r>
          </w:p>
          <w:p w14:paraId="1362E19C">
            <w:pPr>
              <w:jc w:val="left"/>
              <w:rPr>
                <w:color w:val="auto"/>
                <w:sz w:val="24"/>
              </w:rPr>
            </w:pPr>
            <w:r>
              <w:rPr>
                <w:rFonts w:hint="eastAsia"/>
                <w:color w:val="auto"/>
                <w:sz w:val="24"/>
                <w:lang w:eastAsia="zh-CN"/>
              </w:rPr>
              <w:t>☑</w:t>
            </w:r>
            <w:r>
              <w:rPr>
                <w:color w:val="auto"/>
                <w:sz w:val="24"/>
              </w:rPr>
              <w:t>改建</w:t>
            </w:r>
          </w:p>
          <w:p w14:paraId="2B6116B9">
            <w:pPr>
              <w:jc w:val="left"/>
              <w:rPr>
                <w:color w:val="auto"/>
                <w:sz w:val="24"/>
              </w:rPr>
            </w:pPr>
            <w:r>
              <w:rPr>
                <w:rFonts w:hint="eastAsia"/>
                <w:color w:val="auto"/>
                <w:sz w:val="24"/>
                <w:lang w:eastAsia="zh-CN"/>
              </w:rPr>
              <w:t>☑</w:t>
            </w:r>
            <w:r>
              <w:rPr>
                <w:color w:val="auto"/>
                <w:sz w:val="24"/>
              </w:rPr>
              <w:t>扩建</w:t>
            </w:r>
          </w:p>
          <w:p w14:paraId="0642A6CF">
            <w:pPr>
              <w:jc w:val="left"/>
              <w:rPr>
                <w:color w:val="auto"/>
                <w:sz w:val="24"/>
              </w:rPr>
            </w:pPr>
            <w:r>
              <w:rPr>
                <w:rFonts w:hint="eastAsia"/>
                <w:color w:val="auto"/>
                <w:sz w:val="24"/>
                <w:lang w:eastAsia="zh-CN"/>
              </w:rPr>
              <w:t>□</w:t>
            </w:r>
            <w:r>
              <w:rPr>
                <w:color w:val="auto"/>
                <w:sz w:val="24"/>
              </w:rPr>
              <w:t>技术改造</w:t>
            </w:r>
          </w:p>
        </w:tc>
        <w:tc>
          <w:tcPr>
            <w:tcW w:w="2289" w:type="dxa"/>
            <w:noWrap w:val="0"/>
            <w:vAlign w:val="center"/>
          </w:tcPr>
          <w:p w14:paraId="22EAEC5F">
            <w:pPr>
              <w:adjustRightInd w:val="0"/>
              <w:snapToGrid w:val="0"/>
              <w:jc w:val="center"/>
              <w:rPr>
                <w:color w:val="auto"/>
                <w:sz w:val="24"/>
              </w:rPr>
            </w:pPr>
            <w:r>
              <w:rPr>
                <w:color w:val="auto"/>
                <w:sz w:val="24"/>
              </w:rPr>
              <w:t>建设项目</w:t>
            </w:r>
          </w:p>
          <w:p w14:paraId="6BEC08C6">
            <w:pPr>
              <w:adjustRightInd w:val="0"/>
              <w:snapToGrid w:val="0"/>
              <w:jc w:val="center"/>
              <w:rPr>
                <w:color w:val="auto"/>
                <w:sz w:val="24"/>
              </w:rPr>
            </w:pPr>
            <w:r>
              <w:rPr>
                <w:color w:val="auto"/>
                <w:sz w:val="24"/>
              </w:rPr>
              <w:t>申报情形</w:t>
            </w:r>
          </w:p>
        </w:tc>
        <w:tc>
          <w:tcPr>
            <w:tcW w:w="3551" w:type="dxa"/>
            <w:noWrap w:val="0"/>
            <w:vAlign w:val="center"/>
          </w:tcPr>
          <w:p w14:paraId="4D29E526">
            <w:pPr>
              <w:jc w:val="left"/>
              <w:rPr>
                <w:color w:val="auto"/>
                <w:sz w:val="24"/>
              </w:rPr>
            </w:pPr>
            <w:r>
              <w:rPr>
                <w:rFonts w:hint="eastAsia"/>
                <w:color w:val="auto"/>
                <w:sz w:val="24"/>
                <w:lang w:eastAsia="zh-CN"/>
              </w:rPr>
              <w:t>☑</w:t>
            </w:r>
            <w:r>
              <w:rPr>
                <w:color w:val="auto"/>
                <w:sz w:val="24"/>
              </w:rPr>
              <w:t>首次申报项目</w:t>
            </w:r>
          </w:p>
          <w:p w14:paraId="22AA8E74">
            <w:pPr>
              <w:jc w:val="left"/>
              <w:rPr>
                <w:color w:val="auto"/>
                <w:sz w:val="24"/>
              </w:rPr>
            </w:pPr>
            <w:r>
              <w:rPr>
                <w:rFonts w:hint="eastAsia"/>
                <w:color w:val="auto"/>
                <w:sz w:val="24"/>
                <w:lang w:eastAsia="zh-CN"/>
              </w:rPr>
              <w:t>□</w:t>
            </w:r>
            <w:r>
              <w:rPr>
                <w:color w:val="auto"/>
                <w:sz w:val="24"/>
              </w:rPr>
              <w:t>不予批准后再次申报项目</w:t>
            </w:r>
          </w:p>
          <w:p w14:paraId="632E9659">
            <w:pPr>
              <w:jc w:val="left"/>
              <w:rPr>
                <w:color w:val="auto"/>
                <w:sz w:val="24"/>
              </w:rPr>
            </w:pPr>
            <w:r>
              <w:rPr>
                <w:color w:val="auto"/>
                <w:sz w:val="24"/>
              </w:rPr>
              <w:sym w:font="Wingdings 2" w:char="00A3"/>
            </w:r>
            <w:r>
              <w:rPr>
                <w:color w:val="auto"/>
                <w:sz w:val="24"/>
              </w:rPr>
              <w:t>超五年重新审核项目</w:t>
            </w:r>
          </w:p>
          <w:p w14:paraId="6746C316">
            <w:pPr>
              <w:jc w:val="left"/>
              <w:rPr>
                <w:color w:val="auto"/>
                <w:sz w:val="24"/>
              </w:rPr>
            </w:pPr>
            <w:r>
              <w:rPr>
                <w:rFonts w:hint="eastAsia"/>
                <w:color w:val="auto"/>
                <w:sz w:val="24"/>
                <w:lang w:eastAsia="zh-CN"/>
              </w:rPr>
              <w:t>□</w:t>
            </w:r>
            <w:r>
              <w:rPr>
                <w:color w:val="auto"/>
                <w:sz w:val="24"/>
              </w:rPr>
              <w:t>重大变动重新报批项目</w:t>
            </w:r>
          </w:p>
        </w:tc>
      </w:tr>
      <w:tr w14:paraId="7E08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997" w:type="dxa"/>
            <w:noWrap w:val="0"/>
            <w:tcMar>
              <w:top w:w="16" w:type="dxa"/>
              <w:left w:w="16" w:type="dxa"/>
              <w:right w:w="16" w:type="dxa"/>
            </w:tcMar>
            <w:vAlign w:val="center"/>
          </w:tcPr>
          <w:p w14:paraId="4E52F227">
            <w:pPr>
              <w:adjustRightInd w:val="0"/>
              <w:snapToGrid w:val="0"/>
              <w:jc w:val="center"/>
              <w:rPr>
                <w:sz w:val="24"/>
              </w:rPr>
            </w:pPr>
            <w:r>
              <w:rPr>
                <w:sz w:val="24"/>
              </w:rPr>
              <w:t>项目审批（核准/</w:t>
            </w:r>
          </w:p>
          <w:p w14:paraId="123557CB">
            <w:pPr>
              <w:adjustRightInd w:val="0"/>
              <w:snapToGrid w:val="0"/>
              <w:jc w:val="center"/>
              <w:rPr>
                <w:sz w:val="24"/>
              </w:rPr>
            </w:pPr>
            <w:r>
              <w:rPr>
                <w:sz w:val="24"/>
              </w:rPr>
              <w:t>备案）部门（选填）</w:t>
            </w:r>
          </w:p>
        </w:tc>
        <w:tc>
          <w:tcPr>
            <w:tcW w:w="2028" w:type="dxa"/>
            <w:noWrap w:val="0"/>
            <w:vAlign w:val="center"/>
          </w:tcPr>
          <w:p w14:paraId="193C4147">
            <w:pPr>
              <w:adjustRightInd w:val="0"/>
              <w:snapToGrid w:val="0"/>
              <w:jc w:val="center"/>
              <w:rPr>
                <w:color w:val="auto"/>
                <w:sz w:val="24"/>
              </w:rPr>
            </w:pPr>
            <w:r>
              <w:rPr>
                <w:rFonts w:hint="eastAsia"/>
                <w:color w:val="auto"/>
                <w:sz w:val="24"/>
              </w:rPr>
              <w:t>闽侯县发展和改革局</w:t>
            </w:r>
          </w:p>
        </w:tc>
        <w:tc>
          <w:tcPr>
            <w:tcW w:w="2289" w:type="dxa"/>
            <w:noWrap w:val="0"/>
            <w:vAlign w:val="center"/>
          </w:tcPr>
          <w:p w14:paraId="42631D80">
            <w:pPr>
              <w:adjustRightInd w:val="0"/>
              <w:snapToGrid w:val="0"/>
              <w:jc w:val="center"/>
              <w:rPr>
                <w:color w:val="auto"/>
                <w:sz w:val="24"/>
              </w:rPr>
            </w:pPr>
            <w:r>
              <w:rPr>
                <w:color w:val="auto"/>
                <w:sz w:val="24"/>
              </w:rPr>
              <w:t>项目审批（核准/</w:t>
            </w:r>
          </w:p>
          <w:p w14:paraId="7BBE749D">
            <w:pPr>
              <w:adjustRightInd w:val="0"/>
              <w:snapToGrid w:val="0"/>
              <w:jc w:val="center"/>
              <w:rPr>
                <w:color w:val="auto"/>
                <w:sz w:val="24"/>
              </w:rPr>
            </w:pPr>
            <w:r>
              <w:rPr>
                <w:color w:val="auto"/>
                <w:sz w:val="24"/>
              </w:rPr>
              <w:t>备案）文号（选填）</w:t>
            </w:r>
          </w:p>
        </w:tc>
        <w:tc>
          <w:tcPr>
            <w:tcW w:w="3551" w:type="dxa"/>
            <w:noWrap w:val="0"/>
            <w:vAlign w:val="center"/>
          </w:tcPr>
          <w:p w14:paraId="3CA341D8">
            <w:pPr>
              <w:adjustRightInd w:val="0"/>
              <w:snapToGrid w:val="0"/>
              <w:jc w:val="center"/>
              <w:rPr>
                <w:color w:val="auto"/>
                <w:sz w:val="24"/>
              </w:rPr>
            </w:pPr>
            <w:r>
              <w:rPr>
                <w:rFonts w:hint="eastAsia"/>
                <w:color w:val="auto"/>
                <w:sz w:val="24"/>
              </w:rPr>
              <w:t>侯发改审批(2024)99号</w:t>
            </w:r>
          </w:p>
        </w:tc>
      </w:tr>
      <w:tr w14:paraId="0A1E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97" w:type="dxa"/>
            <w:noWrap w:val="0"/>
            <w:tcMar>
              <w:top w:w="16" w:type="dxa"/>
              <w:left w:w="16" w:type="dxa"/>
              <w:right w:w="16" w:type="dxa"/>
            </w:tcMar>
            <w:vAlign w:val="center"/>
          </w:tcPr>
          <w:p w14:paraId="7838C27B">
            <w:pPr>
              <w:adjustRightInd w:val="0"/>
              <w:snapToGrid w:val="0"/>
              <w:jc w:val="center"/>
              <w:rPr>
                <w:sz w:val="24"/>
              </w:rPr>
            </w:pPr>
            <w:r>
              <w:rPr>
                <w:sz w:val="24"/>
              </w:rPr>
              <w:t>总投资（万元）</w:t>
            </w:r>
          </w:p>
        </w:tc>
        <w:tc>
          <w:tcPr>
            <w:tcW w:w="2028" w:type="dxa"/>
            <w:noWrap w:val="0"/>
            <w:vAlign w:val="center"/>
          </w:tcPr>
          <w:p w14:paraId="7148CB92">
            <w:pPr>
              <w:adjustRightInd w:val="0"/>
              <w:snapToGrid w:val="0"/>
              <w:jc w:val="center"/>
              <w:rPr>
                <w:rFonts w:hint="default" w:eastAsia="宋体"/>
                <w:color w:val="auto"/>
                <w:sz w:val="24"/>
                <w:highlight w:val="none"/>
                <w:lang w:val="en-US" w:eastAsia="zh-CN"/>
              </w:rPr>
            </w:pPr>
            <w:r>
              <w:rPr>
                <w:rFonts w:hint="eastAsia" w:eastAsia="宋体"/>
                <w:color w:val="auto"/>
                <w:sz w:val="24"/>
                <w:highlight w:val="none"/>
                <w:lang w:val="en-US" w:eastAsia="zh-CN"/>
              </w:rPr>
              <w:t>39469.35</w:t>
            </w:r>
          </w:p>
        </w:tc>
        <w:tc>
          <w:tcPr>
            <w:tcW w:w="2289" w:type="dxa"/>
            <w:noWrap w:val="0"/>
            <w:tcMar>
              <w:top w:w="16" w:type="dxa"/>
              <w:left w:w="16" w:type="dxa"/>
              <w:right w:w="16" w:type="dxa"/>
            </w:tcMar>
            <w:vAlign w:val="center"/>
          </w:tcPr>
          <w:p w14:paraId="766E4020">
            <w:pPr>
              <w:adjustRightInd w:val="0"/>
              <w:snapToGrid w:val="0"/>
              <w:jc w:val="center"/>
              <w:rPr>
                <w:color w:val="auto"/>
                <w:sz w:val="24"/>
                <w:highlight w:val="none"/>
              </w:rPr>
            </w:pPr>
            <w:r>
              <w:rPr>
                <w:color w:val="auto"/>
                <w:sz w:val="24"/>
                <w:highlight w:val="none"/>
              </w:rPr>
              <w:t>环保投资（万元）</w:t>
            </w:r>
          </w:p>
        </w:tc>
        <w:tc>
          <w:tcPr>
            <w:tcW w:w="3551" w:type="dxa"/>
            <w:noWrap w:val="0"/>
            <w:vAlign w:val="center"/>
          </w:tcPr>
          <w:p w14:paraId="4DFC2C53">
            <w:pPr>
              <w:adjustRightInd w:val="0"/>
              <w:snapToGrid w:val="0"/>
              <w:jc w:val="center"/>
              <w:rPr>
                <w:rFonts w:hint="default" w:eastAsia="宋体"/>
                <w:color w:val="auto"/>
                <w:sz w:val="24"/>
                <w:highlight w:val="none"/>
                <w:lang w:val="en-US" w:eastAsia="zh-CN"/>
              </w:rPr>
            </w:pPr>
            <w:r>
              <w:rPr>
                <w:rFonts w:hint="eastAsia" w:ascii="Times New Roman" w:hAnsi="Times New Roman" w:eastAsia="宋体" w:cs="Times New Roman"/>
                <w:sz w:val="24"/>
                <w:highlight w:val="none"/>
                <w:lang w:val="en-US" w:eastAsia="zh-CN"/>
              </w:rPr>
              <w:t>1708.07</w:t>
            </w:r>
          </w:p>
        </w:tc>
      </w:tr>
      <w:tr w14:paraId="351A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97" w:type="dxa"/>
            <w:noWrap w:val="0"/>
            <w:tcMar>
              <w:top w:w="16" w:type="dxa"/>
              <w:left w:w="16" w:type="dxa"/>
              <w:right w:w="16" w:type="dxa"/>
            </w:tcMar>
            <w:vAlign w:val="center"/>
          </w:tcPr>
          <w:p w14:paraId="63CB426C">
            <w:pPr>
              <w:adjustRightInd w:val="0"/>
              <w:snapToGrid w:val="0"/>
              <w:jc w:val="center"/>
              <w:rPr>
                <w:sz w:val="24"/>
              </w:rPr>
            </w:pPr>
            <w:r>
              <w:rPr>
                <w:sz w:val="24"/>
              </w:rPr>
              <w:t>环保投资占比（%）</w:t>
            </w:r>
          </w:p>
        </w:tc>
        <w:tc>
          <w:tcPr>
            <w:tcW w:w="2028" w:type="dxa"/>
            <w:noWrap w:val="0"/>
            <w:vAlign w:val="center"/>
          </w:tcPr>
          <w:p w14:paraId="749BADF9">
            <w:pPr>
              <w:adjustRightInd w:val="0"/>
              <w:snapToGrid w:val="0"/>
              <w:jc w:val="center"/>
              <w:rPr>
                <w:rFonts w:hint="default" w:eastAsia="宋体"/>
                <w:sz w:val="24"/>
                <w:highlight w:val="none"/>
                <w:lang w:val="en-US" w:eastAsia="zh-CN"/>
              </w:rPr>
            </w:pPr>
            <w:r>
              <w:rPr>
                <w:rFonts w:hint="eastAsia"/>
                <w:sz w:val="24"/>
                <w:highlight w:val="none"/>
                <w:lang w:val="en-US" w:eastAsia="zh-CN"/>
              </w:rPr>
              <w:t>4.3%</w:t>
            </w:r>
          </w:p>
        </w:tc>
        <w:tc>
          <w:tcPr>
            <w:tcW w:w="2289" w:type="dxa"/>
            <w:noWrap w:val="0"/>
            <w:tcMar>
              <w:top w:w="16" w:type="dxa"/>
              <w:left w:w="16" w:type="dxa"/>
              <w:right w:w="16" w:type="dxa"/>
            </w:tcMar>
            <w:vAlign w:val="center"/>
          </w:tcPr>
          <w:p w14:paraId="1B5A7D4F">
            <w:pPr>
              <w:adjustRightInd w:val="0"/>
              <w:snapToGrid w:val="0"/>
              <w:jc w:val="center"/>
              <w:rPr>
                <w:sz w:val="24"/>
                <w:highlight w:val="none"/>
              </w:rPr>
            </w:pPr>
            <w:r>
              <w:rPr>
                <w:sz w:val="24"/>
                <w:highlight w:val="none"/>
              </w:rPr>
              <w:t>施工工期</w:t>
            </w:r>
          </w:p>
        </w:tc>
        <w:tc>
          <w:tcPr>
            <w:tcW w:w="3551" w:type="dxa"/>
            <w:noWrap w:val="0"/>
            <w:vAlign w:val="center"/>
          </w:tcPr>
          <w:p w14:paraId="63F0FDC4">
            <w:pPr>
              <w:adjustRightInd w:val="0"/>
              <w:snapToGrid w:val="0"/>
              <w:jc w:val="center"/>
              <w:rPr>
                <w:rFonts w:hint="default" w:eastAsia="宋体"/>
                <w:sz w:val="24"/>
                <w:highlight w:val="none"/>
                <w:lang w:val="en-US" w:eastAsia="zh-CN"/>
              </w:rPr>
            </w:pPr>
            <w:r>
              <w:rPr>
                <w:rFonts w:hint="eastAsia"/>
                <w:sz w:val="24"/>
                <w:highlight w:val="none"/>
                <w:lang w:val="en-US" w:eastAsia="zh-CN"/>
              </w:rPr>
              <w:t>36个月</w:t>
            </w:r>
          </w:p>
        </w:tc>
      </w:tr>
      <w:tr w14:paraId="61F4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97" w:type="dxa"/>
            <w:noWrap w:val="0"/>
            <w:tcMar>
              <w:top w:w="16" w:type="dxa"/>
              <w:left w:w="16" w:type="dxa"/>
              <w:right w:w="16" w:type="dxa"/>
            </w:tcMar>
            <w:vAlign w:val="center"/>
          </w:tcPr>
          <w:p w14:paraId="625B7CE9">
            <w:pPr>
              <w:adjustRightInd w:val="0"/>
              <w:snapToGrid w:val="0"/>
              <w:jc w:val="center"/>
              <w:rPr>
                <w:sz w:val="24"/>
              </w:rPr>
            </w:pPr>
            <w:r>
              <w:rPr>
                <w:sz w:val="24"/>
              </w:rPr>
              <w:t>是否开工建设</w:t>
            </w:r>
          </w:p>
        </w:tc>
        <w:tc>
          <w:tcPr>
            <w:tcW w:w="2028" w:type="dxa"/>
            <w:noWrap w:val="0"/>
            <w:vAlign w:val="center"/>
          </w:tcPr>
          <w:p w14:paraId="3F5F466A">
            <w:pPr>
              <w:adjustRightInd w:val="0"/>
              <w:snapToGrid w:val="0"/>
              <w:rPr>
                <w:sz w:val="24"/>
              </w:rPr>
            </w:pPr>
            <w:r>
              <w:rPr>
                <w:rFonts w:hint="eastAsia"/>
                <w:color w:val="auto"/>
                <w:sz w:val="24"/>
                <w:lang w:eastAsia="zh-CN"/>
              </w:rPr>
              <w:t>☑</w:t>
            </w:r>
            <w:r>
              <w:rPr>
                <w:sz w:val="24"/>
              </w:rPr>
              <w:t>否</w:t>
            </w:r>
          </w:p>
          <w:p w14:paraId="6DD4E3B7">
            <w:pPr>
              <w:adjustRightInd w:val="0"/>
              <w:snapToGrid w:val="0"/>
              <w:rPr>
                <w:rFonts w:hint="eastAsia"/>
                <w:sz w:val="24"/>
              </w:rPr>
            </w:pPr>
            <w:r>
              <w:rPr>
                <w:sz w:val="24"/>
              </w:rPr>
              <w:sym w:font="Wingdings 2" w:char="00A3"/>
            </w:r>
            <w:r>
              <w:rPr>
                <w:sz w:val="24"/>
              </w:rPr>
              <w:t>是</w:t>
            </w:r>
          </w:p>
        </w:tc>
        <w:tc>
          <w:tcPr>
            <w:tcW w:w="2289" w:type="dxa"/>
            <w:noWrap w:val="0"/>
            <w:tcMar>
              <w:top w:w="16" w:type="dxa"/>
              <w:left w:w="16" w:type="dxa"/>
              <w:right w:w="16" w:type="dxa"/>
            </w:tcMar>
            <w:vAlign w:val="center"/>
          </w:tcPr>
          <w:p w14:paraId="1C3AB4F6">
            <w:pPr>
              <w:adjustRightInd w:val="0"/>
              <w:snapToGrid w:val="0"/>
              <w:jc w:val="center"/>
              <w:rPr>
                <w:spacing w:val="-6"/>
                <w:sz w:val="24"/>
              </w:rPr>
            </w:pPr>
            <w:r>
              <w:rPr>
                <w:spacing w:val="-6"/>
                <w:sz w:val="24"/>
              </w:rPr>
              <w:t>用地（用海）</w:t>
            </w:r>
          </w:p>
          <w:p w14:paraId="240DD477">
            <w:pPr>
              <w:adjustRightInd w:val="0"/>
              <w:snapToGrid w:val="0"/>
              <w:jc w:val="center"/>
              <w:rPr>
                <w:sz w:val="24"/>
              </w:rPr>
            </w:pPr>
            <w:r>
              <w:rPr>
                <w:spacing w:val="-6"/>
                <w:sz w:val="24"/>
              </w:rPr>
              <w:t>面积（</w:t>
            </w:r>
            <w:r>
              <w:rPr>
                <w:rFonts w:hint="eastAsia"/>
                <w:spacing w:val="-6"/>
                <w:sz w:val="24"/>
                <w:lang w:val="en-US" w:eastAsia="zh-CN"/>
              </w:rPr>
              <w:t>h</w:t>
            </w:r>
            <w:r>
              <w:rPr>
                <w:spacing w:val="-6"/>
                <w:sz w:val="24"/>
              </w:rPr>
              <w:t>m</w:t>
            </w:r>
            <w:r>
              <w:rPr>
                <w:spacing w:val="-6"/>
                <w:sz w:val="24"/>
                <w:vertAlign w:val="superscript"/>
              </w:rPr>
              <w:t>2</w:t>
            </w:r>
            <w:r>
              <w:rPr>
                <w:spacing w:val="-6"/>
                <w:sz w:val="24"/>
              </w:rPr>
              <w:t>）</w:t>
            </w:r>
          </w:p>
        </w:tc>
        <w:tc>
          <w:tcPr>
            <w:tcW w:w="3551" w:type="dxa"/>
            <w:noWrap w:val="0"/>
            <w:vAlign w:val="center"/>
          </w:tcPr>
          <w:p w14:paraId="64B942EB">
            <w:pPr>
              <w:adjustRightInd w:val="0"/>
              <w:snapToGrid w:val="0"/>
              <w:jc w:val="center"/>
              <w:rPr>
                <w:rFonts w:hint="default" w:eastAsia="宋体"/>
                <w:sz w:val="24"/>
                <w:lang w:val="en-US" w:eastAsia="zh-CN"/>
              </w:rPr>
            </w:pPr>
            <w:r>
              <w:rPr>
                <w:rFonts w:hint="eastAsia"/>
                <w:sz w:val="24"/>
                <w:lang w:val="en-US" w:eastAsia="zh-CN"/>
              </w:rPr>
              <w:t>3.34</w:t>
            </w:r>
          </w:p>
        </w:tc>
      </w:tr>
      <w:tr w14:paraId="3BBF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97" w:type="dxa"/>
            <w:noWrap w:val="0"/>
            <w:vAlign w:val="center"/>
          </w:tcPr>
          <w:p w14:paraId="1A399E4D">
            <w:pPr>
              <w:autoSpaceDE w:val="0"/>
              <w:autoSpaceDN w:val="0"/>
              <w:adjustRightInd w:val="0"/>
              <w:snapToGrid w:val="0"/>
              <w:jc w:val="center"/>
              <w:rPr>
                <w:kern w:val="0"/>
                <w:sz w:val="24"/>
              </w:rPr>
            </w:pPr>
            <w:r>
              <w:rPr>
                <w:kern w:val="0"/>
                <w:sz w:val="24"/>
              </w:rPr>
              <w:t>专项评价设置情况</w:t>
            </w:r>
          </w:p>
        </w:tc>
        <w:tc>
          <w:tcPr>
            <w:tcW w:w="7868" w:type="dxa"/>
            <w:gridSpan w:val="3"/>
            <w:noWrap w:val="0"/>
            <w:vAlign w:val="center"/>
          </w:tcPr>
          <w:p w14:paraId="2A8D32BD">
            <w:pPr>
              <w:adjustRightInd w:val="0"/>
              <w:snapToGrid w:val="0"/>
              <w:spacing w:line="360" w:lineRule="auto"/>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根据《建设项目环境影响报告表编制技术指南（污染影响类）》，本项目大气、地表水、环境风险、生态和海洋不开展专项评价，判定依据见下表。</w:t>
            </w:r>
          </w:p>
          <w:p w14:paraId="170BC0E1">
            <w:pPr>
              <w:autoSpaceDE w:val="0"/>
              <w:autoSpaceDN w:val="0"/>
              <w:adjustRightInd w:val="0"/>
              <w:snapToGrid w:val="0"/>
              <w:spacing w:line="360" w:lineRule="auto"/>
              <w:jc w:val="center"/>
              <w:rPr>
                <w:b/>
                <w:bCs/>
                <w:kern w:val="0"/>
                <w:sz w:val="24"/>
              </w:rPr>
            </w:pPr>
            <w:r>
              <w:rPr>
                <w:b/>
                <w:bCs/>
                <w:kern w:val="0"/>
                <w:sz w:val="24"/>
              </w:rPr>
              <w:t>表</w:t>
            </w:r>
            <w:r>
              <w:rPr>
                <w:rFonts w:hint="eastAsia"/>
                <w:b/>
                <w:bCs/>
                <w:kern w:val="0"/>
                <w:sz w:val="24"/>
              </w:rPr>
              <w:t>1.1-1</w:t>
            </w:r>
            <w:r>
              <w:rPr>
                <w:b/>
                <w:bCs/>
                <w:kern w:val="0"/>
                <w:sz w:val="24"/>
              </w:rPr>
              <w:t>专项评价设置判定情况</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3629"/>
              <w:gridCol w:w="2466"/>
              <w:gridCol w:w="763"/>
            </w:tblGrid>
            <w:tr w14:paraId="549C4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11" w:type="pct"/>
                  <w:tcBorders>
                    <w:top w:val="single" w:color="000000" w:sz="12" w:space="0"/>
                    <w:left w:val="nil"/>
                    <w:bottom w:val="single" w:color="auto" w:sz="4" w:space="0"/>
                    <w:right w:val="single" w:color="auto" w:sz="4" w:space="0"/>
                  </w:tcBorders>
                  <w:shd w:val="clear" w:color="auto" w:fill="FFFFFF"/>
                  <w:noWrap w:val="0"/>
                  <w:vAlign w:val="center"/>
                </w:tcPr>
                <w:p w14:paraId="56E624F9">
                  <w:pPr>
                    <w:pStyle w:val="24"/>
                    <w:spacing w:line="340" w:lineRule="exact"/>
                    <w:ind w:firstLine="0" w:firstLineChars="0"/>
                  </w:pPr>
                  <w:r>
                    <w:t>类别</w:t>
                  </w:r>
                </w:p>
              </w:tc>
              <w:tc>
                <w:tcPr>
                  <w:tcW w:w="2374"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406F45BA">
                  <w:pPr>
                    <w:widowControl/>
                    <w:spacing w:line="340" w:lineRule="exact"/>
                    <w:jc w:val="left"/>
                    <w:rPr>
                      <w:rFonts w:ascii="Times New Roman" w:hAnsi="Times New Roman" w:eastAsia="宋体" w:cs="Times New Roman"/>
                    </w:rPr>
                  </w:pPr>
                  <w:r>
                    <w:rPr>
                      <w:rFonts w:ascii="Times New Roman" w:hAnsi="Times New Roman" w:eastAsia="宋体" w:cs="Times New Roman"/>
                    </w:rPr>
                    <w:t>设置原则</w:t>
                  </w:r>
                </w:p>
              </w:tc>
              <w:tc>
                <w:tcPr>
                  <w:tcW w:w="1613"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7D61F6DF">
                  <w:pPr>
                    <w:widowControl/>
                    <w:spacing w:line="340" w:lineRule="exact"/>
                    <w:jc w:val="left"/>
                    <w:rPr>
                      <w:rFonts w:ascii="Times New Roman" w:hAnsi="Times New Roman" w:eastAsia="宋体" w:cs="Times New Roman"/>
                    </w:rPr>
                  </w:pPr>
                  <w:r>
                    <w:rPr>
                      <w:rFonts w:ascii="Times New Roman" w:hAnsi="Times New Roman" w:eastAsia="宋体" w:cs="Times New Roman"/>
                    </w:rPr>
                    <w:t>本项目情况</w:t>
                  </w:r>
                </w:p>
              </w:tc>
              <w:tc>
                <w:tcPr>
                  <w:tcW w:w="499" w:type="pct"/>
                  <w:tcBorders>
                    <w:top w:val="single" w:color="000000" w:sz="12" w:space="0"/>
                    <w:left w:val="single" w:color="auto" w:sz="4" w:space="0"/>
                    <w:bottom w:val="single" w:color="auto" w:sz="4" w:space="0"/>
                    <w:right w:val="nil"/>
                  </w:tcBorders>
                  <w:shd w:val="clear" w:color="auto" w:fill="FFFFFF"/>
                  <w:noWrap w:val="0"/>
                  <w:vAlign w:val="center"/>
                </w:tcPr>
                <w:p w14:paraId="6B00A6BD">
                  <w:pPr>
                    <w:widowControl/>
                    <w:spacing w:line="340" w:lineRule="exact"/>
                    <w:jc w:val="left"/>
                    <w:rPr>
                      <w:rFonts w:ascii="Times New Roman" w:hAnsi="Times New Roman" w:eastAsia="宋体" w:cs="Times New Roman"/>
                    </w:rPr>
                  </w:pPr>
                  <w:r>
                    <w:rPr>
                      <w:rFonts w:ascii="Times New Roman" w:hAnsi="Times New Roman" w:eastAsia="宋体" w:cs="Times New Roman"/>
                    </w:rPr>
                    <w:t>设置情况</w:t>
                  </w:r>
                </w:p>
              </w:tc>
            </w:tr>
            <w:tr w14:paraId="222C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top w:val="single" w:color="auto" w:sz="4" w:space="0"/>
                    <w:left w:val="nil"/>
                    <w:bottom w:val="single" w:color="auto" w:sz="4" w:space="0"/>
                    <w:right w:val="single" w:color="auto" w:sz="4" w:space="0"/>
                  </w:tcBorders>
                  <w:shd w:val="clear" w:color="auto" w:fill="FFFFFF"/>
                  <w:noWrap w:val="0"/>
                  <w:vAlign w:val="center"/>
                </w:tcPr>
                <w:p w14:paraId="68F5E2A8">
                  <w:pPr>
                    <w:widowControl/>
                    <w:spacing w:line="340" w:lineRule="exact"/>
                    <w:jc w:val="center"/>
                  </w:pPr>
                  <w:r>
                    <w:rPr>
                      <w:rFonts w:ascii="瀹嬩綋" w:hAnsi="瀹嬩綋" w:eastAsia="瀹嬩綋" w:cs="瀹嬩綋"/>
                      <w:kern w:val="0"/>
                      <w:szCs w:val="21"/>
                      <w:lang w:bidi="ar"/>
                    </w:rPr>
                    <w:t>大气</w:t>
                  </w:r>
                </w:p>
              </w:tc>
              <w:tc>
                <w:tcPr>
                  <w:tcW w:w="237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C1CB02">
                  <w:pPr>
                    <w:widowControl/>
                    <w:spacing w:line="340" w:lineRule="exact"/>
                    <w:jc w:val="left"/>
                    <w:rPr>
                      <w:rFonts w:hint="eastAsia" w:ascii="Times New Roman" w:hAnsi="Times New Roman" w:eastAsia="宋体" w:cs="Times New Roman"/>
                    </w:rPr>
                  </w:pPr>
                  <w:r>
                    <w:rPr>
                      <w:rFonts w:hint="eastAsia" w:ascii="Times New Roman" w:hAnsi="Times New Roman" w:eastAsia="宋体" w:cs="Times New Roman"/>
                    </w:rPr>
                    <w:t>排放废气含有毒有害污染物、二噁英、苯并[a]芘、氰化物、氯气且厂界外500米范围内有环境空气保护目标的建设项目。</w:t>
                  </w:r>
                </w:p>
              </w:tc>
              <w:tc>
                <w:tcPr>
                  <w:tcW w:w="161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A81D22">
                  <w:pPr>
                    <w:widowControl/>
                    <w:spacing w:line="340" w:lineRule="exact"/>
                    <w:jc w:val="left"/>
                    <w:rPr>
                      <w:rFonts w:ascii="Times New Roman" w:hAnsi="Times New Roman" w:eastAsia="宋体" w:cs="Times New Roman"/>
                    </w:rPr>
                  </w:pPr>
                  <w:r>
                    <w:rPr>
                      <w:rFonts w:ascii="Times New Roman" w:hAnsi="Times New Roman" w:eastAsia="宋体" w:cs="Times New Roman"/>
                    </w:rPr>
                    <w:t>本项目也不涉及有毒有害污染物，因此无需开展大气专项评价。</w:t>
                  </w:r>
                </w:p>
              </w:tc>
              <w:tc>
                <w:tcPr>
                  <w:tcW w:w="499" w:type="pct"/>
                  <w:tcBorders>
                    <w:top w:val="single" w:color="auto" w:sz="4" w:space="0"/>
                    <w:left w:val="single" w:color="auto" w:sz="4" w:space="0"/>
                    <w:bottom w:val="single" w:color="auto" w:sz="4" w:space="0"/>
                    <w:right w:val="nil"/>
                  </w:tcBorders>
                  <w:shd w:val="clear" w:color="auto" w:fill="FFFFFF"/>
                  <w:noWrap w:val="0"/>
                  <w:vAlign w:val="center"/>
                </w:tcPr>
                <w:p w14:paraId="66646494">
                  <w:pPr>
                    <w:widowControl/>
                    <w:spacing w:line="340" w:lineRule="exact"/>
                    <w:jc w:val="left"/>
                    <w:rPr>
                      <w:rFonts w:ascii="Times New Roman" w:hAnsi="Times New Roman" w:eastAsia="宋体" w:cs="Times New Roman"/>
                    </w:rPr>
                  </w:pPr>
                  <w:r>
                    <w:rPr>
                      <w:rFonts w:hint="eastAsia" w:ascii="Times New Roman" w:hAnsi="Times New Roman" w:eastAsia="宋体" w:cs="Times New Roman"/>
                    </w:rPr>
                    <w:t>不</w:t>
                  </w:r>
                  <w:r>
                    <w:rPr>
                      <w:rFonts w:ascii="Times New Roman" w:hAnsi="Times New Roman" w:eastAsia="宋体" w:cs="Times New Roman"/>
                    </w:rPr>
                    <w:t>设专项评价</w:t>
                  </w:r>
                </w:p>
                <w:p w14:paraId="6D72B9E4">
                  <w:pPr>
                    <w:widowControl/>
                    <w:spacing w:line="340" w:lineRule="exact"/>
                    <w:jc w:val="left"/>
                    <w:rPr>
                      <w:rFonts w:ascii="Times New Roman" w:hAnsi="Times New Roman" w:eastAsia="宋体" w:cs="Times New Roman"/>
                    </w:rPr>
                  </w:pPr>
                </w:p>
              </w:tc>
            </w:tr>
            <w:tr w14:paraId="6F93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top w:val="single" w:color="auto" w:sz="4" w:space="0"/>
                    <w:left w:val="nil"/>
                    <w:bottom w:val="single" w:color="auto" w:sz="4" w:space="0"/>
                    <w:right w:val="single" w:color="auto" w:sz="4" w:space="0"/>
                  </w:tcBorders>
                  <w:shd w:val="clear" w:color="auto" w:fill="FFFFFF"/>
                  <w:noWrap w:val="0"/>
                  <w:vAlign w:val="center"/>
                </w:tcPr>
                <w:p w14:paraId="7EE4A199">
                  <w:pPr>
                    <w:pStyle w:val="24"/>
                    <w:spacing w:line="340" w:lineRule="exact"/>
                    <w:ind w:firstLine="0" w:firstLineChars="0"/>
                  </w:pPr>
                  <w:r>
                    <w:rPr>
                      <w:rFonts w:hint="eastAsia"/>
                    </w:rPr>
                    <w:t>地表水</w:t>
                  </w:r>
                </w:p>
              </w:tc>
              <w:tc>
                <w:tcPr>
                  <w:tcW w:w="237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2BCFCD">
                  <w:pPr>
                    <w:widowControl/>
                    <w:spacing w:line="340" w:lineRule="exact"/>
                    <w:jc w:val="left"/>
                    <w:rPr>
                      <w:rFonts w:hint="eastAsia" w:ascii="Times New Roman" w:hAnsi="Times New Roman" w:eastAsia="宋体" w:cs="Times New Roman"/>
                    </w:rPr>
                  </w:pPr>
                  <w:r>
                    <w:rPr>
                      <w:rFonts w:hint="eastAsia" w:ascii="Times New Roman" w:hAnsi="Times New Roman" w:eastAsia="宋体" w:cs="Times New Roman"/>
                    </w:rPr>
                    <w:t>新增工业废水直排建设项目（槽罐车外送污水处理厂的除外）；新增废水直排的污水集中处理厂。</w:t>
                  </w:r>
                </w:p>
              </w:tc>
              <w:tc>
                <w:tcPr>
                  <w:tcW w:w="161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F0DBA97">
                  <w:pPr>
                    <w:widowControl/>
                    <w:spacing w:line="340" w:lineRule="exact"/>
                    <w:jc w:val="left"/>
                    <w:rPr>
                      <w:rFonts w:ascii="Times New Roman" w:hAnsi="Times New Roman" w:eastAsia="宋体" w:cs="Times New Roman"/>
                    </w:rPr>
                  </w:pPr>
                  <w:r>
                    <w:rPr>
                      <w:rFonts w:hint="eastAsia" w:ascii="Times New Roman" w:hAnsi="Times New Roman" w:eastAsia="宋体" w:cs="Times New Roman"/>
                    </w:rPr>
                    <w:t>本项目废水为间接排放，因此无需开展地表水专项评价。</w:t>
                  </w:r>
                </w:p>
              </w:tc>
              <w:tc>
                <w:tcPr>
                  <w:tcW w:w="499" w:type="pct"/>
                  <w:tcBorders>
                    <w:top w:val="single" w:color="auto" w:sz="4" w:space="0"/>
                    <w:left w:val="single" w:color="auto" w:sz="4" w:space="0"/>
                    <w:bottom w:val="single" w:color="auto" w:sz="4" w:space="0"/>
                    <w:right w:val="nil"/>
                  </w:tcBorders>
                  <w:shd w:val="clear" w:color="auto" w:fill="FFFFFF"/>
                  <w:noWrap w:val="0"/>
                  <w:vAlign w:val="center"/>
                </w:tcPr>
                <w:p w14:paraId="52A06288">
                  <w:pPr>
                    <w:widowControl/>
                    <w:spacing w:line="340" w:lineRule="exact"/>
                    <w:jc w:val="left"/>
                    <w:rPr>
                      <w:rFonts w:ascii="Times New Roman" w:hAnsi="Times New Roman" w:eastAsia="宋体" w:cs="Times New Roman"/>
                    </w:rPr>
                  </w:pPr>
                  <w:r>
                    <w:rPr>
                      <w:rFonts w:ascii="Times New Roman" w:hAnsi="Times New Roman" w:eastAsia="宋体" w:cs="Times New Roman"/>
                    </w:rPr>
                    <w:t>不设专项评价</w:t>
                  </w:r>
                </w:p>
              </w:tc>
            </w:tr>
            <w:tr w14:paraId="67C7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top w:val="single" w:color="auto" w:sz="4" w:space="0"/>
                    <w:left w:val="nil"/>
                    <w:bottom w:val="single" w:color="auto" w:sz="4" w:space="0"/>
                    <w:right w:val="single" w:color="auto" w:sz="4" w:space="0"/>
                  </w:tcBorders>
                  <w:shd w:val="clear" w:color="auto" w:fill="FFFFFF"/>
                  <w:noWrap w:val="0"/>
                  <w:vAlign w:val="center"/>
                </w:tcPr>
                <w:p w14:paraId="106E1C6F">
                  <w:pPr>
                    <w:pStyle w:val="24"/>
                    <w:spacing w:line="340" w:lineRule="exact"/>
                    <w:ind w:firstLine="0" w:firstLineChars="0"/>
                  </w:pPr>
                  <w:r>
                    <w:rPr>
                      <w:rFonts w:hint="eastAsia"/>
                    </w:rPr>
                    <w:t>环境风险</w:t>
                  </w:r>
                </w:p>
              </w:tc>
              <w:tc>
                <w:tcPr>
                  <w:tcW w:w="237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3DEC08">
                  <w:pPr>
                    <w:widowControl/>
                    <w:spacing w:line="340" w:lineRule="exact"/>
                    <w:jc w:val="left"/>
                    <w:rPr>
                      <w:rFonts w:hint="eastAsia" w:ascii="Times New Roman" w:hAnsi="Times New Roman" w:eastAsia="宋体" w:cs="Times New Roman"/>
                    </w:rPr>
                  </w:pPr>
                  <w:r>
                    <w:rPr>
                      <w:rFonts w:hint="eastAsia" w:ascii="Times New Roman" w:hAnsi="Times New Roman" w:eastAsia="宋体" w:cs="Times New Roman"/>
                    </w:rPr>
                    <w:t>有毒有害和易燃易爆危险物质存储量超过临界量的建设项目。</w:t>
                  </w:r>
                </w:p>
              </w:tc>
              <w:tc>
                <w:tcPr>
                  <w:tcW w:w="161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9057F9">
                  <w:pPr>
                    <w:widowControl/>
                    <w:spacing w:line="340" w:lineRule="exact"/>
                    <w:jc w:val="left"/>
                    <w:rPr>
                      <w:rFonts w:ascii="Times New Roman" w:hAnsi="Times New Roman" w:eastAsia="宋体" w:cs="Times New Roman"/>
                    </w:rPr>
                  </w:pPr>
                  <w:r>
                    <w:rPr>
                      <w:rFonts w:hint="eastAsia" w:ascii="Times New Roman" w:hAnsi="Times New Roman" w:eastAsia="宋体" w:cs="Times New Roman"/>
                    </w:rPr>
                    <w:t>本项目有毒有害和易燃易爆危险物质存储量未超过临界量，因此无需开展环境风险专项评价。</w:t>
                  </w:r>
                </w:p>
              </w:tc>
              <w:tc>
                <w:tcPr>
                  <w:tcW w:w="499" w:type="pct"/>
                  <w:tcBorders>
                    <w:top w:val="single" w:color="auto" w:sz="4" w:space="0"/>
                    <w:left w:val="single" w:color="auto" w:sz="4" w:space="0"/>
                    <w:bottom w:val="single" w:color="auto" w:sz="4" w:space="0"/>
                    <w:right w:val="nil"/>
                  </w:tcBorders>
                  <w:shd w:val="clear" w:color="auto" w:fill="FFFFFF"/>
                  <w:noWrap w:val="0"/>
                  <w:vAlign w:val="center"/>
                </w:tcPr>
                <w:p w14:paraId="270A358C">
                  <w:pPr>
                    <w:widowControl/>
                    <w:spacing w:line="340" w:lineRule="exact"/>
                    <w:jc w:val="left"/>
                    <w:rPr>
                      <w:rFonts w:ascii="Times New Roman" w:hAnsi="Times New Roman" w:eastAsia="宋体" w:cs="Times New Roman"/>
                    </w:rPr>
                  </w:pPr>
                  <w:r>
                    <w:rPr>
                      <w:rFonts w:ascii="Times New Roman" w:hAnsi="Times New Roman" w:eastAsia="宋体" w:cs="Times New Roman"/>
                    </w:rPr>
                    <w:t>不设专项评价</w:t>
                  </w:r>
                </w:p>
              </w:tc>
            </w:tr>
            <w:tr w14:paraId="5AC7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top w:val="single" w:color="auto" w:sz="4" w:space="0"/>
                    <w:left w:val="nil"/>
                    <w:bottom w:val="single" w:color="auto" w:sz="4" w:space="0"/>
                    <w:right w:val="single" w:color="auto" w:sz="4" w:space="0"/>
                  </w:tcBorders>
                  <w:shd w:val="clear" w:color="auto" w:fill="FFFFFF"/>
                  <w:noWrap w:val="0"/>
                  <w:vAlign w:val="center"/>
                </w:tcPr>
                <w:p w14:paraId="5B5D562F">
                  <w:pPr>
                    <w:pStyle w:val="24"/>
                    <w:spacing w:line="340" w:lineRule="exact"/>
                    <w:ind w:firstLine="0" w:firstLineChars="0"/>
                  </w:pPr>
                  <w:r>
                    <w:rPr>
                      <w:rFonts w:hint="eastAsia"/>
                    </w:rPr>
                    <w:t>生态</w:t>
                  </w:r>
                </w:p>
              </w:tc>
              <w:tc>
                <w:tcPr>
                  <w:tcW w:w="237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3AC567">
                  <w:pPr>
                    <w:widowControl/>
                    <w:spacing w:line="340" w:lineRule="exact"/>
                    <w:jc w:val="left"/>
                    <w:rPr>
                      <w:rFonts w:hint="eastAsia" w:ascii="Times New Roman" w:hAnsi="Times New Roman" w:eastAsia="宋体" w:cs="Times New Roman"/>
                    </w:rPr>
                  </w:pPr>
                  <w:r>
                    <w:rPr>
                      <w:rFonts w:hint="eastAsia" w:ascii="Times New Roman" w:hAnsi="Times New Roman" w:eastAsia="宋体" w:cs="Times New Roman"/>
                    </w:rPr>
                    <w:t>取水下游500米范围内有重要水生生物的自然产卵场、索饵场、越冬场和洄游通道的新增河道取水的污染类建设项目。</w:t>
                  </w:r>
                </w:p>
              </w:tc>
              <w:tc>
                <w:tcPr>
                  <w:tcW w:w="161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20411F">
                  <w:pPr>
                    <w:widowControl/>
                    <w:spacing w:line="340" w:lineRule="exact"/>
                    <w:jc w:val="left"/>
                    <w:rPr>
                      <w:rFonts w:ascii="Times New Roman" w:hAnsi="Times New Roman" w:eastAsia="宋体" w:cs="Times New Roman"/>
                    </w:rPr>
                  </w:pPr>
                  <w:r>
                    <w:rPr>
                      <w:rFonts w:hint="eastAsia" w:ascii="Times New Roman" w:hAnsi="Times New Roman" w:eastAsia="宋体" w:cs="Times New Roman"/>
                    </w:rPr>
                    <w:t>本项目不涉及，因此无需开展生态专项评价。</w:t>
                  </w:r>
                </w:p>
              </w:tc>
              <w:tc>
                <w:tcPr>
                  <w:tcW w:w="499" w:type="pct"/>
                  <w:tcBorders>
                    <w:top w:val="single" w:color="auto" w:sz="4" w:space="0"/>
                    <w:left w:val="single" w:color="auto" w:sz="4" w:space="0"/>
                    <w:bottom w:val="single" w:color="auto" w:sz="4" w:space="0"/>
                    <w:right w:val="nil"/>
                  </w:tcBorders>
                  <w:shd w:val="clear" w:color="auto" w:fill="FFFFFF"/>
                  <w:noWrap w:val="0"/>
                  <w:vAlign w:val="center"/>
                </w:tcPr>
                <w:p w14:paraId="2FDD6062">
                  <w:pPr>
                    <w:widowControl/>
                    <w:spacing w:line="340" w:lineRule="exact"/>
                    <w:jc w:val="left"/>
                    <w:rPr>
                      <w:rFonts w:ascii="Times New Roman" w:hAnsi="Times New Roman" w:eastAsia="宋体" w:cs="Times New Roman"/>
                    </w:rPr>
                  </w:pPr>
                  <w:r>
                    <w:rPr>
                      <w:rFonts w:ascii="Times New Roman" w:hAnsi="Times New Roman" w:eastAsia="宋体" w:cs="Times New Roman"/>
                    </w:rPr>
                    <w:t>不设专项评价</w:t>
                  </w:r>
                </w:p>
              </w:tc>
            </w:tr>
            <w:tr w14:paraId="25B1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top w:val="single" w:color="auto" w:sz="4" w:space="0"/>
                    <w:left w:val="nil"/>
                    <w:bottom w:val="single" w:color="000000" w:sz="12" w:space="0"/>
                    <w:right w:val="single" w:color="auto" w:sz="4" w:space="0"/>
                  </w:tcBorders>
                  <w:shd w:val="clear" w:color="auto" w:fill="FFFFFF"/>
                  <w:noWrap w:val="0"/>
                  <w:vAlign w:val="center"/>
                </w:tcPr>
                <w:p w14:paraId="4032C057">
                  <w:pPr>
                    <w:pStyle w:val="24"/>
                    <w:spacing w:line="340" w:lineRule="exact"/>
                    <w:ind w:firstLine="0" w:firstLineChars="0"/>
                  </w:pPr>
                  <w:r>
                    <w:rPr>
                      <w:rFonts w:hint="eastAsia"/>
                    </w:rPr>
                    <w:t>海洋</w:t>
                  </w:r>
                </w:p>
              </w:tc>
              <w:tc>
                <w:tcPr>
                  <w:tcW w:w="2374"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148379F3">
                  <w:pPr>
                    <w:widowControl/>
                    <w:spacing w:line="340" w:lineRule="exact"/>
                    <w:jc w:val="left"/>
                    <w:rPr>
                      <w:rFonts w:hint="eastAsia" w:ascii="Times New Roman" w:hAnsi="Times New Roman" w:eastAsia="宋体" w:cs="Times New Roman"/>
                    </w:rPr>
                  </w:pPr>
                  <w:r>
                    <w:rPr>
                      <w:rFonts w:hint="eastAsia" w:ascii="Times New Roman" w:hAnsi="Times New Roman" w:eastAsia="宋体" w:cs="Times New Roman"/>
                    </w:rPr>
                    <w:t>直接向海排放污染物的海洋工程建设项目。</w:t>
                  </w:r>
                </w:p>
              </w:tc>
              <w:tc>
                <w:tcPr>
                  <w:tcW w:w="1613"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4B3305F9">
                  <w:pPr>
                    <w:widowControl/>
                    <w:spacing w:line="340" w:lineRule="exact"/>
                    <w:jc w:val="left"/>
                    <w:rPr>
                      <w:rFonts w:ascii="Times New Roman" w:hAnsi="Times New Roman" w:eastAsia="宋体" w:cs="Times New Roman"/>
                    </w:rPr>
                  </w:pPr>
                  <w:r>
                    <w:rPr>
                      <w:rFonts w:hint="eastAsia" w:ascii="Times New Roman" w:hAnsi="Times New Roman" w:eastAsia="宋体" w:cs="Times New Roman"/>
                    </w:rPr>
                    <w:t>本项目不属于海洋工程建设项目。</w:t>
                  </w:r>
                </w:p>
              </w:tc>
              <w:tc>
                <w:tcPr>
                  <w:tcW w:w="499" w:type="pct"/>
                  <w:tcBorders>
                    <w:top w:val="single" w:color="auto" w:sz="4" w:space="0"/>
                    <w:left w:val="single" w:color="auto" w:sz="4" w:space="0"/>
                    <w:bottom w:val="single" w:color="000000" w:sz="12" w:space="0"/>
                    <w:right w:val="nil"/>
                  </w:tcBorders>
                  <w:shd w:val="clear" w:color="auto" w:fill="FFFFFF"/>
                  <w:noWrap w:val="0"/>
                  <w:vAlign w:val="center"/>
                </w:tcPr>
                <w:p w14:paraId="02800545">
                  <w:pPr>
                    <w:widowControl/>
                    <w:spacing w:line="340" w:lineRule="exact"/>
                    <w:jc w:val="left"/>
                    <w:rPr>
                      <w:rFonts w:ascii="Times New Roman" w:hAnsi="Times New Roman" w:eastAsia="宋体" w:cs="Times New Roman"/>
                    </w:rPr>
                  </w:pPr>
                  <w:r>
                    <w:rPr>
                      <w:rFonts w:ascii="Times New Roman" w:hAnsi="Times New Roman" w:eastAsia="宋体" w:cs="Times New Roman"/>
                    </w:rPr>
                    <w:t>不设专项评价</w:t>
                  </w:r>
                </w:p>
              </w:tc>
            </w:tr>
          </w:tbl>
          <w:p w14:paraId="128CF928">
            <w:pPr>
              <w:pStyle w:val="24"/>
              <w:ind w:firstLine="412"/>
            </w:pPr>
          </w:p>
        </w:tc>
      </w:tr>
      <w:tr w14:paraId="64A2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97" w:type="dxa"/>
            <w:noWrap w:val="0"/>
            <w:vAlign w:val="center"/>
          </w:tcPr>
          <w:p w14:paraId="2AB92D11">
            <w:pPr>
              <w:autoSpaceDE w:val="0"/>
              <w:autoSpaceDN w:val="0"/>
              <w:adjustRightInd w:val="0"/>
              <w:snapToGrid w:val="0"/>
              <w:jc w:val="center"/>
              <w:rPr>
                <w:kern w:val="0"/>
                <w:sz w:val="24"/>
              </w:rPr>
            </w:pPr>
            <w:r>
              <w:rPr>
                <w:sz w:val="24"/>
              </w:rPr>
              <w:t>规划情况</w:t>
            </w:r>
          </w:p>
        </w:tc>
        <w:tc>
          <w:tcPr>
            <w:tcW w:w="7868" w:type="dxa"/>
            <w:gridSpan w:val="3"/>
            <w:noWrap w:val="0"/>
            <w:vAlign w:val="center"/>
          </w:tcPr>
          <w:p w14:paraId="67DFFDFB">
            <w:pPr>
              <w:pStyle w:val="14"/>
              <w:spacing w:beforeAutospacing="0" w:after="0" w:afterAutospacing="0" w:line="360" w:lineRule="auto"/>
              <w:jc w:val="both"/>
              <w:rPr>
                <w:rFonts w:hint="eastAsia" w:ascii="Times New Roman" w:hAnsi="Times New Roman" w:eastAsia="宋体" w:cs="Times New Roman"/>
                <w:color w:val="000000"/>
                <w:kern w:val="0"/>
                <w:sz w:val="24"/>
                <w:szCs w:val="24"/>
                <w:highlight w:val="none"/>
                <w:lang w:val="en-US" w:eastAsia="zh-CN" w:bidi="ar-SA"/>
              </w:rPr>
            </w:pPr>
            <w:r>
              <w:rPr>
                <w:rFonts w:hint="eastAsia" w:ascii="Times New Roman" w:hAnsi="Times New Roman" w:eastAsia="宋体" w:cs="Times New Roman"/>
                <w:color w:val="000000"/>
                <w:kern w:val="0"/>
                <w:sz w:val="24"/>
                <w:szCs w:val="24"/>
                <w:highlight w:val="none"/>
                <w:lang w:val="en-US" w:eastAsia="zh-CN" w:bidi="ar-SA"/>
              </w:rPr>
              <w:t>1、规划名称：《青口汽车城控制性详细规划（QK01-F、G、H、I管理单元）》</w:t>
            </w:r>
          </w:p>
          <w:p w14:paraId="53EC47F2">
            <w:pPr>
              <w:widowControl/>
              <w:spacing w:line="360" w:lineRule="auto"/>
              <w:rPr>
                <w:rFonts w:hint="eastAsia" w:ascii="Times New Roman" w:hAnsi="Times New Roman" w:eastAsia="宋体" w:cs="Times New Roman"/>
                <w:color w:val="000000"/>
                <w:kern w:val="0"/>
                <w:sz w:val="24"/>
                <w:szCs w:val="24"/>
                <w:highlight w:val="none"/>
                <w:lang w:val="en-US" w:eastAsia="zh-CN" w:bidi="ar-SA"/>
              </w:rPr>
            </w:pPr>
            <w:r>
              <w:rPr>
                <w:rFonts w:hint="eastAsia" w:ascii="Times New Roman" w:hAnsi="Times New Roman" w:eastAsia="宋体" w:cs="Times New Roman"/>
                <w:color w:val="000000"/>
                <w:kern w:val="0"/>
                <w:sz w:val="24"/>
                <w:szCs w:val="24"/>
                <w:highlight w:val="none"/>
                <w:lang w:val="en-US" w:eastAsia="zh-CN" w:bidi="ar-SA"/>
              </w:rPr>
              <w:t>审批机关：闽侯县人民政府</w:t>
            </w:r>
          </w:p>
          <w:p w14:paraId="6C57028A">
            <w:pPr>
              <w:autoSpaceDE w:val="0"/>
              <w:autoSpaceDN w:val="0"/>
              <w:adjustRightInd w:val="0"/>
              <w:snapToGrid w:val="0"/>
              <w:spacing w:line="360" w:lineRule="auto"/>
              <w:rPr>
                <w:rFonts w:hint="eastAsia" w:ascii="Times New Roman" w:hAnsi="Times New Roman" w:eastAsia="宋体" w:cs="Times New Roman"/>
                <w:color w:val="000000"/>
                <w:kern w:val="0"/>
                <w:sz w:val="24"/>
                <w:szCs w:val="24"/>
                <w:highlight w:val="none"/>
                <w:lang w:val="en-US" w:eastAsia="zh-CN" w:bidi="ar-SA"/>
              </w:rPr>
            </w:pPr>
            <w:r>
              <w:rPr>
                <w:rFonts w:hint="eastAsia" w:ascii="Times New Roman" w:hAnsi="Times New Roman" w:eastAsia="宋体" w:cs="Times New Roman"/>
                <w:color w:val="000000"/>
                <w:kern w:val="0"/>
                <w:sz w:val="24"/>
                <w:szCs w:val="24"/>
                <w:highlight w:val="none"/>
                <w:lang w:val="en-US" w:eastAsia="zh-CN" w:bidi="ar-SA"/>
              </w:rPr>
              <w:t>审批文件名称及文号：《福州市人民政府关于青口汽车城F、G管理单元以及H管理单元部分地块控制性详细规划的批复》（榕政综〔2024〕23号）</w:t>
            </w:r>
          </w:p>
          <w:p w14:paraId="72599090">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eastAsia" w:ascii="Times New Roman" w:hAnsi="Times New Roman" w:eastAsia="宋体" w:cs="Times New Roman"/>
                <w:color w:val="000000"/>
                <w:kern w:val="0"/>
                <w:sz w:val="24"/>
                <w:szCs w:val="24"/>
                <w:highlight w:val="none"/>
                <w:lang w:val="en-US" w:eastAsia="zh-CN" w:bidi="ar-SA"/>
              </w:rPr>
            </w:pPr>
            <w:r>
              <w:rPr>
                <w:rFonts w:hint="eastAsia" w:ascii="Times New Roman" w:hAnsi="Times New Roman" w:eastAsia="宋体" w:cs="Times New Roman"/>
                <w:color w:val="000000"/>
                <w:kern w:val="0"/>
                <w:sz w:val="24"/>
                <w:szCs w:val="24"/>
                <w:highlight w:val="none"/>
                <w:lang w:val="en-US" w:eastAsia="zh-CN" w:bidi="ar-SA"/>
              </w:rPr>
              <w:t>2、规划名称：《闽侯县国土空间总体规划（2021—2035年）》</w:t>
            </w:r>
          </w:p>
          <w:p w14:paraId="7E3173E9">
            <w:pPr>
              <w:autoSpaceDE w:val="0"/>
              <w:autoSpaceDN w:val="0"/>
              <w:adjustRightInd w:val="0"/>
              <w:snapToGrid w:val="0"/>
              <w:spacing w:line="360" w:lineRule="auto"/>
              <w:rPr>
                <w:rFonts w:hint="eastAsia" w:ascii="Times New Roman" w:hAnsi="Times New Roman" w:eastAsia="宋体" w:cs="Times New Roman"/>
                <w:color w:val="000000"/>
                <w:kern w:val="0"/>
                <w:sz w:val="24"/>
                <w:szCs w:val="24"/>
                <w:highlight w:val="none"/>
                <w:lang w:val="en-US" w:eastAsia="zh-CN" w:bidi="ar-SA"/>
              </w:rPr>
            </w:pPr>
            <w:r>
              <w:rPr>
                <w:rFonts w:hint="eastAsia" w:ascii="Times New Roman" w:hAnsi="Times New Roman" w:eastAsia="宋体" w:cs="Times New Roman"/>
                <w:color w:val="000000"/>
                <w:kern w:val="0"/>
                <w:sz w:val="24"/>
                <w:szCs w:val="24"/>
                <w:highlight w:val="none"/>
                <w:lang w:val="en-US" w:eastAsia="zh-CN" w:bidi="ar-SA"/>
              </w:rPr>
              <w:t>审批机关：闽侯县自然资源和规划局</w:t>
            </w:r>
          </w:p>
          <w:p w14:paraId="7A48E3BA">
            <w:pPr>
              <w:autoSpaceDE w:val="0"/>
              <w:autoSpaceDN w:val="0"/>
              <w:adjustRightInd w:val="0"/>
              <w:snapToGrid w:val="0"/>
              <w:spacing w:line="360" w:lineRule="auto"/>
              <w:rPr>
                <w:rFonts w:hint="eastAsia"/>
                <w:color w:val="0000FF"/>
                <w:sz w:val="24"/>
                <w:szCs w:val="32"/>
                <w:lang w:val="en-US" w:eastAsia="zh-CN"/>
              </w:rPr>
            </w:pPr>
            <w:r>
              <w:rPr>
                <w:rFonts w:hint="eastAsia" w:ascii="Times New Roman" w:hAnsi="Times New Roman" w:eastAsia="宋体" w:cs="Times New Roman"/>
                <w:color w:val="000000"/>
                <w:kern w:val="0"/>
                <w:sz w:val="24"/>
                <w:szCs w:val="24"/>
                <w:highlight w:val="none"/>
                <w:lang w:val="en-US" w:eastAsia="zh-CN" w:bidi="ar-SA"/>
              </w:rPr>
              <w:t>审批文件名称及文号：侯自然综〔2022〕397号</w:t>
            </w:r>
          </w:p>
        </w:tc>
      </w:tr>
      <w:tr w14:paraId="0967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997" w:type="dxa"/>
            <w:noWrap w:val="0"/>
            <w:vAlign w:val="center"/>
          </w:tcPr>
          <w:p w14:paraId="047D845E">
            <w:pPr>
              <w:adjustRightInd w:val="0"/>
              <w:snapToGrid w:val="0"/>
              <w:jc w:val="center"/>
              <w:rPr>
                <w:sz w:val="24"/>
              </w:rPr>
            </w:pPr>
            <w:r>
              <w:rPr>
                <w:sz w:val="24"/>
              </w:rPr>
              <w:t>规划环境影响</w:t>
            </w:r>
          </w:p>
          <w:p w14:paraId="7602A925">
            <w:pPr>
              <w:adjustRightInd w:val="0"/>
              <w:snapToGrid w:val="0"/>
              <w:jc w:val="center"/>
              <w:rPr>
                <w:kern w:val="0"/>
                <w:sz w:val="24"/>
              </w:rPr>
            </w:pPr>
            <w:r>
              <w:rPr>
                <w:sz w:val="24"/>
              </w:rPr>
              <w:t>评价情况</w:t>
            </w:r>
          </w:p>
        </w:tc>
        <w:tc>
          <w:tcPr>
            <w:tcW w:w="7868" w:type="dxa"/>
            <w:gridSpan w:val="3"/>
            <w:noWrap w:val="0"/>
            <w:vAlign w:val="center"/>
          </w:tcPr>
          <w:p w14:paraId="771C0A9B">
            <w:pPr>
              <w:autoSpaceDE w:val="0"/>
              <w:autoSpaceDN w:val="0"/>
              <w:adjustRightInd w:val="0"/>
              <w:snapToGrid w:val="0"/>
              <w:jc w:val="center"/>
              <w:rPr>
                <w:kern w:val="0"/>
                <w:sz w:val="24"/>
              </w:rPr>
            </w:pPr>
            <w:r>
              <w:rPr>
                <w:kern w:val="0"/>
                <w:sz w:val="24"/>
              </w:rPr>
              <w:t>无</w:t>
            </w:r>
          </w:p>
        </w:tc>
      </w:tr>
      <w:tr w14:paraId="0CFA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997" w:type="dxa"/>
            <w:noWrap w:val="0"/>
            <w:vAlign w:val="center"/>
          </w:tcPr>
          <w:p w14:paraId="25B0DA95">
            <w:pPr>
              <w:autoSpaceDE w:val="0"/>
              <w:autoSpaceDN w:val="0"/>
              <w:adjustRightInd w:val="0"/>
              <w:snapToGrid w:val="0"/>
              <w:jc w:val="center"/>
              <w:rPr>
                <w:kern w:val="0"/>
                <w:sz w:val="24"/>
              </w:rPr>
            </w:pPr>
            <w:r>
              <w:rPr>
                <w:kern w:val="0"/>
                <w:sz w:val="24"/>
              </w:rPr>
              <w:t>规划及规划环境</w:t>
            </w:r>
          </w:p>
          <w:p w14:paraId="0229C031">
            <w:pPr>
              <w:autoSpaceDE w:val="0"/>
              <w:autoSpaceDN w:val="0"/>
              <w:adjustRightInd w:val="0"/>
              <w:snapToGrid w:val="0"/>
              <w:jc w:val="center"/>
              <w:rPr>
                <w:kern w:val="0"/>
                <w:sz w:val="24"/>
              </w:rPr>
            </w:pPr>
            <w:r>
              <w:rPr>
                <w:kern w:val="0"/>
                <w:sz w:val="24"/>
              </w:rPr>
              <w:t>影响评价符合性分析</w:t>
            </w:r>
          </w:p>
        </w:tc>
        <w:tc>
          <w:tcPr>
            <w:tcW w:w="7868" w:type="dxa"/>
            <w:gridSpan w:val="3"/>
            <w:noWrap w:val="0"/>
            <w:vAlign w:val="center"/>
          </w:tcPr>
          <w:p w14:paraId="32BD366E">
            <w:pPr>
              <w:spacing w:line="360" w:lineRule="auto"/>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lang w:val="en-US" w:eastAsia="zh-CN"/>
              </w:rPr>
              <w:t>1规划及规划环评符合性分析</w:t>
            </w:r>
          </w:p>
          <w:p w14:paraId="661F1779">
            <w:pPr>
              <w:spacing w:line="360" w:lineRule="auto"/>
              <w:rPr>
                <w:rFonts w:hint="eastAsia"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1.1</w:t>
            </w:r>
            <w:r>
              <w:rPr>
                <w:rFonts w:hint="eastAsia" w:ascii="Times New Roman" w:hAnsi="Times New Roman" w:eastAsia="宋体" w:cs="Times New Roman"/>
                <w:b/>
                <w:bCs/>
                <w:color w:val="auto"/>
                <w:sz w:val="24"/>
                <w:lang w:val="en-US" w:eastAsia="zh-CN"/>
              </w:rPr>
              <w:t>与《</w:t>
            </w:r>
            <w:r>
              <w:rPr>
                <w:rFonts w:ascii="Times New Roman" w:hAnsi="Times New Roman" w:eastAsia="宋体" w:cs="Times New Roman"/>
                <w:b/>
                <w:bCs/>
                <w:color w:val="auto"/>
                <w:kern w:val="2"/>
                <w:sz w:val="24"/>
                <w:szCs w:val="24"/>
                <w:lang w:val="en-US" w:eastAsia="zh-CN" w:bidi="ar-SA"/>
              </w:rPr>
              <w:t>青口汽车城控制性详细规划（QK01-F、G、H、I管理单元）</w:t>
            </w:r>
            <w:r>
              <w:rPr>
                <w:rFonts w:hint="eastAsia" w:ascii="Times New Roman" w:hAnsi="Times New Roman" w:eastAsia="宋体" w:cs="Times New Roman"/>
                <w:b/>
                <w:bCs/>
                <w:color w:val="auto"/>
                <w:sz w:val="24"/>
                <w:lang w:val="en-US" w:eastAsia="zh-CN"/>
              </w:rPr>
              <w:t>》符合性分析</w:t>
            </w:r>
          </w:p>
          <w:p w14:paraId="48BCA1B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一、规划范围</w:t>
            </w:r>
          </w:p>
          <w:p w14:paraId="587F823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本次规划范围为北至乌龙江，西至泮洋村，南至原S203兰圃互通，东至大顶山。</w:t>
            </w:r>
          </w:p>
          <w:p w14:paraId="5BFA4D9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二、人口与用地规模</w:t>
            </w:r>
          </w:p>
          <w:p w14:paraId="526E9F2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规划总面积338.07公顷，其中建设用地330.24公顷；规划常住人口3.35万人（含保留人口0.39万人），预测就业人口0.93万人。</w:t>
            </w:r>
          </w:p>
          <w:p w14:paraId="5C2F802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三、功能定位</w:t>
            </w:r>
          </w:p>
          <w:p w14:paraId="503CC3C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结合青口汽车城整体建设目标，本区功能定位为：生态优越的山水城市组团，城市综合功能齐全、产城融合示范的汽车城综合片区、青口汽车城服务及生活配套核心区域，形成以与汽车相关的生产性服务业为主，生态休闲、生活居住、公共服务配套为辅的复合型功能区，闽侯县综合生态科创新城重点片区，中国东南部高端产业圈。</w:t>
            </w:r>
          </w:p>
          <w:p w14:paraId="34733F9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四、用地布局内容</w:t>
            </w:r>
          </w:p>
          <w:p w14:paraId="2026510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规划充分利用环山拥江的自然环境优势，根据规划区的功能定位以及现状用地情况，对可开发用地的土地开发价值、开发诱导因素进行分析、评估，确定用地布局方案。沿江形成两江生态湾区，以祥谦地铁站为中心打造青口汽车城金融集聚区，周围布局国际缤纷商业区、人才承载空间、居民生活宜居区、文化活动中心等产城融合配套。</w:t>
            </w:r>
          </w:p>
          <w:p w14:paraId="0A9297E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五、道路交通</w:t>
            </w:r>
          </w:p>
          <w:p w14:paraId="3648646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（一）片区路网由快速路、主干路、次干路和支路组成</w:t>
            </w:r>
          </w:p>
          <w:p w14:paraId="68EC712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1.快速路</w:t>
            </w:r>
          </w:p>
          <w:p w14:paraId="723F9E87">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快速路为峡东路，由片区东侧南北向通过。</w:t>
            </w:r>
          </w:p>
          <w:p w14:paraId="58E190A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2.主干路</w:t>
            </w:r>
          </w:p>
          <w:p w14:paraId="4F5E695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形成“两横两纵”主干路系统。“两横”：滨江大道、原S203；“两纵”：龙凤路、现状G324。</w:t>
            </w:r>
          </w:p>
          <w:p w14:paraId="49991D04">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主干路红线控制宽度36.0米、40.0米、50.0米，断面形式两幅路或三幅路。</w:t>
            </w:r>
          </w:p>
          <w:p w14:paraId="1535B69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3.配套路网</w:t>
            </w:r>
          </w:p>
          <w:p w14:paraId="372F8F57">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次干路作为主干路的补充，均衡分布于主干路间。红线宽度为26.0米、30.0米，断面形式单幅路。</w:t>
            </w:r>
          </w:p>
          <w:p w14:paraId="62328E2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支路作为路网的“微循环”系统，应保证一定的密度。红线宽度9.0-20.0米，断面形式单幅路。</w:t>
            </w:r>
          </w:p>
          <w:p w14:paraId="5FC9520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（二）轨道交通</w:t>
            </w:r>
          </w:p>
          <w:p w14:paraId="6052A18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滨海新城快线自规划区北侧东西向穿越，设祥谦站（轨道换乘枢纽）。</w:t>
            </w:r>
          </w:p>
          <w:p w14:paraId="53BAA9C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市域轨道S1线（福州南站至福清）为市域骨干线，由祥谦站引出，经青口通往福清城区，作为远期城市空间东进、南下的市域拓展线路。</w:t>
            </w:r>
          </w:p>
          <w:p w14:paraId="171EA64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六、空间景观管控</w:t>
            </w:r>
          </w:p>
          <w:p w14:paraId="5E0587F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基于片区生态山水环境本底，沿淘江与滨海大道等重要城市界面，打造城市产业、生活景观带和节点空间。</w:t>
            </w:r>
          </w:p>
          <w:p w14:paraId="4D088F8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七、规模指标</w:t>
            </w:r>
          </w:p>
          <w:p w14:paraId="69EB8FE4">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本片区可开发用地290.58公顷，其中经营性用地86.41公顷，包括商业服务业用地14.60公顷，总建筑面积约44.05万平方米，平均容积率3.02；居住用地45.28公顷，总建筑面积约116.92万平方米，平均容积率2.58；工矿及仓储用地26.53公顷，总建筑面积约59.75万平方米，平均容积率2.25。</w:t>
            </w:r>
          </w:p>
          <w:p w14:paraId="15AF02E1">
            <w:pPr>
              <w:spacing w:line="360" w:lineRule="auto"/>
              <w:ind w:firstLine="480" w:firstLineChars="200"/>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color w:val="000000"/>
                <w:sz w:val="24"/>
                <w:szCs w:val="24"/>
                <w:lang w:val="en-US" w:eastAsia="zh-CN"/>
              </w:rPr>
              <w:t>本项目</w:t>
            </w:r>
            <w:r>
              <w:rPr>
                <w:rFonts w:hint="eastAsia" w:ascii="Times New Roman" w:hAnsi="Times New Roman" w:eastAsia="宋体" w:cs="Times New Roman"/>
                <w:color w:val="000000"/>
                <w:sz w:val="24"/>
                <w:szCs w:val="24"/>
                <w:lang w:val="en-US" w:eastAsia="zh-CN"/>
              </w:rPr>
              <w:t>针对现有院区进行改扩建，</w:t>
            </w:r>
            <w:r>
              <w:rPr>
                <w:rFonts w:hint="eastAsia"/>
                <w:sz w:val="24"/>
                <w:lang w:val="en-US" w:eastAsia="zh-CN"/>
              </w:rPr>
              <w:t>属于规划范围内的医疗卫生</w:t>
            </w:r>
            <w:r>
              <w:rPr>
                <w:rFonts w:hint="eastAsia"/>
                <w:sz w:val="24"/>
              </w:rPr>
              <w:t>用地。</w:t>
            </w:r>
            <w:r>
              <w:rPr>
                <w:rFonts w:hint="eastAsia"/>
                <w:sz w:val="24"/>
                <w:lang w:val="en-US" w:eastAsia="zh-CN"/>
              </w:rPr>
              <w:t>符合规划，详见附图6。</w:t>
            </w:r>
          </w:p>
          <w:p w14:paraId="78553CF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000000"/>
                <w:sz w:val="24"/>
                <w:szCs w:val="24"/>
                <w:lang w:val="en-US" w:eastAsia="zh-CN"/>
              </w:rPr>
            </w:pPr>
            <w:r>
              <w:rPr>
                <w:rFonts w:hint="eastAsia" w:ascii="Times New Roman" w:hAnsi="Times New Roman" w:eastAsia="宋体" w:cs="Times New Roman"/>
                <w:b/>
                <w:bCs/>
                <w:color w:val="000000"/>
                <w:sz w:val="24"/>
                <w:szCs w:val="24"/>
                <w:lang w:val="en-US" w:eastAsia="zh-CN"/>
              </w:rPr>
              <w:t>1.2与</w:t>
            </w:r>
            <w:r>
              <w:rPr>
                <w:rFonts w:hint="default" w:ascii="Times New Roman" w:hAnsi="Times New Roman" w:eastAsia="宋体" w:cs="Times New Roman"/>
                <w:b/>
                <w:bCs/>
                <w:color w:val="000000"/>
                <w:sz w:val="24"/>
                <w:szCs w:val="24"/>
              </w:rPr>
              <w:t>《闽侯县国土空间总体规划（2021</w:t>
            </w:r>
            <w:r>
              <w:rPr>
                <w:rFonts w:hint="eastAsia" w:ascii="Times New Roman" w:hAnsi="Times New Roman" w:eastAsia="宋体" w:cs="Times New Roman"/>
                <w:b/>
                <w:bCs/>
                <w:color w:val="000000"/>
                <w:sz w:val="24"/>
                <w:szCs w:val="24"/>
                <w:lang w:eastAsia="zh-CN"/>
              </w:rPr>
              <w:t>—</w:t>
            </w:r>
            <w:r>
              <w:rPr>
                <w:rFonts w:hint="default" w:ascii="Times New Roman" w:hAnsi="Times New Roman" w:eastAsia="宋体" w:cs="Times New Roman"/>
                <w:b/>
                <w:bCs/>
                <w:color w:val="000000"/>
                <w:sz w:val="24"/>
                <w:szCs w:val="24"/>
              </w:rPr>
              <w:t>2035年</w:t>
            </w:r>
            <w:r>
              <w:rPr>
                <w:rFonts w:hint="eastAsia" w:ascii="Times New Roman" w:hAnsi="Times New Roman" w:eastAsia="宋体" w:cs="Times New Roman"/>
                <w:b/>
                <w:bCs/>
                <w:color w:val="000000"/>
                <w:sz w:val="24"/>
                <w:szCs w:val="24"/>
                <w:lang w:eastAsia="zh-CN"/>
              </w:rPr>
              <w:t>）</w:t>
            </w:r>
            <w:r>
              <w:rPr>
                <w:rFonts w:hint="default" w:ascii="Times New Roman" w:hAnsi="Times New Roman" w:eastAsia="宋体" w:cs="Times New Roman"/>
                <w:b/>
                <w:bCs/>
                <w:color w:val="000000"/>
                <w:sz w:val="24"/>
                <w:szCs w:val="24"/>
              </w:rPr>
              <w:t>》</w:t>
            </w:r>
            <w:r>
              <w:rPr>
                <w:rFonts w:hint="eastAsia" w:ascii="Times New Roman" w:hAnsi="Times New Roman" w:eastAsia="宋体" w:cs="Times New Roman"/>
                <w:b/>
                <w:bCs/>
                <w:color w:val="000000"/>
                <w:sz w:val="24"/>
                <w:szCs w:val="24"/>
                <w:lang w:val="en-US" w:eastAsia="zh-CN"/>
              </w:rPr>
              <w:t>符合性分析</w:t>
            </w:r>
          </w:p>
          <w:p w14:paraId="0F900E4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《闽侯县国土空间总体规划（2021</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2035年）》简介：</w:t>
            </w:r>
          </w:p>
          <w:p w14:paraId="24F17A3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（1）国土空间总体格局：构建</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两轴、两区、三心</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的国土空间总体格局，两轴：沿江发展轴、山区发展轴，两区：滨海新城区、特色山区，三心：科学城副中心、荆甘竹新城县域中心，雪峰山城中心。</w:t>
            </w:r>
          </w:p>
          <w:p w14:paraId="0A8089F7">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（2）国土空间三条控制线划定：</w:t>
            </w:r>
          </w:p>
          <w:p w14:paraId="7BD5237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严格划定永久基本农田：闽侯县划定永久基本农田保护目标135平方公里。永久基本农田一经划定，必须严格落实《基本农田保护条例》和《福建省基本农田保护条例》，严控建设占用永久基本农田。科学划定生态保护红线</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闽侯县划定生态保护红线目标420平方公里。实行最严格的生态保护红线管控制度，按照《生态保护红线管理办法》要求执行，除国家重大战略项目外，仅允许对生态功能不破坏的有限人为活动。</w:t>
            </w:r>
          </w:p>
          <w:p w14:paraId="6162D40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合理确定城镇开发边界：闽侯县划定城镇开发边界145平方公里城镇开发边界一经划定，原则上不得调整，因国家重大战略调整、国家重大项目建设、行政区划调整等确需调整的、按国土空间规划修改程序进行。</w:t>
            </w:r>
          </w:p>
          <w:p w14:paraId="565759E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kern w:val="0"/>
                <w:sz w:val="24"/>
              </w:rPr>
            </w:pPr>
            <w:r>
              <w:rPr>
                <w:rFonts w:hint="default" w:ascii="Times New Roman" w:hAnsi="Times New Roman" w:eastAsia="宋体" w:cs="Times New Roman"/>
                <w:color w:val="000000"/>
                <w:sz w:val="24"/>
                <w:szCs w:val="24"/>
                <w:lang w:val="en-US" w:eastAsia="zh-CN"/>
              </w:rPr>
              <w:t>本项目</w:t>
            </w:r>
            <w:r>
              <w:rPr>
                <w:rFonts w:hint="eastAsia" w:ascii="Times New Roman" w:hAnsi="Times New Roman" w:eastAsia="宋体" w:cs="Times New Roman"/>
                <w:color w:val="000000"/>
                <w:sz w:val="24"/>
                <w:szCs w:val="24"/>
                <w:lang w:val="en-US" w:eastAsia="zh-CN"/>
              </w:rPr>
              <w:t>针对现有院区进行改扩建，</w:t>
            </w:r>
            <w:r>
              <w:rPr>
                <w:rFonts w:hint="default" w:ascii="Times New Roman" w:hAnsi="Times New Roman" w:eastAsia="宋体" w:cs="Times New Roman"/>
                <w:color w:val="000000"/>
                <w:sz w:val="24"/>
                <w:szCs w:val="24"/>
                <w:lang w:val="en-US" w:eastAsia="zh-CN"/>
              </w:rPr>
              <w:t>地块的用地性质为</w:t>
            </w:r>
            <w:r>
              <w:rPr>
                <w:rFonts w:hint="eastAsia"/>
                <w:sz w:val="24"/>
                <w:lang w:val="en-US" w:eastAsia="zh-CN"/>
              </w:rPr>
              <w:t>医疗卫生</w:t>
            </w:r>
            <w:r>
              <w:rPr>
                <w:rFonts w:hint="eastAsia"/>
                <w:sz w:val="24"/>
              </w:rPr>
              <w:t>用地</w:t>
            </w:r>
            <w:r>
              <w:rPr>
                <w:rFonts w:hint="default" w:ascii="Times New Roman" w:hAnsi="Times New Roman" w:eastAsia="宋体" w:cs="Times New Roman"/>
                <w:color w:val="000000"/>
                <w:sz w:val="24"/>
                <w:szCs w:val="24"/>
                <w:lang w:val="en-US" w:eastAsia="zh-CN"/>
              </w:rPr>
              <w:t>。地块不涉及永久基本农田，不涉及闽侯县划定的生态保护红线区域，且满足</w:t>
            </w:r>
            <w:r>
              <w:rPr>
                <w:rFonts w:hint="eastAsia" w:ascii="Times New Roman" w:hAnsi="Times New Roman" w:eastAsia="宋体"/>
                <w:color w:val="000000"/>
                <w:sz w:val="24"/>
                <w:szCs w:val="24"/>
                <w:lang w:val="en-US" w:eastAsia="zh-CN"/>
              </w:rPr>
              <w:t>福州市生态环境分区管控要求</w:t>
            </w:r>
            <w:r>
              <w:rPr>
                <w:rFonts w:hint="default" w:ascii="Times New Roman" w:hAnsi="Times New Roman" w:eastAsia="宋体" w:cs="Times New Roman"/>
                <w:color w:val="000000"/>
                <w:sz w:val="24"/>
                <w:szCs w:val="24"/>
                <w:lang w:val="en-US" w:eastAsia="zh-CN"/>
              </w:rPr>
              <w:t>，项目所在位置属于</w:t>
            </w:r>
            <w:r>
              <w:rPr>
                <w:rFonts w:hint="eastAsia"/>
                <w:sz w:val="24"/>
                <w:lang w:val="en-US" w:eastAsia="zh-CN"/>
              </w:rPr>
              <w:t>医疗卫生</w:t>
            </w:r>
            <w:r>
              <w:rPr>
                <w:rFonts w:hint="eastAsia"/>
                <w:sz w:val="24"/>
              </w:rPr>
              <w:t>用地</w:t>
            </w:r>
            <w:r>
              <w:rPr>
                <w:rFonts w:hint="eastAsia" w:ascii="Times New Roman" w:hAnsi="Times New Roman" w:eastAsia="宋体" w:cs="Times New Roman"/>
                <w:color w:val="000000"/>
                <w:sz w:val="24"/>
                <w:szCs w:val="24"/>
                <w:lang w:val="en-US" w:eastAsia="zh-CN"/>
              </w:rPr>
              <w:t>，</w:t>
            </w:r>
            <w:r>
              <w:rPr>
                <w:rFonts w:hint="eastAsia" w:ascii="Times New Roman" w:hAnsi="Times New Roman" w:eastAsia="宋体" w:cs="Times New Roman"/>
                <w:sz w:val="24"/>
                <w:lang w:val="en-US" w:eastAsia="zh-CN"/>
              </w:rPr>
              <w:t>详见附件6。</w:t>
            </w:r>
            <w:r>
              <w:rPr>
                <w:rFonts w:hint="default" w:ascii="Times New Roman" w:hAnsi="Times New Roman" w:eastAsia="宋体" w:cs="Times New Roman"/>
                <w:color w:val="000000"/>
                <w:sz w:val="24"/>
                <w:szCs w:val="24"/>
                <w:lang w:val="en-US" w:eastAsia="zh-CN"/>
              </w:rPr>
              <w:t>因此本项目的建设符合</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闽侯县国土空间总体规划（2021-2035年</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的要求。</w:t>
            </w:r>
          </w:p>
        </w:tc>
      </w:tr>
      <w:tr w14:paraId="77B2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97" w:type="dxa"/>
            <w:noWrap w:val="0"/>
            <w:vAlign w:val="center"/>
          </w:tcPr>
          <w:p w14:paraId="0784CDE1">
            <w:pPr>
              <w:autoSpaceDE w:val="0"/>
              <w:autoSpaceDN w:val="0"/>
              <w:adjustRightInd w:val="0"/>
              <w:snapToGrid w:val="0"/>
              <w:jc w:val="center"/>
              <w:rPr>
                <w:color w:val="auto"/>
                <w:kern w:val="0"/>
                <w:sz w:val="24"/>
              </w:rPr>
            </w:pPr>
            <w:r>
              <w:rPr>
                <w:color w:val="auto"/>
                <w:kern w:val="0"/>
                <w:sz w:val="24"/>
              </w:rPr>
              <w:t>其他符合性分析</w:t>
            </w:r>
          </w:p>
        </w:tc>
        <w:tc>
          <w:tcPr>
            <w:tcW w:w="7868" w:type="dxa"/>
            <w:gridSpan w:val="3"/>
            <w:noWrap w:val="0"/>
            <w:vAlign w:val="center"/>
          </w:tcPr>
          <w:p w14:paraId="310BA975">
            <w:pPr>
              <w:pStyle w:val="26"/>
              <w:spacing w:before="120" w:beforeLines="50" w:after="0"/>
              <w:ind w:left="0" w:leftChars="0" w:firstLine="482"/>
              <w:rPr>
                <w:b/>
                <w:bCs/>
                <w:color w:val="auto"/>
                <w:szCs w:val="24"/>
              </w:rPr>
            </w:pPr>
            <w:r>
              <w:rPr>
                <w:rFonts w:hint="eastAsia"/>
                <w:b/>
                <w:bCs/>
                <w:color w:val="auto"/>
                <w:szCs w:val="24"/>
                <w:lang w:val="en-US" w:eastAsia="zh-CN"/>
              </w:rPr>
              <w:t>2</w:t>
            </w:r>
            <w:r>
              <w:rPr>
                <w:rFonts w:hint="eastAsia"/>
                <w:b/>
                <w:bCs/>
                <w:color w:val="auto"/>
                <w:szCs w:val="24"/>
              </w:rPr>
              <w:t>、</w:t>
            </w:r>
            <w:r>
              <w:rPr>
                <w:b/>
                <w:bCs/>
                <w:color w:val="auto"/>
                <w:szCs w:val="24"/>
              </w:rPr>
              <w:t>产业政策符合性分析</w:t>
            </w:r>
          </w:p>
          <w:p w14:paraId="6F11CD8A">
            <w:pPr>
              <w:keepNext w:val="0"/>
              <w:keepLines w:val="0"/>
              <w:widowControl/>
              <w:suppressLineNumbers w:val="0"/>
              <w:spacing w:line="360" w:lineRule="auto"/>
              <w:ind w:firstLine="480" w:firstLineChars="200"/>
              <w:jc w:val="left"/>
              <w:rPr>
                <w:rFonts w:hint="eastAsia"/>
                <w:color w:val="auto"/>
                <w:sz w:val="24"/>
              </w:rPr>
            </w:pPr>
            <w:r>
              <w:rPr>
                <w:rFonts w:hint="eastAsia" w:ascii="Times New Roman" w:hAnsi="Times New Roman" w:eastAsia="宋体" w:cs="Times New Roman"/>
                <w:color w:val="auto"/>
                <w:sz w:val="24"/>
                <w:lang w:val="en-US" w:eastAsia="zh-CN"/>
              </w:rPr>
              <w:t>本项目为医院建设项目，</w:t>
            </w:r>
            <w:r>
              <w:rPr>
                <w:rFonts w:hint="eastAsia" w:ascii="Times New Roman" w:hAnsi="Times New Roman" w:eastAsia="宋体" w:cs="Times New Roman"/>
                <w:sz w:val="24"/>
                <w:lang w:eastAsia="zh-CN"/>
              </w:rPr>
              <w:t>根据《产业结构调整指导目录（2024年本）》</w:t>
            </w:r>
            <w:r>
              <w:rPr>
                <w:rFonts w:hint="eastAsia" w:ascii="宋体" w:hAnsi="宋体" w:cs="宋体"/>
                <w:sz w:val="24"/>
              </w:rPr>
              <w:t>本</w:t>
            </w:r>
            <w:r>
              <w:rPr>
                <w:sz w:val="24"/>
              </w:rPr>
              <w:t>项目属</w:t>
            </w:r>
            <w:r>
              <w:rPr>
                <w:color w:val="auto"/>
                <w:sz w:val="24"/>
              </w:rPr>
              <w:t>于鼓励类中“第三十七条卫生健康中第1</w:t>
            </w:r>
            <w:r>
              <w:rPr>
                <w:rFonts w:hint="eastAsia"/>
                <w:color w:val="auto"/>
                <w:sz w:val="24"/>
              </w:rPr>
              <w:t>条</w:t>
            </w:r>
            <w:r>
              <w:rPr>
                <w:color w:val="auto"/>
                <w:sz w:val="24"/>
              </w:rPr>
              <w:t>医疗服务设施建设”。因此，项目符合相关国家及地方产业政策要求。</w:t>
            </w:r>
            <w:r>
              <w:rPr>
                <w:rFonts w:hint="eastAsia"/>
                <w:color w:val="auto"/>
                <w:sz w:val="24"/>
              </w:rPr>
              <w:t>检索《限制用地项目目录》（</w:t>
            </w:r>
            <w:r>
              <w:rPr>
                <w:color w:val="auto"/>
                <w:sz w:val="24"/>
              </w:rPr>
              <w:t>2012</w:t>
            </w:r>
            <w:r>
              <w:rPr>
                <w:rFonts w:hint="eastAsia"/>
                <w:color w:val="auto"/>
                <w:sz w:val="24"/>
              </w:rPr>
              <w:t>年本）和《禁止用地项目目录》（</w:t>
            </w:r>
            <w:r>
              <w:rPr>
                <w:color w:val="auto"/>
                <w:sz w:val="24"/>
              </w:rPr>
              <w:t>2012</w:t>
            </w:r>
            <w:r>
              <w:rPr>
                <w:rFonts w:hint="eastAsia"/>
                <w:color w:val="auto"/>
                <w:sz w:val="24"/>
              </w:rPr>
              <w:t>年本），本项目不属于以上目录中的项目，其建设内容已获得</w:t>
            </w:r>
            <w:r>
              <w:rPr>
                <w:rFonts w:hint="eastAsia"/>
                <w:color w:val="auto"/>
                <w:sz w:val="24"/>
                <w:lang w:eastAsia="zh-CN"/>
              </w:rPr>
              <w:t>闽侯县</w:t>
            </w:r>
            <w:r>
              <w:rPr>
                <w:rFonts w:hint="eastAsia"/>
                <w:color w:val="auto"/>
                <w:sz w:val="24"/>
                <w:lang w:val="en-US" w:eastAsia="zh-CN"/>
              </w:rPr>
              <w:t>发展和改革</w:t>
            </w:r>
            <w:r>
              <w:rPr>
                <w:rFonts w:hint="eastAsia"/>
                <w:color w:val="auto"/>
                <w:sz w:val="24"/>
                <w:lang w:eastAsia="zh-CN"/>
              </w:rPr>
              <w:t>局</w:t>
            </w:r>
            <w:r>
              <w:rPr>
                <w:rFonts w:hint="eastAsia"/>
                <w:color w:val="auto"/>
                <w:sz w:val="24"/>
              </w:rPr>
              <w:t>《闽侯县发展和改革局关于闽侯县人民医院祥谦分院项目项目建议书暨可行性研究报告的复函》（侯发改审批(2024)99号）(详见</w:t>
            </w:r>
            <w:r>
              <w:rPr>
                <w:rFonts w:hint="eastAsia"/>
                <w:color w:val="auto"/>
                <w:sz w:val="24"/>
                <w:highlight w:val="none"/>
              </w:rPr>
              <w:t>附件</w:t>
            </w:r>
            <w:r>
              <w:rPr>
                <w:rFonts w:hint="eastAsia"/>
                <w:color w:val="auto"/>
                <w:sz w:val="24"/>
                <w:highlight w:val="none"/>
                <w:lang w:val="en-US" w:eastAsia="zh-CN"/>
              </w:rPr>
              <w:t>3</w:t>
            </w:r>
            <w:r>
              <w:rPr>
                <w:rFonts w:hint="eastAsia"/>
                <w:color w:val="auto"/>
                <w:sz w:val="24"/>
                <w:highlight w:val="none"/>
              </w:rPr>
              <w:t>)</w:t>
            </w:r>
            <w:r>
              <w:rPr>
                <w:rFonts w:hint="eastAsia"/>
                <w:color w:val="auto"/>
                <w:sz w:val="24"/>
              </w:rPr>
              <w:t>。可见，本项目符合国家及地方产业政策要求。</w:t>
            </w:r>
          </w:p>
          <w:p w14:paraId="78F1DEA8">
            <w:pPr>
              <w:pStyle w:val="27"/>
              <w:keepNext w:val="0"/>
              <w:keepLines w:val="0"/>
              <w:pageBreakBefore w:val="0"/>
              <w:widowControl w:val="0"/>
              <w:tabs>
                <w:tab w:val="left" w:pos="4347"/>
              </w:tabs>
              <w:kinsoku/>
              <w:wordWrap/>
              <w:overflowPunct/>
              <w:topLinePunct w:val="0"/>
              <w:bidi w:val="0"/>
              <w:adjustRightInd w:val="0"/>
              <w:snapToGrid w:val="0"/>
              <w:spacing w:line="360" w:lineRule="auto"/>
              <w:ind w:firstLine="482" w:firstLineChars="200"/>
              <w:jc w:val="both"/>
              <w:textAlignment w:val="auto"/>
              <w:outlineLvl w:val="2"/>
              <w:rPr>
                <w:rFonts w:hint="default" w:ascii="Times New Roman" w:hAnsi="Times New Roman" w:cs="Times New Roman"/>
                <w:b/>
                <w:color w:val="auto"/>
                <w:sz w:val="24"/>
                <w:szCs w:val="24"/>
                <w:highlight w:val="none"/>
                <w:lang w:val="en-US" w:eastAsia="zh-CN"/>
              </w:rPr>
            </w:pPr>
            <w:r>
              <w:rPr>
                <w:rFonts w:hint="eastAsia" w:ascii="Times New Roman" w:hAnsi="Times New Roman" w:cs="Times New Roman"/>
                <w:b/>
                <w:color w:val="auto"/>
                <w:sz w:val="24"/>
                <w:szCs w:val="24"/>
                <w:highlight w:val="none"/>
                <w:lang w:val="en-US" w:eastAsia="zh-CN"/>
              </w:rPr>
              <w:t>3、土地利用规划符合性分析</w:t>
            </w:r>
          </w:p>
          <w:p w14:paraId="4AE61EA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color w:val="auto"/>
                <w:sz w:val="24"/>
              </w:rPr>
            </w:pPr>
            <w:r>
              <w:rPr>
                <w:rFonts w:hint="default" w:ascii="Times New Roman" w:hAnsi="Times New Roman" w:eastAsia="宋体" w:cs="Times New Roman"/>
                <w:color w:val="auto"/>
                <w:spacing w:val="0"/>
                <w:sz w:val="24"/>
                <w:szCs w:val="24"/>
                <w:highlight w:val="none"/>
                <w:lang w:val="en-US" w:eastAsia="zh-CN"/>
              </w:rPr>
              <w:t>根据</w:t>
            </w:r>
            <w:r>
              <w:rPr>
                <w:rFonts w:hint="eastAsia" w:ascii="Times New Roman" w:hAnsi="Times New Roman" w:eastAsia="宋体" w:cs="Times New Roman"/>
                <w:b w:val="0"/>
                <w:bCs w:val="0"/>
                <w:color w:val="auto"/>
                <w:sz w:val="24"/>
                <w:szCs w:val="24"/>
                <w:lang w:val="en-US" w:eastAsia="zh-CN"/>
              </w:rPr>
              <w:t>《</w:t>
            </w:r>
            <w:r>
              <w:rPr>
                <w:rFonts w:ascii="Times New Roman" w:hAnsi="Times New Roman" w:eastAsia="宋体" w:cs="Times New Roman"/>
                <w:color w:val="auto"/>
                <w:kern w:val="2"/>
                <w:sz w:val="24"/>
                <w:szCs w:val="24"/>
                <w:lang w:val="en-US" w:eastAsia="zh-CN" w:bidi="ar-SA"/>
              </w:rPr>
              <w:t>青口汽车城控制性详细规划（QK01-F、G、H、I管理单元）</w:t>
            </w:r>
            <w:r>
              <w:rPr>
                <w:rFonts w:hint="eastAsia" w:ascii="Times New Roman" w:hAnsi="Times New Roman" w:eastAsia="宋体" w:cs="Times New Roman"/>
                <w:color w:val="auto"/>
                <w:kern w:val="2"/>
                <w:sz w:val="24"/>
                <w:szCs w:val="24"/>
                <w:lang w:val="en-US" w:eastAsia="zh-CN" w:bidi="ar-SA"/>
              </w:rPr>
              <w:t>-土地利用规划图</w:t>
            </w:r>
            <w:r>
              <w:rPr>
                <w:rFonts w:hint="eastAsia"/>
                <w:color w:val="auto"/>
                <w:sz w:val="24"/>
              </w:rPr>
              <w:t>》，本</w:t>
            </w:r>
            <w:r>
              <w:rPr>
                <w:rFonts w:hint="eastAsia"/>
                <w:color w:val="auto"/>
                <w:sz w:val="24"/>
                <w:lang w:val="en-US" w:eastAsia="zh-CN"/>
              </w:rPr>
              <w:t>项目占</w:t>
            </w:r>
            <w:r>
              <w:rPr>
                <w:rFonts w:hint="eastAsia"/>
                <w:sz w:val="24"/>
                <w:lang w:val="en-US" w:eastAsia="zh-CN"/>
              </w:rPr>
              <w:t>地</w:t>
            </w:r>
            <w:r>
              <w:rPr>
                <w:rFonts w:hint="eastAsia"/>
                <w:sz w:val="24"/>
              </w:rPr>
              <w:t>为</w:t>
            </w:r>
            <w:r>
              <w:rPr>
                <w:rFonts w:hint="eastAsia"/>
                <w:sz w:val="24"/>
                <w:lang w:val="en-US" w:eastAsia="zh-CN"/>
              </w:rPr>
              <w:t>医疗卫生</w:t>
            </w:r>
            <w:r>
              <w:rPr>
                <w:rFonts w:hint="eastAsia"/>
                <w:sz w:val="24"/>
              </w:rPr>
              <w:t>用地。</w:t>
            </w:r>
            <w:r>
              <w:rPr>
                <w:rFonts w:hint="eastAsia" w:ascii="Times New Roman" w:hAnsi="Times New Roman" w:eastAsia="宋体" w:cs="Times New Roman"/>
                <w:b w:val="0"/>
                <w:bCs w:val="0"/>
                <w:color w:val="auto"/>
                <w:sz w:val="24"/>
                <w:szCs w:val="24"/>
                <w:lang w:val="en-US" w:eastAsia="zh-CN"/>
              </w:rPr>
              <w:t>详见附图7</w:t>
            </w:r>
            <w:r>
              <w:rPr>
                <w:rFonts w:hint="default" w:ascii="Times New Roman" w:hAnsi="Times New Roman" w:eastAsia="宋体" w:cs="Times New Roman"/>
                <w:color w:val="auto"/>
                <w:spacing w:val="0"/>
                <w:sz w:val="24"/>
                <w:szCs w:val="24"/>
                <w:highlight w:val="none"/>
                <w:lang w:val="en-US" w:eastAsia="zh-CN"/>
              </w:rPr>
              <w:t>；根据建设单位提供的</w:t>
            </w:r>
            <w:r>
              <w:rPr>
                <w:rFonts w:hint="eastAsia" w:ascii="Times New Roman" w:hAnsi="Times New Roman" w:eastAsia="宋体" w:cs="Times New Roman"/>
                <w:color w:val="auto"/>
                <w:spacing w:val="0"/>
                <w:sz w:val="24"/>
                <w:szCs w:val="24"/>
                <w:highlight w:val="none"/>
                <w:lang w:val="en-US" w:eastAsia="zh-CN"/>
              </w:rPr>
              <w:t>用地预审与选址意见书</w:t>
            </w:r>
            <w:r>
              <w:rPr>
                <w:rFonts w:hint="default" w:ascii="Times New Roman" w:hAnsi="Times New Roman" w:eastAsia="宋体" w:cs="Times New Roman"/>
                <w:color w:val="auto"/>
                <w:spacing w:val="0"/>
                <w:sz w:val="24"/>
                <w:szCs w:val="24"/>
                <w:highlight w:val="none"/>
                <w:lang w:val="en-US" w:eastAsia="zh-CN"/>
              </w:rPr>
              <w:t>(</w:t>
            </w:r>
            <w:r>
              <w:rPr>
                <w:rFonts w:hint="eastAsia" w:ascii="Times New Roman" w:hAnsi="Times New Roman" w:eastAsia="宋体" w:cs="Times New Roman"/>
                <w:color w:val="auto"/>
                <w:spacing w:val="0"/>
                <w:sz w:val="24"/>
                <w:szCs w:val="24"/>
                <w:highlight w:val="none"/>
                <w:lang w:val="en-US" w:eastAsia="zh-CN"/>
              </w:rPr>
              <w:t>用字第3501212024XS0072462号，详见附件6</w:t>
            </w:r>
            <w:r>
              <w:rPr>
                <w:rFonts w:hint="default" w:ascii="Times New Roman" w:hAnsi="Times New Roman" w:eastAsia="宋体" w:cs="Times New Roman"/>
                <w:color w:val="auto"/>
                <w:spacing w:val="0"/>
                <w:sz w:val="24"/>
                <w:szCs w:val="24"/>
                <w:highlight w:val="none"/>
                <w:lang w:val="en-US" w:eastAsia="zh-CN"/>
              </w:rPr>
              <w:t>)</w:t>
            </w:r>
            <w:r>
              <w:rPr>
                <w:rFonts w:hint="eastAsia" w:ascii="Times New Roman" w:hAnsi="Times New Roman" w:eastAsia="宋体" w:cs="Times New Roman"/>
                <w:color w:val="auto"/>
                <w:spacing w:val="0"/>
                <w:sz w:val="24"/>
                <w:szCs w:val="24"/>
                <w:highlight w:val="none"/>
                <w:lang w:val="en-US" w:eastAsia="zh-CN"/>
              </w:rPr>
              <w:t>可知，</w:t>
            </w:r>
            <w:r>
              <w:rPr>
                <w:rFonts w:hint="default" w:ascii="Times New Roman" w:hAnsi="Times New Roman" w:eastAsia="宋体" w:cs="Times New Roman"/>
                <w:color w:val="auto"/>
                <w:spacing w:val="0"/>
                <w:sz w:val="24"/>
                <w:szCs w:val="24"/>
                <w:highlight w:val="none"/>
                <w:lang w:val="en-US" w:eastAsia="zh-CN"/>
              </w:rPr>
              <w:t>项目用地分类为医院用地，</w:t>
            </w:r>
            <w:r>
              <w:rPr>
                <w:rFonts w:hint="eastAsia" w:ascii="Times New Roman" w:hAnsi="Times New Roman" w:eastAsia="宋体" w:cs="Times New Roman"/>
                <w:color w:val="auto"/>
                <w:spacing w:val="0"/>
                <w:sz w:val="24"/>
                <w:szCs w:val="24"/>
                <w:highlight w:val="none"/>
                <w:lang w:val="en-US" w:eastAsia="zh-CN"/>
              </w:rPr>
              <w:t>本项目为</w:t>
            </w:r>
            <w:r>
              <w:rPr>
                <w:rFonts w:hint="eastAsia" w:ascii="Times New Roman" w:hAnsi="Times New Roman" w:eastAsia="宋体" w:cs="Times New Roman"/>
                <w:color w:val="auto"/>
                <w:sz w:val="24"/>
                <w:lang w:val="en-US" w:eastAsia="zh-CN"/>
              </w:rPr>
              <w:t>医院建设项目</w:t>
            </w:r>
            <w:r>
              <w:rPr>
                <w:rFonts w:hint="default" w:ascii="Times New Roman" w:hAnsi="Times New Roman" w:eastAsia="宋体" w:cs="Times New Roman"/>
                <w:color w:val="auto"/>
                <w:spacing w:val="0"/>
                <w:sz w:val="24"/>
                <w:szCs w:val="24"/>
                <w:highlight w:val="none"/>
                <w:lang w:val="en-US" w:eastAsia="zh-CN"/>
              </w:rPr>
              <w:t>，因此，本次项目选址符合土地利用规划的要求</w:t>
            </w:r>
            <w:r>
              <w:rPr>
                <w:rFonts w:hint="eastAsia" w:ascii="Times New Roman" w:hAnsi="Times New Roman" w:eastAsia="宋体" w:cs="Times New Roman"/>
                <w:b w:val="0"/>
                <w:bCs w:val="0"/>
                <w:color w:val="auto"/>
                <w:sz w:val="24"/>
                <w:szCs w:val="24"/>
                <w:lang w:val="en-US" w:eastAsia="zh-CN"/>
              </w:rPr>
              <w:t>。</w:t>
            </w:r>
          </w:p>
          <w:p w14:paraId="14D42505">
            <w:pPr>
              <w:adjustRightInd w:val="0"/>
              <w:spacing w:line="360" w:lineRule="auto"/>
              <w:ind w:firstLine="482" w:firstLineChars="200"/>
              <w:contextualSpacing/>
              <w:rPr>
                <w:rFonts w:hint="eastAsia"/>
                <w:b/>
                <w:bCs/>
                <w:color w:val="auto"/>
                <w:kern w:val="0"/>
                <w:sz w:val="24"/>
              </w:rPr>
            </w:pPr>
            <w:r>
              <w:rPr>
                <w:rFonts w:hint="eastAsia"/>
                <w:b/>
                <w:bCs/>
                <w:color w:val="auto"/>
                <w:kern w:val="0"/>
                <w:sz w:val="24"/>
                <w:lang w:val="en-US" w:eastAsia="zh-CN"/>
              </w:rPr>
              <w:t>4</w:t>
            </w:r>
            <w:r>
              <w:rPr>
                <w:rFonts w:hint="eastAsia"/>
                <w:b/>
                <w:bCs/>
                <w:color w:val="auto"/>
                <w:kern w:val="0"/>
                <w:sz w:val="24"/>
              </w:rPr>
              <w:t>、与周边相容性分析</w:t>
            </w:r>
          </w:p>
          <w:p w14:paraId="5E39F684">
            <w:pPr>
              <w:adjustRightInd w:val="0"/>
              <w:spacing w:line="360" w:lineRule="auto"/>
              <w:ind w:firstLine="480" w:firstLineChars="200"/>
              <w:contextualSpacing/>
              <w:rPr>
                <w:rFonts w:hint="eastAsia"/>
                <w:color w:val="auto"/>
                <w:sz w:val="24"/>
              </w:rPr>
            </w:pPr>
            <w:r>
              <w:rPr>
                <w:rFonts w:ascii="Times New Roman" w:hAnsi="Times New Roman" w:eastAsia="宋体" w:cs="Times New Roman"/>
                <w:color w:val="auto"/>
                <w:sz w:val="24"/>
              </w:rPr>
              <w:t>本项目</w:t>
            </w:r>
            <w:r>
              <w:rPr>
                <w:rFonts w:hint="eastAsia" w:ascii="Times New Roman" w:hAnsi="Times New Roman" w:eastAsia="宋体" w:cs="Times New Roman"/>
                <w:color w:val="auto"/>
                <w:sz w:val="24"/>
              </w:rPr>
              <w:t>位于</w:t>
            </w:r>
            <w:r>
              <w:rPr>
                <w:rFonts w:hint="eastAsia" w:eastAsia="宋体" w:cs="Times New Roman"/>
                <w:color w:val="auto"/>
                <w:sz w:val="24"/>
                <w:szCs w:val="24"/>
                <w:lang w:eastAsia="zh-CN"/>
              </w:rPr>
              <w:t>福建省闽侯县尚干镇洋中村桥头东1号</w:t>
            </w:r>
            <w:r>
              <w:rPr>
                <w:rFonts w:ascii="Times New Roman" w:hAnsi="Times New Roman" w:eastAsia="宋体" w:cs="Times New Roman"/>
                <w:color w:val="auto"/>
                <w:sz w:val="24"/>
              </w:rPr>
              <w:t>，根</w:t>
            </w:r>
            <w:r>
              <w:rPr>
                <w:rFonts w:hint="eastAsia" w:ascii="Times New Roman" w:hAnsi="Times New Roman" w:eastAsia="宋体" w:cs="Times New Roman"/>
                <w:color w:val="auto"/>
                <w:sz w:val="24"/>
                <w:szCs w:val="24"/>
                <w:lang w:eastAsia="zh-CN"/>
              </w:rPr>
              <w:t>据现场勘查，</w:t>
            </w:r>
            <w:r>
              <w:rPr>
                <w:rFonts w:hint="eastAsia" w:ascii="Times New Roman" w:hAnsi="Times New Roman" w:eastAsia="宋体" w:cs="Times New Roman"/>
                <w:color w:val="auto"/>
                <w:sz w:val="24"/>
                <w:szCs w:val="24"/>
                <w:lang w:val="en-US" w:eastAsia="zh-CN"/>
              </w:rPr>
              <w:t>项目北侧、南侧为农田，</w:t>
            </w:r>
            <w:r>
              <w:rPr>
                <w:rFonts w:hint="eastAsia" w:ascii="Times New Roman" w:hAnsi="Times New Roman" w:eastAsia="宋体" w:cs="Times New Roman"/>
                <w:color w:val="auto"/>
                <w:sz w:val="24"/>
                <w:szCs w:val="24"/>
                <w:lang w:eastAsia="zh-CN"/>
              </w:rPr>
              <w:t>东侧</w:t>
            </w:r>
            <w:r>
              <w:rPr>
                <w:rFonts w:hint="eastAsia" w:ascii="Times New Roman" w:hAnsi="Times New Roman" w:eastAsia="宋体" w:cs="Times New Roman"/>
                <w:color w:val="auto"/>
                <w:sz w:val="24"/>
                <w:szCs w:val="24"/>
                <w:lang w:val="en-US" w:eastAsia="zh-CN"/>
              </w:rPr>
              <w:t>为</w:t>
            </w:r>
            <w:r>
              <w:rPr>
                <w:rFonts w:hint="eastAsia" w:ascii="Times New Roman" w:hAnsi="Times New Roman" w:eastAsia="宋体" w:cs="Times New Roman"/>
                <w:color w:val="auto"/>
                <w:sz w:val="24"/>
                <w:szCs w:val="24"/>
                <w:lang w:eastAsia="zh-CN"/>
              </w:rPr>
              <w:t>沈海高速</w:t>
            </w:r>
            <w:r>
              <w:rPr>
                <w:rFonts w:hint="eastAsia" w:ascii="Times New Roman" w:hAnsi="Times New Roman" w:eastAsia="宋体" w:cs="Times New Roman"/>
                <w:color w:val="auto"/>
                <w:sz w:val="24"/>
                <w:szCs w:val="24"/>
                <w:lang w:val="en-US" w:eastAsia="zh-CN"/>
              </w:rPr>
              <w:t>，西侧为</w:t>
            </w:r>
            <w:r>
              <w:rPr>
                <w:rFonts w:hint="eastAsia" w:ascii="Times New Roman" w:hAnsi="Times New Roman" w:eastAsia="宋体" w:cs="Times New Roman"/>
                <w:color w:val="auto"/>
                <w:sz w:val="24"/>
                <w:szCs w:val="24"/>
                <w:lang w:eastAsia="zh-CN"/>
              </w:rPr>
              <w:t>商住混合区。详见附图</w:t>
            </w:r>
            <w:r>
              <w:rPr>
                <w:rFonts w:hint="eastAsia" w:ascii="Times New Roman" w:hAnsi="Times New Roman" w:eastAsia="宋体" w:cs="Times New Roman"/>
                <w:color w:val="auto"/>
                <w:sz w:val="24"/>
                <w:szCs w:val="24"/>
                <w:lang w:val="en-US" w:eastAsia="zh-CN"/>
              </w:rPr>
              <w:t>5</w:t>
            </w:r>
            <w:r>
              <w:rPr>
                <w:rFonts w:hint="eastAsia" w:ascii="Times New Roman" w:hAnsi="Times New Roman" w:eastAsia="宋体" w:cs="Times New Roman"/>
                <w:color w:val="auto"/>
                <w:sz w:val="24"/>
                <w:szCs w:val="24"/>
                <w:lang w:eastAsia="zh-CN"/>
              </w:rPr>
              <w:t>。建设单位在确实</w:t>
            </w:r>
            <w:r>
              <w:rPr>
                <w:color w:val="auto"/>
                <w:sz w:val="24"/>
              </w:rPr>
              <w:t>落实本评价提出的各项污染治理措施的前提下，可实现污染物达标排放，且各污染物排放源强较低，运营期产生的“三废”及噪声对周边环境影响不明显，因此，项目建设与周边环境基本相容。</w:t>
            </w:r>
          </w:p>
          <w:p w14:paraId="15ABC4EA">
            <w:pPr>
              <w:pStyle w:val="28"/>
              <w:numPr>
                <w:ilvl w:val="0"/>
                <w:numId w:val="1"/>
              </w:numPr>
              <w:rPr>
                <w:rFonts w:hint="eastAsia"/>
                <w:b/>
                <w:bCs/>
                <w:color w:val="auto"/>
                <w:sz w:val="24"/>
                <w:szCs w:val="24"/>
              </w:rPr>
            </w:pPr>
            <w:r>
              <w:rPr>
                <w:rFonts w:hint="eastAsia"/>
                <w:b/>
                <w:bCs/>
                <w:color w:val="auto"/>
                <w:sz w:val="24"/>
                <w:szCs w:val="24"/>
              </w:rPr>
              <w:t>与</w:t>
            </w:r>
            <w:r>
              <w:rPr>
                <w:rFonts w:hint="eastAsia" w:ascii="Times New Roman" w:hAnsi="Times New Roman" w:eastAsia="宋体"/>
                <w:b/>
                <w:bCs/>
                <w:color w:val="000000"/>
                <w:sz w:val="24"/>
                <w:szCs w:val="24"/>
              </w:rPr>
              <w:t>《福州市生态环境分区管控方案（2023年更新）》</w:t>
            </w:r>
            <w:r>
              <w:rPr>
                <w:rFonts w:hint="eastAsia"/>
                <w:b/>
                <w:bCs/>
                <w:color w:val="auto"/>
                <w:sz w:val="24"/>
                <w:szCs w:val="24"/>
              </w:rPr>
              <w:t>的符合性分析</w:t>
            </w:r>
          </w:p>
          <w:p w14:paraId="4912FFFE">
            <w:pPr>
              <w:pStyle w:val="28"/>
              <w:rPr>
                <w:rFonts w:hint="eastAsia" w:ascii="Times New Roman" w:hAnsi="Times New Roman" w:eastAsia="宋体" w:cs="宋体"/>
                <w:color w:val="auto"/>
                <w:sz w:val="24"/>
                <w:szCs w:val="24"/>
              </w:rPr>
            </w:pPr>
            <w:r>
              <w:rPr>
                <w:rFonts w:hint="eastAsia" w:ascii="Times New Roman" w:hAnsi="Times New Roman" w:eastAsia="宋体" w:cs="宋体"/>
                <w:color w:val="auto"/>
                <w:sz w:val="24"/>
                <w:szCs w:val="24"/>
                <w:lang w:val="en-US" w:eastAsia="zh-CN"/>
              </w:rPr>
              <w:t>对照《福州市生态环境分区管控方案（2023年更新）》，</w:t>
            </w:r>
            <w:r>
              <w:rPr>
                <w:rFonts w:hint="eastAsia" w:ascii="Times New Roman" w:hAnsi="Times New Roman" w:eastAsia="宋体" w:cs="宋体"/>
                <w:color w:val="auto"/>
                <w:sz w:val="24"/>
                <w:szCs w:val="24"/>
              </w:rPr>
              <w:t>该区域</w:t>
            </w:r>
            <w:r>
              <w:rPr>
                <w:rFonts w:hint="eastAsia" w:ascii="Times New Roman" w:hAnsi="Times New Roman" w:eastAsia="宋体" w:cs="宋体"/>
                <w:color w:val="auto"/>
                <w:sz w:val="24"/>
                <w:szCs w:val="24"/>
                <w:lang w:val="en-US" w:eastAsia="zh-CN"/>
              </w:rPr>
              <w:t>属于福建闽侯青口汽车工业园区环境管控单元（环境管控单元编码：</w:t>
            </w:r>
            <w:r>
              <w:rPr>
                <w:rFonts w:hint="default" w:ascii="Times New Roman" w:hAnsi="Times New Roman" w:eastAsia="宋体" w:cs="宋体"/>
                <w:color w:val="auto"/>
                <w:sz w:val="24"/>
                <w:szCs w:val="24"/>
                <w:lang w:val="en-US" w:eastAsia="zh-CN"/>
              </w:rPr>
              <w:t>ZH35012120001</w:t>
            </w:r>
            <w:r>
              <w:rPr>
                <w:rFonts w:hint="eastAsia" w:ascii="Times New Roman" w:hAnsi="Times New Roman" w:eastAsia="宋体" w:cs="宋体"/>
                <w:color w:val="auto"/>
                <w:sz w:val="24"/>
                <w:szCs w:val="24"/>
                <w:lang w:val="en-US" w:eastAsia="zh-CN"/>
              </w:rPr>
              <w:t>）</w:t>
            </w:r>
            <w:r>
              <w:rPr>
                <w:rFonts w:hint="eastAsia" w:ascii="Times New Roman" w:hAnsi="Times New Roman" w:eastAsia="宋体" w:cs="宋体"/>
                <w:color w:val="auto"/>
                <w:sz w:val="24"/>
                <w:szCs w:val="24"/>
              </w:rPr>
              <w:t>。</w:t>
            </w:r>
            <w:r>
              <w:rPr>
                <w:rFonts w:hint="eastAsia" w:ascii="Times New Roman" w:hAnsi="Times New Roman" w:eastAsia="宋体" w:cs="宋体"/>
                <w:color w:val="auto"/>
                <w:sz w:val="24"/>
                <w:szCs w:val="24"/>
                <w:lang w:val="en-US" w:eastAsia="zh-CN"/>
              </w:rPr>
              <w:t>三线一单查询结果详见附图12，</w:t>
            </w:r>
            <w:r>
              <w:rPr>
                <w:rFonts w:hint="eastAsia" w:ascii="Times New Roman" w:hAnsi="Times New Roman" w:eastAsia="宋体" w:cs="宋体"/>
                <w:color w:val="auto"/>
                <w:sz w:val="24"/>
                <w:szCs w:val="24"/>
              </w:rPr>
              <w:t>具体分析详见表1-2。</w:t>
            </w:r>
          </w:p>
          <w:p w14:paraId="7EE700DA">
            <w:pPr>
              <w:widowControl/>
              <w:jc w:val="center"/>
              <w:rPr>
                <w:rFonts w:hint="eastAsia" w:ascii="宋体" w:hAnsi="宋体" w:eastAsia="宋体" w:cs="宋体"/>
                <w:b/>
                <w:bCs/>
                <w:color w:val="auto"/>
                <w:kern w:val="0"/>
                <w:sz w:val="24"/>
                <w:lang w:bidi="ar"/>
              </w:rPr>
            </w:pPr>
            <w:r>
              <w:rPr>
                <w:rFonts w:hint="eastAsia"/>
                <w:b/>
                <w:bCs/>
                <w:color w:val="auto"/>
                <w:kern w:val="0"/>
                <w:sz w:val="24"/>
                <w:lang w:bidi="ar"/>
              </w:rPr>
              <w:t>表</w:t>
            </w:r>
            <w:r>
              <w:rPr>
                <w:b/>
                <w:bCs/>
                <w:color w:val="auto"/>
                <w:kern w:val="0"/>
                <w:sz w:val="24"/>
                <w:lang w:bidi="ar"/>
              </w:rPr>
              <w:t>1</w:t>
            </w:r>
            <w:r>
              <w:rPr>
                <w:rFonts w:hint="eastAsia"/>
                <w:b/>
                <w:bCs/>
                <w:color w:val="auto"/>
                <w:kern w:val="0"/>
                <w:sz w:val="24"/>
                <w:lang w:val="en-US" w:eastAsia="zh-CN" w:bidi="ar"/>
              </w:rPr>
              <w:t>-</w:t>
            </w:r>
            <w:r>
              <w:rPr>
                <w:rFonts w:hint="eastAsia"/>
                <w:b/>
                <w:bCs/>
                <w:color w:val="auto"/>
                <w:kern w:val="0"/>
                <w:sz w:val="24"/>
                <w:lang w:bidi="ar"/>
              </w:rPr>
              <w:t>2与</w:t>
            </w:r>
            <w:r>
              <w:rPr>
                <w:rFonts w:hint="eastAsia" w:ascii="宋体" w:hAnsi="宋体" w:cs="宋体"/>
                <w:b/>
                <w:bCs/>
                <w:color w:val="auto"/>
                <w:kern w:val="0"/>
                <w:sz w:val="24"/>
                <w:lang w:bidi="ar"/>
              </w:rPr>
              <w:t>福</w:t>
            </w:r>
            <w:r>
              <w:rPr>
                <w:rFonts w:hint="eastAsia" w:ascii="宋体" w:hAnsi="宋体" w:eastAsia="宋体" w:cs="宋体"/>
                <w:b/>
                <w:bCs/>
                <w:color w:val="auto"/>
                <w:kern w:val="0"/>
                <w:sz w:val="24"/>
                <w:lang w:bidi="ar"/>
              </w:rPr>
              <w:t>州市</w:t>
            </w:r>
            <w:r>
              <w:rPr>
                <w:rFonts w:hint="eastAsia" w:ascii="宋体" w:hAnsi="宋体" w:eastAsia="宋体" w:cs="宋体"/>
                <w:b/>
                <w:bCs/>
                <w:color w:val="auto"/>
                <w:kern w:val="0"/>
                <w:sz w:val="24"/>
                <w:lang w:val="en-US" w:eastAsia="zh-CN" w:bidi="ar"/>
              </w:rPr>
              <w:t>生态环境分区管控方案</w:t>
            </w:r>
            <w:r>
              <w:rPr>
                <w:rFonts w:hint="eastAsia" w:ascii="宋体" w:hAnsi="宋体" w:eastAsia="宋体" w:cs="宋体"/>
                <w:b/>
                <w:bCs/>
                <w:color w:val="auto"/>
                <w:kern w:val="0"/>
                <w:sz w:val="24"/>
                <w:lang w:bidi="ar"/>
              </w:rPr>
              <w:t>相符性分析</w:t>
            </w:r>
          </w:p>
          <w:p w14:paraId="5B87D283">
            <w:pPr>
              <w:rPr>
                <w:rFonts w:hint="eastAsia"/>
                <w:color w:val="auto"/>
              </w:rPr>
            </w:pPr>
          </w:p>
          <w:tbl>
            <w:tblPr>
              <w:tblStyle w:val="17"/>
              <w:tblW w:w="4997" w:type="pct"/>
              <w:jc w:val="center"/>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autofit"/>
              <w:tblCellMar>
                <w:top w:w="0" w:type="dxa"/>
                <w:left w:w="108" w:type="dxa"/>
                <w:bottom w:w="0" w:type="dxa"/>
                <w:right w:w="108" w:type="dxa"/>
              </w:tblCellMar>
            </w:tblPr>
            <w:tblGrid>
              <w:gridCol w:w="2276"/>
              <w:gridCol w:w="674"/>
              <w:gridCol w:w="593"/>
              <w:gridCol w:w="2270"/>
              <w:gridCol w:w="1834"/>
            </w:tblGrid>
            <w:tr w14:paraId="5F166B76">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909" w:type="pct"/>
                  <w:tcBorders>
                    <w:tl2br w:val="nil"/>
                    <w:tr2bl w:val="nil"/>
                  </w:tcBorders>
                  <w:noWrap w:val="0"/>
                  <w:vAlign w:val="center"/>
                </w:tcPr>
                <w:p w14:paraId="13D96743">
                  <w:pPr>
                    <w:widowControl/>
                    <w:spacing w:line="300" w:lineRule="exact"/>
                    <w:jc w:val="center"/>
                    <w:rPr>
                      <w:rFonts w:hint="eastAsia"/>
                      <w:color w:val="auto"/>
                      <w:szCs w:val="21"/>
                    </w:rPr>
                  </w:pPr>
                  <w:r>
                    <w:rPr>
                      <w:rFonts w:hint="eastAsia"/>
                      <w:color w:val="auto"/>
                      <w:szCs w:val="21"/>
                    </w:rPr>
                    <w:t>环境管控单元名称/编号</w:t>
                  </w:r>
                </w:p>
              </w:tc>
              <w:tc>
                <w:tcPr>
                  <w:tcW w:w="585" w:type="pct"/>
                  <w:tcBorders>
                    <w:tl2br w:val="nil"/>
                    <w:tr2bl w:val="nil"/>
                  </w:tcBorders>
                  <w:noWrap w:val="0"/>
                  <w:vAlign w:val="center"/>
                </w:tcPr>
                <w:p w14:paraId="4CEB8510">
                  <w:pPr>
                    <w:widowControl/>
                    <w:spacing w:line="300" w:lineRule="exact"/>
                    <w:jc w:val="center"/>
                    <w:rPr>
                      <w:color w:val="auto"/>
                      <w:szCs w:val="21"/>
                    </w:rPr>
                  </w:pPr>
                  <w:r>
                    <w:rPr>
                      <w:color w:val="auto"/>
                      <w:szCs w:val="21"/>
                    </w:rPr>
                    <w:t>管控单元类别</w:t>
                  </w:r>
                </w:p>
              </w:tc>
              <w:tc>
                <w:tcPr>
                  <w:tcW w:w="2160" w:type="pct"/>
                  <w:gridSpan w:val="2"/>
                  <w:tcBorders>
                    <w:tl2br w:val="nil"/>
                    <w:tr2bl w:val="nil"/>
                  </w:tcBorders>
                  <w:noWrap w:val="0"/>
                  <w:vAlign w:val="center"/>
                </w:tcPr>
                <w:p w14:paraId="16714C6A">
                  <w:pPr>
                    <w:widowControl/>
                    <w:spacing w:line="300" w:lineRule="exact"/>
                    <w:jc w:val="center"/>
                    <w:rPr>
                      <w:rFonts w:hint="eastAsia"/>
                      <w:color w:val="auto"/>
                      <w:szCs w:val="21"/>
                    </w:rPr>
                  </w:pPr>
                  <w:r>
                    <w:rPr>
                      <w:color w:val="auto"/>
                      <w:szCs w:val="21"/>
                    </w:rPr>
                    <w:t>管控要求</w:t>
                  </w:r>
                </w:p>
              </w:tc>
              <w:tc>
                <w:tcPr>
                  <w:tcW w:w="1343" w:type="pct"/>
                  <w:tcBorders>
                    <w:tl2br w:val="nil"/>
                    <w:tr2bl w:val="nil"/>
                  </w:tcBorders>
                  <w:noWrap w:val="0"/>
                  <w:vAlign w:val="center"/>
                </w:tcPr>
                <w:p w14:paraId="21C12F87">
                  <w:pPr>
                    <w:pStyle w:val="29"/>
                    <w:spacing w:line="300" w:lineRule="exact"/>
                    <w:jc w:val="center"/>
                    <w:rPr>
                      <w:color w:val="auto"/>
                      <w:szCs w:val="21"/>
                      <w:lang w:val="en-US" w:eastAsia="zh-CN"/>
                    </w:rPr>
                  </w:pPr>
                  <w:r>
                    <w:rPr>
                      <w:color w:val="auto"/>
                      <w:szCs w:val="21"/>
                      <w:lang w:val="en-US" w:eastAsia="zh-CN"/>
                    </w:rPr>
                    <w:t>符合性</w:t>
                  </w:r>
                </w:p>
              </w:tc>
            </w:tr>
            <w:tr w14:paraId="7AA6C9E8">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909" w:type="pct"/>
                  <w:vMerge w:val="restart"/>
                  <w:tcBorders>
                    <w:tl2br w:val="nil"/>
                    <w:tr2bl w:val="nil"/>
                  </w:tcBorders>
                  <w:noWrap w:val="0"/>
                  <w:vAlign w:val="center"/>
                </w:tcPr>
                <w:p w14:paraId="10198AA3">
                  <w:pPr>
                    <w:keepNext w:val="0"/>
                    <w:keepLines w:val="0"/>
                    <w:widowControl/>
                    <w:suppressLineNumbers w:val="0"/>
                    <w:jc w:val="center"/>
                    <w:rPr>
                      <w:color w:val="auto"/>
                    </w:rPr>
                  </w:pPr>
                  <w:r>
                    <w:rPr>
                      <w:rFonts w:hint="eastAsia" w:ascii="宋体" w:hAnsi="宋体" w:eastAsia="宋体" w:cs="宋体"/>
                      <w:color w:val="auto"/>
                      <w:kern w:val="0"/>
                      <w:sz w:val="21"/>
                      <w:szCs w:val="21"/>
                      <w:lang w:val="en-US" w:eastAsia="zh-CN" w:bidi="ar"/>
                    </w:rPr>
                    <w:t>福建闽侯青口汽车工业园区</w:t>
                  </w:r>
                </w:p>
                <w:p w14:paraId="37C37ACB">
                  <w:pPr>
                    <w:widowControl/>
                    <w:spacing w:line="300" w:lineRule="exact"/>
                    <w:jc w:val="center"/>
                    <w:rPr>
                      <w:rFonts w:hint="eastAsia"/>
                      <w:color w:val="auto"/>
                      <w:szCs w:val="21"/>
                    </w:rPr>
                  </w:pPr>
                  <w:r>
                    <w:rPr>
                      <w:rFonts w:hint="eastAsia"/>
                      <w:color w:val="auto"/>
                      <w:szCs w:val="21"/>
                    </w:rPr>
                    <w:t>（</w:t>
                  </w:r>
                  <w:r>
                    <w:rPr>
                      <w:rFonts w:hint="default" w:ascii="Times New Roman" w:hAnsi="Times New Roman" w:eastAsia="宋体" w:cs="宋体"/>
                      <w:color w:val="auto"/>
                      <w:sz w:val="24"/>
                      <w:szCs w:val="24"/>
                      <w:lang w:val="en-US" w:eastAsia="zh-CN"/>
                    </w:rPr>
                    <w:t>ZH35012120001</w:t>
                  </w:r>
                  <w:r>
                    <w:rPr>
                      <w:rFonts w:hint="eastAsia"/>
                      <w:color w:val="auto"/>
                    </w:rPr>
                    <w:t>）</w:t>
                  </w:r>
                </w:p>
              </w:tc>
              <w:tc>
                <w:tcPr>
                  <w:tcW w:w="585" w:type="pct"/>
                  <w:vMerge w:val="restart"/>
                  <w:tcBorders>
                    <w:tl2br w:val="nil"/>
                    <w:tr2bl w:val="nil"/>
                  </w:tcBorders>
                  <w:noWrap w:val="0"/>
                  <w:vAlign w:val="center"/>
                </w:tcPr>
                <w:p w14:paraId="202DBE5A">
                  <w:pPr>
                    <w:widowControl/>
                    <w:spacing w:line="300" w:lineRule="exact"/>
                    <w:jc w:val="center"/>
                    <w:textAlignment w:val="center"/>
                    <w:rPr>
                      <w:rFonts w:hint="eastAsia"/>
                      <w:color w:val="auto"/>
                      <w:szCs w:val="21"/>
                    </w:rPr>
                  </w:pPr>
                  <w:r>
                    <w:rPr>
                      <w:rFonts w:hint="eastAsia" w:ascii="宋体" w:hAnsi="宋体" w:cs="宋体"/>
                      <w:color w:val="auto"/>
                      <w:kern w:val="0"/>
                      <w:szCs w:val="21"/>
                    </w:rPr>
                    <w:t>重点管控单元</w:t>
                  </w:r>
                </w:p>
              </w:tc>
              <w:tc>
                <w:tcPr>
                  <w:tcW w:w="532" w:type="pct"/>
                  <w:tcBorders>
                    <w:tl2br w:val="nil"/>
                    <w:tr2bl w:val="nil"/>
                  </w:tcBorders>
                  <w:noWrap w:val="0"/>
                  <w:vAlign w:val="center"/>
                </w:tcPr>
                <w:p w14:paraId="11B22149">
                  <w:pPr>
                    <w:widowControl/>
                    <w:spacing w:line="300" w:lineRule="exact"/>
                    <w:jc w:val="center"/>
                    <w:rPr>
                      <w:color w:val="auto"/>
                      <w:szCs w:val="21"/>
                    </w:rPr>
                  </w:pPr>
                  <w:r>
                    <w:rPr>
                      <w:rFonts w:hint="eastAsia" w:ascii="宋体" w:hAnsi="宋体" w:cs="宋体"/>
                      <w:color w:val="auto"/>
                      <w:kern w:val="0"/>
                      <w:szCs w:val="21"/>
                    </w:rPr>
                    <w:t>空间布局约束</w:t>
                  </w:r>
                </w:p>
              </w:tc>
              <w:tc>
                <w:tcPr>
                  <w:tcW w:w="1628" w:type="pct"/>
                  <w:tcBorders>
                    <w:tl2br w:val="nil"/>
                    <w:tr2bl w:val="nil"/>
                  </w:tcBorders>
                  <w:noWrap w:val="0"/>
                  <w:vAlign w:val="center"/>
                </w:tcPr>
                <w:p w14:paraId="04627A68">
                  <w:pPr>
                    <w:adjustRightInd w:val="0"/>
                    <w:snapToGrid w:val="0"/>
                    <w:spacing w:line="30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1.禁止在园区及其上游汇水区域内新建畜禽养殖项目。</w:t>
                  </w:r>
                </w:p>
                <w:p w14:paraId="3F18F2AD">
                  <w:pPr>
                    <w:adjustRightInd w:val="0"/>
                    <w:snapToGrid w:val="0"/>
                    <w:spacing w:line="30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2.现有电镀企业不得进行改、扩建，限制新建电镀企业。</w:t>
                  </w:r>
                </w:p>
                <w:p w14:paraId="06826A77">
                  <w:pPr>
                    <w:adjustRightInd w:val="0"/>
                    <w:snapToGrid w:val="0"/>
                    <w:spacing w:line="300" w:lineRule="exact"/>
                    <w:jc w:val="center"/>
                    <w:rPr>
                      <w:rFonts w:hint="default" w:ascii="Times New Roman" w:hAnsi="Times New Roman" w:cs="Times New Roman"/>
                      <w:color w:val="auto"/>
                      <w:szCs w:val="21"/>
                    </w:rPr>
                  </w:pPr>
                  <w:r>
                    <w:rPr>
                      <w:rFonts w:hint="default" w:ascii="Times New Roman" w:hAnsi="Times New Roman" w:cs="Times New Roman"/>
                      <w:color w:val="auto"/>
                      <w:szCs w:val="21"/>
                    </w:rPr>
                    <w:t>3.严格限制新建、扩建食品、轻工、石材、建材等与园区规划产业不符的项目。</w:t>
                  </w:r>
                </w:p>
                <w:p w14:paraId="726CDA1D">
                  <w:pPr>
                    <w:adjustRightInd w:val="0"/>
                    <w:snapToGrid w:val="0"/>
                    <w:spacing w:line="300" w:lineRule="exact"/>
                    <w:jc w:val="center"/>
                    <w:rPr>
                      <w:color w:val="auto"/>
                      <w:szCs w:val="21"/>
                    </w:rPr>
                  </w:pPr>
                  <w:r>
                    <w:rPr>
                      <w:rFonts w:hint="default" w:ascii="Times New Roman" w:hAnsi="Times New Roman" w:cs="Times New Roman"/>
                      <w:color w:val="auto"/>
                      <w:szCs w:val="21"/>
                    </w:rPr>
                    <w:t>4.居</w:t>
                  </w:r>
                  <w:r>
                    <w:rPr>
                      <w:rFonts w:hint="eastAsia" w:ascii="宋体" w:hAnsi="宋体" w:cs="宋体"/>
                      <w:color w:val="auto"/>
                      <w:szCs w:val="21"/>
                    </w:rPr>
                    <w:t>住用地周边禁止布局潜在废气扰民的建设项目。</w:t>
                  </w:r>
                </w:p>
              </w:tc>
              <w:tc>
                <w:tcPr>
                  <w:tcW w:w="1343" w:type="pct"/>
                  <w:tcBorders>
                    <w:tl2br w:val="nil"/>
                    <w:tr2bl w:val="nil"/>
                  </w:tcBorders>
                  <w:noWrap w:val="0"/>
                  <w:vAlign w:val="center"/>
                </w:tcPr>
                <w:p w14:paraId="2B9FA6C4">
                  <w:pPr>
                    <w:pStyle w:val="29"/>
                    <w:spacing w:line="300" w:lineRule="exact"/>
                    <w:jc w:val="cente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符合，本项目不涉及以上空间布局约束</w:t>
                  </w:r>
                </w:p>
              </w:tc>
            </w:tr>
            <w:tr w14:paraId="7D6DFE0C">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909" w:type="pct"/>
                  <w:vMerge w:val="continue"/>
                  <w:tcBorders>
                    <w:tl2br w:val="nil"/>
                    <w:tr2bl w:val="nil"/>
                  </w:tcBorders>
                  <w:noWrap w:val="0"/>
                  <w:vAlign w:val="center"/>
                </w:tcPr>
                <w:p w14:paraId="5C0480F2">
                  <w:pPr>
                    <w:pStyle w:val="29"/>
                    <w:spacing w:line="300" w:lineRule="exact"/>
                    <w:jc w:val="center"/>
                    <w:rPr>
                      <w:rFonts w:hint="eastAsia"/>
                      <w:color w:val="auto"/>
                      <w:szCs w:val="21"/>
                      <w:lang w:val="en-US" w:eastAsia="zh-CN"/>
                    </w:rPr>
                  </w:pPr>
                </w:p>
              </w:tc>
              <w:tc>
                <w:tcPr>
                  <w:tcW w:w="585" w:type="pct"/>
                  <w:vMerge w:val="continue"/>
                  <w:tcBorders>
                    <w:tl2br w:val="nil"/>
                    <w:tr2bl w:val="nil"/>
                  </w:tcBorders>
                  <w:noWrap w:val="0"/>
                  <w:vAlign w:val="center"/>
                </w:tcPr>
                <w:p w14:paraId="7242A00A">
                  <w:pPr>
                    <w:widowControl/>
                    <w:spacing w:line="300" w:lineRule="exact"/>
                    <w:jc w:val="center"/>
                    <w:textAlignment w:val="center"/>
                    <w:rPr>
                      <w:rFonts w:hint="eastAsia"/>
                      <w:color w:val="auto"/>
                      <w:szCs w:val="21"/>
                    </w:rPr>
                  </w:pPr>
                </w:p>
              </w:tc>
              <w:tc>
                <w:tcPr>
                  <w:tcW w:w="532" w:type="pct"/>
                  <w:tcBorders>
                    <w:tl2br w:val="nil"/>
                    <w:tr2bl w:val="nil"/>
                  </w:tcBorders>
                  <w:noWrap w:val="0"/>
                  <w:vAlign w:val="center"/>
                </w:tcPr>
                <w:p w14:paraId="65D4C5EB">
                  <w:pPr>
                    <w:widowControl/>
                    <w:spacing w:line="300" w:lineRule="exact"/>
                    <w:jc w:val="center"/>
                    <w:rPr>
                      <w:color w:val="auto"/>
                      <w:szCs w:val="21"/>
                    </w:rPr>
                  </w:pPr>
                  <w:r>
                    <w:rPr>
                      <w:rFonts w:hint="eastAsia" w:ascii="宋体" w:hAnsi="宋体" w:cs="宋体"/>
                      <w:color w:val="auto"/>
                      <w:kern w:val="0"/>
                      <w:szCs w:val="21"/>
                    </w:rPr>
                    <w:t>污染物排放管控</w:t>
                  </w:r>
                </w:p>
              </w:tc>
              <w:tc>
                <w:tcPr>
                  <w:tcW w:w="1628" w:type="pct"/>
                  <w:tcBorders>
                    <w:tl2br w:val="nil"/>
                    <w:tr2bl w:val="nil"/>
                  </w:tcBorders>
                  <w:noWrap w:val="0"/>
                  <w:vAlign w:val="center"/>
                </w:tcPr>
                <w:p w14:paraId="2E1D0101">
                  <w:pPr>
                    <w:keepNext w:val="0"/>
                    <w:keepLines w:val="0"/>
                    <w:widowControl/>
                    <w:suppressLineNumbers w:val="0"/>
                    <w:jc w:val="center"/>
                    <w:rPr>
                      <w:color w:val="auto"/>
                    </w:rPr>
                  </w:pPr>
                  <w:r>
                    <w:rPr>
                      <w:rFonts w:hint="default" w:ascii="Times New Roman" w:hAnsi="Times New Roman" w:eastAsia="宋体" w:cs="Times New Roman"/>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完善建设污水收集管网，做到雨污分流，保证园区内所有工业废水、生活污水纳入污水处理厂处理并达标排放。</w:t>
                  </w:r>
                </w:p>
                <w:p w14:paraId="2BA69BA7">
                  <w:pPr>
                    <w:keepNext w:val="0"/>
                    <w:keepLines w:val="0"/>
                    <w:widowControl/>
                    <w:suppressLineNumbers w:val="0"/>
                    <w:jc w:val="center"/>
                    <w:rPr>
                      <w:color w:val="auto"/>
                    </w:rPr>
                  </w:pPr>
                  <w:r>
                    <w:rPr>
                      <w:rFonts w:hint="default" w:ascii="Times New Roman" w:hAnsi="Times New Roman" w:eastAsia="宋体" w:cs="Times New Roman"/>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根据区域发展需要择机建设电镀中心，实现污染物集中控制。</w:t>
                  </w:r>
                </w:p>
                <w:p w14:paraId="41653F9D">
                  <w:pPr>
                    <w:keepNext w:val="0"/>
                    <w:keepLines w:val="0"/>
                    <w:widowControl/>
                    <w:suppressLineNumbers w:val="0"/>
                    <w:jc w:val="center"/>
                    <w:rPr>
                      <w:rFonts w:hint="eastAsia"/>
                      <w:color w:val="auto"/>
                      <w:szCs w:val="21"/>
                    </w:rPr>
                  </w:pPr>
                  <w:r>
                    <w:rPr>
                      <w:rFonts w:hint="default" w:ascii="Times New Roman" w:hAnsi="Times New Roman" w:eastAsia="宋体" w:cs="Times New Roman"/>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涉新增</w:t>
                  </w:r>
                  <w:r>
                    <w:rPr>
                      <w:rFonts w:hint="default" w:ascii="Times New Roman" w:hAnsi="Times New Roman" w:eastAsia="宋体" w:cs="Times New Roman"/>
                      <w:color w:val="auto"/>
                      <w:kern w:val="0"/>
                      <w:sz w:val="21"/>
                      <w:szCs w:val="21"/>
                      <w:lang w:val="en-US" w:eastAsia="zh-CN" w:bidi="ar"/>
                    </w:rPr>
                    <w:t>VOCs</w:t>
                  </w:r>
                  <w:r>
                    <w:rPr>
                      <w:rFonts w:hint="eastAsia" w:ascii="宋体" w:hAnsi="宋体" w:eastAsia="宋体" w:cs="宋体"/>
                      <w:color w:val="auto"/>
                      <w:kern w:val="0"/>
                      <w:sz w:val="21"/>
                      <w:szCs w:val="21"/>
                      <w:lang w:val="en-US" w:eastAsia="zh-CN" w:bidi="ar"/>
                    </w:rPr>
                    <w:t>排放项目，</w:t>
                  </w:r>
                  <w:r>
                    <w:rPr>
                      <w:rFonts w:hint="default" w:ascii="Times New Roman" w:hAnsi="Times New Roman" w:eastAsia="宋体" w:cs="Times New Roman"/>
                      <w:color w:val="auto"/>
                      <w:kern w:val="0"/>
                      <w:sz w:val="21"/>
                      <w:szCs w:val="21"/>
                      <w:lang w:val="en-US" w:eastAsia="zh-CN" w:bidi="ar"/>
                    </w:rPr>
                    <w:t>VOCs</w:t>
                  </w:r>
                  <w:r>
                    <w:rPr>
                      <w:rFonts w:hint="eastAsia" w:ascii="宋体" w:hAnsi="宋体" w:eastAsia="宋体" w:cs="宋体"/>
                      <w:color w:val="auto"/>
                      <w:kern w:val="0"/>
                      <w:sz w:val="21"/>
                      <w:szCs w:val="21"/>
                      <w:lang w:val="en-US" w:eastAsia="zh-CN" w:bidi="ar"/>
                    </w:rPr>
                    <w:t>排放实行区域内倍量替代。</w:t>
                  </w:r>
                </w:p>
              </w:tc>
              <w:tc>
                <w:tcPr>
                  <w:tcW w:w="1343" w:type="pct"/>
                  <w:tcBorders>
                    <w:tl2br w:val="nil"/>
                    <w:tr2bl w:val="nil"/>
                  </w:tcBorders>
                  <w:noWrap w:val="0"/>
                  <w:vAlign w:val="center"/>
                </w:tcPr>
                <w:p w14:paraId="7DBBC7C9">
                  <w:pPr>
                    <w:keepNext w:val="0"/>
                    <w:keepLines w:val="0"/>
                    <w:widowControl/>
                    <w:suppressLineNumbers w:val="0"/>
                    <w:jc w:val="center"/>
                    <w:rPr>
                      <w:rFonts w:hint="eastAsia" w:ascii="宋体" w:hAnsi="宋体" w:cs="宋体"/>
                      <w:color w:val="auto"/>
                      <w:kern w:val="0"/>
                      <w:szCs w:val="21"/>
                      <w:lang w:val="en-US" w:eastAsia="zh-CN"/>
                    </w:rPr>
                  </w:pPr>
                  <w:r>
                    <w:rPr>
                      <w:rFonts w:hint="eastAsia" w:ascii="宋体" w:hAnsi="宋体" w:eastAsia="宋体" w:cs="宋体"/>
                      <w:color w:val="auto"/>
                      <w:kern w:val="0"/>
                      <w:sz w:val="21"/>
                      <w:szCs w:val="21"/>
                      <w:lang w:val="en-US" w:eastAsia="zh-CN" w:bidi="ar"/>
                    </w:rPr>
                    <w:t>本项目生活污水、医疗废水经院区污水处理站处理后，近期通过槽车运至</w:t>
                  </w:r>
                  <w:r>
                    <w:rPr>
                      <w:rFonts w:hint="default" w:ascii="Times New Roman" w:hAnsi="Times New Roman" w:eastAsia="宋体" w:cs="Times New Roman"/>
                      <w:color w:val="auto"/>
                      <w:szCs w:val="21"/>
                      <w:lang w:val="en-US" w:eastAsia="zh-CN"/>
                    </w:rPr>
                    <w:t>青口汽车工业开发区</w:t>
                  </w:r>
                  <w:r>
                    <w:rPr>
                      <w:rFonts w:hint="eastAsia" w:cs="Times New Roman"/>
                      <w:color w:val="auto"/>
                      <w:szCs w:val="21"/>
                      <w:lang w:val="en-US" w:eastAsia="zh-CN"/>
                    </w:rPr>
                    <w:t>污水处理厂</w:t>
                  </w:r>
                  <w:r>
                    <w:rPr>
                      <w:rFonts w:hint="eastAsia" w:ascii="宋体" w:hAnsi="宋体" w:eastAsia="宋体" w:cs="宋体"/>
                      <w:color w:val="auto"/>
                      <w:kern w:val="0"/>
                      <w:sz w:val="21"/>
                      <w:szCs w:val="21"/>
                      <w:lang w:val="en-US" w:eastAsia="zh-CN" w:bidi="ar"/>
                    </w:rPr>
                    <w:t>，远期待市政管网接入后排入市政污水管网。</w:t>
                  </w:r>
                  <w:r>
                    <w:rPr>
                      <w:rFonts w:hint="eastAsia" w:ascii="宋体" w:hAnsi="宋体" w:cs="宋体"/>
                      <w:color w:val="auto"/>
                      <w:kern w:val="0"/>
                      <w:szCs w:val="21"/>
                      <w:lang w:val="en-US" w:eastAsia="zh-CN"/>
                    </w:rPr>
                    <w:t>本扩建项目不涉及</w:t>
                  </w:r>
                  <w:r>
                    <w:rPr>
                      <w:rFonts w:hint="eastAsia" w:ascii="宋体" w:hAnsi="宋体" w:eastAsia="宋体" w:cs="宋体"/>
                      <w:color w:val="auto"/>
                      <w:kern w:val="0"/>
                      <w:sz w:val="21"/>
                      <w:szCs w:val="21"/>
                      <w:lang w:val="en-US" w:eastAsia="zh-CN" w:bidi="ar"/>
                    </w:rPr>
                    <w:t>实验室、</w:t>
                  </w:r>
                  <w:r>
                    <w:rPr>
                      <w:rFonts w:hint="eastAsia" w:ascii="宋体" w:hAnsi="宋体" w:eastAsia="宋体" w:cs="宋体"/>
                      <w:strike w:val="0"/>
                      <w:dstrike w:val="0"/>
                      <w:color w:val="auto"/>
                      <w:kern w:val="0"/>
                      <w:sz w:val="21"/>
                      <w:szCs w:val="21"/>
                      <w:highlight w:val="none"/>
                      <w:u w:val="none"/>
                      <w:lang w:val="en-US" w:eastAsia="zh-CN" w:bidi="ar"/>
                    </w:rPr>
                    <w:t>检验科、</w:t>
                  </w:r>
                  <w:r>
                    <w:rPr>
                      <w:rFonts w:hint="eastAsia" w:ascii="宋体" w:hAnsi="宋体" w:eastAsia="宋体" w:cs="宋体"/>
                      <w:color w:val="auto"/>
                      <w:kern w:val="0"/>
                      <w:sz w:val="21"/>
                      <w:szCs w:val="21"/>
                      <w:lang w:val="en-US" w:eastAsia="zh-CN" w:bidi="ar"/>
                    </w:rPr>
                    <w:t>病理科。</w:t>
                  </w:r>
                </w:p>
              </w:tc>
            </w:tr>
            <w:tr w14:paraId="66B39847">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909" w:type="pct"/>
                  <w:vMerge w:val="continue"/>
                  <w:tcBorders>
                    <w:tl2br w:val="nil"/>
                    <w:tr2bl w:val="nil"/>
                  </w:tcBorders>
                  <w:noWrap w:val="0"/>
                  <w:vAlign w:val="center"/>
                </w:tcPr>
                <w:p w14:paraId="66F3E0BC">
                  <w:pPr>
                    <w:pStyle w:val="29"/>
                    <w:spacing w:line="300" w:lineRule="exact"/>
                    <w:jc w:val="center"/>
                    <w:rPr>
                      <w:rFonts w:hint="eastAsia"/>
                      <w:color w:val="auto"/>
                      <w:szCs w:val="21"/>
                      <w:lang w:val="en-US" w:eastAsia="zh-CN"/>
                    </w:rPr>
                  </w:pPr>
                </w:p>
              </w:tc>
              <w:tc>
                <w:tcPr>
                  <w:tcW w:w="585" w:type="pct"/>
                  <w:vMerge w:val="continue"/>
                  <w:tcBorders>
                    <w:tl2br w:val="nil"/>
                    <w:tr2bl w:val="nil"/>
                  </w:tcBorders>
                  <w:noWrap w:val="0"/>
                  <w:vAlign w:val="center"/>
                </w:tcPr>
                <w:p w14:paraId="4F6921E6">
                  <w:pPr>
                    <w:widowControl/>
                    <w:spacing w:line="300" w:lineRule="exact"/>
                    <w:jc w:val="center"/>
                    <w:textAlignment w:val="center"/>
                    <w:rPr>
                      <w:rFonts w:hint="eastAsia"/>
                      <w:color w:val="auto"/>
                      <w:szCs w:val="21"/>
                    </w:rPr>
                  </w:pPr>
                </w:p>
              </w:tc>
              <w:tc>
                <w:tcPr>
                  <w:tcW w:w="532" w:type="pct"/>
                  <w:tcBorders>
                    <w:tl2br w:val="nil"/>
                    <w:tr2bl w:val="nil"/>
                  </w:tcBorders>
                  <w:noWrap w:val="0"/>
                  <w:vAlign w:val="center"/>
                </w:tcPr>
                <w:p w14:paraId="3E787029">
                  <w:pPr>
                    <w:widowControl/>
                    <w:spacing w:line="300" w:lineRule="exact"/>
                    <w:jc w:val="center"/>
                    <w:rPr>
                      <w:color w:val="auto"/>
                      <w:szCs w:val="21"/>
                    </w:rPr>
                  </w:pPr>
                  <w:r>
                    <w:rPr>
                      <w:rFonts w:hint="eastAsia" w:ascii="宋体" w:hAnsi="宋体" w:cs="宋体"/>
                      <w:color w:val="auto"/>
                      <w:kern w:val="0"/>
                      <w:szCs w:val="21"/>
                    </w:rPr>
                    <w:t>环境风险防控</w:t>
                  </w:r>
                </w:p>
              </w:tc>
              <w:tc>
                <w:tcPr>
                  <w:tcW w:w="1628" w:type="pct"/>
                  <w:tcBorders>
                    <w:tl2br w:val="nil"/>
                    <w:tr2bl w:val="nil"/>
                  </w:tcBorders>
                  <w:noWrap w:val="0"/>
                  <w:vAlign w:val="center"/>
                </w:tcPr>
                <w:p w14:paraId="525444B9">
                  <w:pPr>
                    <w:keepNext w:val="0"/>
                    <w:keepLines w:val="0"/>
                    <w:widowControl/>
                    <w:suppressLineNumbers w:val="0"/>
                    <w:jc w:val="center"/>
                    <w:rPr>
                      <w:color w:val="auto"/>
                    </w:rPr>
                  </w:pPr>
                  <w:r>
                    <w:rPr>
                      <w:rFonts w:hint="default" w:ascii="Times New Roman" w:hAnsi="Times New Roman" w:eastAsia="宋体" w:cs="Times New Roman"/>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建立健全环境风险防控体系，制定环境风险应急预案，建设事故应急池，成立应急组织机构，防止在处理安全生产事故过程中产生的可能严重污染水体的消防废水、废液直接排入水体。</w:t>
                  </w:r>
                </w:p>
                <w:p w14:paraId="343B73C8">
                  <w:pPr>
                    <w:keepNext w:val="0"/>
                    <w:keepLines w:val="0"/>
                    <w:widowControl/>
                    <w:suppressLineNumbers w:val="0"/>
                    <w:jc w:val="center"/>
                    <w:rPr>
                      <w:rFonts w:hint="eastAsia"/>
                      <w:color w:val="auto"/>
                      <w:szCs w:val="21"/>
                    </w:rPr>
                  </w:pPr>
                  <w:r>
                    <w:rPr>
                      <w:rFonts w:hint="default" w:ascii="Times New Roman" w:hAnsi="Times New Roman" w:eastAsia="宋体" w:cs="Times New Roman"/>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应采取有效措施防止园区建设对区域地下水、土壤造成污染。</w:t>
                  </w:r>
                </w:p>
              </w:tc>
              <w:tc>
                <w:tcPr>
                  <w:tcW w:w="1343" w:type="pct"/>
                  <w:tcBorders>
                    <w:tl2br w:val="nil"/>
                    <w:tr2bl w:val="nil"/>
                  </w:tcBorders>
                  <w:noWrap w:val="0"/>
                  <w:vAlign w:val="center"/>
                </w:tcPr>
                <w:p w14:paraId="0948B3C6">
                  <w:pPr>
                    <w:keepNext w:val="0"/>
                    <w:keepLines w:val="0"/>
                    <w:widowControl/>
                    <w:suppressLineNumbers w:val="0"/>
                    <w:jc w:val="center"/>
                    <w:rPr>
                      <w:rFonts w:hint="eastAsia" w:ascii="宋体" w:hAnsi="宋体" w:cs="宋体"/>
                      <w:color w:val="auto"/>
                      <w:kern w:val="0"/>
                      <w:szCs w:val="21"/>
                    </w:rPr>
                  </w:pPr>
                  <w:r>
                    <w:rPr>
                      <w:rFonts w:hint="eastAsia" w:ascii="宋体" w:hAnsi="宋体" w:cs="宋体"/>
                      <w:color w:val="auto"/>
                      <w:kern w:val="0"/>
                      <w:szCs w:val="21"/>
                    </w:rPr>
                    <w:t>符合，</w:t>
                  </w:r>
                  <w:r>
                    <w:rPr>
                      <w:rFonts w:hint="eastAsia" w:ascii="宋体" w:hAnsi="宋体" w:cs="宋体"/>
                      <w:color w:val="auto"/>
                      <w:kern w:val="0"/>
                      <w:szCs w:val="21"/>
                      <w:lang w:val="en-US" w:eastAsia="zh-CN"/>
                    </w:rPr>
                    <w:t>本项目</w:t>
                  </w:r>
                  <w:r>
                    <w:rPr>
                      <w:rFonts w:hint="eastAsia" w:ascii="宋体" w:hAnsi="宋体" w:eastAsia="宋体" w:cs="宋体"/>
                      <w:color w:val="auto"/>
                      <w:kern w:val="0"/>
                      <w:sz w:val="21"/>
                      <w:szCs w:val="21"/>
                      <w:lang w:val="en-US" w:eastAsia="zh-CN" w:bidi="ar"/>
                    </w:rPr>
                    <w:t>环境风险防控体系较为完善，院区内地面已硬化，对土壤、地下水的污染较小。</w:t>
                  </w:r>
                </w:p>
              </w:tc>
            </w:tr>
            <w:tr w14:paraId="7A829DAD">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909" w:type="pct"/>
                  <w:vMerge w:val="continue"/>
                  <w:tcBorders>
                    <w:tl2br w:val="nil"/>
                    <w:tr2bl w:val="nil"/>
                  </w:tcBorders>
                  <w:noWrap w:val="0"/>
                  <w:vAlign w:val="center"/>
                </w:tcPr>
                <w:p w14:paraId="0A5D31DF">
                  <w:pPr>
                    <w:pStyle w:val="29"/>
                    <w:spacing w:line="300" w:lineRule="exact"/>
                    <w:jc w:val="center"/>
                    <w:rPr>
                      <w:rFonts w:hint="eastAsia"/>
                      <w:color w:val="auto"/>
                      <w:szCs w:val="21"/>
                      <w:lang w:val="en-US" w:eastAsia="zh-CN"/>
                    </w:rPr>
                  </w:pPr>
                </w:p>
              </w:tc>
              <w:tc>
                <w:tcPr>
                  <w:tcW w:w="585" w:type="pct"/>
                  <w:vMerge w:val="continue"/>
                  <w:tcBorders>
                    <w:tl2br w:val="nil"/>
                    <w:tr2bl w:val="nil"/>
                  </w:tcBorders>
                  <w:noWrap w:val="0"/>
                  <w:vAlign w:val="center"/>
                </w:tcPr>
                <w:p w14:paraId="2D4635B6">
                  <w:pPr>
                    <w:widowControl/>
                    <w:spacing w:line="300" w:lineRule="exact"/>
                    <w:jc w:val="center"/>
                    <w:textAlignment w:val="center"/>
                    <w:rPr>
                      <w:rFonts w:hint="eastAsia"/>
                      <w:color w:val="auto"/>
                      <w:szCs w:val="21"/>
                    </w:rPr>
                  </w:pPr>
                </w:p>
              </w:tc>
              <w:tc>
                <w:tcPr>
                  <w:tcW w:w="532" w:type="pct"/>
                  <w:tcBorders>
                    <w:tl2br w:val="nil"/>
                    <w:tr2bl w:val="nil"/>
                  </w:tcBorders>
                  <w:noWrap w:val="0"/>
                  <w:vAlign w:val="center"/>
                </w:tcPr>
                <w:p w14:paraId="26644890">
                  <w:pPr>
                    <w:widowControl/>
                    <w:spacing w:line="300" w:lineRule="exact"/>
                    <w:jc w:val="center"/>
                    <w:rPr>
                      <w:color w:val="auto"/>
                      <w:szCs w:val="21"/>
                    </w:rPr>
                  </w:pPr>
                  <w:r>
                    <w:rPr>
                      <w:rFonts w:hint="eastAsia" w:ascii="宋体" w:hAnsi="宋体" w:cs="宋体"/>
                      <w:color w:val="auto"/>
                      <w:kern w:val="0"/>
                      <w:szCs w:val="21"/>
                    </w:rPr>
                    <w:t>资源开发效率要求</w:t>
                  </w:r>
                </w:p>
              </w:tc>
              <w:tc>
                <w:tcPr>
                  <w:tcW w:w="1628" w:type="pct"/>
                  <w:tcBorders>
                    <w:tl2br w:val="nil"/>
                    <w:tr2bl w:val="nil"/>
                  </w:tcBorders>
                  <w:noWrap w:val="0"/>
                  <w:vAlign w:val="center"/>
                </w:tcPr>
                <w:p w14:paraId="48AD2760">
                  <w:pPr>
                    <w:keepNext w:val="0"/>
                    <w:keepLines w:val="0"/>
                    <w:widowControl/>
                    <w:suppressLineNumbers w:val="0"/>
                    <w:jc w:val="center"/>
                    <w:rPr>
                      <w:rFonts w:hint="eastAsia"/>
                      <w:color w:val="auto"/>
                      <w:szCs w:val="21"/>
                    </w:rPr>
                  </w:pPr>
                  <w:r>
                    <w:rPr>
                      <w:rFonts w:hint="eastAsia" w:ascii="宋体" w:hAnsi="宋体" w:eastAsia="宋体" w:cs="宋体"/>
                      <w:color w:val="auto"/>
                      <w:kern w:val="0"/>
                      <w:sz w:val="21"/>
                      <w:szCs w:val="21"/>
                      <w:lang w:val="en-US" w:eastAsia="zh-CN" w:bidi="ar"/>
                    </w:rPr>
                    <w:t>使用燃煤锅及燃油锅炉企业尽快进行能源改造，近期可使用生物质颗粒，远期鼓励以</w:t>
                  </w:r>
                  <w:r>
                    <w:rPr>
                      <w:rFonts w:hint="default" w:ascii="Times New Roman" w:hAnsi="Times New Roman" w:eastAsia="宋体" w:cs="Times New Roman"/>
                      <w:color w:val="auto"/>
                      <w:kern w:val="0"/>
                      <w:sz w:val="21"/>
                      <w:szCs w:val="21"/>
                      <w:lang w:val="en-US" w:eastAsia="zh-CN" w:bidi="ar"/>
                    </w:rPr>
                    <w:t>LNG</w:t>
                  </w:r>
                  <w:r>
                    <w:rPr>
                      <w:rFonts w:hint="eastAsia" w:ascii="宋体" w:hAnsi="宋体" w:eastAsia="宋体" w:cs="宋体"/>
                      <w:color w:val="auto"/>
                      <w:kern w:val="0"/>
                      <w:sz w:val="21"/>
                      <w:szCs w:val="21"/>
                      <w:lang w:val="en-US" w:eastAsia="zh-CN" w:bidi="ar"/>
                    </w:rPr>
                    <w:t>或电能替代</w:t>
                  </w:r>
                  <w:r>
                    <w:rPr>
                      <w:rFonts w:hint="eastAsia" w:ascii="宋体" w:hAnsi="宋体" w:cs="宋体"/>
                      <w:color w:val="auto"/>
                      <w:kern w:val="0"/>
                      <w:sz w:val="21"/>
                      <w:szCs w:val="21"/>
                      <w:lang w:val="en-US" w:eastAsia="zh-CN" w:bidi="ar"/>
                    </w:rPr>
                    <w:t>其他能源</w:t>
                  </w:r>
                  <w:r>
                    <w:rPr>
                      <w:rFonts w:hint="eastAsia" w:ascii="宋体" w:hAnsi="宋体" w:eastAsia="宋体" w:cs="宋体"/>
                      <w:color w:val="auto"/>
                      <w:kern w:val="0"/>
                      <w:sz w:val="21"/>
                      <w:szCs w:val="21"/>
                      <w:lang w:val="en-US" w:eastAsia="zh-CN" w:bidi="ar"/>
                    </w:rPr>
                    <w:t>。</w:t>
                  </w:r>
                </w:p>
              </w:tc>
              <w:tc>
                <w:tcPr>
                  <w:tcW w:w="1343" w:type="pct"/>
                  <w:tcBorders>
                    <w:tl2br w:val="nil"/>
                    <w:tr2bl w:val="nil"/>
                  </w:tcBorders>
                  <w:noWrap w:val="0"/>
                  <w:vAlign w:val="center"/>
                </w:tcPr>
                <w:p w14:paraId="4014DB3A">
                  <w:pPr>
                    <w:pStyle w:val="29"/>
                    <w:spacing w:line="300" w:lineRule="exact"/>
                    <w:jc w:val="cente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符合，本项目以电和燃气为能源，属清洁能源</w:t>
                  </w:r>
                </w:p>
              </w:tc>
            </w:tr>
          </w:tbl>
          <w:p w14:paraId="0119AADC">
            <w:pPr>
              <w:pStyle w:val="30"/>
              <w:spacing w:before="152" w:line="214" w:lineRule="auto"/>
              <w:ind w:left="366"/>
              <w:rPr>
                <w:b/>
                <w:bCs/>
                <w:color w:val="auto"/>
                <w:spacing w:val="-2"/>
                <w:lang w:eastAsia="zh-CN"/>
              </w:rPr>
            </w:pPr>
          </w:p>
          <w:p w14:paraId="50B4D146">
            <w:pPr>
              <w:pStyle w:val="30"/>
              <w:spacing w:before="152" w:line="214" w:lineRule="auto"/>
              <w:ind w:left="366"/>
              <w:rPr>
                <w:b/>
                <w:bCs/>
                <w:color w:val="auto"/>
                <w:spacing w:val="-2"/>
                <w:lang w:eastAsia="zh-CN"/>
              </w:rPr>
            </w:pPr>
          </w:p>
          <w:p w14:paraId="1FCBE62E">
            <w:pPr>
              <w:pStyle w:val="30"/>
              <w:spacing w:before="152" w:line="214" w:lineRule="auto"/>
              <w:ind w:left="366"/>
              <w:rPr>
                <w:b/>
                <w:bCs/>
                <w:color w:val="auto"/>
                <w:spacing w:val="-2"/>
                <w:lang w:eastAsia="zh-CN"/>
              </w:rPr>
            </w:pPr>
          </w:p>
          <w:p w14:paraId="1742602A">
            <w:pPr>
              <w:pStyle w:val="23"/>
              <w:ind w:firstLine="0"/>
              <w:rPr>
                <w:rFonts w:cs="Times New Roman"/>
                <w:color w:val="auto"/>
                <w:sz w:val="24"/>
                <w:szCs w:val="24"/>
              </w:rPr>
            </w:pPr>
          </w:p>
        </w:tc>
      </w:tr>
    </w:tbl>
    <w:p w14:paraId="27DD8A72">
      <w:pPr>
        <w:spacing w:line="360" w:lineRule="auto"/>
        <w:rPr>
          <w:rFonts w:eastAsia="黑体"/>
          <w:color w:val="auto"/>
          <w:sz w:val="30"/>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13875FFF">
      <w:pPr>
        <w:pStyle w:val="2"/>
        <w:numPr>
          <w:ilvl w:val="0"/>
          <w:numId w:val="2"/>
        </w:numPr>
        <w:spacing w:before="0" w:after="0" w:line="240" w:lineRule="auto"/>
        <w:ind w:left="0" w:leftChars="0" w:firstLine="0" w:firstLineChars="0"/>
        <w:jc w:val="both"/>
      </w:pPr>
      <w:bookmarkStart w:id="4" w:name="_Toc10168"/>
      <w:r>
        <w:rPr>
          <w:color w:val="auto"/>
        </w:rPr>
        <w:t>建设项目工程分析</w:t>
      </w:r>
      <w:bookmarkEnd w:id="2"/>
      <w:bookmarkEnd w:id="4"/>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8609"/>
      </w:tblGrid>
      <w:tr w14:paraId="100A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dxa"/>
            <w:noWrap w:val="0"/>
            <w:vAlign w:val="center"/>
          </w:tcPr>
          <w:p w14:paraId="2E06F248">
            <w:pPr>
              <w:pStyle w:val="14"/>
              <w:adjustRightInd w:val="0"/>
              <w:snapToGrid w:val="0"/>
              <w:spacing w:beforeAutospacing="0" w:after="0" w:afterAutospacing="0"/>
              <w:jc w:val="center"/>
              <w:rPr>
                <w:rFonts w:ascii="Times New Roman" w:hAnsi="Times New Roman"/>
                <w:color w:val="auto"/>
                <w:sz w:val="21"/>
                <w:szCs w:val="21"/>
              </w:rPr>
            </w:pPr>
            <w:r>
              <w:rPr>
                <w:rFonts w:ascii="Times New Roman" w:hAnsi="Times New Roman"/>
                <w:color w:val="auto"/>
                <w:szCs w:val="24"/>
              </w:rPr>
              <w:t>建设内容</w:t>
            </w:r>
          </w:p>
        </w:tc>
        <w:tc>
          <w:tcPr>
            <w:tcW w:w="8609" w:type="dxa"/>
            <w:noWrap w:val="0"/>
            <w:vAlign w:val="top"/>
          </w:tcPr>
          <w:p w14:paraId="4E35348B">
            <w:pPr>
              <w:pStyle w:val="30"/>
              <w:spacing w:line="360" w:lineRule="auto"/>
              <w:rPr>
                <w:color w:val="auto"/>
                <w:sz w:val="30"/>
                <w:szCs w:val="30"/>
                <w:lang w:eastAsia="zh-CN"/>
              </w:rPr>
            </w:pPr>
            <w:r>
              <w:rPr>
                <w:rFonts w:ascii="Times New Roman" w:hAnsi="Times New Roman" w:eastAsia="Times New Roman" w:cs="Times New Roman"/>
                <w:b/>
                <w:bCs/>
                <w:color w:val="auto"/>
                <w:spacing w:val="-3"/>
                <w:sz w:val="30"/>
                <w:szCs w:val="30"/>
                <w:lang w:eastAsia="zh-CN"/>
              </w:rPr>
              <w:t>2.1</w:t>
            </w:r>
            <w:r>
              <w:rPr>
                <w:b/>
                <w:bCs/>
                <w:color w:val="auto"/>
                <w:spacing w:val="-3"/>
                <w:sz w:val="30"/>
                <w:szCs w:val="30"/>
                <w:lang w:eastAsia="zh-CN"/>
              </w:rPr>
              <w:t>、项目由来</w:t>
            </w:r>
          </w:p>
          <w:p w14:paraId="4061B09C">
            <w:pPr>
              <w:tabs>
                <w:tab w:val="left" w:pos="439"/>
              </w:tabs>
              <w:spacing w:line="360" w:lineRule="auto"/>
              <w:ind w:firstLine="464" w:firstLineChars="200"/>
              <w:rPr>
                <w:rFonts w:hint="eastAsia" w:ascii="Times New Roman" w:hAnsi="Times New Roman" w:eastAsia="宋体" w:cs="Times New Roman"/>
                <w:color w:val="auto"/>
                <w:spacing w:val="-4"/>
                <w:sz w:val="24"/>
                <w:lang w:val="en-US" w:eastAsia="zh-CN"/>
              </w:rPr>
            </w:pPr>
            <w:r>
              <w:rPr>
                <w:rFonts w:hint="eastAsia" w:ascii="Times New Roman" w:hAnsi="Times New Roman" w:eastAsia="宋体" w:cs="Times New Roman"/>
                <w:color w:val="auto"/>
                <w:spacing w:val="-4"/>
                <w:sz w:val="24"/>
                <w:lang w:val="en-US" w:eastAsia="zh-CN"/>
              </w:rPr>
              <w:t>闽侯县祥谦镇中心卫生院(闽侯县人民医院祥谦分院)始建于1958年，位于闽侯县尚干镇洋中村桥头东1号。医疗服务范围辐射尚干、祥谦、青口、南通等四镇以及部分长乐、福清</w:t>
            </w:r>
            <w:r>
              <w:rPr>
                <w:rFonts w:hint="eastAsia" w:cs="Times New Roman"/>
                <w:color w:val="auto"/>
                <w:spacing w:val="-4"/>
                <w:sz w:val="24"/>
                <w:lang w:val="en-US" w:eastAsia="zh-CN"/>
              </w:rPr>
              <w:t>邻近</w:t>
            </w:r>
            <w:r>
              <w:rPr>
                <w:rFonts w:hint="eastAsia" w:ascii="Times New Roman" w:hAnsi="Times New Roman" w:eastAsia="宋体" w:cs="Times New Roman"/>
                <w:color w:val="auto"/>
                <w:spacing w:val="-4"/>
                <w:sz w:val="24"/>
                <w:lang w:val="en-US" w:eastAsia="zh-CN"/>
              </w:rPr>
              <w:t>乡镇，辐射总人口数约20多万，是一所集医疗、120”急救和预防、保健康复于议题的综合二级医院。</w:t>
            </w:r>
          </w:p>
          <w:p w14:paraId="24048830">
            <w:pPr>
              <w:tabs>
                <w:tab w:val="left" w:pos="439"/>
              </w:tabs>
              <w:spacing w:line="360" w:lineRule="auto"/>
              <w:ind w:firstLine="464" w:firstLineChars="200"/>
              <w:rPr>
                <w:rFonts w:hint="eastAsia" w:ascii="Times New Roman" w:hAnsi="Times New Roman" w:eastAsia="宋体" w:cs="Times New Roman"/>
                <w:color w:val="auto"/>
                <w:spacing w:val="-4"/>
                <w:sz w:val="24"/>
                <w:lang w:val="en-US" w:eastAsia="zh-CN"/>
              </w:rPr>
            </w:pPr>
            <w:r>
              <w:rPr>
                <w:rFonts w:hint="eastAsia" w:ascii="Times New Roman" w:hAnsi="Times New Roman" w:eastAsia="宋体" w:cs="Times New Roman"/>
                <w:color w:val="auto"/>
                <w:spacing w:val="-4"/>
                <w:sz w:val="24"/>
                <w:lang w:val="en-US" w:eastAsia="zh-CN"/>
              </w:rPr>
              <w:t>现有医院占地面积约30亩，已建有门诊住院综合大楼、旧住院楼、旧门诊楼、职工宿舍等业务用房。</w:t>
            </w:r>
            <w:r>
              <w:rPr>
                <w:rFonts w:hint="eastAsia" w:cs="Times New Roman"/>
                <w:color w:val="auto"/>
                <w:spacing w:val="-4"/>
                <w:sz w:val="24"/>
                <w:lang w:val="en-US" w:eastAsia="zh-CN"/>
              </w:rPr>
              <w:t>现状</w:t>
            </w:r>
            <w:r>
              <w:rPr>
                <w:rFonts w:hint="eastAsia" w:ascii="Times New Roman" w:hAnsi="Times New Roman" w:eastAsia="宋体" w:cs="Times New Roman"/>
                <w:color w:val="auto"/>
                <w:spacing w:val="-4"/>
                <w:sz w:val="24"/>
                <w:lang w:val="en-US" w:eastAsia="zh-CN"/>
              </w:rPr>
              <w:t>医院开放床位180张，总职工数303人。鉴于现有地块医疗环境拥挤，本次在保留门诊住院综合大楼、旧住院楼、旧门诊楼、职工宿舍等基础上改扩建，新建住院综合楼、后勤楼、附属楼及相关配套。改扩建后占地面积50.11亩，总建筑面积53237.88万平方米。项目建设完成后，面向社会床位数350张。在住院治疗人次方面，预计平均住院天数为7天，</w:t>
            </w:r>
            <w:r>
              <w:rPr>
                <w:rFonts w:hint="eastAsia" w:cs="Times New Roman"/>
                <w:color w:val="auto"/>
                <w:spacing w:val="-4"/>
                <w:sz w:val="24"/>
                <w:lang w:val="en-US" w:eastAsia="zh-CN"/>
              </w:rPr>
              <w:t>每张</w:t>
            </w:r>
            <w:r>
              <w:rPr>
                <w:rFonts w:hint="eastAsia" w:ascii="Times New Roman" w:hAnsi="Times New Roman" w:eastAsia="宋体" w:cs="Times New Roman"/>
                <w:color w:val="auto"/>
                <w:spacing w:val="-4"/>
                <w:sz w:val="24"/>
                <w:lang w:val="en-US" w:eastAsia="zh-CN"/>
              </w:rPr>
              <w:t>床位每年可以提供治疗约52人次，总共约1.8万人次。</w:t>
            </w:r>
          </w:p>
          <w:p w14:paraId="13775F0C">
            <w:pPr>
              <w:tabs>
                <w:tab w:val="left" w:pos="439"/>
              </w:tabs>
              <w:spacing w:line="360" w:lineRule="auto"/>
              <w:ind w:firstLine="464" w:firstLineChars="200"/>
              <w:rPr>
                <w:rFonts w:hint="eastAsia" w:ascii="Times New Roman" w:hAnsi="Times New Roman" w:eastAsia="宋体" w:cs="Times New Roman"/>
                <w:color w:val="auto"/>
                <w:spacing w:val="-4"/>
                <w:sz w:val="24"/>
                <w:lang w:val="en-US" w:eastAsia="zh-CN"/>
              </w:rPr>
            </w:pPr>
            <w:r>
              <w:rPr>
                <w:rFonts w:hint="eastAsia" w:ascii="Times New Roman" w:hAnsi="Times New Roman" w:eastAsia="宋体" w:cs="Times New Roman"/>
                <w:color w:val="auto"/>
                <w:spacing w:val="-4"/>
                <w:sz w:val="24"/>
                <w:lang w:val="en-US" w:eastAsia="zh-CN"/>
              </w:rPr>
              <w:t>项目的建</w:t>
            </w:r>
            <w:r>
              <w:rPr>
                <w:rFonts w:hint="eastAsia" w:cs="Times New Roman"/>
                <w:color w:val="auto"/>
                <w:spacing w:val="-4"/>
                <w:sz w:val="24"/>
                <w:lang w:val="en-US" w:eastAsia="zh-CN"/>
              </w:rPr>
              <w:t>设将</w:t>
            </w:r>
            <w:r>
              <w:rPr>
                <w:rFonts w:hint="eastAsia" w:ascii="Times New Roman" w:hAnsi="Times New Roman" w:eastAsia="宋体" w:cs="Times New Roman"/>
                <w:color w:val="auto"/>
                <w:spacing w:val="-4"/>
                <w:sz w:val="24"/>
                <w:lang w:val="en-US" w:eastAsia="zh-CN"/>
              </w:rPr>
              <w:t>进一步提升闽侯县样谦医疗卫生水平，又能满足人民群众看病就医的需求，保障人民身体健康，促进社会的和谐发展。</w:t>
            </w:r>
          </w:p>
          <w:p w14:paraId="27FF560D">
            <w:pPr>
              <w:pStyle w:val="30"/>
              <w:spacing w:before="33" w:line="376" w:lineRule="auto"/>
              <w:ind w:left="111" w:right="102" w:firstLine="478"/>
              <w:rPr>
                <w:rFonts w:ascii="Times New Roman" w:hAnsi="Times New Roman" w:cs="Times New Roman"/>
                <w:color w:val="auto"/>
                <w:lang w:eastAsia="zh-CN"/>
              </w:rPr>
            </w:pPr>
            <w:r>
              <w:rPr>
                <w:rFonts w:ascii="Times New Roman" w:hAnsi="Times New Roman" w:cs="Times New Roman"/>
                <w:color w:val="auto"/>
                <w:spacing w:val="-4"/>
                <w:lang w:eastAsia="zh-CN"/>
              </w:rPr>
              <w:t>根据《建设项目环境影响评价分类管理名录》，</w:t>
            </w:r>
            <w:r>
              <w:rPr>
                <w:rFonts w:hint="eastAsia" w:ascii="Times New Roman" w:hAnsi="Times New Roman" w:cs="Times New Roman"/>
                <w:color w:val="auto"/>
                <w:spacing w:val="-4"/>
                <w:lang w:val="en-US" w:eastAsia="zh-CN"/>
              </w:rPr>
              <w:t>医院</w:t>
            </w:r>
            <w:r>
              <w:rPr>
                <w:rFonts w:ascii="Times New Roman" w:hAnsi="Times New Roman" w:cs="Times New Roman"/>
                <w:color w:val="auto"/>
                <w:spacing w:val="-5"/>
                <w:lang w:eastAsia="zh-CN"/>
              </w:rPr>
              <w:t>属于“四十九、</w:t>
            </w:r>
            <w:r>
              <w:rPr>
                <w:rFonts w:ascii="Times New Roman" w:hAnsi="Times New Roman" w:cs="Times New Roman"/>
                <w:color w:val="auto"/>
                <w:spacing w:val="-3"/>
                <w:lang w:eastAsia="zh-CN"/>
              </w:rPr>
              <w:t>卫生－医院</w:t>
            </w:r>
            <w:r>
              <w:rPr>
                <w:rFonts w:ascii="Times New Roman" w:hAnsi="Times New Roman" w:eastAsia="Times New Roman" w:cs="Times New Roman"/>
                <w:color w:val="auto"/>
                <w:spacing w:val="-3"/>
                <w:lang w:eastAsia="zh-CN"/>
              </w:rPr>
              <w:t>841</w:t>
            </w:r>
            <w:r>
              <w:rPr>
                <w:rFonts w:ascii="Times New Roman" w:hAnsi="Times New Roman" w:cs="Times New Roman"/>
                <w:color w:val="auto"/>
                <w:spacing w:val="-3"/>
                <w:lang w:eastAsia="zh-CN"/>
              </w:rPr>
              <w:t>－其他（住院床位</w:t>
            </w:r>
            <w:r>
              <w:rPr>
                <w:rFonts w:ascii="Times New Roman" w:hAnsi="Times New Roman" w:eastAsia="Times New Roman" w:cs="Times New Roman"/>
                <w:color w:val="auto"/>
                <w:spacing w:val="-3"/>
                <w:lang w:eastAsia="zh-CN"/>
              </w:rPr>
              <w:t>20</w:t>
            </w:r>
            <w:r>
              <w:rPr>
                <w:rFonts w:ascii="Times New Roman" w:hAnsi="Times New Roman" w:cs="Times New Roman"/>
                <w:color w:val="auto"/>
                <w:spacing w:val="-3"/>
                <w:lang w:eastAsia="zh-CN"/>
              </w:rPr>
              <w:t>张以下的除外）”，应编制环境影响报</w:t>
            </w:r>
            <w:r>
              <w:rPr>
                <w:rFonts w:ascii="Times New Roman" w:hAnsi="Times New Roman" w:cs="Times New Roman"/>
                <w:color w:val="auto"/>
                <w:spacing w:val="-1"/>
                <w:lang w:eastAsia="zh-CN"/>
              </w:rPr>
              <w:t>告表，</w:t>
            </w:r>
            <w:r>
              <w:rPr>
                <w:rFonts w:ascii="Times New Roman" w:hAnsi="Times New Roman" w:cs="Times New Roman"/>
                <w:color w:val="auto"/>
                <w:szCs w:val="20"/>
                <w:lang w:eastAsia="zh-CN"/>
              </w:rPr>
              <w:t>详见表2.1-1</w:t>
            </w:r>
            <w:r>
              <w:rPr>
                <w:rFonts w:ascii="Times New Roman" w:hAnsi="Times New Roman" w:cs="Times New Roman"/>
                <w:color w:val="auto"/>
                <w:spacing w:val="-1"/>
                <w:lang w:eastAsia="zh-CN"/>
              </w:rPr>
              <w:t>。</w:t>
            </w:r>
            <w:r>
              <w:rPr>
                <w:rFonts w:hint="eastAsia" w:ascii="Times New Roman" w:hAnsi="Times New Roman" w:cs="Times New Roman"/>
                <w:color w:val="auto"/>
                <w:spacing w:val="-1"/>
                <w:lang w:eastAsia="zh-CN"/>
              </w:rPr>
              <w:t>本项目设有</w:t>
            </w:r>
            <w:r>
              <w:rPr>
                <w:rFonts w:ascii="Times New Roman" w:hAnsi="Times New Roman" w:cs="Times New Roman"/>
                <w:color w:val="auto"/>
                <w:spacing w:val="-1"/>
                <w:lang w:eastAsia="zh-CN"/>
              </w:rPr>
              <w:t>放射性</w:t>
            </w:r>
            <w:r>
              <w:rPr>
                <w:rFonts w:hint="eastAsia" w:ascii="Times New Roman" w:hAnsi="Times New Roman" w:cs="Times New Roman"/>
                <w:color w:val="auto"/>
                <w:spacing w:val="-1"/>
                <w:lang w:eastAsia="zh-CN"/>
              </w:rPr>
              <w:t>检验</w:t>
            </w:r>
            <w:r>
              <w:rPr>
                <w:rFonts w:ascii="Times New Roman" w:hAnsi="Times New Roman" w:cs="Times New Roman"/>
                <w:color w:val="auto"/>
                <w:spacing w:val="-1"/>
                <w:lang w:eastAsia="zh-CN"/>
              </w:rPr>
              <w:t>设备</w:t>
            </w:r>
            <w:r>
              <w:rPr>
                <w:rFonts w:hint="eastAsia" w:ascii="Times New Roman" w:hAnsi="Times New Roman" w:cs="Times New Roman"/>
                <w:color w:val="auto"/>
                <w:spacing w:val="-1"/>
                <w:lang w:eastAsia="zh-CN"/>
              </w:rPr>
              <w:t>，</w:t>
            </w:r>
            <w:r>
              <w:rPr>
                <w:rFonts w:ascii="Times New Roman" w:hAnsi="Times New Roman" w:cs="Times New Roman"/>
                <w:color w:val="auto"/>
                <w:spacing w:val="-1"/>
                <w:lang w:eastAsia="zh-CN"/>
              </w:rPr>
              <w:t>本环评不包含辐射影响评价，建设单位另行</w:t>
            </w:r>
            <w:r>
              <w:rPr>
                <w:rFonts w:ascii="Times New Roman" w:hAnsi="Times New Roman" w:cs="Times New Roman"/>
                <w:color w:val="auto"/>
                <w:spacing w:val="-2"/>
                <w:lang w:eastAsia="zh-CN"/>
              </w:rPr>
              <w:t>委托其他单位进行评价。</w:t>
            </w:r>
          </w:p>
          <w:p w14:paraId="31A781A4">
            <w:pPr>
              <w:tabs>
                <w:tab w:val="left" w:pos="439"/>
              </w:tabs>
              <w:spacing w:line="360" w:lineRule="auto"/>
              <w:ind w:firstLine="464" w:firstLineChars="200"/>
              <w:rPr>
                <w:color w:val="auto"/>
                <w:spacing w:val="-4"/>
                <w:sz w:val="24"/>
              </w:rPr>
            </w:pPr>
            <w:r>
              <w:rPr>
                <w:color w:val="auto"/>
                <w:spacing w:val="-4"/>
                <w:sz w:val="24"/>
              </w:rPr>
              <w:t>为了科学客观地评价项目建设过程中以及建成后对周围环境造成的影响，</w:t>
            </w:r>
            <w:r>
              <w:rPr>
                <w:rFonts w:hint="eastAsia"/>
                <w:color w:val="auto"/>
                <w:spacing w:val="-4"/>
                <w:sz w:val="24"/>
                <w:lang w:eastAsia="zh-CN"/>
              </w:rPr>
              <w:t>闽侯县人民医院</w:t>
            </w:r>
            <w:r>
              <w:rPr>
                <w:color w:val="auto"/>
                <w:spacing w:val="-4"/>
                <w:sz w:val="24"/>
              </w:rPr>
              <w:t>委托本环评单位进行建设项目的环境影响评价工作。本评价单位在现场踏勘、监测和资料收集等的基础上，根据《建设项目环境影响报告表编制技术指南》（污染影响类</w:t>
            </w:r>
            <w:r>
              <w:rPr>
                <w:rFonts w:hint="eastAsia"/>
                <w:color w:val="auto"/>
                <w:spacing w:val="-4"/>
                <w:sz w:val="24"/>
                <w:lang w:eastAsia="zh-CN"/>
              </w:rPr>
              <w:t>）及其他有关</w:t>
            </w:r>
            <w:r>
              <w:rPr>
                <w:color w:val="auto"/>
                <w:spacing w:val="-4"/>
                <w:sz w:val="24"/>
              </w:rPr>
              <w:t>文件，编制了该项目的环境影响报告表，并交由建设单位报请环保主管部门审批。</w:t>
            </w:r>
          </w:p>
          <w:p w14:paraId="3FD3661C">
            <w:pPr>
              <w:pStyle w:val="5"/>
              <w:ind w:firstLine="0"/>
              <w:jc w:val="center"/>
              <w:rPr>
                <w:b/>
                <w:bCs/>
                <w:color w:val="auto"/>
                <w:szCs w:val="24"/>
              </w:rPr>
            </w:pPr>
            <w:r>
              <w:rPr>
                <w:b/>
                <w:bCs/>
                <w:color w:val="auto"/>
                <w:szCs w:val="24"/>
              </w:rPr>
              <w:t>表2.1-1《建设项目环境影响评价分类管理名录》（摘录）</w:t>
            </w:r>
          </w:p>
          <w:tbl>
            <w:tblPr>
              <w:tblStyle w:val="17"/>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24"/>
              <w:gridCol w:w="2186"/>
              <w:gridCol w:w="2142"/>
              <w:gridCol w:w="2085"/>
              <w:gridCol w:w="1356"/>
            </w:tblGrid>
            <w:tr w14:paraId="12BF4D3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674" w:type="pct"/>
                  <w:gridSpan w:val="2"/>
                  <w:tcBorders>
                    <w:top w:val="single" w:color="auto" w:sz="12" w:space="0"/>
                    <w:bottom w:val="single" w:color="auto" w:sz="4" w:space="0"/>
                    <w:tl2br w:val="single" w:color="auto" w:sz="4" w:space="0"/>
                  </w:tcBorders>
                  <w:shd w:val="clear" w:color="auto" w:fill="auto"/>
                  <w:noWrap w:val="0"/>
                  <w:vAlign w:val="center"/>
                </w:tcPr>
                <w:p w14:paraId="557FE1E0">
                  <w:pPr>
                    <w:widowControl/>
                    <w:adjustRightInd w:val="0"/>
                    <w:snapToGrid w:val="0"/>
                    <w:spacing w:line="340" w:lineRule="exact"/>
                    <w:jc w:val="right"/>
                    <w:rPr>
                      <w:color w:val="auto"/>
                      <w:kern w:val="0"/>
                      <w:szCs w:val="21"/>
                    </w:rPr>
                  </w:pPr>
                  <w:r>
                    <w:rPr>
                      <w:color w:val="auto"/>
                      <w:kern w:val="0"/>
                      <w:szCs w:val="21"/>
                    </w:rPr>
                    <w:t>环评类别</w:t>
                  </w:r>
                </w:p>
                <w:p w14:paraId="42F9C95B">
                  <w:pPr>
                    <w:widowControl/>
                    <w:adjustRightInd w:val="0"/>
                    <w:snapToGrid w:val="0"/>
                    <w:spacing w:line="340" w:lineRule="exact"/>
                    <w:jc w:val="left"/>
                    <w:rPr>
                      <w:color w:val="auto"/>
                      <w:kern w:val="0"/>
                      <w:szCs w:val="21"/>
                    </w:rPr>
                  </w:pPr>
                  <w:r>
                    <w:rPr>
                      <w:color w:val="auto"/>
                      <w:kern w:val="0"/>
                      <w:szCs w:val="21"/>
                    </w:rPr>
                    <w:t>项目类别</w:t>
                  </w:r>
                </w:p>
              </w:tc>
              <w:tc>
                <w:tcPr>
                  <w:tcW w:w="1276" w:type="pct"/>
                  <w:tcBorders>
                    <w:top w:val="single" w:color="auto" w:sz="12" w:space="0"/>
                    <w:bottom w:val="single" w:color="auto" w:sz="4" w:space="0"/>
                  </w:tcBorders>
                  <w:shd w:val="clear" w:color="auto" w:fill="auto"/>
                  <w:noWrap w:val="0"/>
                  <w:vAlign w:val="center"/>
                </w:tcPr>
                <w:p w14:paraId="26991DE2">
                  <w:pPr>
                    <w:widowControl/>
                    <w:adjustRightInd w:val="0"/>
                    <w:snapToGrid w:val="0"/>
                    <w:spacing w:line="340" w:lineRule="exact"/>
                    <w:jc w:val="center"/>
                    <w:rPr>
                      <w:color w:val="auto"/>
                      <w:kern w:val="0"/>
                      <w:szCs w:val="21"/>
                    </w:rPr>
                  </w:pPr>
                  <w:r>
                    <w:rPr>
                      <w:color w:val="auto"/>
                      <w:kern w:val="0"/>
                      <w:szCs w:val="21"/>
                    </w:rPr>
                    <w:t>报告书</w:t>
                  </w:r>
                </w:p>
              </w:tc>
              <w:tc>
                <w:tcPr>
                  <w:tcW w:w="1242" w:type="pct"/>
                  <w:tcBorders>
                    <w:top w:val="single" w:color="auto" w:sz="12" w:space="0"/>
                    <w:bottom w:val="single" w:color="auto" w:sz="4" w:space="0"/>
                  </w:tcBorders>
                  <w:shd w:val="clear" w:color="auto" w:fill="D7D7D7"/>
                  <w:noWrap w:val="0"/>
                  <w:vAlign w:val="center"/>
                </w:tcPr>
                <w:p w14:paraId="7C9D31C9">
                  <w:pPr>
                    <w:widowControl/>
                    <w:adjustRightInd w:val="0"/>
                    <w:snapToGrid w:val="0"/>
                    <w:spacing w:line="340" w:lineRule="exact"/>
                    <w:jc w:val="center"/>
                    <w:rPr>
                      <w:color w:val="auto"/>
                      <w:kern w:val="0"/>
                      <w:szCs w:val="21"/>
                    </w:rPr>
                  </w:pPr>
                  <w:r>
                    <w:rPr>
                      <w:color w:val="auto"/>
                      <w:kern w:val="0"/>
                      <w:szCs w:val="21"/>
                    </w:rPr>
                    <w:t>报告表</w:t>
                  </w:r>
                </w:p>
              </w:tc>
              <w:tc>
                <w:tcPr>
                  <w:tcW w:w="806" w:type="pct"/>
                  <w:tcBorders>
                    <w:top w:val="single" w:color="auto" w:sz="12" w:space="0"/>
                    <w:bottom w:val="single" w:color="auto" w:sz="4" w:space="0"/>
                  </w:tcBorders>
                  <w:noWrap w:val="0"/>
                  <w:vAlign w:val="center"/>
                </w:tcPr>
                <w:p w14:paraId="61147E11">
                  <w:pPr>
                    <w:widowControl/>
                    <w:adjustRightInd w:val="0"/>
                    <w:snapToGrid w:val="0"/>
                    <w:spacing w:line="340" w:lineRule="exact"/>
                    <w:jc w:val="center"/>
                    <w:rPr>
                      <w:color w:val="auto"/>
                      <w:kern w:val="0"/>
                      <w:szCs w:val="21"/>
                    </w:rPr>
                  </w:pPr>
                  <w:r>
                    <w:rPr>
                      <w:color w:val="auto"/>
                      <w:kern w:val="0"/>
                      <w:szCs w:val="21"/>
                    </w:rPr>
                    <w:t>登记表</w:t>
                  </w:r>
                </w:p>
              </w:tc>
            </w:tr>
            <w:tr w14:paraId="61874C7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op w:val="single" w:color="auto" w:sz="4" w:space="0"/>
                    <w:bottom w:val="single" w:color="auto" w:sz="4" w:space="0"/>
                  </w:tcBorders>
                  <w:shd w:val="clear" w:color="auto" w:fill="D7D7D7"/>
                  <w:noWrap w:val="0"/>
                  <w:vAlign w:val="center"/>
                </w:tcPr>
                <w:p w14:paraId="1AA597E9">
                  <w:pPr>
                    <w:widowControl/>
                    <w:adjustRightInd w:val="0"/>
                    <w:snapToGrid w:val="0"/>
                    <w:spacing w:line="340" w:lineRule="exact"/>
                    <w:jc w:val="left"/>
                    <w:rPr>
                      <w:color w:val="auto"/>
                      <w:kern w:val="0"/>
                      <w:szCs w:val="21"/>
                    </w:rPr>
                  </w:pPr>
                  <w:r>
                    <w:rPr>
                      <w:color w:val="auto"/>
                      <w:spacing w:val="-5"/>
                      <w:szCs w:val="21"/>
                    </w:rPr>
                    <w:t>四十九、</w:t>
                  </w:r>
                  <w:r>
                    <w:rPr>
                      <w:color w:val="auto"/>
                      <w:spacing w:val="-3"/>
                      <w:szCs w:val="21"/>
                    </w:rPr>
                    <w:t>卫生</w:t>
                  </w:r>
                </w:p>
              </w:tc>
            </w:tr>
            <w:tr w14:paraId="5131CCB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2" w:type="pct"/>
                  <w:tcBorders>
                    <w:top w:val="single" w:color="auto" w:sz="4" w:space="0"/>
                    <w:bottom w:val="single" w:color="auto" w:sz="12" w:space="0"/>
                  </w:tcBorders>
                  <w:shd w:val="clear" w:color="auto" w:fill="auto"/>
                  <w:noWrap w:val="0"/>
                  <w:vAlign w:val="center"/>
                </w:tcPr>
                <w:p w14:paraId="5085AE69">
                  <w:pPr>
                    <w:widowControl/>
                    <w:adjustRightInd w:val="0"/>
                    <w:snapToGrid w:val="0"/>
                    <w:spacing w:line="340" w:lineRule="exact"/>
                    <w:jc w:val="center"/>
                    <w:rPr>
                      <w:color w:val="auto"/>
                      <w:kern w:val="0"/>
                      <w:szCs w:val="21"/>
                    </w:rPr>
                  </w:pPr>
                  <w:r>
                    <w:rPr>
                      <w:color w:val="auto"/>
                      <w:kern w:val="0"/>
                      <w:szCs w:val="21"/>
                    </w:rPr>
                    <w:t>108</w:t>
                  </w:r>
                </w:p>
              </w:tc>
              <w:tc>
                <w:tcPr>
                  <w:tcW w:w="1302" w:type="pct"/>
                  <w:tcBorders>
                    <w:top w:val="single" w:color="auto" w:sz="4" w:space="0"/>
                    <w:bottom w:val="single" w:color="auto" w:sz="12" w:space="0"/>
                  </w:tcBorders>
                  <w:shd w:val="clear" w:color="auto" w:fill="auto"/>
                  <w:noWrap w:val="0"/>
                  <w:vAlign w:val="center"/>
                </w:tcPr>
                <w:p w14:paraId="4F14A586">
                  <w:pPr>
                    <w:widowControl/>
                    <w:adjustRightInd w:val="0"/>
                    <w:snapToGrid w:val="0"/>
                    <w:spacing w:line="340" w:lineRule="exact"/>
                    <w:jc w:val="center"/>
                    <w:rPr>
                      <w:color w:val="auto"/>
                      <w:kern w:val="0"/>
                      <w:szCs w:val="21"/>
                    </w:rPr>
                  </w:pPr>
                  <w:r>
                    <w:rPr>
                      <w:color w:val="auto"/>
                      <w:kern w:val="0"/>
                      <w:szCs w:val="21"/>
                    </w:rPr>
                    <w:t>医院841；专科疾病</w:t>
                  </w:r>
                </w:p>
                <w:p w14:paraId="1BA2FA90">
                  <w:pPr>
                    <w:widowControl/>
                    <w:adjustRightInd w:val="0"/>
                    <w:snapToGrid w:val="0"/>
                    <w:spacing w:line="340" w:lineRule="exact"/>
                    <w:jc w:val="center"/>
                    <w:rPr>
                      <w:color w:val="auto"/>
                      <w:kern w:val="0"/>
                      <w:szCs w:val="21"/>
                    </w:rPr>
                  </w:pPr>
                  <w:r>
                    <w:rPr>
                      <w:color w:val="auto"/>
                      <w:kern w:val="0"/>
                      <w:szCs w:val="21"/>
                    </w:rPr>
                    <w:t>防治院（所、站）8432；</w:t>
                  </w:r>
                </w:p>
                <w:p w14:paraId="295CDEC6">
                  <w:pPr>
                    <w:widowControl/>
                    <w:adjustRightInd w:val="0"/>
                    <w:snapToGrid w:val="0"/>
                    <w:spacing w:line="340" w:lineRule="exact"/>
                    <w:jc w:val="center"/>
                    <w:rPr>
                      <w:color w:val="auto"/>
                      <w:kern w:val="0"/>
                      <w:szCs w:val="21"/>
                    </w:rPr>
                  </w:pPr>
                  <w:r>
                    <w:rPr>
                      <w:color w:val="auto"/>
                      <w:kern w:val="0"/>
                      <w:szCs w:val="21"/>
                    </w:rPr>
                    <w:t>妇幼保健院（所、站）</w:t>
                  </w:r>
                </w:p>
                <w:p w14:paraId="759E752E">
                  <w:pPr>
                    <w:widowControl/>
                    <w:adjustRightInd w:val="0"/>
                    <w:snapToGrid w:val="0"/>
                    <w:spacing w:line="340" w:lineRule="exact"/>
                    <w:jc w:val="center"/>
                    <w:rPr>
                      <w:color w:val="auto"/>
                      <w:kern w:val="0"/>
                      <w:szCs w:val="21"/>
                    </w:rPr>
                  </w:pPr>
                  <w:r>
                    <w:rPr>
                      <w:color w:val="auto"/>
                      <w:kern w:val="0"/>
                      <w:szCs w:val="21"/>
                    </w:rPr>
                    <w:t>8433；急救中心（站）</w:t>
                  </w:r>
                </w:p>
                <w:p w14:paraId="64EF780F">
                  <w:pPr>
                    <w:widowControl/>
                    <w:adjustRightInd w:val="0"/>
                    <w:snapToGrid w:val="0"/>
                    <w:spacing w:line="340" w:lineRule="exact"/>
                    <w:jc w:val="center"/>
                    <w:rPr>
                      <w:color w:val="auto"/>
                      <w:kern w:val="0"/>
                      <w:szCs w:val="21"/>
                    </w:rPr>
                  </w:pPr>
                  <w:r>
                    <w:rPr>
                      <w:color w:val="auto"/>
                      <w:kern w:val="0"/>
                      <w:szCs w:val="21"/>
                    </w:rPr>
                    <w:t>服务8434；采供血机</w:t>
                  </w:r>
                </w:p>
                <w:p w14:paraId="2B57F341">
                  <w:pPr>
                    <w:widowControl/>
                    <w:adjustRightInd w:val="0"/>
                    <w:snapToGrid w:val="0"/>
                    <w:spacing w:line="340" w:lineRule="exact"/>
                    <w:jc w:val="center"/>
                    <w:rPr>
                      <w:color w:val="auto"/>
                      <w:kern w:val="0"/>
                      <w:szCs w:val="21"/>
                    </w:rPr>
                  </w:pPr>
                  <w:r>
                    <w:rPr>
                      <w:color w:val="auto"/>
                      <w:kern w:val="0"/>
                      <w:szCs w:val="21"/>
                    </w:rPr>
                    <w:t>构服务8435；基层医</w:t>
                  </w:r>
                </w:p>
                <w:p w14:paraId="3A624B8B">
                  <w:pPr>
                    <w:widowControl/>
                    <w:adjustRightInd w:val="0"/>
                    <w:snapToGrid w:val="0"/>
                    <w:spacing w:line="340" w:lineRule="exact"/>
                    <w:jc w:val="center"/>
                    <w:rPr>
                      <w:color w:val="auto"/>
                      <w:kern w:val="0"/>
                      <w:szCs w:val="21"/>
                    </w:rPr>
                  </w:pPr>
                  <w:r>
                    <w:rPr>
                      <w:color w:val="auto"/>
                      <w:kern w:val="0"/>
                      <w:szCs w:val="21"/>
                    </w:rPr>
                    <w:t>疗卫生服务842</w:t>
                  </w:r>
                </w:p>
              </w:tc>
              <w:tc>
                <w:tcPr>
                  <w:tcW w:w="1276" w:type="pct"/>
                  <w:tcBorders>
                    <w:top w:val="single" w:color="auto" w:sz="4" w:space="0"/>
                    <w:bottom w:val="single" w:color="auto" w:sz="12" w:space="0"/>
                  </w:tcBorders>
                  <w:shd w:val="clear" w:color="auto" w:fill="auto"/>
                  <w:noWrap w:val="0"/>
                  <w:vAlign w:val="center"/>
                </w:tcPr>
                <w:p w14:paraId="1D0447C9">
                  <w:pPr>
                    <w:widowControl/>
                    <w:jc w:val="left"/>
                    <w:rPr>
                      <w:color w:val="auto"/>
                      <w:szCs w:val="21"/>
                    </w:rPr>
                  </w:pPr>
                  <w:r>
                    <w:rPr>
                      <w:color w:val="auto"/>
                      <w:kern w:val="0"/>
                      <w:szCs w:val="21"/>
                      <w:lang w:bidi="ar"/>
                    </w:rPr>
                    <w:t>新建、扩建住院床位500张及以上的</w:t>
                  </w:r>
                </w:p>
                <w:p w14:paraId="3590CEEF">
                  <w:pPr>
                    <w:widowControl/>
                    <w:spacing w:line="340" w:lineRule="exact"/>
                    <w:jc w:val="center"/>
                    <w:rPr>
                      <w:color w:val="auto"/>
                      <w:kern w:val="0"/>
                      <w:szCs w:val="21"/>
                    </w:rPr>
                  </w:pPr>
                </w:p>
              </w:tc>
              <w:tc>
                <w:tcPr>
                  <w:tcW w:w="1242" w:type="pct"/>
                  <w:tcBorders>
                    <w:top w:val="single" w:color="auto" w:sz="4" w:space="0"/>
                    <w:bottom w:val="single" w:color="auto" w:sz="12" w:space="0"/>
                  </w:tcBorders>
                  <w:shd w:val="clear" w:color="auto" w:fill="D7D7D7"/>
                  <w:noWrap w:val="0"/>
                  <w:vAlign w:val="center"/>
                </w:tcPr>
                <w:p w14:paraId="14E5669C">
                  <w:pPr>
                    <w:widowControl/>
                    <w:jc w:val="left"/>
                    <w:rPr>
                      <w:color w:val="auto"/>
                      <w:szCs w:val="21"/>
                    </w:rPr>
                  </w:pPr>
                  <w:r>
                    <w:rPr>
                      <w:color w:val="auto"/>
                      <w:kern w:val="0"/>
                      <w:szCs w:val="21"/>
                      <w:lang w:bidi="ar"/>
                    </w:rPr>
                    <w:t>其他（住院床位20张以下的除外）</w:t>
                  </w:r>
                </w:p>
                <w:p w14:paraId="7D3CBB92">
                  <w:pPr>
                    <w:widowControl/>
                    <w:adjustRightInd w:val="0"/>
                    <w:snapToGrid w:val="0"/>
                    <w:spacing w:line="340" w:lineRule="exact"/>
                    <w:jc w:val="center"/>
                    <w:rPr>
                      <w:color w:val="auto"/>
                      <w:kern w:val="0"/>
                      <w:szCs w:val="21"/>
                    </w:rPr>
                  </w:pPr>
                </w:p>
              </w:tc>
              <w:tc>
                <w:tcPr>
                  <w:tcW w:w="806" w:type="pct"/>
                  <w:tcBorders>
                    <w:top w:val="single" w:color="auto" w:sz="4" w:space="0"/>
                    <w:bottom w:val="single" w:color="auto" w:sz="12" w:space="0"/>
                  </w:tcBorders>
                  <w:noWrap w:val="0"/>
                  <w:vAlign w:val="center"/>
                </w:tcPr>
                <w:p w14:paraId="105DC9EE">
                  <w:pPr>
                    <w:widowControl/>
                    <w:jc w:val="left"/>
                    <w:rPr>
                      <w:color w:val="auto"/>
                      <w:szCs w:val="21"/>
                    </w:rPr>
                  </w:pPr>
                  <w:r>
                    <w:rPr>
                      <w:color w:val="auto"/>
                      <w:kern w:val="0"/>
                      <w:szCs w:val="21"/>
                      <w:lang w:bidi="ar"/>
                    </w:rPr>
                    <w:t>住院床位20张以下的（不含20张住院床位的）</w:t>
                  </w:r>
                </w:p>
                <w:p w14:paraId="6DE40AFB">
                  <w:pPr>
                    <w:widowControl/>
                    <w:adjustRightInd w:val="0"/>
                    <w:snapToGrid w:val="0"/>
                    <w:spacing w:line="340" w:lineRule="exact"/>
                    <w:jc w:val="center"/>
                    <w:rPr>
                      <w:color w:val="auto"/>
                      <w:kern w:val="0"/>
                      <w:szCs w:val="21"/>
                    </w:rPr>
                  </w:pPr>
                </w:p>
              </w:tc>
            </w:tr>
          </w:tbl>
          <w:p w14:paraId="6C5AF7F9">
            <w:pPr>
              <w:pStyle w:val="16"/>
              <w:ind w:left="0" w:leftChars="0" w:firstLine="0" w:firstLineChars="0"/>
              <w:rPr>
                <w:color w:val="auto"/>
              </w:rPr>
            </w:pPr>
          </w:p>
          <w:p w14:paraId="476CC3ED">
            <w:pPr>
              <w:pStyle w:val="3"/>
              <w:spacing w:before="120" w:line="360" w:lineRule="auto"/>
              <w:ind w:left="0"/>
              <w:rPr>
                <w:color w:val="auto"/>
                <w:sz w:val="30"/>
                <w:szCs w:val="30"/>
              </w:rPr>
            </w:pPr>
            <w:r>
              <w:rPr>
                <w:rFonts w:ascii="Times New Roman" w:hAnsi="Times New Roman" w:eastAsia="Times New Roman" w:cs="Times New Roman"/>
                <w:color w:val="auto"/>
                <w:spacing w:val="-3"/>
                <w:sz w:val="30"/>
                <w:szCs w:val="30"/>
              </w:rPr>
              <w:t>2.2</w:t>
            </w:r>
            <w:r>
              <w:rPr>
                <w:color w:val="auto"/>
                <w:spacing w:val="-3"/>
                <w:sz w:val="30"/>
                <w:szCs w:val="30"/>
              </w:rPr>
              <w:t>项目</w:t>
            </w:r>
            <w:r>
              <w:rPr>
                <w:color w:val="auto"/>
                <w:sz w:val="30"/>
                <w:szCs w:val="30"/>
              </w:rPr>
              <w:t>概况</w:t>
            </w:r>
          </w:p>
          <w:p w14:paraId="087CEC78">
            <w:pPr>
              <w:pStyle w:val="4"/>
              <w:rPr>
                <w:color w:val="auto"/>
              </w:rPr>
            </w:pPr>
            <w:r>
              <w:rPr>
                <w:color w:val="auto"/>
              </w:rPr>
              <w:t>2.2.1项目基本概况</w:t>
            </w:r>
          </w:p>
          <w:p w14:paraId="6E3EFAD9">
            <w:pPr>
              <w:spacing w:line="360" w:lineRule="auto"/>
              <w:ind w:firstLine="480" w:firstLineChars="200"/>
              <w:rPr>
                <w:color w:val="auto"/>
                <w:sz w:val="24"/>
                <w:szCs w:val="20"/>
                <w:highlight w:val="none"/>
              </w:rPr>
            </w:pPr>
            <w:r>
              <w:rPr>
                <w:color w:val="auto"/>
                <w:sz w:val="24"/>
                <w:szCs w:val="20"/>
                <w:highlight w:val="none"/>
              </w:rPr>
              <w:t>（1）项目名称：</w:t>
            </w:r>
            <w:r>
              <w:rPr>
                <w:rFonts w:hint="eastAsia"/>
                <w:color w:val="auto"/>
                <w:sz w:val="24"/>
                <w:szCs w:val="20"/>
                <w:highlight w:val="none"/>
                <w:lang w:eastAsia="zh-CN"/>
              </w:rPr>
              <w:t>闽侯县人民医院祥谦分院项目</w:t>
            </w:r>
          </w:p>
          <w:p w14:paraId="6866DF48">
            <w:pPr>
              <w:spacing w:line="360" w:lineRule="auto"/>
              <w:ind w:firstLine="480" w:firstLineChars="200"/>
              <w:rPr>
                <w:rFonts w:hint="eastAsia" w:eastAsia="宋体"/>
                <w:color w:val="auto"/>
                <w:sz w:val="24"/>
                <w:szCs w:val="20"/>
                <w:highlight w:val="none"/>
                <w:lang w:eastAsia="zh-CN"/>
              </w:rPr>
            </w:pPr>
            <w:r>
              <w:rPr>
                <w:color w:val="auto"/>
                <w:sz w:val="24"/>
                <w:szCs w:val="20"/>
                <w:highlight w:val="none"/>
              </w:rPr>
              <w:t>（2）建设单位：</w:t>
            </w:r>
            <w:r>
              <w:rPr>
                <w:rFonts w:hint="eastAsia" w:ascii="宋体" w:hAnsi="宋体" w:cs="宋体"/>
                <w:color w:val="auto"/>
                <w:sz w:val="24"/>
                <w:highlight w:val="none"/>
                <w:lang w:eastAsia="zh-CN"/>
              </w:rPr>
              <w:t>闽侯县人民医院</w:t>
            </w:r>
          </w:p>
          <w:p w14:paraId="70BFFD99">
            <w:pPr>
              <w:spacing w:line="360" w:lineRule="auto"/>
              <w:ind w:firstLine="480" w:firstLineChars="200"/>
              <w:rPr>
                <w:rFonts w:hint="eastAsia" w:eastAsia="宋体"/>
                <w:color w:val="auto"/>
                <w:sz w:val="24"/>
                <w:szCs w:val="20"/>
                <w:lang w:eastAsia="zh-CN"/>
              </w:rPr>
            </w:pPr>
            <w:r>
              <w:rPr>
                <w:color w:val="auto"/>
                <w:sz w:val="24"/>
                <w:szCs w:val="20"/>
              </w:rPr>
              <w:t>（3）建设地点：</w:t>
            </w:r>
            <w:r>
              <w:rPr>
                <w:rFonts w:hint="eastAsia"/>
                <w:color w:val="auto"/>
                <w:sz w:val="24"/>
                <w:lang w:eastAsia="zh-CN"/>
              </w:rPr>
              <w:t>福建省闽侯县尚干镇洋中村桥头东1号</w:t>
            </w:r>
          </w:p>
          <w:p w14:paraId="46D69763">
            <w:pPr>
              <w:spacing w:line="360" w:lineRule="auto"/>
              <w:ind w:firstLine="480" w:firstLineChars="200"/>
              <w:rPr>
                <w:rFonts w:hint="eastAsia" w:eastAsia="宋体"/>
                <w:color w:val="auto"/>
                <w:sz w:val="24"/>
                <w:szCs w:val="20"/>
                <w:highlight w:val="none"/>
                <w:lang w:eastAsia="zh-CN"/>
              </w:rPr>
            </w:pPr>
            <w:r>
              <w:rPr>
                <w:color w:val="auto"/>
                <w:sz w:val="24"/>
                <w:szCs w:val="20"/>
              </w:rPr>
              <w:t>（</w:t>
            </w:r>
            <w:r>
              <w:rPr>
                <w:color w:val="auto"/>
                <w:sz w:val="24"/>
                <w:szCs w:val="20"/>
                <w:highlight w:val="none"/>
              </w:rPr>
              <w:t>4）建设性质：</w:t>
            </w:r>
            <w:r>
              <w:rPr>
                <w:rFonts w:hint="eastAsia"/>
                <w:color w:val="auto"/>
                <w:sz w:val="24"/>
                <w:szCs w:val="20"/>
                <w:highlight w:val="none"/>
                <w:lang w:eastAsia="zh-CN"/>
              </w:rPr>
              <w:t>改扩建</w:t>
            </w:r>
          </w:p>
          <w:p w14:paraId="79957D04">
            <w:pPr>
              <w:spacing w:line="360" w:lineRule="auto"/>
              <w:ind w:firstLine="480" w:firstLineChars="200"/>
              <w:rPr>
                <w:color w:val="auto"/>
                <w:sz w:val="24"/>
                <w:szCs w:val="20"/>
                <w:highlight w:val="none"/>
              </w:rPr>
            </w:pPr>
            <w:r>
              <w:rPr>
                <w:color w:val="auto"/>
                <w:sz w:val="24"/>
                <w:szCs w:val="20"/>
                <w:highlight w:val="none"/>
              </w:rPr>
              <w:t>（5）总投资：</w:t>
            </w:r>
            <w:r>
              <w:rPr>
                <w:rFonts w:hint="eastAsia" w:eastAsia="宋体"/>
                <w:color w:val="auto"/>
                <w:sz w:val="24"/>
                <w:highlight w:val="none"/>
                <w:lang w:val="en-US" w:eastAsia="zh-CN"/>
              </w:rPr>
              <w:t>39469.35</w:t>
            </w:r>
            <w:r>
              <w:rPr>
                <w:rFonts w:hint="eastAsia"/>
                <w:color w:val="auto"/>
                <w:sz w:val="24"/>
                <w:szCs w:val="20"/>
                <w:highlight w:val="none"/>
              </w:rPr>
              <w:t>万元</w:t>
            </w:r>
          </w:p>
          <w:p w14:paraId="5170A9A9">
            <w:pPr>
              <w:spacing w:line="360" w:lineRule="auto"/>
              <w:ind w:firstLine="480" w:firstLineChars="200"/>
              <w:rPr>
                <w:rFonts w:hint="eastAsia"/>
                <w:color w:val="auto"/>
                <w:sz w:val="24"/>
                <w:szCs w:val="20"/>
                <w:highlight w:val="none"/>
                <w:lang w:eastAsia="zh-CN"/>
              </w:rPr>
            </w:pPr>
            <w:r>
              <w:rPr>
                <w:color w:val="auto"/>
                <w:sz w:val="24"/>
                <w:szCs w:val="20"/>
                <w:highlight w:val="none"/>
              </w:rPr>
              <w:t>（6</w:t>
            </w:r>
            <w:r>
              <w:rPr>
                <w:rFonts w:hint="eastAsia"/>
                <w:color w:val="auto"/>
                <w:sz w:val="24"/>
                <w:szCs w:val="20"/>
                <w:highlight w:val="none"/>
                <w:lang w:eastAsia="zh-CN"/>
              </w:rPr>
              <w:t>）建设规模和内容:项目规划用地面积3.341公顷，总建筑面积53237.88平方米，其中保留建筑面积20227.2平方米。</w:t>
            </w:r>
          </w:p>
          <w:p w14:paraId="6335C096">
            <w:pPr>
              <w:spacing w:line="360" w:lineRule="auto"/>
              <w:ind w:firstLine="480" w:firstLineChars="200"/>
              <w:rPr>
                <w:rFonts w:hint="eastAsia" w:eastAsia="宋体"/>
                <w:color w:val="auto"/>
                <w:sz w:val="24"/>
                <w:szCs w:val="20"/>
                <w:highlight w:val="none"/>
                <w:lang w:eastAsia="zh-CN"/>
              </w:rPr>
            </w:pPr>
            <w:r>
              <w:rPr>
                <w:rFonts w:hint="eastAsia"/>
                <w:color w:val="auto"/>
                <w:sz w:val="24"/>
                <w:szCs w:val="20"/>
                <w:highlight w:val="none"/>
                <w:lang w:eastAsia="zh-CN"/>
              </w:rPr>
              <w:t>新建建筑面积33010.68平方米。一期建设住院综合楼、门卫1、液氧站、设备用房;二期建设后勤综合楼、附属楼、门卫2、地下室。主要建设内容包括土建、给排水、电气、暖通、消防、绿化及室外配套工程等。</w:t>
            </w:r>
          </w:p>
          <w:p w14:paraId="7153429F">
            <w:pPr>
              <w:spacing w:line="360" w:lineRule="auto"/>
              <w:ind w:firstLine="480" w:firstLineChars="200"/>
              <w:rPr>
                <w:rFonts w:hint="default" w:eastAsia="宋体"/>
                <w:color w:val="auto"/>
                <w:sz w:val="24"/>
                <w:szCs w:val="20"/>
                <w:highlight w:val="none"/>
                <w:lang w:val="en-US" w:eastAsia="zh-CN"/>
              </w:rPr>
            </w:pPr>
            <w:r>
              <w:rPr>
                <w:color w:val="auto"/>
                <w:sz w:val="24"/>
                <w:szCs w:val="20"/>
                <w:highlight w:val="none"/>
              </w:rPr>
              <w:t>（7）生产定员：</w:t>
            </w:r>
            <w:r>
              <w:rPr>
                <w:rFonts w:hint="eastAsia"/>
                <w:color w:val="auto"/>
                <w:sz w:val="24"/>
                <w:szCs w:val="20"/>
                <w:highlight w:val="none"/>
                <w:lang w:val="en-US" w:eastAsia="zh-CN"/>
              </w:rPr>
              <w:t>职工人数303</w:t>
            </w:r>
            <w:r>
              <w:rPr>
                <w:rFonts w:hint="eastAsia"/>
                <w:color w:val="auto"/>
                <w:sz w:val="24"/>
                <w:szCs w:val="20"/>
                <w:highlight w:val="none"/>
              </w:rPr>
              <w:t>人</w:t>
            </w:r>
            <w:r>
              <w:rPr>
                <w:rFonts w:hint="eastAsia" w:ascii="Times New Roman" w:hAnsi="Times New Roman" w:eastAsia="宋体" w:cs="Times New Roman"/>
                <w:color w:val="auto"/>
                <w:sz w:val="24"/>
                <w:szCs w:val="20"/>
                <w:highlight w:val="none"/>
                <w:lang w:eastAsia="zh-CN"/>
              </w:rPr>
              <w:t>，</w:t>
            </w:r>
            <w:r>
              <w:rPr>
                <w:rFonts w:hint="eastAsia" w:ascii="Times New Roman" w:hAnsi="Times New Roman" w:eastAsia="宋体" w:cs="Times New Roman"/>
                <w:color w:val="auto"/>
                <w:sz w:val="24"/>
                <w:szCs w:val="20"/>
                <w:highlight w:val="none"/>
                <w:lang w:val="en-US" w:eastAsia="zh-CN"/>
              </w:rPr>
              <w:t>本次不新增。</w:t>
            </w:r>
          </w:p>
          <w:p w14:paraId="3B5876CD">
            <w:pPr>
              <w:spacing w:line="360" w:lineRule="auto"/>
              <w:ind w:firstLine="480" w:firstLineChars="200"/>
              <w:rPr>
                <w:rFonts w:hint="eastAsia" w:ascii="Times New Roman" w:hAnsi="Times New Roman" w:eastAsia="宋体" w:cs="Times New Roman"/>
                <w:color w:val="auto"/>
                <w:sz w:val="24"/>
                <w:szCs w:val="20"/>
                <w:highlight w:val="none"/>
                <w:lang w:eastAsia="zh-CN"/>
              </w:rPr>
            </w:pPr>
            <w:r>
              <w:rPr>
                <w:rFonts w:hint="eastAsia" w:ascii="Times New Roman" w:hAnsi="Times New Roman" w:eastAsia="宋体" w:cs="Times New Roman"/>
                <w:color w:val="auto"/>
                <w:sz w:val="24"/>
                <w:szCs w:val="20"/>
                <w:highlight w:val="none"/>
                <w:lang w:eastAsia="zh-CN"/>
              </w:rPr>
              <w:t>（8）</w:t>
            </w:r>
            <w:r>
              <w:rPr>
                <w:rFonts w:hint="eastAsia" w:ascii="Times New Roman" w:hAnsi="Times New Roman" w:eastAsia="宋体" w:cs="Times New Roman"/>
                <w:color w:val="auto"/>
                <w:kern w:val="2"/>
                <w:sz w:val="24"/>
                <w:szCs w:val="20"/>
                <w:highlight w:val="none"/>
                <w:lang w:val="en-US" w:eastAsia="zh-CN" w:bidi="ar-SA"/>
              </w:rPr>
              <w:t>医院规模：现有180张床位调整至新建住院综合大楼，另新增170张床位，改扩建后全院总床位350张。</w:t>
            </w:r>
            <w:r>
              <w:rPr>
                <w:rFonts w:hint="eastAsia" w:ascii="Times New Roman" w:hAnsi="Times New Roman" w:eastAsia="宋体" w:cs="Times New Roman"/>
                <w:color w:val="auto"/>
                <w:sz w:val="24"/>
                <w:szCs w:val="20"/>
                <w:highlight w:val="none"/>
                <w:lang w:val="en-US" w:eastAsia="zh-CN"/>
              </w:rPr>
              <w:t>预计平均住院天数为7天，每个床位每年可以提供治疗约52人次，总共约18200人次。</w:t>
            </w:r>
          </w:p>
          <w:p w14:paraId="4E558EFC">
            <w:pPr>
              <w:spacing w:line="360" w:lineRule="auto"/>
              <w:ind w:firstLine="480" w:firstLineChars="200"/>
              <w:rPr>
                <w:rFonts w:hint="eastAsia" w:ascii="Times New Roman" w:hAnsi="Times New Roman" w:eastAsia="宋体" w:cs="Times New Roman"/>
                <w:color w:val="auto"/>
                <w:sz w:val="24"/>
                <w:szCs w:val="20"/>
                <w:highlight w:val="none"/>
                <w:lang w:val="en-US" w:eastAsia="zh-CN"/>
              </w:rPr>
            </w:pPr>
            <w:r>
              <w:rPr>
                <w:rFonts w:hint="eastAsia" w:ascii="Times New Roman" w:hAnsi="Times New Roman" w:eastAsia="宋体" w:cs="Times New Roman"/>
                <w:color w:val="auto"/>
                <w:sz w:val="24"/>
                <w:szCs w:val="20"/>
                <w:highlight w:val="none"/>
                <w:lang w:val="en-US" w:eastAsia="zh-CN"/>
              </w:rPr>
              <w:t>（9）工作制度：住院部、急诊、手术室、ICU等需24小时值守的岗位实行三班制（每班8小时）；</w:t>
            </w:r>
          </w:p>
          <w:p w14:paraId="7D77394F">
            <w:pPr>
              <w:spacing w:line="360" w:lineRule="auto"/>
              <w:ind w:firstLine="480" w:firstLineChars="200"/>
              <w:rPr>
                <w:rFonts w:hint="eastAsia" w:ascii="Times New Roman" w:hAnsi="Times New Roman" w:eastAsia="宋体" w:cs="Times New Roman"/>
                <w:color w:val="auto"/>
                <w:sz w:val="24"/>
                <w:szCs w:val="20"/>
                <w:highlight w:val="none"/>
                <w:lang w:val="en-US" w:eastAsia="zh-CN"/>
              </w:rPr>
            </w:pPr>
            <w:r>
              <w:rPr>
                <w:rFonts w:hint="eastAsia" w:ascii="Times New Roman" w:hAnsi="Times New Roman" w:eastAsia="宋体" w:cs="Times New Roman"/>
                <w:color w:val="auto"/>
                <w:sz w:val="24"/>
                <w:szCs w:val="20"/>
                <w:highlight w:val="none"/>
                <w:lang w:val="en-US" w:eastAsia="zh-CN"/>
              </w:rPr>
              <w:t>门诊、行政、后勤等实行白班制（8小时/天）</w:t>
            </w:r>
          </w:p>
          <w:p w14:paraId="0CFE598B">
            <w:pPr>
              <w:pStyle w:val="4"/>
              <w:spacing w:before="120"/>
              <w:rPr>
                <w:color w:val="auto"/>
              </w:rPr>
            </w:pPr>
            <w:r>
              <w:rPr>
                <w:color w:val="auto"/>
              </w:rPr>
              <w:t>2.2.2项目组成及建设内容</w:t>
            </w:r>
          </w:p>
          <w:p w14:paraId="7C746B3E">
            <w:pPr>
              <w:widowControl/>
              <w:ind w:firstLine="480" w:firstLineChars="200"/>
              <w:jc w:val="left"/>
              <w:rPr>
                <w:color w:val="auto"/>
              </w:rPr>
            </w:pPr>
            <w:r>
              <w:rPr>
                <w:color w:val="auto"/>
                <w:sz w:val="24"/>
                <w:szCs w:val="32"/>
              </w:rPr>
              <w:t>项目组成及建设内容如表2.2-1</w:t>
            </w:r>
            <w:r>
              <w:rPr>
                <w:color w:val="auto"/>
              </w:rPr>
              <w:t>。</w:t>
            </w:r>
          </w:p>
          <w:p w14:paraId="226E1F62">
            <w:pPr>
              <w:pStyle w:val="31"/>
              <w:spacing w:line="360" w:lineRule="auto"/>
              <w:rPr>
                <w:rFonts w:eastAsia="宋体"/>
                <w:b/>
                <w:bCs/>
                <w:color w:val="auto"/>
              </w:rPr>
            </w:pPr>
            <w:r>
              <w:rPr>
                <w:rFonts w:eastAsia="宋体"/>
                <w:b/>
                <w:bCs/>
                <w:color w:val="auto"/>
              </w:rPr>
              <w:t>表2.2-1项目组成一览表</w:t>
            </w:r>
          </w:p>
          <w:tbl>
            <w:tblPr>
              <w:tblStyle w:val="17"/>
              <w:tblW w:w="493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433"/>
              <w:gridCol w:w="914"/>
              <w:gridCol w:w="5781"/>
            </w:tblGrid>
            <w:tr w14:paraId="5310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tcBorders>
                    <w:top w:val="single" w:color="000000" w:sz="12" w:space="0"/>
                    <w:left w:val="nil"/>
                    <w:bottom w:val="single" w:color="auto" w:sz="4" w:space="0"/>
                    <w:right w:val="single" w:color="auto" w:sz="4" w:space="0"/>
                  </w:tcBorders>
                  <w:shd w:val="clear" w:color="auto" w:fill="FFFFFF"/>
                  <w:noWrap w:val="0"/>
                  <w:vAlign w:val="center"/>
                </w:tcPr>
                <w:p w14:paraId="7FB8F0F8">
                  <w:pPr>
                    <w:widowControl/>
                    <w:adjustRightInd w:val="0"/>
                    <w:snapToGrid w:val="0"/>
                    <w:spacing w:line="340" w:lineRule="exact"/>
                    <w:jc w:val="center"/>
                    <w:rPr>
                      <w:color w:val="auto"/>
                      <w:kern w:val="0"/>
                      <w:szCs w:val="21"/>
                    </w:rPr>
                  </w:pPr>
                  <w:r>
                    <w:rPr>
                      <w:color w:val="auto"/>
                      <w:kern w:val="0"/>
                      <w:szCs w:val="21"/>
                    </w:rPr>
                    <w:t>工程</w:t>
                  </w:r>
                </w:p>
                <w:p w14:paraId="41B8C1ED">
                  <w:pPr>
                    <w:widowControl/>
                    <w:adjustRightInd w:val="0"/>
                    <w:snapToGrid w:val="0"/>
                    <w:spacing w:line="340" w:lineRule="exact"/>
                    <w:jc w:val="center"/>
                    <w:rPr>
                      <w:color w:val="auto"/>
                      <w:kern w:val="0"/>
                      <w:szCs w:val="21"/>
                    </w:rPr>
                  </w:pPr>
                  <w:r>
                    <w:rPr>
                      <w:color w:val="auto"/>
                      <w:kern w:val="0"/>
                      <w:szCs w:val="21"/>
                    </w:rPr>
                    <w:t>类别</w:t>
                  </w:r>
                </w:p>
              </w:tc>
              <w:tc>
                <w:tcPr>
                  <w:tcW w:w="815" w:type="pct"/>
                  <w:gridSpan w:val="2"/>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78E088BC">
                  <w:pPr>
                    <w:widowControl/>
                    <w:adjustRightInd w:val="0"/>
                    <w:snapToGrid w:val="0"/>
                    <w:spacing w:line="340" w:lineRule="exact"/>
                    <w:jc w:val="center"/>
                    <w:rPr>
                      <w:color w:val="auto"/>
                      <w:kern w:val="0"/>
                      <w:szCs w:val="21"/>
                    </w:rPr>
                  </w:pPr>
                  <w:r>
                    <w:rPr>
                      <w:color w:val="auto"/>
                      <w:kern w:val="0"/>
                      <w:szCs w:val="21"/>
                    </w:rPr>
                    <w:t>工程名称</w:t>
                  </w:r>
                </w:p>
              </w:tc>
              <w:tc>
                <w:tcPr>
                  <w:tcW w:w="3496" w:type="pct"/>
                  <w:tcBorders>
                    <w:top w:val="single" w:color="000000" w:sz="12" w:space="0"/>
                    <w:left w:val="single" w:color="auto" w:sz="4" w:space="0"/>
                    <w:bottom w:val="single" w:color="auto" w:sz="4" w:space="0"/>
                    <w:right w:val="nil"/>
                  </w:tcBorders>
                  <w:shd w:val="clear" w:color="auto" w:fill="FFFFFF"/>
                  <w:noWrap w:val="0"/>
                  <w:vAlign w:val="center"/>
                </w:tcPr>
                <w:p w14:paraId="759B73DE">
                  <w:pPr>
                    <w:widowControl/>
                    <w:adjustRightInd w:val="0"/>
                    <w:snapToGrid w:val="0"/>
                    <w:spacing w:line="340" w:lineRule="exact"/>
                    <w:jc w:val="center"/>
                    <w:rPr>
                      <w:color w:val="auto"/>
                      <w:kern w:val="0"/>
                      <w:szCs w:val="21"/>
                    </w:rPr>
                  </w:pPr>
                  <w:r>
                    <w:rPr>
                      <w:color w:val="auto"/>
                      <w:kern w:val="0"/>
                      <w:szCs w:val="21"/>
                    </w:rPr>
                    <w:t>建设内容</w:t>
                  </w:r>
                </w:p>
              </w:tc>
            </w:tr>
            <w:tr w14:paraId="71E6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restart"/>
                  <w:tcBorders>
                    <w:top w:val="single" w:color="auto" w:sz="4" w:space="0"/>
                    <w:left w:val="nil"/>
                    <w:right w:val="single" w:color="auto" w:sz="4" w:space="0"/>
                  </w:tcBorders>
                  <w:shd w:val="clear" w:color="auto" w:fill="FFFFFF"/>
                  <w:noWrap w:val="0"/>
                  <w:vAlign w:val="center"/>
                </w:tcPr>
                <w:p w14:paraId="59DCA353">
                  <w:pPr>
                    <w:spacing w:line="340" w:lineRule="exact"/>
                    <w:jc w:val="center"/>
                    <w:rPr>
                      <w:color w:val="auto"/>
                      <w:szCs w:val="21"/>
                    </w:rPr>
                  </w:pPr>
                  <w:r>
                    <w:rPr>
                      <w:color w:val="auto"/>
                      <w:szCs w:val="21"/>
                    </w:rPr>
                    <w:t>主体工程</w:t>
                  </w:r>
                </w:p>
              </w:tc>
              <w:tc>
                <w:tcPr>
                  <w:tcW w:w="262" w:type="pct"/>
                  <w:vMerge w:val="restart"/>
                  <w:tcBorders>
                    <w:top w:val="single" w:color="auto" w:sz="4" w:space="0"/>
                    <w:left w:val="single" w:color="auto" w:sz="4" w:space="0"/>
                    <w:right w:val="single" w:color="auto" w:sz="4" w:space="0"/>
                  </w:tcBorders>
                  <w:shd w:val="clear" w:color="auto" w:fill="FFFFFF"/>
                  <w:noWrap w:val="0"/>
                  <w:vAlign w:val="center"/>
                </w:tcPr>
                <w:p w14:paraId="25BEB8E2">
                  <w:pPr>
                    <w:spacing w:line="340" w:lineRule="exact"/>
                    <w:jc w:val="center"/>
                    <w:rPr>
                      <w:rFonts w:hint="default" w:eastAsia="宋体"/>
                      <w:color w:val="auto"/>
                      <w:szCs w:val="21"/>
                      <w:lang w:val="en-US" w:eastAsia="zh-CN"/>
                    </w:rPr>
                  </w:pPr>
                  <w:r>
                    <w:rPr>
                      <w:rFonts w:hint="eastAsia" w:eastAsia="宋体"/>
                      <w:color w:val="auto"/>
                      <w:szCs w:val="21"/>
                      <w:lang w:val="en-US" w:eastAsia="zh-CN"/>
                    </w:rPr>
                    <w:t>住院综合楼</w:t>
                  </w:r>
                </w:p>
              </w:tc>
              <w:tc>
                <w:tcPr>
                  <w:tcW w:w="55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66DB3C">
                  <w:pPr>
                    <w:spacing w:line="340" w:lineRule="exact"/>
                    <w:jc w:val="center"/>
                    <w:rPr>
                      <w:color w:val="auto"/>
                      <w:szCs w:val="21"/>
                    </w:rPr>
                  </w:pPr>
                  <w:r>
                    <w:rPr>
                      <w:color w:val="auto"/>
                      <w:szCs w:val="21"/>
                    </w:rPr>
                    <w:t>一层</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4B8EAB97">
                  <w:pPr>
                    <w:spacing w:line="340" w:lineRule="exact"/>
                    <w:rPr>
                      <w:color w:val="auto"/>
                      <w:szCs w:val="21"/>
                    </w:rPr>
                  </w:pPr>
                  <w:r>
                    <w:rPr>
                      <w:rFonts w:hint="eastAsia"/>
                      <w:color w:val="auto"/>
                      <w:szCs w:val="21"/>
                    </w:rPr>
                    <w:t>一层为住院大厅、消控中心、值班室、办公室、收费报销、CT、阅片/示教区、数字胃肠、MR、DR骨密度仪、钼靶、病患纠纷调解室、卫生间及</w:t>
                  </w:r>
                  <w:r>
                    <w:rPr>
                      <w:rFonts w:hint="eastAsia"/>
                      <w:color w:val="auto"/>
                      <w:szCs w:val="21"/>
                      <w:lang w:eastAsia="zh-CN"/>
                    </w:rPr>
                    <w:t>相应</w:t>
                  </w:r>
                  <w:r>
                    <w:rPr>
                      <w:rFonts w:hint="eastAsia"/>
                      <w:color w:val="auto"/>
                      <w:szCs w:val="21"/>
                    </w:rPr>
                    <w:t>配套辅助用房;</w:t>
                  </w:r>
                </w:p>
              </w:tc>
            </w:tr>
            <w:tr w14:paraId="1D57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left w:val="nil"/>
                    <w:right w:val="single" w:color="auto" w:sz="4" w:space="0"/>
                  </w:tcBorders>
                  <w:shd w:val="clear" w:color="auto" w:fill="FFFFFF"/>
                  <w:noWrap w:val="0"/>
                  <w:vAlign w:val="center"/>
                </w:tcPr>
                <w:p w14:paraId="4EBB87DE">
                  <w:pPr>
                    <w:spacing w:line="340" w:lineRule="exact"/>
                    <w:jc w:val="center"/>
                    <w:rPr>
                      <w:color w:val="auto"/>
                      <w:szCs w:val="21"/>
                    </w:rPr>
                  </w:pPr>
                </w:p>
              </w:tc>
              <w:tc>
                <w:tcPr>
                  <w:tcW w:w="262" w:type="pct"/>
                  <w:vMerge w:val="continue"/>
                  <w:tcBorders>
                    <w:left w:val="single" w:color="auto" w:sz="4" w:space="0"/>
                    <w:right w:val="single" w:color="auto" w:sz="4" w:space="0"/>
                  </w:tcBorders>
                  <w:shd w:val="clear" w:color="auto" w:fill="FFFFFF"/>
                  <w:noWrap w:val="0"/>
                  <w:vAlign w:val="center"/>
                </w:tcPr>
                <w:p w14:paraId="572714C9">
                  <w:pPr>
                    <w:spacing w:line="340" w:lineRule="exact"/>
                    <w:jc w:val="center"/>
                    <w:rPr>
                      <w:color w:val="auto"/>
                      <w:szCs w:val="21"/>
                    </w:rPr>
                  </w:pPr>
                </w:p>
              </w:tc>
              <w:tc>
                <w:tcPr>
                  <w:tcW w:w="55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510E3F">
                  <w:pPr>
                    <w:spacing w:line="340" w:lineRule="exact"/>
                    <w:jc w:val="center"/>
                    <w:rPr>
                      <w:color w:val="auto"/>
                      <w:szCs w:val="21"/>
                    </w:rPr>
                  </w:pPr>
                  <w:r>
                    <w:rPr>
                      <w:color w:val="auto"/>
                      <w:szCs w:val="21"/>
                    </w:rPr>
                    <w:t>二层</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3CB23626">
                  <w:pPr>
                    <w:spacing w:line="340" w:lineRule="exact"/>
                    <w:rPr>
                      <w:color w:val="auto"/>
                      <w:szCs w:val="21"/>
                    </w:rPr>
                  </w:pPr>
                  <w:r>
                    <w:rPr>
                      <w:rFonts w:hint="eastAsia"/>
                      <w:color w:val="auto"/>
                      <w:szCs w:val="21"/>
                    </w:rPr>
                    <w:t>二层为去污区、检查包装区、无菌区、预留特殊感染预效处理、污车清先、污车存放、纯水间、蒸汽间、库房、质检间、设备用房、办公室、值班室、更衣、卫生间、发放大厅、洁车存放、洁车清先、信息机房及相应配套辅助用房;</w:t>
                  </w:r>
                </w:p>
              </w:tc>
            </w:tr>
            <w:tr w14:paraId="49F3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left w:val="nil"/>
                    <w:right w:val="single" w:color="auto" w:sz="4" w:space="0"/>
                  </w:tcBorders>
                  <w:shd w:val="clear" w:color="auto" w:fill="FFFFFF"/>
                  <w:noWrap w:val="0"/>
                  <w:vAlign w:val="center"/>
                </w:tcPr>
                <w:p w14:paraId="28A033C6">
                  <w:pPr>
                    <w:spacing w:line="340" w:lineRule="exact"/>
                    <w:jc w:val="center"/>
                    <w:rPr>
                      <w:color w:val="auto"/>
                      <w:szCs w:val="21"/>
                    </w:rPr>
                  </w:pPr>
                </w:p>
              </w:tc>
              <w:tc>
                <w:tcPr>
                  <w:tcW w:w="262" w:type="pct"/>
                  <w:vMerge w:val="continue"/>
                  <w:tcBorders>
                    <w:left w:val="single" w:color="auto" w:sz="4" w:space="0"/>
                    <w:right w:val="single" w:color="auto" w:sz="4" w:space="0"/>
                  </w:tcBorders>
                  <w:shd w:val="clear" w:color="auto" w:fill="FFFFFF"/>
                  <w:noWrap w:val="0"/>
                  <w:vAlign w:val="center"/>
                </w:tcPr>
                <w:p w14:paraId="6A30E3BE">
                  <w:pPr>
                    <w:spacing w:line="340" w:lineRule="exact"/>
                    <w:jc w:val="center"/>
                    <w:rPr>
                      <w:color w:val="auto"/>
                      <w:szCs w:val="21"/>
                    </w:rPr>
                  </w:pPr>
                </w:p>
              </w:tc>
              <w:tc>
                <w:tcPr>
                  <w:tcW w:w="55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465FCE">
                  <w:pPr>
                    <w:spacing w:line="340" w:lineRule="exact"/>
                    <w:jc w:val="center"/>
                    <w:rPr>
                      <w:rFonts w:hint="default" w:eastAsia="宋体"/>
                      <w:color w:val="auto"/>
                      <w:szCs w:val="21"/>
                      <w:lang w:val="en-US" w:eastAsia="zh-CN"/>
                    </w:rPr>
                  </w:pPr>
                  <w:r>
                    <w:rPr>
                      <w:rFonts w:hint="eastAsia"/>
                      <w:color w:val="auto"/>
                      <w:szCs w:val="21"/>
                      <w:lang w:val="en-US" w:eastAsia="zh-CN"/>
                    </w:rPr>
                    <w:t>三层</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10053880">
                  <w:pPr>
                    <w:spacing w:line="340" w:lineRule="exact"/>
                    <w:rPr>
                      <w:rFonts w:hint="eastAsia" w:eastAsia="宋体"/>
                      <w:color w:val="auto"/>
                      <w:szCs w:val="21"/>
                      <w:lang w:eastAsia="zh-CN"/>
                    </w:rPr>
                  </w:pPr>
                  <w:r>
                    <w:rPr>
                      <w:rFonts w:hint="eastAsia"/>
                      <w:color w:val="auto"/>
                      <w:szCs w:val="21"/>
                    </w:rPr>
                    <w:t>三层为隔离手术室万级、百级手术室、千级手术室、万级手术室、万级DSA手术室、设备用房、库房、值班室、办公室、更</w:t>
                  </w:r>
                  <w:r>
                    <w:rPr>
                      <w:rFonts w:hint="eastAsia"/>
                      <w:color w:val="auto"/>
                      <w:szCs w:val="21"/>
                      <w:lang w:eastAsia="zh-CN"/>
                    </w:rPr>
                    <w:t>衣室</w:t>
                  </w:r>
                  <w:r>
                    <w:rPr>
                      <w:rFonts w:hint="eastAsia"/>
                      <w:color w:val="auto"/>
                      <w:szCs w:val="21"/>
                    </w:rPr>
                    <w:t>、卫生间及相应配套辅助用房</w:t>
                  </w:r>
                  <w:r>
                    <w:rPr>
                      <w:rFonts w:hint="eastAsia"/>
                      <w:color w:val="auto"/>
                      <w:szCs w:val="21"/>
                      <w:lang w:eastAsia="zh-CN"/>
                    </w:rPr>
                    <w:t>；</w:t>
                  </w:r>
                </w:p>
              </w:tc>
            </w:tr>
            <w:tr w14:paraId="3505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left w:val="nil"/>
                    <w:right w:val="single" w:color="auto" w:sz="4" w:space="0"/>
                  </w:tcBorders>
                  <w:shd w:val="clear" w:color="auto" w:fill="FFFFFF"/>
                  <w:noWrap w:val="0"/>
                  <w:vAlign w:val="center"/>
                </w:tcPr>
                <w:p w14:paraId="4CB2B4A7">
                  <w:pPr>
                    <w:spacing w:line="340" w:lineRule="exact"/>
                    <w:jc w:val="center"/>
                    <w:rPr>
                      <w:color w:val="auto"/>
                      <w:szCs w:val="21"/>
                    </w:rPr>
                  </w:pPr>
                </w:p>
              </w:tc>
              <w:tc>
                <w:tcPr>
                  <w:tcW w:w="262" w:type="pct"/>
                  <w:vMerge w:val="continue"/>
                  <w:tcBorders>
                    <w:left w:val="single" w:color="auto" w:sz="4" w:space="0"/>
                    <w:right w:val="single" w:color="auto" w:sz="4" w:space="0"/>
                  </w:tcBorders>
                  <w:shd w:val="clear" w:color="auto" w:fill="FFFFFF"/>
                  <w:noWrap w:val="0"/>
                  <w:vAlign w:val="center"/>
                </w:tcPr>
                <w:p w14:paraId="6CD0ABDF">
                  <w:pPr>
                    <w:spacing w:line="340" w:lineRule="exact"/>
                    <w:jc w:val="center"/>
                    <w:rPr>
                      <w:color w:val="auto"/>
                      <w:szCs w:val="21"/>
                    </w:rPr>
                  </w:pPr>
                </w:p>
              </w:tc>
              <w:tc>
                <w:tcPr>
                  <w:tcW w:w="55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9D8828">
                  <w:pPr>
                    <w:spacing w:line="340" w:lineRule="exact"/>
                    <w:jc w:val="center"/>
                    <w:rPr>
                      <w:rFonts w:hint="eastAsia"/>
                      <w:color w:val="auto"/>
                      <w:szCs w:val="21"/>
                      <w:lang w:val="en-US" w:eastAsia="zh-CN"/>
                    </w:rPr>
                  </w:pPr>
                  <w:r>
                    <w:rPr>
                      <w:rFonts w:hint="eastAsia"/>
                      <w:color w:val="auto"/>
                      <w:szCs w:val="21"/>
                    </w:rPr>
                    <w:t>四层</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065087B7">
                  <w:pPr>
                    <w:spacing w:line="340" w:lineRule="exact"/>
                    <w:rPr>
                      <w:rFonts w:hint="eastAsia"/>
                      <w:color w:val="auto"/>
                      <w:szCs w:val="21"/>
                    </w:rPr>
                  </w:pPr>
                  <w:r>
                    <w:rPr>
                      <w:rFonts w:hint="eastAsia"/>
                      <w:color w:val="auto"/>
                      <w:szCs w:val="21"/>
                    </w:rPr>
                    <w:t>四层为ICU大厅、耐药菌隔离单间、家属陪护、视频采视值班室、办公室、更</w:t>
                  </w:r>
                  <w:r>
                    <w:rPr>
                      <w:rFonts w:hint="eastAsia"/>
                      <w:color w:val="auto"/>
                      <w:szCs w:val="21"/>
                      <w:lang w:eastAsia="zh-CN"/>
                    </w:rPr>
                    <w:t>衣室</w:t>
                  </w:r>
                  <w:r>
                    <w:rPr>
                      <w:rFonts w:hint="eastAsia"/>
                      <w:color w:val="auto"/>
                      <w:szCs w:val="21"/>
                    </w:rPr>
                    <w:t>、卫生间、住院药房、冷车间、管制药品、阴凉车仪器室、处置室、治疗室、布类库、无菌物品、拆包及相应配套辅助用房</w:t>
                  </w:r>
                </w:p>
              </w:tc>
            </w:tr>
            <w:tr w14:paraId="2EAA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left w:val="nil"/>
                    <w:right w:val="single" w:color="auto" w:sz="4" w:space="0"/>
                  </w:tcBorders>
                  <w:shd w:val="clear" w:color="auto" w:fill="FFFFFF"/>
                  <w:noWrap w:val="0"/>
                  <w:vAlign w:val="center"/>
                </w:tcPr>
                <w:p w14:paraId="1E465966">
                  <w:pPr>
                    <w:spacing w:line="340" w:lineRule="exact"/>
                    <w:jc w:val="center"/>
                    <w:rPr>
                      <w:color w:val="auto"/>
                      <w:szCs w:val="21"/>
                    </w:rPr>
                  </w:pPr>
                </w:p>
              </w:tc>
              <w:tc>
                <w:tcPr>
                  <w:tcW w:w="262" w:type="pct"/>
                  <w:vMerge w:val="continue"/>
                  <w:tcBorders>
                    <w:left w:val="single" w:color="auto" w:sz="4" w:space="0"/>
                    <w:right w:val="single" w:color="auto" w:sz="4" w:space="0"/>
                  </w:tcBorders>
                  <w:shd w:val="clear" w:color="auto" w:fill="FFFFFF"/>
                  <w:noWrap w:val="0"/>
                  <w:vAlign w:val="center"/>
                </w:tcPr>
                <w:p w14:paraId="7E61394A">
                  <w:pPr>
                    <w:spacing w:line="340" w:lineRule="exact"/>
                    <w:jc w:val="center"/>
                    <w:rPr>
                      <w:color w:val="auto"/>
                      <w:szCs w:val="21"/>
                    </w:rPr>
                  </w:pPr>
                </w:p>
              </w:tc>
              <w:tc>
                <w:tcPr>
                  <w:tcW w:w="55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8F10C7">
                  <w:pPr>
                    <w:spacing w:line="340" w:lineRule="exact"/>
                    <w:jc w:val="center"/>
                    <w:rPr>
                      <w:rFonts w:hint="eastAsia"/>
                      <w:color w:val="auto"/>
                      <w:szCs w:val="21"/>
                      <w:lang w:val="en-US" w:eastAsia="zh-CN"/>
                    </w:rPr>
                  </w:pPr>
                  <w:r>
                    <w:rPr>
                      <w:rFonts w:hint="eastAsia"/>
                      <w:color w:val="auto"/>
                      <w:szCs w:val="21"/>
                    </w:rPr>
                    <w:t>五层</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392847A6">
                  <w:pPr>
                    <w:spacing w:line="340" w:lineRule="exact"/>
                    <w:rPr>
                      <w:rFonts w:hint="eastAsia"/>
                      <w:color w:val="auto"/>
                      <w:szCs w:val="21"/>
                    </w:rPr>
                  </w:pPr>
                  <w:r>
                    <w:rPr>
                      <w:rFonts w:hint="eastAsia"/>
                      <w:color w:val="auto"/>
                      <w:szCs w:val="21"/>
                    </w:rPr>
                    <w:t>五层为血透阴性大厅、阳性大厅、等候宣教、接诊区、更衣室、卫生间、治疗准备室、抢救室、急诊透析间、湿库房、干库房、水处理、布类库、资料室、办公室、休息室及相应配套辅助用房。</w:t>
                  </w:r>
                </w:p>
              </w:tc>
            </w:tr>
            <w:tr w14:paraId="6AB2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left w:val="nil"/>
                    <w:right w:val="single" w:color="auto" w:sz="4" w:space="0"/>
                  </w:tcBorders>
                  <w:shd w:val="clear" w:color="auto" w:fill="FFFFFF"/>
                  <w:noWrap w:val="0"/>
                  <w:vAlign w:val="center"/>
                </w:tcPr>
                <w:p w14:paraId="5556927E">
                  <w:pPr>
                    <w:spacing w:line="340" w:lineRule="exact"/>
                    <w:jc w:val="center"/>
                    <w:rPr>
                      <w:color w:val="auto"/>
                      <w:szCs w:val="21"/>
                    </w:rPr>
                  </w:pPr>
                </w:p>
              </w:tc>
              <w:tc>
                <w:tcPr>
                  <w:tcW w:w="262" w:type="pct"/>
                  <w:vMerge w:val="continue"/>
                  <w:tcBorders>
                    <w:left w:val="single" w:color="auto" w:sz="4" w:space="0"/>
                    <w:right w:val="single" w:color="auto" w:sz="4" w:space="0"/>
                  </w:tcBorders>
                  <w:shd w:val="clear" w:color="auto" w:fill="FFFFFF"/>
                  <w:noWrap w:val="0"/>
                  <w:vAlign w:val="center"/>
                </w:tcPr>
                <w:p w14:paraId="30AD97C2">
                  <w:pPr>
                    <w:spacing w:line="340" w:lineRule="exact"/>
                    <w:jc w:val="center"/>
                    <w:rPr>
                      <w:color w:val="auto"/>
                      <w:szCs w:val="21"/>
                    </w:rPr>
                  </w:pPr>
                </w:p>
              </w:tc>
              <w:tc>
                <w:tcPr>
                  <w:tcW w:w="55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6E6146">
                  <w:pPr>
                    <w:spacing w:line="340" w:lineRule="exact"/>
                    <w:jc w:val="center"/>
                    <w:rPr>
                      <w:rFonts w:hint="eastAsia"/>
                      <w:color w:val="auto"/>
                      <w:szCs w:val="21"/>
                      <w:lang w:val="en-US" w:eastAsia="zh-CN"/>
                    </w:rPr>
                  </w:pPr>
                  <w:r>
                    <w:rPr>
                      <w:rFonts w:hint="eastAsia"/>
                      <w:color w:val="auto"/>
                      <w:szCs w:val="21"/>
                    </w:rPr>
                    <w:t>六层</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2C2901EE">
                  <w:pPr>
                    <w:spacing w:line="340" w:lineRule="exact"/>
                    <w:rPr>
                      <w:rFonts w:hint="eastAsia"/>
                      <w:color w:val="auto"/>
                      <w:szCs w:val="21"/>
                    </w:rPr>
                  </w:pPr>
                  <w:r>
                    <w:rPr>
                      <w:rFonts w:hint="eastAsia"/>
                      <w:color w:val="auto"/>
                      <w:szCs w:val="21"/>
                    </w:rPr>
                    <w:t>六层为分娩、隔离待产、隔离分娩、人流手术室、无菌库房、器械室、治疗室、待产、产检、妇检、器械室、洗婴筛查配奶、被服间、监护病房、病房。</w:t>
                  </w:r>
                </w:p>
              </w:tc>
            </w:tr>
            <w:tr w14:paraId="2DE0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left w:val="nil"/>
                    <w:right w:val="single" w:color="auto" w:sz="4" w:space="0"/>
                  </w:tcBorders>
                  <w:shd w:val="clear" w:color="auto" w:fill="FFFFFF"/>
                  <w:noWrap w:val="0"/>
                  <w:vAlign w:val="center"/>
                </w:tcPr>
                <w:p w14:paraId="236A0F95">
                  <w:pPr>
                    <w:spacing w:line="340" w:lineRule="exact"/>
                    <w:jc w:val="center"/>
                    <w:rPr>
                      <w:color w:val="auto"/>
                      <w:szCs w:val="21"/>
                    </w:rPr>
                  </w:pPr>
                </w:p>
              </w:tc>
              <w:tc>
                <w:tcPr>
                  <w:tcW w:w="262" w:type="pct"/>
                  <w:vMerge w:val="continue"/>
                  <w:tcBorders>
                    <w:left w:val="single" w:color="auto" w:sz="4" w:space="0"/>
                    <w:right w:val="single" w:color="auto" w:sz="4" w:space="0"/>
                  </w:tcBorders>
                  <w:shd w:val="clear" w:color="auto" w:fill="FFFFFF"/>
                  <w:noWrap w:val="0"/>
                  <w:vAlign w:val="center"/>
                </w:tcPr>
                <w:p w14:paraId="6765432F">
                  <w:pPr>
                    <w:spacing w:line="340" w:lineRule="exact"/>
                    <w:jc w:val="center"/>
                    <w:rPr>
                      <w:color w:val="auto"/>
                      <w:szCs w:val="21"/>
                    </w:rPr>
                  </w:pPr>
                </w:p>
              </w:tc>
              <w:tc>
                <w:tcPr>
                  <w:tcW w:w="55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42F5823">
                  <w:pPr>
                    <w:spacing w:line="340" w:lineRule="exact"/>
                    <w:jc w:val="center"/>
                    <w:rPr>
                      <w:rFonts w:hint="eastAsia"/>
                      <w:color w:val="auto"/>
                      <w:szCs w:val="21"/>
                      <w:lang w:val="en-US" w:eastAsia="zh-CN"/>
                    </w:rPr>
                  </w:pPr>
                  <w:r>
                    <w:rPr>
                      <w:rFonts w:hint="eastAsia"/>
                      <w:color w:val="auto"/>
                      <w:szCs w:val="21"/>
                    </w:rPr>
                    <w:t>七~十一层</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507DA39A">
                  <w:pPr>
                    <w:spacing w:line="340" w:lineRule="exact"/>
                    <w:rPr>
                      <w:rFonts w:hint="eastAsia"/>
                      <w:color w:val="auto"/>
                      <w:szCs w:val="21"/>
                    </w:rPr>
                  </w:pPr>
                  <w:r>
                    <w:rPr>
                      <w:rFonts w:hint="eastAsia"/>
                      <w:color w:val="auto"/>
                      <w:szCs w:val="21"/>
                    </w:rPr>
                    <w:t>七~十一层为护士站、治疗室、处置室、换药/检查、大输液间、器械间、开水间、设备用房、办公室、值班室、更衣室卫生间、病房、监护病房及相应配套辅助用房。</w:t>
                  </w:r>
                </w:p>
              </w:tc>
            </w:tr>
            <w:tr w14:paraId="3300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left w:val="nil"/>
                    <w:bottom w:val="single" w:color="auto" w:sz="4" w:space="0"/>
                    <w:right w:val="single" w:color="auto" w:sz="4" w:space="0"/>
                  </w:tcBorders>
                  <w:shd w:val="clear" w:color="auto" w:fill="FFFFFF"/>
                  <w:noWrap w:val="0"/>
                  <w:vAlign w:val="center"/>
                </w:tcPr>
                <w:p w14:paraId="45EF3E8F">
                  <w:pPr>
                    <w:spacing w:line="340" w:lineRule="exact"/>
                    <w:jc w:val="center"/>
                    <w:rPr>
                      <w:color w:val="auto"/>
                      <w:szCs w:val="21"/>
                    </w:rPr>
                  </w:pPr>
                </w:p>
              </w:tc>
              <w:tc>
                <w:tcPr>
                  <w:tcW w:w="262" w:type="pct"/>
                  <w:vMerge w:val="continue"/>
                  <w:tcBorders>
                    <w:left w:val="single" w:color="auto" w:sz="4" w:space="0"/>
                    <w:bottom w:val="single" w:color="auto" w:sz="4" w:space="0"/>
                    <w:right w:val="single" w:color="auto" w:sz="4" w:space="0"/>
                  </w:tcBorders>
                  <w:shd w:val="clear" w:color="auto" w:fill="FFFFFF"/>
                  <w:noWrap w:val="0"/>
                  <w:vAlign w:val="center"/>
                </w:tcPr>
                <w:p w14:paraId="0F98035C">
                  <w:pPr>
                    <w:spacing w:line="340" w:lineRule="exact"/>
                    <w:jc w:val="center"/>
                    <w:rPr>
                      <w:color w:val="auto"/>
                      <w:szCs w:val="21"/>
                    </w:rPr>
                  </w:pPr>
                </w:p>
              </w:tc>
              <w:tc>
                <w:tcPr>
                  <w:tcW w:w="55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5BEF819">
                  <w:pPr>
                    <w:spacing w:line="340" w:lineRule="exact"/>
                    <w:jc w:val="center"/>
                    <w:rPr>
                      <w:rFonts w:hint="eastAsia"/>
                      <w:color w:val="auto"/>
                      <w:szCs w:val="21"/>
                      <w:lang w:val="en-US" w:eastAsia="zh-CN"/>
                    </w:rPr>
                  </w:pPr>
                  <w:r>
                    <w:rPr>
                      <w:rFonts w:hint="eastAsia"/>
                      <w:color w:val="auto"/>
                      <w:szCs w:val="21"/>
                    </w:rPr>
                    <w:t>十二层</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44EE028A">
                  <w:pPr>
                    <w:spacing w:line="340" w:lineRule="exact"/>
                    <w:rPr>
                      <w:rFonts w:hint="eastAsia"/>
                      <w:color w:val="auto"/>
                      <w:szCs w:val="21"/>
                    </w:rPr>
                  </w:pPr>
                  <w:r>
                    <w:rPr>
                      <w:rFonts w:hint="eastAsia"/>
                      <w:color w:val="auto"/>
                      <w:szCs w:val="21"/>
                    </w:rPr>
                    <w:t>十二层为会议室、茶水间/休息室、卫生间音控室及相应配套辅助用房。</w:t>
                  </w:r>
                </w:p>
              </w:tc>
            </w:tr>
            <w:tr w14:paraId="2DC0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restart"/>
                  <w:tcBorders>
                    <w:top w:val="single" w:color="auto" w:sz="4" w:space="0"/>
                    <w:left w:val="nil"/>
                    <w:right w:val="single" w:color="auto" w:sz="4" w:space="0"/>
                  </w:tcBorders>
                  <w:shd w:val="clear" w:color="auto" w:fill="FFFFFF"/>
                  <w:noWrap w:val="0"/>
                  <w:vAlign w:val="center"/>
                </w:tcPr>
                <w:p w14:paraId="42611E32">
                  <w:pPr>
                    <w:spacing w:line="340" w:lineRule="exact"/>
                    <w:jc w:val="center"/>
                    <w:rPr>
                      <w:rFonts w:hint="eastAsia" w:eastAsia="宋体"/>
                      <w:color w:val="auto"/>
                      <w:szCs w:val="21"/>
                      <w:lang w:val="en-US" w:eastAsia="zh-CN"/>
                    </w:rPr>
                  </w:pPr>
                  <w:r>
                    <w:rPr>
                      <w:rFonts w:hint="eastAsia"/>
                      <w:color w:val="auto"/>
                      <w:szCs w:val="21"/>
                      <w:lang w:val="en-US" w:eastAsia="zh-CN"/>
                    </w:rPr>
                    <w:t>附属工程</w:t>
                  </w:r>
                </w:p>
              </w:tc>
              <w:tc>
                <w:tcPr>
                  <w:tcW w:w="815" w:type="pct"/>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5C5DF6">
                  <w:pPr>
                    <w:spacing w:line="340" w:lineRule="exact"/>
                    <w:jc w:val="center"/>
                    <w:rPr>
                      <w:rFonts w:hint="default" w:eastAsia="宋体"/>
                      <w:color w:val="auto"/>
                      <w:szCs w:val="21"/>
                      <w:lang w:val="en-US" w:eastAsia="zh-CN"/>
                    </w:rPr>
                  </w:pPr>
                  <w:r>
                    <w:rPr>
                      <w:rFonts w:hint="default" w:ascii="Times New Roman" w:hAnsi="Times New Roman" w:eastAsia="宋体" w:cs="Times New Roman"/>
                      <w:color w:val="auto"/>
                      <w:szCs w:val="21"/>
                    </w:rPr>
                    <w:t>设备用房</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5A9EB665">
                  <w:pPr>
                    <w:spacing w:line="340" w:lineRule="exact"/>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地下一层为污水处理池</w:t>
                  </w:r>
                  <w:r>
                    <w:rPr>
                      <w:rFonts w:hint="eastAsia" w:ascii="Times New Roman" w:hAnsi="Times New Roman" w:eastAsia="宋体" w:cs="Times New Roman"/>
                      <w:color w:val="auto"/>
                      <w:szCs w:val="21"/>
                      <w:lang w:eastAsia="zh-CN"/>
                    </w:rPr>
                    <w:t>。</w:t>
                  </w:r>
                </w:p>
                <w:p w14:paraId="05D9692C">
                  <w:pPr>
                    <w:spacing w:line="340" w:lineRule="exact"/>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一层为柴油发电机房、控制室、储油间、污水处理机房、配电间门卫室兼后勤协公、卫生间;</w:t>
                  </w:r>
                </w:p>
                <w:p w14:paraId="5029B402">
                  <w:pPr>
                    <w:spacing w:line="340" w:lineRule="exact"/>
                    <w:rPr>
                      <w:rFonts w:hint="eastAsia" w:eastAsia="宋体"/>
                      <w:color w:val="auto"/>
                      <w:szCs w:val="21"/>
                      <w:lang w:eastAsia="zh-CN"/>
                    </w:rPr>
                  </w:pPr>
                  <w:r>
                    <w:rPr>
                      <w:rFonts w:hint="default" w:ascii="Times New Roman" w:hAnsi="Times New Roman" w:eastAsia="宋体" w:cs="Times New Roman"/>
                      <w:color w:val="auto"/>
                      <w:szCs w:val="21"/>
                    </w:rPr>
                    <w:t>二层为变配电房。</w:t>
                  </w:r>
                </w:p>
              </w:tc>
            </w:tr>
            <w:tr w14:paraId="6654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left w:val="nil"/>
                    <w:right w:val="single" w:color="auto" w:sz="4" w:space="0"/>
                  </w:tcBorders>
                  <w:shd w:val="clear" w:color="auto" w:fill="FFFFFF"/>
                  <w:noWrap w:val="0"/>
                  <w:vAlign w:val="center"/>
                </w:tcPr>
                <w:p w14:paraId="14F17380">
                  <w:pPr>
                    <w:spacing w:line="340" w:lineRule="exact"/>
                    <w:jc w:val="center"/>
                    <w:rPr>
                      <w:color w:val="auto"/>
                      <w:szCs w:val="21"/>
                    </w:rPr>
                  </w:pPr>
                </w:p>
              </w:tc>
              <w:tc>
                <w:tcPr>
                  <w:tcW w:w="815" w:type="pct"/>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11683F">
                  <w:pPr>
                    <w:spacing w:line="340" w:lineRule="exact"/>
                    <w:jc w:val="center"/>
                    <w:rPr>
                      <w:rFonts w:hint="default" w:eastAsia="宋体"/>
                      <w:color w:val="auto"/>
                      <w:szCs w:val="21"/>
                      <w:lang w:val="en-US" w:eastAsia="zh-CN"/>
                    </w:rPr>
                  </w:pPr>
                  <w:r>
                    <w:rPr>
                      <w:rFonts w:hint="default" w:ascii="Times New Roman" w:hAnsi="Times New Roman" w:eastAsia="宋体" w:cs="Times New Roman"/>
                      <w:color w:val="auto"/>
                      <w:szCs w:val="21"/>
                    </w:rPr>
                    <w:t>液氧站</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1F1FCC05">
                  <w:pPr>
                    <w:spacing w:line="340" w:lineRule="exact"/>
                    <w:rPr>
                      <w:rFonts w:hint="eastAsia" w:eastAsia="宋体"/>
                      <w:color w:val="auto"/>
                      <w:szCs w:val="21"/>
                      <w:lang w:eastAsia="zh-CN"/>
                    </w:rPr>
                  </w:pPr>
                  <w:r>
                    <w:rPr>
                      <w:rFonts w:hint="default" w:ascii="Times New Roman" w:hAnsi="Times New Roman" w:eastAsia="宋体" w:cs="Times New Roman"/>
                      <w:color w:val="auto"/>
                      <w:szCs w:val="21"/>
                    </w:rPr>
                    <w:t>一层为氧气汇流排间、</w:t>
                  </w:r>
                  <w:r>
                    <w:rPr>
                      <w:rFonts w:hint="eastAsia" w:cs="Times New Roman"/>
                      <w:color w:val="auto"/>
                      <w:szCs w:val="21"/>
                      <w:lang w:eastAsia="zh-CN"/>
                    </w:rPr>
                    <w:t>贮罐</w:t>
                  </w:r>
                  <w:r>
                    <w:rPr>
                      <w:rFonts w:hint="default" w:ascii="Times New Roman" w:hAnsi="Times New Roman" w:eastAsia="宋体" w:cs="Times New Roman"/>
                      <w:color w:val="auto"/>
                      <w:szCs w:val="21"/>
                    </w:rPr>
                    <w:t>区</w:t>
                  </w:r>
                </w:p>
              </w:tc>
            </w:tr>
            <w:tr w14:paraId="48FA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left w:val="nil"/>
                    <w:right w:val="single" w:color="auto" w:sz="4" w:space="0"/>
                  </w:tcBorders>
                  <w:shd w:val="clear" w:color="auto" w:fill="FFFFFF"/>
                  <w:noWrap w:val="0"/>
                  <w:vAlign w:val="center"/>
                </w:tcPr>
                <w:p w14:paraId="0578ED65">
                  <w:pPr>
                    <w:spacing w:line="340" w:lineRule="exact"/>
                    <w:jc w:val="center"/>
                    <w:rPr>
                      <w:color w:val="auto"/>
                      <w:szCs w:val="21"/>
                    </w:rPr>
                  </w:pPr>
                </w:p>
              </w:tc>
              <w:tc>
                <w:tcPr>
                  <w:tcW w:w="815" w:type="pct"/>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8E57A7">
                  <w:pPr>
                    <w:spacing w:line="340" w:lineRule="exact"/>
                    <w:jc w:val="center"/>
                    <w:rPr>
                      <w:color w:val="auto"/>
                      <w:szCs w:val="21"/>
                    </w:rPr>
                  </w:pPr>
                  <w:r>
                    <w:rPr>
                      <w:rFonts w:hint="default" w:ascii="Times New Roman" w:hAnsi="Times New Roman" w:eastAsia="宋体" w:cs="Times New Roman"/>
                      <w:color w:val="auto"/>
                      <w:szCs w:val="21"/>
                    </w:rPr>
                    <w:t>门卫1</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1686BBCE">
                  <w:pPr>
                    <w:spacing w:line="340" w:lineRule="exact"/>
                    <w:rPr>
                      <w:color w:val="auto"/>
                      <w:szCs w:val="21"/>
                    </w:rPr>
                  </w:pPr>
                  <w:r>
                    <w:rPr>
                      <w:rFonts w:hint="default" w:ascii="Times New Roman" w:hAnsi="Times New Roman" w:eastAsia="宋体" w:cs="Times New Roman"/>
                      <w:color w:val="auto"/>
                      <w:szCs w:val="21"/>
                    </w:rPr>
                    <w:t>一层为门卫、休息室、卫生间</w:t>
                  </w:r>
                </w:p>
              </w:tc>
            </w:tr>
            <w:tr w14:paraId="73DF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left w:val="nil"/>
                    <w:right w:val="single" w:color="auto" w:sz="4" w:space="0"/>
                  </w:tcBorders>
                  <w:shd w:val="clear" w:color="auto" w:fill="FFFFFF"/>
                  <w:noWrap w:val="0"/>
                  <w:vAlign w:val="center"/>
                </w:tcPr>
                <w:p w14:paraId="47E10916">
                  <w:pPr>
                    <w:spacing w:line="340" w:lineRule="exact"/>
                    <w:jc w:val="center"/>
                    <w:rPr>
                      <w:color w:val="auto"/>
                      <w:szCs w:val="21"/>
                    </w:rPr>
                  </w:pPr>
                </w:p>
              </w:tc>
              <w:tc>
                <w:tcPr>
                  <w:tcW w:w="815" w:type="pct"/>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9994B1">
                  <w:pPr>
                    <w:spacing w:line="340" w:lineRule="exact"/>
                    <w:jc w:val="center"/>
                    <w:rPr>
                      <w:rFonts w:hint="eastAsia" w:eastAsia="宋体"/>
                      <w:color w:val="auto"/>
                      <w:kern w:val="2"/>
                      <w:sz w:val="21"/>
                      <w:szCs w:val="21"/>
                      <w:lang w:val="en-US" w:eastAsia="zh-CN" w:bidi="ar-SA"/>
                    </w:rPr>
                  </w:pPr>
                  <w:r>
                    <w:rPr>
                      <w:rFonts w:hint="default" w:ascii="Times New Roman" w:hAnsi="Times New Roman" w:eastAsia="宋体" w:cs="Times New Roman"/>
                      <w:color w:val="auto"/>
                      <w:szCs w:val="21"/>
                    </w:rPr>
                    <w:t>门卫2</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06D2C7B5">
                  <w:pPr>
                    <w:spacing w:line="340" w:lineRule="exact"/>
                    <w:rPr>
                      <w:color w:val="auto"/>
                      <w:kern w:val="2"/>
                      <w:sz w:val="21"/>
                      <w:szCs w:val="21"/>
                      <w:lang w:val="en-US" w:eastAsia="zh-CN" w:bidi="ar-SA"/>
                    </w:rPr>
                  </w:pPr>
                  <w:r>
                    <w:rPr>
                      <w:rFonts w:hint="default" w:ascii="Times New Roman" w:hAnsi="Times New Roman" w:eastAsia="宋体" w:cs="Times New Roman"/>
                      <w:color w:val="auto"/>
                      <w:szCs w:val="21"/>
                    </w:rPr>
                    <w:t>一层为门卫、休息室、卫生间</w:t>
                  </w:r>
                </w:p>
              </w:tc>
            </w:tr>
            <w:tr w14:paraId="55D7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left w:val="nil"/>
                    <w:right w:val="single" w:color="auto" w:sz="4" w:space="0"/>
                  </w:tcBorders>
                  <w:shd w:val="clear" w:color="auto" w:fill="FFFFFF"/>
                  <w:noWrap w:val="0"/>
                  <w:vAlign w:val="center"/>
                </w:tcPr>
                <w:p w14:paraId="70DD48FB">
                  <w:pPr>
                    <w:spacing w:line="340" w:lineRule="exact"/>
                    <w:jc w:val="center"/>
                    <w:rPr>
                      <w:color w:val="auto"/>
                      <w:szCs w:val="21"/>
                    </w:rPr>
                  </w:pPr>
                </w:p>
              </w:tc>
              <w:tc>
                <w:tcPr>
                  <w:tcW w:w="815" w:type="pct"/>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2171A4">
                  <w:pPr>
                    <w:spacing w:line="340" w:lineRule="exact"/>
                    <w:jc w:val="center"/>
                    <w:rPr>
                      <w:rFonts w:hint="eastAsia" w:eastAsia="宋体"/>
                      <w:color w:val="auto"/>
                      <w:kern w:val="2"/>
                      <w:sz w:val="21"/>
                      <w:szCs w:val="21"/>
                      <w:lang w:val="en-US" w:eastAsia="zh-CN" w:bidi="ar-SA"/>
                    </w:rPr>
                  </w:pPr>
                  <w:r>
                    <w:rPr>
                      <w:rFonts w:hint="default" w:ascii="Times New Roman" w:hAnsi="Times New Roman" w:eastAsia="宋体" w:cs="Times New Roman"/>
                      <w:color w:val="auto"/>
                      <w:szCs w:val="21"/>
                    </w:rPr>
                    <w:t>后勤综合楼</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33950E6E">
                  <w:pPr>
                    <w:spacing w:line="340" w:lineRule="exact"/>
                    <w:rPr>
                      <w:color w:val="auto"/>
                      <w:kern w:val="2"/>
                      <w:sz w:val="21"/>
                      <w:szCs w:val="21"/>
                      <w:lang w:val="en-US" w:eastAsia="zh-CN" w:bidi="ar-SA"/>
                    </w:rPr>
                  </w:pPr>
                  <w:r>
                    <w:rPr>
                      <w:rFonts w:hint="default" w:ascii="Times New Roman" w:hAnsi="Times New Roman" w:eastAsia="宋体" w:cs="Times New Roman"/>
                      <w:color w:val="auto"/>
                      <w:szCs w:val="21"/>
                    </w:rPr>
                    <w:t>一层为食堂、厨房;二~四层为院前值班</w:t>
                  </w:r>
                </w:p>
              </w:tc>
            </w:tr>
            <w:tr w14:paraId="6590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left w:val="nil"/>
                    <w:right w:val="single" w:color="auto" w:sz="4" w:space="0"/>
                  </w:tcBorders>
                  <w:shd w:val="clear" w:color="auto" w:fill="FFFFFF"/>
                  <w:noWrap w:val="0"/>
                  <w:vAlign w:val="center"/>
                </w:tcPr>
                <w:p w14:paraId="68DD830B">
                  <w:pPr>
                    <w:spacing w:line="340" w:lineRule="exact"/>
                    <w:jc w:val="center"/>
                    <w:rPr>
                      <w:color w:val="auto"/>
                      <w:szCs w:val="21"/>
                    </w:rPr>
                  </w:pPr>
                </w:p>
              </w:tc>
              <w:tc>
                <w:tcPr>
                  <w:tcW w:w="815" w:type="pct"/>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6E0799">
                  <w:pPr>
                    <w:spacing w:line="340" w:lineRule="exact"/>
                    <w:jc w:val="center"/>
                    <w:rPr>
                      <w:rFonts w:hint="default" w:eastAsia="宋体"/>
                      <w:color w:val="auto"/>
                      <w:kern w:val="2"/>
                      <w:sz w:val="21"/>
                      <w:szCs w:val="21"/>
                      <w:lang w:val="en-US" w:eastAsia="zh-CN" w:bidi="ar-SA"/>
                    </w:rPr>
                  </w:pPr>
                  <w:r>
                    <w:rPr>
                      <w:rFonts w:hint="default" w:ascii="Times New Roman" w:hAnsi="Times New Roman" w:eastAsia="宋体" w:cs="Times New Roman"/>
                      <w:color w:val="auto"/>
                      <w:szCs w:val="21"/>
                    </w:rPr>
                    <w:t>地下室</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05DB4643">
                  <w:pPr>
                    <w:spacing w:line="340" w:lineRule="exact"/>
                    <w:rPr>
                      <w:color w:val="auto"/>
                      <w:kern w:val="2"/>
                      <w:sz w:val="21"/>
                      <w:szCs w:val="21"/>
                      <w:lang w:val="en-US" w:eastAsia="zh-CN" w:bidi="ar-SA"/>
                    </w:rPr>
                  </w:pPr>
                  <w:r>
                    <w:rPr>
                      <w:rFonts w:hint="default" w:ascii="Times New Roman" w:hAnsi="Times New Roman" w:eastAsia="宋体" w:cs="Times New Roman"/>
                      <w:color w:val="auto"/>
                      <w:szCs w:val="21"/>
                    </w:rPr>
                    <w:t>地下一层为停车及设备用房太平间</w:t>
                  </w:r>
                </w:p>
              </w:tc>
            </w:tr>
            <w:tr w14:paraId="28E1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left w:val="nil"/>
                    <w:bottom w:val="single" w:color="auto" w:sz="4" w:space="0"/>
                    <w:right w:val="single" w:color="auto" w:sz="4" w:space="0"/>
                  </w:tcBorders>
                  <w:shd w:val="clear" w:color="auto" w:fill="FFFFFF"/>
                  <w:noWrap w:val="0"/>
                  <w:vAlign w:val="center"/>
                </w:tcPr>
                <w:p w14:paraId="1034FC87">
                  <w:pPr>
                    <w:spacing w:line="340" w:lineRule="exact"/>
                    <w:jc w:val="center"/>
                    <w:rPr>
                      <w:color w:val="auto"/>
                      <w:szCs w:val="21"/>
                    </w:rPr>
                  </w:pPr>
                </w:p>
              </w:tc>
              <w:tc>
                <w:tcPr>
                  <w:tcW w:w="815" w:type="pct"/>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92FFAF">
                  <w:pPr>
                    <w:spacing w:line="340" w:lineRule="exact"/>
                    <w:jc w:val="center"/>
                    <w:rPr>
                      <w:color w:val="auto"/>
                      <w:szCs w:val="21"/>
                    </w:rPr>
                  </w:pPr>
                  <w:r>
                    <w:rPr>
                      <w:rFonts w:hint="default" w:ascii="Times New Roman" w:hAnsi="Times New Roman" w:eastAsia="宋体" w:cs="Times New Roman"/>
                      <w:color w:val="auto"/>
                      <w:szCs w:val="21"/>
                    </w:rPr>
                    <w:t>附属楼</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001EA039">
                  <w:pPr>
                    <w:spacing w:line="340" w:lineRule="exact"/>
                    <w:rPr>
                      <w:color w:val="auto"/>
                      <w:szCs w:val="21"/>
                    </w:rPr>
                  </w:pPr>
                  <w:r>
                    <w:rPr>
                      <w:rFonts w:hint="default" w:ascii="Times New Roman" w:hAnsi="Times New Roman" w:eastAsia="宋体" w:cs="Times New Roman"/>
                      <w:color w:val="auto"/>
                      <w:szCs w:val="21"/>
                    </w:rPr>
                    <w:t>一层为医废暂存</w:t>
                  </w:r>
                </w:p>
              </w:tc>
            </w:tr>
            <w:tr w14:paraId="40B3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restart"/>
                  <w:tcBorders>
                    <w:top w:val="single" w:color="auto" w:sz="4" w:space="0"/>
                    <w:left w:val="nil"/>
                    <w:bottom w:val="single" w:color="auto" w:sz="4" w:space="0"/>
                    <w:right w:val="single" w:color="auto" w:sz="4" w:space="0"/>
                  </w:tcBorders>
                  <w:shd w:val="clear" w:color="auto" w:fill="FFFFFF"/>
                  <w:noWrap w:val="0"/>
                  <w:vAlign w:val="center"/>
                </w:tcPr>
                <w:p w14:paraId="07A9CADE">
                  <w:pPr>
                    <w:spacing w:line="340" w:lineRule="exact"/>
                    <w:jc w:val="center"/>
                    <w:rPr>
                      <w:color w:val="auto"/>
                      <w:szCs w:val="21"/>
                    </w:rPr>
                  </w:pPr>
                  <w:r>
                    <w:rPr>
                      <w:color w:val="auto"/>
                      <w:kern w:val="0"/>
                      <w:szCs w:val="21"/>
                    </w:rPr>
                    <w:t>公用工程</w:t>
                  </w:r>
                </w:p>
              </w:tc>
              <w:tc>
                <w:tcPr>
                  <w:tcW w:w="815" w:type="pct"/>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FCC2D1">
                  <w:pPr>
                    <w:spacing w:line="340" w:lineRule="exact"/>
                    <w:jc w:val="center"/>
                    <w:rPr>
                      <w:color w:val="auto"/>
                      <w:szCs w:val="21"/>
                    </w:rPr>
                  </w:pPr>
                  <w:r>
                    <w:rPr>
                      <w:color w:val="auto"/>
                      <w:kern w:val="0"/>
                      <w:szCs w:val="21"/>
                    </w:rPr>
                    <w:t>供水</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4EC23EA7">
                  <w:pPr>
                    <w:spacing w:line="340" w:lineRule="exact"/>
                    <w:rPr>
                      <w:color w:val="auto"/>
                      <w:szCs w:val="21"/>
                    </w:rPr>
                  </w:pPr>
                  <w:r>
                    <w:rPr>
                      <w:rFonts w:hint="eastAsia"/>
                      <w:color w:val="auto"/>
                      <w:szCs w:val="21"/>
                    </w:rPr>
                    <w:t>市政引一路DN150进水管在本工程室外形成环网，供给本工程生活及消防用水。</w:t>
                  </w:r>
                </w:p>
              </w:tc>
            </w:tr>
            <w:tr w14:paraId="15FF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29D9B134">
                  <w:pPr>
                    <w:spacing w:line="340" w:lineRule="exact"/>
                    <w:jc w:val="center"/>
                    <w:rPr>
                      <w:color w:val="auto"/>
                      <w:szCs w:val="21"/>
                    </w:rPr>
                  </w:pPr>
                </w:p>
              </w:tc>
              <w:tc>
                <w:tcPr>
                  <w:tcW w:w="815" w:type="pct"/>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6B7EC2">
                  <w:pPr>
                    <w:spacing w:line="340" w:lineRule="exact"/>
                    <w:jc w:val="center"/>
                    <w:rPr>
                      <w:color w:val="auto"/>
                      <w:szCs w:val="21"/>
                    </w:rPr>
                  </w:pPr>
                  <w:r>
                    <w:rPr>
                      <w:color w:val="auto"/>
                      <w:kern w:val="0"/>
                      <w:szCs w:val="21"/>
                    </w:rPr>
                    <w:t>供电</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2E993226">
                  <w:pPr>
                    <w:spacing w:line="340" w:lineRule="exact"/>
                    <w:rPr>
                      <w:color w:val="auto"/>
                      <w:szCs w:val="21"/>
                    </w:rPr>
                  </w:pPr>
                  <w:r>
                    <w:rPr>
                      <w:rFonts w:hint="eastAsia" w:ascii="宋体" w:hAnsi="宋体" w:cs="宋体"/>
                      <w:snapToGrid w:val="0"/>
                      <w:color w:val="auto"/>
                      <w:kern w:val="0"/>
                      <w:szCs w:val="21"/>
                    </w:rPr>
                    <w:t>市政供电</w:t>
                  </w:r>
                </w:p>
              </w:tc>
            </w:tr>
            <w:tr w14:paraId="7814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23A0540C">
                  <w:pPr>
                    <w:spacing w:line="340" w:lineRule="exact"/>
                    <w:jc w:val="center"/>
                    <w:rPr>
                      <w:color w:val="auto"/>
                      <w:szCs w:val="21"/>
                    </w:rPr>
                  </w:pPr>
                </w:p>
              </w:tc>
              <w:tc>
                <w:tcPr>
                  <w:tcW w:w="815" w:type="pct"/>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16D0F4">
                  <w:pPr>
                    <w:spacing w:line="340" w:lineRule="exact"/>
                    <w:jc w:val="center"/>
                    <w:rPr>
                      <w:color w:val="auto"/>
                      <w:szCs w:val="21"/>
                    </w:rPr>
                  </w:pPr>
                  <w:r>
                    <w:rPr>
                      <w:color w:val="auto"/>
                      <w:kern w:val="0"/>
                      <w:szCs w:val="21"/>
                    </w:rPr>
                    <w:t>排水</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632CDE03">
                  <w:pPr>
                    <w:spacing w:line="340" w:lineRule="exact"/>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项目采用雨污分流排水体制。</w:t>
                  </w:r>
                </w:p>
                <w:p w14:paraId="48D79C9B">
                  <w:pPr>
                    <w:spacing w:line="340" w:lineRule="exact"/>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污水系统近期：因区域暂未配套市政污水管网，生活污水经化粪池预处理、</w:t>
                  </w:r>
                  <w:r>
                    <w:rPr>
                      <w:rFonts w:hint="eastAsia" w:ascii="Times New Roman" w:hAnsi="Times New Roman" w:eastAsia="宋体" w:cs="Times New Roman"/>
                      <w:color w:val="auto"/>
                      <w:szCs w:val="21"/>
                      <w:lang w:val="en-US" w:eastAsia="zh-CN"/>
                    </w:rPr>
                    <w:t>医疗废水经化粪池预处理</w:t>
                  </w:r>
                  <w:r>
                    <w:rPr>
                      <w:rFonts w:hint="default" w:ascii="Times New Roman" w:hAnsi="Times New Roman" w:eastAsia="宋体" w:cs="Times New Roman"/>
                      <w:color w:val="auto"/>
                      <w:szCs w:val="21"/>
                      <w:lang w:val="en-US" w:eastAsia="zh-CN"/>
                    </w:rPr>
                    <w:t>、餐厨废水经隔油池 + 化粪池预处理后，一并进入处理规模为500t/d的污水处理站处理，达标后由密闭污水槽车清运至青口汽车工业开发区污水处理厂集中处置。远期：待区域市政污水管网建成投用后，污水处理站出水纳入市政污水管网，最终排入青口新区污水处理厂统一处理。</w:t>
                  </w:r>
                </w:p>
                <w:p w14:paraId="3752254A">
                  <w:pPr>
                    <w:spacing w:line="340" w:lineRule="exact"/>
                    <w:rPr>
                      <w:rFonts w:hint="default"/>
                      <w:color w:val="auto"/>
                      <w:spacing w:val="-2"/>
                      <w:sz w:val="21"/>
                      <w:szCs w:val="21"/>
                      <w:lang w:val="en-US" w:eastAsia="zh-CN"/>
                    </w:rPr>
                  </w:pPr>
                  <w:r>
                    <w:rPr>
                      <w:rFonts w:hint="default" w:ascii="Times New Roman" w:hAnsi="Times New Roman" w:eastAsia="宋体" w:cs="Times New Roman"/>
                      <w:color w:val="auto"/>
                      <w:szCs w:val="21"/>
                      <w:lang w:val="en-US" w:eastAsia="zh-CN"/>
                    </w:rPr>
                    <w:t>雨水系统近期：因区域暂未配套市政雨水管网，场地雨水经收集后就近排入周边河道。远期：待市政雨水管网完善后，雨水汇入市政雨水管网统一排放</w:t>
                  </w:r>
                  <w:r>
                    <w:rPr>
                      <w:rFonts w:hint="eastAsia" w:ascii="Times New Roman" w:hAnsi="Times New Roman" w:eastAsia="宋体" w:cs="Times New Roman"/>
                      <w:color w:val="auto"/>
                      <w:szCs w:val="21"/>
                      <w:lang w:val="en-US" w:eastAsia="zh-CN"/>
                    </w:rPr>
                    <w:t>。</w:t>
                  </w:r>
                </w:p>
              </w:tc>
            </w:tr>
            <w:tr w14:paraId="53C0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restart"/>
                  <w:tcBorders>
                    <w:top w:val="single" w:color="auto" w:sz="4" w:space="0"/>
                    <w:left w:val="nil"/>
                    <w:bottom w:val="single" w:color="auto" w:sz="4" w:space="0"/>
                    <w:right w:val="single" w:color="auto" w:sz="4" w:space="0"/>
                  </w:tcBorders>
                  <w:shd w:val="clear" w:color="auto" w:fill="FFFFFF"/>
                  <w:noWrap w:val="0"/>
                  <w:vAlign w:val="center"/>
                </w:tcPr>
                <w:p w14:paraId="778DF08B">
                  <w:pPr>
                    <w:widowControl/>
                    <w:adjustRightInd w:val="0"/>
                    <w:snapToGrid w:val="0"/>
                    <w:spacing w:line="340" w:lineRule="exact"/>
                    <w:jc w:val="center"/>
                    <w:rPr>
                      <w:color w:val="auto"/>
                      <w:kern w:val="0"/>
                      <w:szCs w:val="21"/>
                    </w:rPr>
                  </w:pPr>
                  <w:r>
                    <w:rPr>
                      <w:color w:val="auto"/>
                      <w:kern w:val="0"/>
                      <w:szCs w:val="21"/>
                    </w:rPr>
                    <w:t>环保</w:t>
                  </w:r>
                </w:p>
                <w:p w14:paraId="5C56EFDF">
                  <w:pPr>
                    <w:spacing w:line="340" w:lineRule="exact"/>
                    <w:jc w:val="center"/>
                    <w:rPr>
                      <w:color w:val="auto"/>
                      <w:szCs w:val="21"/>
                    </w:rPr>
                  </w:pPr>
                  <w:r>
                    <w:rPr>
                      <w:color w:val="auto"/>
                      <w:kern w:val="0"/>
                      <w:szCs w:val="21"/>
                    </w:rPr>
                    <w:t>工程</w:t>
                  </w:r>
                </w:p>
              </w:tc>
              <w:tc>
                <w:tcPr>
                  <w:tcW w:w="815" w:type="pct"/>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3B5525">
                  <w:pPr>
                    <w:spacing w:line="340" w:lineRule="exact"/>
                    <w:jc w:val="center"/>
                    <w:rPr>
                      <w:color w:val="auto"/>
                      <w:szCs w:val="21"/>
                    </w:rPr>
                  </w:pPr>
                  <w:r>
                    <w:rPr>
                      <w:color w:val="auto"/>
                      <w:kern w:val="0"/>
                      <w:szCs w:val="21"/>
                    </w:rPr>
                    <w:t>废水</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5212833A">
                  <w:pPr>
                    <w:spacing w:line="340" w:lineRule="exact"/>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近期：因区域暂未配套市政污水管网，生活污水经化粪池预处理</w:t>
                  </w:r>
                  <w:r>
                    <w:rPr>
                      <w:rFonts w:hint="eastAsia" w:cs="Times New Roman"/>
                      <w:color w:val="auto"/>
                      <w:szCs w:val="21"/>
                      <w:lang w:val="en-US" w:eastAsia="zh-CN"/>
                    </w:rPr>
                    <w:t>、一</w:t>
                  </w:r>
                  <w:r>
                    <w:rPr>
                      <w:rFonts w:hint="eastAsia"/>
                      <w:color w:val="auto"/>
                    </w:rPr>
                    <w:t>般医疗废水（如病房、门诊废水）经化粪池预处理；特殊医疗废水（如化验室、口腔科废水）经化学沉淀池预处理后，与其他废水一并进入院区污水处理站。</w:t>
                  </w:r>
                  <w:r>
                    <w:rPr>
                      <w:rFonts w:hint="default" w:ascii="Times New Roman" w:hAnsi="Times New Roman" w:eastAsia="宋体" w:cs="Times New Roman"/>
                      <w:color w:val="auto"/>
                      <w:szCs w:val="21"/>
                      <w:lang w:val="en-US" w:eastAsia="zh-CN"/>
                    </w:rPr>
                    <w:t>、餐厨废水经隔油池 + 化粪池预处理后，一并进入处理规模为500t/d的污水处理站处理，达标后由密闭污水槽车清运至青口汽车工业开发区污水处理厂集中处置。</w:t>
                  </w:r>
                </w:p>
                <w:p w14:paraId="1F9B79D3">
                  <w:pPr>
                    <w:spacing w:line="340" w:lineRule="exact"/>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远期：待区域市政污水管网建成投用后，污水处理站出水纳入市政污水管网，最终排入青口新区污水处理厂统一处理。</w:t>
                  </w:r>
                </w:p>
                <w:p w14:paraId="4A58801F">
                  <w:pPr>
                    <w:spacing w:line="340" w:lineRule="exact"/>
                    <w:rPr>
                      <w:rFonts w:hint="default" w:eastAsia="宋体"/>
                      <w:color w:val="auto"/>
                      <w:szCs w:val="21"/>
                      <w:lang w:val="en-US" w:eastAsia="zh-CN"/>
                    </w:rPr>
                  </w:pPr>
                  <w:r>
                    <w:rPr>
                      <w:rFonts w:hint="default" w:ascii="Times New Roman" w:hAnsi="Times New Roman" w:eastAsia="宋体" w:cs="Times New Roman"/>
                      <w:color w:val="auto"/>
                      <w:szCs w:val="21"/>
                      <w:lang w:val="en-US" w:eastAsia="zh-CN"/>
                    </w:rPr>
                    <w:t>污水处理</w:t>
                  </w:r>
                  <w:r>
                    <w:rPr>
                      <w:rFonts w:hint="eastAsia" w:ascii="Times New Roman" w:hAnsi="Times New Roman" w:eastAsia="宋体" w:cs="Times New Roman"/>
                      <w:color w:val="auto"/>
                      <w:szCs w:val="21"/>
                      <w:lang w:val="en-US" w:eastAsia="zh-CN"/>
                    </w:rPr>
                    <w:t>站处理达到《</w:t>
                  </w:r>
                  <w:r>
                    <w:rPr>
                      <w:rFonts w:hint="default" w:ascii="Times New Roman" w:hAnsi="Times New Roman" w:eastAsia="宋体" w:cs="Times New Roman"/>
                      <w:color w:val="auto"/>
                      <w:szCs w:val="21"/>
                      <w:lang w:val="en-US" w:eastAsia="zh-CN"/>
                    </w:rPr>
                    <w:t>医疗机构水污染物排放标准</w:t>
                  </w:r>
                  <w:r>
                    <w:rPr>
                      <w:rFonts w:hint="eastAsia" w:ascii="Times New Roman" w:hAnsi="Times New Roman" w:eastAsia="宋体" w:cs="Times New Roman"/>
                      <w:color w:val="auto"/>
                      <w:szCs w:val="21"/>
                      <w:lang w:val="en-US" w:eastAsia="zh-CN"/>
                    </w:rPr>
                    <w:t>》</w:t>
                  </w:r>
                  <w:r>
                    <w:rPr>
                      <w:rFonts w:hint="default" w:ascii="Times New Roman" w:hAnsi="Times New Roman" w:eastAsia="宋体" w:cs="Times New Roman"/>
                      <w:color w:val="auto"/>
                      <w:szCs w:val="21"/>
                      <w:lang w:val="en-US" w:eastAsia="zh-CN"/>
                    </w:rPr>
                    <w:t>(GB18466-2005)表2处理标准，符合青口汽车工业开发区污水处理厂进水要求</w:t>
                  </w:r>
                </w:p>
              </w:tc>
            </w:tr>
            <w:tr w14:paraId="7596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290E8F94">
                  <w:pPr>
                    <w:spacing w:line="340" w:lineRule="exact"/>
                    <w:jc w:val="center"/>
                    <w:rPr>
                      <w:color w:val="auto"/>
                      <w:szCs w:val="21"/>
                    </w:rPr>
                  </w:pPr>
                </w:p>
              </w:tc>
              <w:tc>
                <w:tcPr>
                  <w:tcW w:w="815" w:type="pct"/>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A544EC">
                  <w:pPr>
                    <w:spacing w:line="340" w:lineRule="exact"/>
                    <w:jc w:val="center"/>
                    <w:rPr>
                      <w:color w:val="auto"/>
                      <w:szCs w:val="21"/>
                    </w:rPr>
                  </w:pPr>
                  <w:r>
                    <w:rPr>
                      <w:color w:val="auto"/>
                      <w:kern w:val="0"/>
                      <w:szCs w:val="21"/>
                    </w:rPr>
                    <w:t>废气</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0C1257BD">
                  <w:pPr>
                    <w:pStyle w:val="30"/>
                    <w:spacing w:before="68" w:line="270" w:lineRule="auto"/>
                    <w:ind w:right="125"/>
                    <w:rPr>
                      <w:color w:val="auto"/>
                      <w:spacing w:val="-1"/>
                      <w:sz w:val="21"/>
                      <w:szCs w:val="21"/>
                      <w:lang w:eastAsia="zh-CN"/>
                    </w:rPr>
                  </w:pPr>
                  <w:r>
                    <w:rPr>
                      <w:rFonts w:hint="eastAsia"/>
                      <w:color w:val="auto"/>
                      <w:spacing w:val="-1"/>
                      <w:sz w:val="21"/>
                      <w:szCs w:val="21"/>
                      <w:lang w:eastAsia="zh-CN"/>
                    </w:rPr>
                    <w:t>医院内建设新风收集系统，增加通风，减轻消毒异味</w:t>
                  </w:r>
                  <w:r>
                    <w:rPr>
                      <w:color w:val="auto"/>
                      <w:spacing w:val="-1"/>
                      <w:sz w:val="21"/>
                      <w:szCs w:val="21"/>
                      <w:lang w:eastAsia="zh-CN"/>
                    </w:rPr>
                    <w:t>。</w:t>
                  </w:r>
                </w:p>
                <w:p w14:paraId="56369553">
                  <w:pPr>
                    <w:pStyle w:val="30"/>
                    <w:spacing w:before="68" w:line="270" w:lineRule="auto"/>
                    <w:ind w:right="125"/>
                    <w:rPr>
                      <w:rFonts w:hint="eastAsia"/>
                      <w:color w:val="auto"/>
                      <w:spacing w:val="-1"/>
                      <w:sz w:val="21"/>
                      <w:szCs w:val="21"/>
                      <w:lang w:eastAsia="zh-CN"/>
                    </w:rPr>
                  </w:pPr>
                  <w:r>
                    <w:rPr>
                      <w:rFonts w:hint="eastAsia"/>
                      <w:color w:val="auto"/>
                      <w:sz w:val="21"/>
                      <w:szCs w:val="21"/>
                      <w:lang w:val="en-US" w:eastAsia="zh-CN"/>
                    </w:rPr>
                    <w:t>食堂</w:t>
                  </w:r>
                  <w:r>
                    <w:rPr>
                      <w:color w:val="auto"/>
                      <w:sz w:val="21"/>
                      <w:szCs w:val="21"/>
                    </w:rPr>
                    <w:t>产生的油烟经油烟净化器净化处理后，高于</w:t>
                  </w:r>
                  <w:r>
                    <w:rPr>
                      <w:color w:val="auto"/>
                      <w:spacing w:val="-1"/>
                      <w:sz w:val="21"/>
                      <w:szCs w:val="21"/>
                    </w:rPr>
                    <w:t>屋顶排放</w:t>
                  </w:r>
                  <w:r>
                    <w:rPr>
                      <w:rFonts w:hint="eastAsia"/>
                      <w:color w:val="auto"/>
                      <w:spacing w:val="-1"/>
                      <w:sz w:val="21"/>
                      <w:szCs w:val="21"/>
                      <w:lang w:eastAsia="zh-CN"/>
                    </w:rPr>
                    <w:t>。</w:t>
                  </w:r>
                </w:p>
                <w:p w14:paraId="515D7DD2">
                  <w:pPr>
                    <w:pStyle w:val="30"/>
                    <w:spacing w:before="68" w:line="270" w:lineRule="auto"/>
                    <w:ind w:right="125"/>
                    <w:rPr>
                      <w:rFonts w:ascii="宋体" w:hAnsi="宋体" w:eastAsia="宋体" w:cs="宋体"/>
                      <w:color w:val="auto"/>
                      <w:spacing w:val="-1"/>
                      <w:sz w:val="21"/>
                      <w:szCs w:val="21"/>
                    </w:rPr>
                  </w:pPr>
                  <w:r>
                    <w:rPr>
                      <w:rFonts w:ascii="宋体" w:hAnsi="宋体" w:eastAsia="宋体" w:cs="宋体"/>
                      <w:color w:val="auto"/>
                      <w:spacing w:val="-1"/>
                      <w:sz w:val="21"/>
                      <w:szCs w:val="21"/>
                    </w:rPr>
                    <w:t>柴油发电机房、变配电房排烟管道引至屋顶室外高空处排放</w:t>
                  </w:r>
                </w:p>
                <w:p w14:paraId="347B6978">
                  <w:pPr>
                    <w:pStyle w:val="30"/>
                    <w:spacing w:before="68" w:line="270" w:lineRule="auto"/>
                    <w:ind w:right="125"/>
                    <w:rPr>
                      <w:rFonts w:hint="eastAsia" w:ascii="宋体" w:hAnsi="宋体" w:eastAsia="宋体" w:cs="宋体"/>
                      <w:color w:val="auto"/>
                      <w:spacing w:val="-1"/>
                      <w:sz w:val="21"/>
                      <w:szCs w:val="21"/>
                      <w:lang w:eastAsia="zh-CN"/>
                    </w:rPr>
                  </w:pPr>
                  <w:r>
                    <w:rPr>
                      <w:rFonts w:ascii="宋体" w:hAnsi="宋体" w:eastAsia="宋体" w:cs="宋体"/>
                      <w:color w:val="auto"/>
                      <w:spacing w:val="-1"/>
                      <w:sz w:val="21"/>
                      <w:szCs w:val="21"/>
                    </w:rPr>
                    <w:t>污水处理设施排出的废气进行除臭</w:t>
                  </w:r>
                  <w:r>
                    <w:rPr>
                      <w:rFonts w:hint="eastAsia" w:ascii="宋体" w:hAnsi="宋体" w:eastAsia="宋体" w:cs="宋体"/>
                      <w:color w:val="auto"/>
                      <w:spacing w:val="-1"/>
                      <w:sz w:val="21"/>
                      <w:szCs w:val="21"/>
                      <w:lang w:eastAsia="zh-CN"/>
                    </w:rPr>
                    <w:t>（</w:t>
                  </w:r>
                  <w:r>
                    <w:rPr>
                      <w:rFonts w:ascii="宋体" w:hAnsi="宋体" w:eastAsia="宋体" w:cs="宋体"/>
                      <w:color w:val="auto"/>
                      <w:spacing w:val="-1"/>
                      <w:sz w:val="21"/>
                      <w:szCs w:val="21"/>
                      <w:lang w:val="en-US" w:eastAsia="zh-CN"/>
                    </w:rPr>
                    <w:t>高能离子净化+活性炭吸附</w:t>
                  </w:r>
                  <w:r>
                    <w:rPr>
                      <w:rFonts w:hint="eastAsia" w:ascii="宋体" w:hAnsi="宋体" w:eastAsia="宋体" w:cs="宋体"/>
                      <w:color w:val="auto"/>
                      <w:spacing w:val="-1"/>
                      <w:sz w:val="21"/>
                      <w:szCs w:val="21"/>
                      <w:lang w:eastAsia="zh-CN"/>
                    </w:rPr>
                    <w:t>）</w:t>
                  </w:r>
                  <w:r>
                    <w:rPr>
                      <w:rFonts w:ascii="宋体" w:hAnsi="宋体" w:eastAsia="宋体" w:cs="宋体"/>
                      <w:color w:val="auto"/>
                      <w:spacing w:val="-1"/>
                      <w:sz w:val="21"/>
                      <w:szCs w:val="21"/>
                    </w:rPr>
                    <w:t>处理</w:t>
                  </w:r>
                  <w:r>
                    <w:rPr>
                      <w:rFonts w:hint="eastAsia" w:ascii="宋体" w:hAnsi="宋体" w:eastAsia="宋体" w:cs="宋体"/>
                      <w:color w:val="auto"/>
                      <w:spacing w:val="-1"/>
                      <w:sz w:val="21"/>
                      <w:szCs w:val="21"/>
                      <w:lang w:eastAsia="zh-CN"/>
                    </w:rPr>
                    <w:t>。</w:t>
                  </w:r>
                </w:p>
                <w:p w14:paraId="7B325715">
                  <w:pPr>
                    <w:pStyle w:val="30"/>
                    <w:spacing w:before="68" w:line="270" w:lineRule="auto"/>
                    <w:ind w:right="125"/>
                    <w:rPr>
                      <w:rFonts w:hint="eastAsia" w:ascii="宋体" w:hAnsi="宋体" w:eastAsia="宋体" w:cs="宋体"/>
                      <w:color w:val="auto"/>
                      <w:spacing w:val="-1"/>
                      <w:sz w:val="21"/>
                      <w:szCs w:val="21"/>
                      <w:lang w:eastAsia="zh-CN"/>
                    </w:rPr>
                  </w:pPr>
                  <w:r>
                    <w:rPr>
                      <w:rFonts w:hint="eastAsia" w:ascii="宋体" w:hAnsi="宋体" w:eastAsia="宋体" w:cs="宋体"/>
                      <w:color w:val="auto"/>
                      <w:spacing w:val="-1"/>
                      <w:sz w:val="21"/>
                      <w:szCs w:val="21"/>
                      <w:lang w:val="en-US" w:eastAsia="zh-CN"/>
                    </w:rPr>
                    <w:t>医疗废物暂存间应设置独立的排风系统，废气经紫外线消毒+活性炭处理后引至屋顶排放。</w:t>
                  </w:r>
                </w:p>
              </w:tc>
            </w:tr>
            <w:tr w14:paraId="4541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34C64C72">
                  <w:pPr>
                    <w:spacing w:line="340" w:lineRule="exact"/>
                    <w:jc w:val="center"/>
                    <w:rPr>
                      <w:color w:val="auto"/>
                      <w:szCs w:val="21"/>
                    </w:rPr>
                  </w:pPr>
                </w:p>
              </w:tc>
              <w:tc>
                <w:tcPr>
                  <w:tcW w:w="815" w:type="pct"/>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4C176868">
                  <w:pPr>
                    <w:spacing w:line="340" w:lineRule="exact"/>
                    <w:jc w:val="center"/>
                    <w:rPr>
                      <w:color w:val="auto"/>
                      <w:szCs w:val="21"/>
                    </w:rPr>
                  </w:pPr>
                  <w:r>
                    <w:rPr>
                      <w:color w:val="auto"/>
                      <w:kern w:val="0"/>
                      <w:szCs w:val="21"/>
                    </w:rPr>
                    <w:t>噪声</w:t>
                  </w:r>
                </w:p>
              </w:tc>
              <w:tc>
                <w:tcPr>
                  <w:tcW w:w="3496" w:type="pct"/>
                  <w:tcBorders>
                    <w:top w:val="single" w:color="auto" w:sz="4" w:space="0"/>
                    <w:left w:val="single" w:color="auto" w:sz="4" w:space="0"/>
                    <w:bottom w:val="single" w:color="auto" w:sz="4" w:space="0"/>
                    <w:right w:val="nil"/>
                  </w:tcBorders>
                  <w:shd w:val="clear" w:color="auto" w:fill="FFFFFF"/>
                  <w:noWrap w:val="0"/>
                  <w:vAlign w:val="top"/>
                </w:tcPr>
                <w:p w14:paraId="728DA851">
                  <w:pPr>
                    <w:keepNext w:val="0"/>
                    <w:keepLines w:val="0"/>
                    <w:widowControl/>
                    <w:suppressLineNumbers w:val="0"/>
                    <w:jc w:val="left"/>
                    <w:rPr>
                      <w:color w:val="auto"/>
                      <w:szCs w:val="21"/>
                    </w:rPr>
                  </w:pPr>
                  <w:r>
                    <w:rPr>
                      <w:color w:val="auto"/>
                      <w:spacing w:val="-1"/>
                      <w:sz w:val="21"/>
                      <w:szCs w:val="21"/>
                    </w:rPr>
                    <w:t>采用低噪设备、基础减振、隔声、距离衰减</w:t>
                  </w:r>
                  <w:r>
                    <w:rPr>
                      <w:color w:val="auto"/>
                      <w:spacing w:val="-1"/>
                      <w:szCs w:val="21"/>
                    </w:rPr>
                    <w:t>。</w:t>
                  </w:r>
                </w:p>
              </w:tc>
            </w:tr>
            <w:tr w14:paraId="417A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pct"/>
                  <w:vMerge w:val="continue"/>
                  <w:tcBorders>
                    <w:top w:val="single" w:color="auto" w:sz="4" w:space="0"/>
                    <w:left w:val="nil"/>
                    <w:bottom w:val="single" w:color="000000" w:sz="12" w:space="0"/>
                    <w:right w:val="single" w:color="auto" w:sz="4" w:space="0"/>
                  </w:tcBorders>
                  <w:shd w:val="clear" w:color="auto" w:fill="FFFFFF"/>
                  <w:noWrap w:val="0"/>
                  <w:vAlign w:val="center"/>
                </w:tcPr>
                <w:p w14:paraId="24D6ED8D">
                  <w:pPr>
                    <w:spacing w:line="340" w:lineRule="exact"/>
                    <w:jc w:val="center"/>
                    <w:rPr>
                      <w:color w:val="auto"/>
                      <w:szCs w:val="21"/>
                    </w:rPr>
                  </w:pPr>
                </w:p>
              </w:tc>
              <w:tc>
                <w:tcPr>
                  <w:tcW w:w="815" w:type="pct"/>
                  <w:gridSpan w:val="2"/>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3AE3D39D">
                  <w:pPr>
                    <w:spacing w:line="340" w:lineRule="exact"/>
                    <w:jc w:val="center"/>
                    <w:rPr>
                      <w:color w:val="auto"/>
                      <w:szCs w:val="21"/>
                    </w:rPr>
                  </w:pPr>
                  <w:r>
                    <w:rPr>
                      <w:color w:val="auto"/>
                      <w:szCs w:val="21"/>
                    </w:rPr>
                    <w:t>固体废物</w:t>
                  </w:r>
                </w:p>
              </w:tc>
              <w:tc>
                <w:tcPr>
                  <w:tcW w:w="3496" w:type="pct"/>
                  <w:tcBorders>
                    <w:top w:val="single" w:color="auto" w:sz="4" w:space="0"/>
                    <w:left w:val="single" w:color="auto" w:sz="4" w:space="0"/>
                    <w:bottom w:val="single" w:color="000000" w:sz="12" w:space="0"/>
                    <w:right w:val="nil"/>
                  </w:tcBorders>
                  <w:shd w:val="clear" w:color="auto" w:fill="FFFFFF"/>
                  <w:noWrap w:val="0"/>
                  <w:vAlign w:val="top"/>
                </w:tcPr>
                <w:p w14:paraId="75F316F0">
                  <w:pPr>
                    <w:spacing w:line="340" w:lineRule="exact"/>
                    <w:rPr>
                      <w:color w:val="auto"/>
                      <w:szCs w:val="21"/>
                    </w:rPr>
                  </w:pPr>
                  <w:r>
                    <w:rPr>
                      <w:color w:val="auto"/>
                      <w:spacing w:val="-3"/>
                      <w:szCs w:val="21"/>
                    </w:rPr>
                    <w:t>医疗废物</w:t>
                  </w:r>
                  <w:r>
                    <w:rPr>
                      <w:color w:val="auto"/>
                      <w:spacing w:val="3"/>
                      <w:szCs w:val="21"/>
                    </w:rPr>
                    <w:t>等危险废物暂存在危废仓</w:t>
                  </w:r>
                  <w:r>
                    <w:rPr>
                      <w:color w:val="auto"/>
                      <w:spacing w:val="1"/>
                      <w:szCs w:val="21"/>
                    </w:rPr>
                    <w:t>库（位于</w:t>
                  </w:r>
                  <w:r>
                    <w:rPr>
                      <w:rFonts w:hint="default" w:ascii="Times New Roman" w:hAnsi="Times New Roman" w:eastAsia="宋体" w:cs="Times New Roman"/>
                      <w:color w:val="auto"/>
                      <w:szCs w:val="21"/>
                    </w:rPr>
                    <w:t>附属楼</w:t>
                  </w:r>
                  <w:r>
                    <w:rPr>
                      <w:rFonts w:eastAsia="Times New Roman"/>
                      <w:color w:val="auto"/>
                      <w:spacing w:val="1"/>
                      <w:szCs w:val="21"/>
                    </w:rPr>
                    <w:t>1</w:t>
                  </w:r>
                  <w:r>
                    <w:rPr>
                      <w:color w:val="auto"/>
                      <w:spacing w:val="1"/>
                      <w:szCs w:val="21"/>
                    </w:rPr>
                    <w:t>层</w:t>
                  </w:r>
                  <w:r>
                    <w:rPr>
                      <w:color w:val="auto"/>
                      <w:szCs w:val="21"/>
                    </w:rPr>
                    <w:t>，占地约</w:t>
                  </w:r>
                  <w:r>
                    <w:rPr>
                      <w:rFonts w:hint="eastAsia"/>
                      <w:color w:val="auto"/>
                      <w:szCs w:val="21"/>
                      <w:lang w:val="en-US" w:eastAsia="zh-CN"/>
                    </w:rPr>
                    <w:t>190</w:t>
                  </w:r>
                  <w:r>
                    <w:rPr>
                      <w:rFonts w:eastAsia="Times New Roman"/>
                      <w:color w:val="auto"/>
                      <w:szCs w:val="21"/>
                    </w:rPr>
                    <w:t>m</w:t>
                  </w:r>
                  <w:r>
                    <w:rPr>
                      <w:rFonts w:eastAsia="Times New Roman"/>
                      <w:color w:val="auto"/>
                      <w:position w:val="9"/>
                      <w:sz w:val="13"/>
                      <w:szCs w:val="13"/>
                    </w:rPr>
                    <w:t>2</w:t>
                  </w:r>
                  <w:r>
                    <w:rPr>
                      <w:color w:val="auto"/>
                      <w:spacing w:val="-15"/>
                      <w:szCs w:val="21"/>
                    </w:rPr>
                    <w:t>），</w:t>
                  </w:r>
                  <w:r>
                    <w:rPr>
                      <w:color w:val="auto"/>
                      <w:szCs w:val="21"/>
                    </w:rPr>
                    <w:t>定期委托有</w:t>
                  </w:r>
                  <w:r>
                    <w:rPr>
                      <w:color w:val="auto"/>
                      <w:spacing w:val="-7"/>
                      <w:szCs w:val="21"/>
                    </w:rPr>
                    <w:t>资质单位清运处置。</w:t>
                  </w:r>
                  <w:r>
                    <w:rPr>
                      <w:rFonts w:hint="eastAsia"/>
                      <w:color w:val="auto"/>
                      <w:spacing w:val="-7"/>
                      <w:szCs w:val="21"/>
                    </w:rPr>
                    <w:t>废水处理设施污泥定期清掏</w:t>
                  </w:r>
                  <w:r>
                    <w:rPr>
                      <w:color w:val="auto"/>
                      <w:spacing w:val="-4"/>
                      <w:szCs w:val="21"/>
                    </w:rPr>
                    <w:t>，</w:t>
                  </w:r>
                  <w:r>
                    <w:rPr>
                      <w:color w:val="auto"/>
                      <w:spacing w:val="-1"/>
                      <w:szCs w:val="21"/>
                    </w:rPr>
                    <w:t>消毒后</w:t>
                  </w:r>
                  <w:r>
                    <w:rPr>
                      <w:color w:val="auto"/>
                      <w:spacing w:val="-6"/>
                      <w:szCs w:val="21"/>
                    </w:rPr>
                    <w:t>委托有资质单位清运处置。生活垃</w:t>
                  </w:r>
                  <w:r>
                    <w:rPr>
                      <w:color w:val="auto"/>
                      <w:spacing w:val="-2"/>
                      <w:szCs w:val="21"/>
                    </w:rPr>
                    <w:t>圾由环卫部门清运处理。</w:t>
                  </w:r>
                </w:p>
              </w:tc>
            </w:tr>
          </w:tbl>
          <w:p w14:paraId="6D11C73C">
            <w:pPr>
              <w:spacing w:line="360" w:lineRule="auto"/>
              <w:rPr>
                <w:b/>
                <w:bCs/>
                <w:color w:val="auto"/>
                <w:sz w:val="28"/>
                <w:szCs w:val="28"/>
              </w:rPr>
            </w:pPr>
            <w:r>
              <w:rPr>
                <w:rFonts w:hint="eastAsia"/>
                <w:b/>
                <w:bCs/>
                <w:color w:val="auto"/>
                <w:sz w:val="28"/>
                <w:szCs w:val="28"/>
              </w:rPr>
              <w:t>2.2.3</w:t>
            </w:r>
            <w:r>
              <w:rPr>
                <w:rFonts w:hint="eastAsia"/>
                <w:b/>
                <w:bCs/>
                <w:color w:val="auto"/>
                <w:sz w:val="28"/>
                <w:szCs w:val="28"/>
                <w:lang w:val="en-US" w:eastAsia="zh-CN"/>
              </w:rPr>
              <w:t>生产</w:t>
            </w:r>
            <w:r>
              <w:rPr>
                <w:rFonts w:hint="eastAsia"/>
                <w:b/>
                <w:bCs/>
                <w:color w:val="auto"/>
                <w:sz w:val="28"/>
                <w:szCs w:val="28"/>
              </w:rPr>
              <w:t>设备</w:t>
            </w:r>
          </w:p>
          <w:p w14:paraId="0A077D71">
            <w:pPr>
              <w:pStyle w:val="30"/>
              <w:spacing w:before="33" w:line="376" w:lineRule="auto"/>
              <w:ind w:left="111" w:right="102" w:firstLine="478"/>
              <w:rPr>
                <w:color w:val="auto"/>
                <w:sz w:val="24"/>
              </w:rPr>
            </w:pPr>
            <w:r>
              <w:rPr>
                <w:rFonts w:hint="eastAsia"/>
                <w:color w:val="auto"/>
                <w:sz w:val="24"/>
              </w:rPr>
              <w:t>本项目</w:t>
            </w:r>
            <w:r>
              <w:rPr>
                <w:rFonts w:hint="eastAsia"/>
                <w:color w:val="auto"/>
                <w:sz w:val="24"/>
                <w:lang w:val="en-US" w:eastAsia="zh-CN"/>
              </w:rPr>
              <w:t>配套医院</w:t>
            </w:r>
            <w:r>
              <w:rPr>
                <w:rFonts w:hint="eastAsia"/>
                <w:color w:val="auto"/>
                <w:sz w:val="24"/>
              </w:rPr>
              <w:t>主要医疗设备详见表</w:t>
            </w:r>
            <w:r>
              <w:rPr>
                <w:rFonts w:hint="default" w:ascii="Times New Roman" w:hAnsi="Times New Roman" w:cs="Times New Roman"/>
                <w:color w:val="auto"/>
                <w:sz w:val="24"/>
              </w:rPr>
              <w:t>2.2-2。</w:t>
            </w:r>
          </w:p>
          <w:p w14:paraId="36A50E9A">
            <w:pPr>
              <w:spacing w:line="360" w:lineRule="auto"/>
              <w:ind w:firstLine="482" w:firstLineChars="200"/>
              <w:jc w:val="center"/>
              <w:rPr>
                <w:rFonts w:hint="eastAsia" w:eastAsia="宋体"/>
                <w:b/>
                <w:bCs/>
                <w:color w:val="auto"/>
                <w:sz w:val="24"/>
                <w:lang w:val="en-US" w:eastAsia="zh-CN"/>
              </w:rPr>
            </w:pPr>
            <w:r>
              <w:rPr>
                <w:b/>
                <w:bCs/>
                <w:color w:val="auto"/>
                <w:sz w:val="24"/>
              </w:rPr>
              <w:t>表2.</w:t>
            </w:r>
            <w:r>
              <w:rPr>
                <w:rFonts w:ascii="Times New Roman" w:hAnsi="Times New Roman" w:eastAsia="宋体" w:cs="Times New Roman"/>
                <w:b/>
                <w:bCs/>
                <w:color w:val="auto"/>
                <w:sz w:val="24"/>
              </w:rPr>
              <w:t>2-</w:t>
            </w:r>
            <w:r>
              <w:rPr>
                <w:rFonts w:hint="eastAsia" w:ascii="Times New Roman" w:hAnsi="Times New Roman" w:eastAsia="宋体" w:cs="Times New Roman"/>
                <w:b/>
                <w:bCs/>
                <w:color w:val="auto"/>
                <w:sz w:val="24"/>
              </w:rPr>
              <w:t>2</w:t>
            </w:r>
            <w:r>
              <w:rPr>
                <w:rFonts w:hint="eastAsia" w:ascii="Times New Roman" w:hAnsi="Times New Roman" w:eastAsia="宋体" w:cs="Times New Roman"/>
                <w:b/>
                <w:bCs/>
                <w:color w:val="auto"/>
                <w:sz w:val="24"/>
                <w:lang w:val="en-US" w:eastAsia="zh-CN"/>
              </w:rPr>
              <w:t>医院</w:t>
            </w:r>
            <w:r>
              <w:rPr>
                <w:rFonts w:hint="eastAsia" w:ascii="Times New Roman" w:hAnsi="Times New Roman" w:eastAsia="宋体" w:cs="Times New Roman"/>
                <w:b/>
                <w:bCs/>
                <w:color w:val="auto"/>
                <w:sz w:val="24"/>
              </w:rPr>
              <w:t>主要医疗设备</w:t>
            </w:r>
            <w:r>
              <w:rPr>
                <w:rFonts w:hint="eastAsia" w:ascii="Times New Roman" w:hAnsi="Times New Roman" w:eastAsia="宋体" w:cs="Times New Roman"/>
                <w:b/>
                <w:bCs/>
                <w:color w:val="auto"/>
                <w:sz w:val="24"/>
                <w:lang w:val="en-US" w:eastAsia="zh-CN"/>
              </w:rPr>
              <w:t>清单</w:t>
            </w:r>
          </w:p>
          <w:tbl>
            <w:tblPr>
              <w:tblStyle w:val="17"/>
              <w:tblW w:w="8445"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987"/>
              <w:gridCol w:w="725"/>
              <w:gridCol w:w="675"/>
              <w:gridCol w:w="630"/>
              <w:gridCol w:w="4698"/>
              <w:gridCol w:w="730"/>
            </w:tblGrid>
            <w:tr w14:paraId="188BFE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87" w:type="dxa"/>
                  <w:tcBorders>
                    <w:tl2br w:val="nil"/>
                    <w:tr2bl w:val="nil"/>
                  </w:tcBorders>
                  <w:noWrap w:val="0"/>
                  <w:vAlign w:val="center"/>
                </w:tcPr>
                <w:p w14:paraId="25CC369F">
                  <w:pPr>
                    <w:spacing w:line="340" w:lineRule="exact"/>
                    <w:jc w:val="center"/>
                    <w:rPr>
                      <w:rFonts w:hint="default" w:ascii="Times New Roman" w:hAnsi="Times New Roman" w:eastAsia="宋体" w:cs="Times New Roman"/>
                      <w:color w:val="auto"/>
                      <w:szCs w:val="21"/>
                    </w:rPr>
                  </w:pPr>
                  <w:r>
                    <w:rPr>
                      <w:rFonts w:ascii="Times New Roman" w:hAnsi="Times New Roman" w:eastAsia="宋体" w:cs="Times New Roman"/>
                      <w:color w:val="auto"/>
                      <w:szCs w:val="21"/>
                      <w:lang w:val="en-US" w:eastAsia="zh-CN"/>
                    </w:rPr>
                    <w:t>序号</w:t>
                  </w:r>
                </w:p>
              </w:tc>
              <w:tc>
                <w:tcPr>
                  <w:tcW w:w="2030" w:type="dxa"/>
                  <w:gridSpan w:val="3"/>
                  <w:tcBorders>
                    <w:tl2br w:val="nil"/>
                    <w:tr2bl w:val="nil"/>
                  </w:tcBorders>
                  <w:noWrap w:val="0"/>
                  <w:vAlign w:val="center"/>
                </w:tcPr>
                <w:p w14:paraId="3519D264">
                  <w:pPr>
                    <w:spacing w:line="340" w:lineRule="exact"/>
                    <w:jc w:val="center"/>
                    <w:rPr>
                      <w:rFonts w:hint="default" w:ascii="Times New Roman" w:hAnsi="Times New Roman" w:eastAsia="宋体" w:cs="Times New Roman"/>
                      <w:color w:val="auto"/>
                      <w:szCs w:val="21"/>
                    </w:rPr>
                  </w:pPr>
                  <w:r>
                    <w:rPr>
                      <w:rFonts w:ascii="Times New Roman" w:hAnsi="Times New Roman" w:eastAsia="宋体" w:cs="Times New Roman"/>
                      <w:color w:val="auto"/>
                      <w:szCs w:val="21"/>
                      <w:lang w:val="en-US" w:eastAsia="zh-CN"/>
                    </w:rPr>
                    <w:t>项目所属</w:t>
                  </w:r>
                </w:p>
              </w:tc>
              <w:tc>
                <w:tcPr>
                  <w:tcW w:w="4698" w:type="dxa"/>
                  <w:tcBorders>
                    <w:tl2br w:val="nil"/>
                    <w:tr2bl w:val="nil"/>
                  </w:tcBorders>
                  <w:noWrap w:val="0"/>
                  <w:vAlign w:val="center"/>
                </w:tcPr>
                <w:p w14:paraId="7823C877">
                  <w:pPr>
                    <w:spacing w:line="340" w:lineRule="exact"/>
                    <w:jc w:val="center"/>
                    <w:rPr>
                      <w:rFonts w:hint="default" w:ascii="Times New Roman" w:hAnsi="Times New Roman" w:eastAsia="宋体" w:cs="Times New Roman"/>
                      <w:color w:val="auto"/>
                      <w:szCs w:val="21"/>
                    </w:rPr>
                  </w:pPr>
                  <w:r>
                    <w:rPr>
                      <w:rFonts w:ascii="Times New Roman" w:hAnsi="Times New Roman" w:eastAsia="宋体" w:cs="Times New Roman"/>
                      <w:color w:val="auto"/>
                      <w:szCs w:val="21"/>
                      <w:lang w:val="en-US" w:eastAsia="zh-CN"/>
                    </w:rPr>
                    <w:t>设备名称</w:t>
                  </w:r>
                </w:p>
              </w:tc>
              <w:tc>
                <w:tcPr>
                  <w:tcW w:w="730" w:type="dxa"/>
                  <w:tcBorders>
                    <w:tl2br w:val="nil"/>
                    <w:tr2bl w:val="nil"/>
                  </w:tcBorders>
                  <w:noWrap w:val="0"/>
                  <w:vAlign w:val="center"/>
                </w:tcPr>
                <w:p w14:paraId="11BD4845">
                  <w:pPr>
                    <w:spacing w:line="340" w:lineRule="exact"/>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数量</w:t>
                  </w:r>
                </w:p>
              </w:tc>
            </w:tr>
            <w:tr w14:paraId="760984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319DDD93">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c>
                <w:tcPr>
                  <w:tcW w:w="725" w:type="dxa"/>
                  <w:vMerge w:val="restart"/>
                  <w:tcBorders>
                    <w:tl2br w:val="nil"/>
                    <w:tr2bl w:val="nil"/>
                  </w:tcBorders>
                  <w:noWrap w:val="0"/>
                  <w:vAlign w:val="center"/>
                </w:tcPr>
                <w:p w14:paraId="6DE3DE4A">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消毒供应</w:t>
                  </w:r>
                  <w:r>
                    <w:rPr>
                      <w:rFonts w:hint="default" w:ascii="Times New Roman" w:hAnsi="Times New Roman" w:eastAsia="宋体" w:cs="Times New Roman"/>
                      <w:color w:val="auto"/>
                      <w:szCs w:val="21"/>
                      <w:lang w:val="en-US" w:eastAsia="zh-CN"/>
                    </w:rPr>
                    <w:br w:type="textWrapping"/>
                  </w:r>
                  <w:r>
                    <w:rPr>
                      <w:rFonts w:hint="eastAsia" w:ascii="Times New Roman" w:hAnsi="Times New Roman" w:eastAsia="宋体" w:cs="Times New Roman"/>
                      <w:color w:val="auto"/>
                      <w:szCs w:val="21"/>
                      <w:lang w:val="en-US" w:eastAsia="zh-CN"/>
                    </w:rPr>
                    <w:t>中心</w:t>
                  </w:r>
                </w:p>
              </w:tc>
              <w:tc>
                <w:tcPr>
                  <w:tcW w:w="1305" w:type="dxa"/>
                  <w:gridSpan w:val="2"/>
                  <w:vMerge w:val="restart"/>
                  <w:tcBorders>
                    <w:tl2br w:val="nil"/>
                    <w:tr2bl w:val="nil"/>
                  </w:tcBorders>
                  <w:noWrap w:val="0"/>
                  <w:vAlign w:val="center"/>
                </w:tcPr>
                <w:p w14:paraId="25E0F7AB">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主要设备配置清单</w:t>
                  </w:r>
                </w:p>
              </w:tc>
              <w:tc>
                <w:tcPr>
                  <w:tcW w:w="4698" w:type="dxa"/>
                  <w:tcBorders>
                    <w:tl2br w:val="nil"/>
                    <w:tr2bl w:val="nil"/>
                  </w:tcBorders>
                  <w:noWrap w:val="0"/>
                  <w:vAlign w:val="center"/>
                </w:tcPr>
                <w:p w14:paraId="7CDF123D">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脉动真空压力蒸汽灭菌器</w:t>
                  </w:r>
                </w:p>
              </w:tc>
              <w:tc>
                <w:tcPr>
                  <w:tcW w:w="730" w:type="dxa"/>
                  <w:tcBorders>
                    <w:tl2br w:val="nil"/>
                    <w:tr2bl w:val="nil"/>
                  </w:tcBorders>
                  <w:noWrap w:val="0"/>
                  <w:vAlign w:val="center"/>
                </w:tcPr>
                <w:p w14:paraId="46C1B013">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 </w:t>
                  </w:r>
                </w:p>
              </w:tc>
            </w:tr>
            <w:tr w14:paraId="69A0BE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3CC4AF5F">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 </w:t>
                  </w:r>
                </w:p>
              </w:tc>
              <w:tc>
                <w:tcPr>
                  <w:tcW w:w="725" w:type="dxa"/>
                  <w:vMerge w:val="continue"/>
                  <w:tcBorders>
                    <w:tl2br w:val="nil"/>
                    <w:tr2bl w:val="nil"/>
                  </w:tcBorders>
                  <w:noWrap w:val="0"/>
                  <w:vAlign w:val="center"/>
                </w:tcPr>
                <w:p w14:paraId="4F53A028">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6CEB6BF9">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79722B81">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过氧化氢低温等离子体灭菌器</w:t>
                  </w:r>
                </w:p>
              </w:tc>
              <w:tc>
                <w:tcPr>
                  <w:tcW w:w="730" w:type="dxa"/>
                  <w:tcBorders>
                    <w:tl2br w:val="nil"/>
                    <w:tr2bl w:val="nil"/>
                  </w:tcBorders>
                  <w:noWrap w:val="0"/>
                  <w:vAlign w:val="center"/>
                </w:tcPr>
                <w:p w14:paraId="7EDCCCEF">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721E2C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50A76342">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 </w:t>
                  </w:r>
                </w:p>
              </w:tc>
              <w:tc>
                <w:tcPr>
                  <w:tcW w:w="725" w:type="dxa"/>
                  <w:vMerge w:val="continue"/>
                  <w:tcBorders>
                    <w:tl2br w:val="nil"/>
                    <w:tr2bl w:val="nil"/>
                  </w:tcBorders>
                  <w:noWrap w:val="0"/>
                  <w:vAlign w:val="center"/>
                </w:tcPr>
                <w:p w14:paraId="5AE64B79">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180BCD07">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6487F68B">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医用全自动清洗消毒机</w:t>
                  </w:r>
                </w:p>
              </w:tc>
              <w:tc>
                <w:tcPr>
                  <w:tcW w:w="730" w:type="dxa"/>
                  <w:tcBorders>
                    <w:tl2br w:val="nil"/>
                    <w:tr2bl w:val="nil"/>
                  </w:tcBorders>
                  <w:noWrap w:val="0"/>
                  <w:vAlign w:val="center"/>
                </w:tcPr>
                <w:p w14:paraId="51890A10">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 </w:t>
                  </w:r>
                </w:p>
              </w:tc>
            </w:tr>
            <w:tr w14:paraId="2B6EBE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2A275F99">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 </w:t>
                  </w:r>
                </w:p>
              </w:tc>
              <w:tc>
                <w:tcPr>
                  <w:tcW w:w="725" w:type="dxa"/>
                  <w:vMerge w:val="continue"/>
                  <w:tcBorders>
                    <w:tl2br w:val="nil"/>
                    <w:tr2bl w:val="nil"/>
                  </w:tcBorders>
                  <w:noWrap w:val="0"/>
                  <w:vAlign w:val="center"/>
                </w:tcPr>
                <w:p w14:paraId="76F921B2">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402DE455">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7134A300">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医用器械干燥柜</w:t>
                  </w:r>
                </w:p>
              </w:tc>
              <w:tc>
                <w:tcPr>
                  <w:tcW w:w="730" w:type="dxa"/>
                  <w:tcBorders>
                    <w:tl2br w:val="nil"/>
                    <w:tr2bl w:val="nil"/>
                  </w:tcBorders>
                  <w:noWrap w:val="0"/>
                  <w:vAlign w:val="center"/>
                </w:tcPr>
                <w:p w14:paraId="676ABD02">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242257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5D8791B9">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 </w:t>
                  </w:r>
                </w:p>
              </w:tc>
              <w:tc>
                <w:tcPr>
                  <w:tcW w:w="725" w:type="dxa"/>
                  <w:vMerge w:val="continue"/>
                  <w:tcBorders>
                    <w:tl2br w:val="nil"/>
                    <w:tr2bl w:val="nil"/>
                  </w:tcBorders>
                  <w:noWrap w:val="0"/>
                  <w:vAlign w:val="center"/>
                </w:tcPr>
                <w:p w14:paraId="1766343E">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6A0985FB">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406FAF0E">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低温真空干燥柜</w:t>
                  </w:r>
                </w:p>
              </w:tc>
              <w:tc>
                <w:tcPr>
                  <w:tcW w:w="730" w:type="dxa"/>
                  <w:tcBorders>
                    <w:tl2br w:val="nil"/>
                    <w:tr2bl w:val="nil"/>
                  </w:tcBorders>
                  <w:noWrap w:val="0"/>
                  <w:vAlign w:val="center"/>
                </w:tcPr>
                <w:p w14:paraId="4F90ADC1">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056EFB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4E13DFA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 </w:t>
                  </w:r>
                </w:p>
              </w:tc>
              <w:tc>
                <w:tcPr>
                  <w:tcW w:w="725" w:type="dxa"/>
                  <w:vMerge w:val="continue"/>
                  <w:tcBorders>
                    <w:tl2br w:val="nil"/>
                    <w:tr2bl w:val="nil"/>
                  </w:tcBorders>
                  <w:noWrap w:val="0"/>
                  <w:vAlign w:val="center"/>
                </w:tcPr>
                <w:p w14:paraId="4F1A1A77">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2D006CC9">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076CE6C7">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超声波清洗机</w:t>
                  </w:r>
                </w:p>
              </w:tc>
              <w:tc>
                <w:tcPr>
                  <w:tcW w:w="730" w:type="dxa"/>
                  <w:tcBorders>
                    <w:tl2br w:val="nil"/>
                    <w:tr2bl w:val="nil"/>
                  </w:tcBorders>
                  <w:noWrap w:val="0"/>
                  <w:vAlign w:val="center"/>
                </w:tcPr>
                <w:p w14:paraId="55630D6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59A948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2FE8B56F">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7 </w:t>
                  </w:r>
                </w:p>
              </w:tc>
              <w:tc>
                <w:tcPr>
                  <w:tcW w:w="725" w:type="dxa"/>
                  <w:vMerge w:val="continue"/>
                  <w:tcBorders>
                    <w:tl2br w:val="nil"/>
                    <w:tr2bl w:val="nil"/>
                  </w:tcBorders>
                  <w:noWrap w:val="0"/>
                  <w:vAlign w:val="center"/>
                </w:tcPr>
                <w:p w14:paraId="538F0DC0">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3036B0D8">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0F928CA4">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纯水机</w:t>
                  </w:r>
                </w:p>
              </w:tc>
              <w:tc>
                <w:tcPr>
                  <w:tcW w:w="730" w:type="dxa"/>
                  <w:tcBorders>
                    <w:tl2br w:val="nil"/>
                    <w:tr2bl w:val="nil"/>
                  </w:tcBorders>
                  <w:noWrap w:val="0"/>
                  <w:vAlign w:val="center"/>
                </w:tcPr>
                <w:p w14:paraId="0F7162C5">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 </w:t>
                  </w:r>
                </w:p>
              </w:tc>
            </w:tr>
            <w:tr w14:paraId="697D0C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303B40EA">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8 </w:t>
                  </w:r>
                </w:p>
              </w:tc>
              <w:tc>
                <w:tcPr>
                  <w:tcW w:w="725" w:type="dxa"/>
                  <w:vMerge w:val="continue"/>
                  <w:tcBorders>
                    <w:tl2br w:val="nil"/>
                    <w:tr2bl w:val="nil"/>
                  </w:tcBorders>
                  <w:noWrap w:val="0"/>
                  <w:vAlign w:val="center"/>
                </w:tcPr>
                <w:p w14:paraId="68A41788">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34421D1E">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0052D969">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高低温通用快速生物阅读器</w:t>
                  </w:r>
                </w:p>
              </w:tc>
              <w:tc>
                <w:tcPr>
                  <w:tcW w:w="730" w:type="dxa"/>
                  <w:tcBorders>
                    <w:tl2br w:val="nil"/>
                    <w:tr2bl w:val="nil"/>
                  </w:tcBorders>
                  <w:noWrap w:val="0"/>
                  <w:vAlign w:val="center"/>
                </w:tcPr>
                <w:p w14:paraId="7025B99C">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4275B1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751E6BE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9 </w:t>
                  </w:r>
                </w:p>
              </w:tc>
              <w:tc>
                <w:tcPr>
                  <w:tcW w:w="725" w:type="dxa"/>
                  <w:vMerge w:val="continue"/>
                  <w:tcBorders>
                    <w:tl2br w:val="nil"/>
                    <w:tr2bl w:val="nil"/>
                  </w:tcBorders>
                  <w:noWrap w:val="0"/>
                  <w:vAlign w:val="center"/>
                </w:tcPr>
                <w:p w14:paraId="19F1EE0C">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1ACA7F9E">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0DCC8D48">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快速生物阅读器(低温)</w:t>
                  </w:r>
                </w:p>
              </w:tc>
              <w:tc>
                <w:tcPr>
                  <w:tcW w:w="730" w:type="dxa"/>
                  <w:tcBorders>
                    <w:tl2br w:val="nil"/>
                    <w:tr2bl w:val="nil"/>
                  </w:tcBorders>
                  <w:noWrap w:val="0"/>
                  <w:vAlign w:val="center"/>
                </w:tcPr>
                <w:p w14:paraId="6D5F773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14B64C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37898621">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10 </w:t>
                  </w:r>
                </w:p>
              </w:tc>
              <w:tc>
                <w:tcPr>
                  <w:tcW w:w="725" w:type="dxa"/>
                  <w:vMerge w:val="continue"/>
                  <w:tcBorders>
                    <w:tl2br w:val="nil"/>
                    <w:tr2bl w:val="nil"/>
                  </w:tcBorders>
                  <w:noWrap w:val="0"/>
                  <w:vAlign w:val="center"/>
                </w:tcPr>
                <w:p w14:paraId="16A80A4D">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43C95B74">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505DD56A">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等离子体空气净化消毒机</w:t>
                  </w:r>
                </w:p>
              </w:tc>
              <w:tc>
                <w:tcPr>
                  <w:tcW w:w="730" w:type="dxa"/>
                  <w:tcBorders>
                    <w:tl2br w:val="nil"/>
                    <w:tr2bl w:val="nil"/>
                  </w:tcBorders>
                  <w:noWrap w:val="0"/>
                  <w:vAlign w:val="center"/>
                </w:tcPr>
                <w:p w14:paraId="38D832A1">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24 </w:t>
                  </w:r>
                </w:p>
              </w:tc>
            </w:tr>
            <w:tr w14:paraId="4DA9F7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5A79E3BF">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11 </w:t>
                  </w:r>
                </w:p>
              </w:tc>
              <w:tc>
                <w:tcPr>
                  <w:tcW w:w="725" w:type="dxa"/>
                  <w:vMerge w:val="continue"/>
                  <w:tcBorders>
                    <w:tl2br w:val="nil"/>
                    <w:tr2bl w:val="nil"/>
                  </w:tcBorders>
                  <w:noWrap w:val="0"/>
                  <w:vAlign w:val="center"/>
                </w:tcPr>
                <w:p w14:paraId="69424875">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42BA437C">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1FE5AFF2">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酸性氧化电位水机</w:t>
                  </w:r>
                </w:p>
              </w:tc>
              <w:tc>
                <w:tcPr>
                  <w:tcW w:w="730" w:type="dxa"/>
                  <w:tcBorders>
                    <w:tl2br w:val="nil"/>
                    <w:tr2bl w:val="nil"/>
                  </w:tcBorders>
                  <w:noWrap w:val="0"/>
                  <w:vAlign w:val="center"/>
                </w:tcPr>
                <w:p w14:paraId="23103BD0">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18DECF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5FEBDE9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12 </w:t>
                  </w:r>
                </w:p>
              </w:tc>
              <w:tc>
                <w:tcPr>
                  <w:tcW w:w="725" w:type="dxa"/>
                  <w:vMerge w:val="continue"/>
                  <w:tcBorders>
                    <w:tl2br w:val="nil"/>
                    <w:tr2bl w:val="nil"/>
                  </w:tcBorders>
                  <w:noWrap w:val="0"/>
                  <w:vAlign w:val="center"/>
                </w:tcPr>
                <w:p w14:paraId="11B18138">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719B48ED">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3D11D0EC">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清洗工作站</w:t>
                  </w:r>
                </w:p>
              </w:tc>
              <w:tc>
                <w:tcPr>
                  <w:tcW w:w="730" w:type="dxa"/>
                  <w:tcBorders>
                    <w:tl2br w:val="nil"/>
                    <w:tr2bl w:val="nil"/>
                  </w:tcBorders>
                  <w:noWrap w:val="0"/>
                  <w:vAlign w:val="center"/>
                </w:tcPr>
                <w:p w14:paraId="05644CEF">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 </w:t>
                  </w:r>
                </w:p>
              </w:tc>
            </w:tr>
            <w:tr w14:paraId="5208F4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5EB48A8C">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13 </w:t>
                  </w:r>
                </w:p>
              </w:tc>
              <w:tc>
                <w:tcPr>
                  <w:tcW w:w="725" w:type="dxa"/>
                  <w:vMerge w:val="continue"/>
                  <w:tcBorders>
                    <w:tl2br w:val="nil"/>
                    <w:tr2bl w:val="nil"/>
                  </w:tcBorders>
                  <w:noWrap w:val="0"/>
                  <w:vAlign w:val="center"/>
                </w:tcPr>
                <w:p w14:paraId="4DBA0A07">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7771D975">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7B795D95">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蒸汽发生器（用电）</w:t>
                  </w:r>
                </w:p>
              </w:tc>
              <w:tc>
                <w:tcPr>
                  <w:tcW w:w="730" w:type="dxa"/>
                  <w:tcBorders>
                    <w:tl2br w:val="nil"/>
                    <w:tr2bl w:val="nil"/>
                  </w:tcBorders>
                  <w:noWrap w:val="0"/>
                  <w:vAlign w:val="center"/>
                </w:tcPr>
                <w:p w14:paraId="007877D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 </w:t>
                  </w:r>
                </w:p>
              </w:tc>
            </w:tr>
            <w:tr w14:paraId="4623E9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0BCF60A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14 </w:t>
                  </w:r>
                </w:p>
              </w:tc>
              <w:tc>
                <w:tcPr>
                  <w:tcW w:w="725" w:type="dxa"/>
                  <w:vMerge w:val="continue"/>
                  <w:tcBorders>
                    <w:tl2br w:val="nil"/>
                    <w:tr2bl w:val="nil"/>
                  </w:tcBorders>
                  <w:noWrap w:val="0"/>
                  <w:vAlign w:val="center"/>
                </w:tcPr>
                <w:p w14:paraId="38752E6F">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0B81E265">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3F147563">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快速多舱式清洗消毒机</w:t>
                  </w:r>
                </w:p>
              </w:tc>
              <w:tc>
                <w:tcPr>
                  <w:tcW w:w="730" w:type="dxa"/>
                  <w:tcBorders>
                    <w:tl2br w:val="nil"/>
                    <w:tr2bl w:val="nil"/>
                  </w:tcBorders>
                  <w:noWrap w:val="0"/>
                  <w:vAlign w:val="center"/>
                </w:tcPr>
                <w:p w14:paraId="20D268D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18D0BD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59AF0AAF">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15 </w:t>
                  </w:r>
                </w:p>
              </w:tc>
              <w:tc>
                <w:tcPr>
                  <w:tcW w:w="725" w:type="dxa"/>
                  <w:vMerge w:val="continue"/>
                  <w:tcBorders>
                    <w:tl2br w:val="nil"/>
                    <w:tr2bl w:val="nil"/>
                  </w:tcBorders>
                  <w:noWrap w:val="0"/>
                  <w:vAlign w:val="center"/>
                </w:tcPr>
                <w:p w14:paraId="47C062EC">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58A8938E">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5F11E7A8">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追溯系统</w:t>
                  </w:r>
                </w:p>
              </w:tc>
              <w:tc>
                <w:tcPr>
                  <w:tcW w:w="730" w:type="dxa"/>
                  <w:tcBorders>
                    <w:tl2br w:val="nil"/>
                    <w:tr2bl w:val="nil"/>
                  </w:tcBorders>
                  <w:noWrap w:val="0"/>
                  <w:vAlign w:val="center"/>
                </w:tcPr>
                <w:p w14:paraId="27A0DC3A">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3BBA23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7D783DA0">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16 </w:t>
                  </w:r>
                </w:p>
              </w:tc>
              <w:tc>
                <w:tcPr>
                  <w:tcW w:w="725" w:type="dxa"/>
                  <w:vMerge w:val="continue"/>
                  <w:tcBorders>
                    <w:tl2br w:val="nil"/>
                    <w:tr2bl w:val="nil"/>
                  </w:tcBorders>
                  <w:noWrap w:val="0"/>
                  <w:vAlign w:val="center"/>
                </w:tcPr>
                <w:p w14:paraId="30EF0DE1">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08B1AD17">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688FEB53">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能量吊塔</w:t>
                  </w:r>
                </w:p>
              </w:tc>
              <w:tc>
                <w:tcPr>
                  <w:tcW w:w="730" w:type="dxa"/>
                  <w:tcBorders>
                    <w:tl2br w:val="nil"/>
                    <w:tr2bl w:val="nil"/>
                  </w:tcBorders>
                  <w:noWrap w:val="0"/>
                  <w:vAlign w:val="center"/>
                </w:tcPr>
                <w:p w14:paraId="1FCD7882">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 </w:t>
                  </w:r>
                </w:p>
              </w:tc>
            </w:tr>
            <w:tr w14:paraId="755E15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044AA211">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17 </w:t>
                  </w:r>
                </w:p>
              </w:tc>
              <w:tc>
                <w:tcPr>
                  <w:tcW w:w="725" w:type="dxa"/>
                  <w:vMerge w:val="continue"/>
                  <w:tcBorders>
                    <w:tl2br w:val="nil"/>
                    <w:tr2bl w:val="nil"/>
                  </w:tcBorders>
                  <w:noWrap w:val="0"/>
                  <w:vAlign w:val="center"/>
                </w:tcPr>
                <w:p w14:paraId="43B97EAA">
                  <w:pPr>
                    <w:spacing w:line="340" w:lineRule="exact"/>
                    <w:jc w:val="center"/>
                    <w:rPr>
                      <w:rFonts w:hint="eastAsia" w:ascii="Times New Roman" w:hAnsi="Times New Roman" w:eastAsia="宋体" w:cs="Times New Roman"/>
                      <w:color w:val="auto"/>
                      <w:szCs w:val="21"/>
                    </w:rPr>
                  </w:pPr>
                </w:p>
              </w:tc>
              <w:tc>
                <w:tcPr>
                  <w:tcW w:w="1305" w:type="dxa"/>
                  <w:gridSpan w:val="2"/>
                  <w:vMerge w:val="continue"/>
                  <w:tcBorders>
                    <w:tl2br w:val="nil"/>
                    <w:tr2bl w:val="nil"/>
                  </w:tcBorders>
                  <w:noWrap w:val="0"/>
                  <w:vAlign w:val="center"/>
                </w:tcPr>
                <w:p w14:paraId="65C1E8D4">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7372CAE3">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手机清洗机</w:t>
                  </w:r>
                </w:p>
              </w:tc>
              <w:tc>
                <w:tcPr>
                  <w:tcW w:w="730" w:type="dxa"/>
                  <w:tcBorders>
                    <w:tl2br w:val="nil"/>
                    <w:tr2bl w:val="nil"/>
                  </w:tcBorders>
                  <w:noWrap w:val="0"/>
                  <w:vAlign w:val="center"/>
                </w:tcPr>
                <w:p w14:paraId="12167C3F">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6850CF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5537C97C">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18 </w:t>
                  </w:r>
                </w:p>
              </w:tc>
              <w:tc>
                <w:tcPr>
                  <w:tcW w:w="725" w:type="dxa"/>
                  <w:vMerge w:val="continue"/>
                  <w:tcBorders>
                    <w:tl2br w:val="nil"/>
                    <w:tr2bl w:val="nil"/>
                  </w:tcBorders>
                  <w:noWrap w:val="0"/>
                  <w:vAlign w:val="center"/>
                </w:tcPr>
                <w:p w14:paraId="7E6BFD91">
                  <w:pPr>
                    <w:spacing w:line="340" w:lineRule="exact"/>
                    <w:jc w:val="center"/>
                    <w:rPr>
                      <w:rFonts w:hint="eastAsia" w:ascii="Times New Roman" w:hAnsi="Times New Roman" w:eastAsia="宋体" w:cs="Times New Roman"/>
                      <w:color w:val="auto"/>
                      <w:szCs w:val="21"/>
                    </w:rPr>
                  </w:pPr>
                </w:p>
              </w:tc>
              <w:tc>
                <w:tcPr>
                  <w:tcW w:w="675" w:type="dxa"/>
                  <w:vMerge w:val="restart"/>
                  <w:tcBorders>
                    <w:tl2br w:val="nil"/>
                    <w:tr2bl w:val="nil"/>
                  </w:tcBorders>
                  <w:noWrap w:val="0"/>
                  <w:vAlign w:val="center"/>
                </w:tcPr>
                <w:p w14:paraId="119C42FF">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仓储物流设备清单</w:t>
                  </w:r>
                </w:p>
              </w:tc>
              <w:tc>
                <w:tcPr>
                  <w:tcW w:w="630" w:type="dxa"/>
                  <w:vMerge w:val="restart"/>
                  <w:tcBorders>
                    <w:tl2br w:val="nil"/>
                    <w:tr2bl w:val="nil"/>
                  </w:tcBorders>
                  <w:noWrap w:val="0"/>
                  <w:vAlign w:val="center"/>
                </w:tcPr>
                <w:p w14:paraId="36EF93AC">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去污区</w:t>
                  </w:r>
                </w:p>
              </w:tc>
              <w:tc>
                <w:tcPr>
                  <w:tcW w:w="4698" w:type="dxa"/>
                  <w:tcBorders>
                    <w:tl2br w:val="nil"/>
                    <w:tr2bl w:val="nil"/>
                  </w:tcBorders>
                  <w:noWrap w:val="0"/>
                  <w:vAlign w:val="center"/>
                </w:tcPr>
                <w:p w14:paraId="7EBBEC1E">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煮沸槽</w:t>
                  </w:r>
                </w:p>
              </w:tc>
              <w:tc>
                <w:tcPr>
                  <w:tcW w:w="730" w:type="dxa"/>
                  <w:tcBorders>
                    <w:tl2br w:val="nil"/>
                    <w:tr2bl w:val="nil"/>
                  </w:tcBorders>
                  <w:noWrap w:val="0"/>
                  <w:vAlign w:val="center"/>
                </w:tcPr>
                <w:p w14:paraId="58EC4D46">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47EE76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09F9176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19 </w:t>
                  </w:r>
                </w:p>
              </w:tc>
              <w:tc>
                <w:tcPr>
                  <w:tcW w:w="725" w:type="dxa"/>
                  <w:vMerge w:val="continue"/>
                  <w:tcBorders>
                    <w:tl2br w:val="nil"/>
                    <w:tr2bl w:val="nil"/>
                  </w:tcBorders>
                  <w:noWrap w:val="0"/>
                  <w:vAlign w:val="center"/>
                </w:tcPr>
                <w:p w14:paraId="331A055C">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28F8522A">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3A88BE06">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47B4EE22">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清洗架</w:t>
                  </w:r>
                </w:p>
              </w:tc>
              <w:tc>
                <w:tcPr>
                  <w:tcW w:w="730" w:type="dxa"/>
                  <w:tcBorders>
                    <w:tl2br w:val="nil"/>
                    <w:tr2bl w:val="nil"/>
                  </w:tcBorders>
                  <w:noWrap w:val="0"/>
                  <w:vAlign w:val="center"/>
                </w:tcPr>
                <w:p w14:paraId="41A1B24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 </w:t>
                  </w:r>
                </w:p>
              </w:tc>
            </w:tr>
            <w:tr w14:paraId="1E5279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02BEBC0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20 </w:t>
                  </w:r>
                </w:p>
              </w:tc>
              <w:tc>
                <w:tcPr>
                  <w:tcW w:w="725" w:type="dxa"/>
                  <w:vMerge w:val="continue"/>
                  <w:tcBorders>
                    <w:tl2br w:val="nil"/>
                    <w:tr2bl w:val="nil"/>
                  </w:tcBorders>
                  <w:noWrap w:val="0"/>
                  <w:vAlign w:val="center"/>
                </w:tcPr>
                <w:p w14:paraId="6546D64A">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1EF12944">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6D529476">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21426506">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污物</w:t>
                  </w:r>
                  <w:r>
                    <w:rPr>
                      <w:rFonts w:hint="eastAsia" w:cs="Times New Roman"/>
                      <w:color w:val="auto"/>
                      <w:szCs w:val="21"/>
                      <w:lang w:val="en-US" w:eastAsia="zh-CN"/>
                    </w:rPr>
                    <w:t>接收</w:t>
                  </w:r>
                  <w:r>
                    <w:rPr>
                      <w:rFonts w:hint="eastAsia" w:ascii="Times New Roman" w:hAnsi="Times New Roman" w:eastAsia="宋体" w:cs="Times New Roman"/>
                      <w:color w:val="auto"/>
                      <w:szCs w:val="21"/>
                      <w:lang w:val="en-US" w:eastAsia="zh-CN"/>
                    </w:rPr>
                    <w:t>台</w:t>
                  </w:r>
                </w:p>
              </w:tc>
              <w:tc>
                <w:tcPr>
                  <w:tcW w:w="730" w:type="dxa"/>
                  <w:tcBorders>
                    <w:tl2br w:val="nil"/>
                    <w:tr2bl w:val="nil"/>
                  </w:tcBorders>
                  <w:noWrap w:val="0"/>
                  <w:vAlign w:val="center"/>
                </w:tcPr>
                <w:p w14:paraId="720507FD">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6FE314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1614DC1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21 </w:t>
                  </w:r>
                </w:p>
              </w:tc>
              <w:tc>
                <w:tcPr>
                  <w:tcW w:w="725" w:type="dxa"/>
                  <w:vMerge w:val="continue"/>
                  <w:tcBorders>
                    <w:tl2br w:val="nil"/>
                    <w:tr2bl w:val="nil"/>
                  </w:tcBorders>
                  <w:noWrap w:val="0"/>
                  <w:vAlign w:val="center"/>
                </w:tcPr>
                <w:p w14:paraId="1F4F0044">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1E8D4B54">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0664C535">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4D9C582C">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清洗工作台</w:t>
                  </w:r>
                </w:p>
              </w:tc>
              <w:tc>
                <w:tcPr>
                  <w:tcW w:w="730" w:type="dxa"/>
                  <w:tcBorders>
                    <w:tl2br w:val="nil"/>
                    <w:tr2bl w:val="nil"/>
                  </w:tcBorders>
                  <w:noWrap w:val="0"/>
                  <w:vAlign w:val="center"/>
                </w:tcPr>
                <w:p w14:paraId="2A949D1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 </w:t>
                  </w:r>
                </w:p>
              </w:tc>
            </w:tr>
            <w:tr w14:paraId="32E0EB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37C67FA1">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22 </w:t>
                  </w:r>
                </w:p>
              </w:tc>
              <w:tc>
                <w:tcPr>
                  <w:tcW w:w="725" w:type="dxa"/>
                  <w:vMerge w:val="continue"/>
                  <w:tcBorders>
                    <w:tl2br w:val="nil"/>
                    <w:tr2bl w:val="nil"/>
                  </w:tcBorders>
                  <w:noWrap w:val="0"/>
                  <w:vAlign w:val="center"/>
                </w:tcPr>
                <w:p w14:paraId="6A6D454B">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1CECC07A">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0092E2B0">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579FC9C5">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污物清洗槽（双槽）</w:t>
                  </w:r>
                </w:p>
              </w:tc>
              <w:tc>
                <w:tcPr>
                  <w:tcW w:w="730" w:type="dxa"/>
                  <w:tcBorders>
                    <w:tl2br w:val="nil"/>
                    <w:tr2bl w:val="nil"/>
                  </w:tcBorders>
                  <w:noWrap w:val="0"/>
                  <w:vAlign w:val="center"/>
                </w:tcPr>
                <w:p w14:paraId="24144F0B">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 </w:t>
                  </w:r>
                </w:p>
              </w:tc>
            </w:tr>
            <w:tr w14:paraId="60D8FC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987" w:type="dxa"/>
                  <w:tcBorders>
                    <w:tl2br w:val="nil"/>
                    <w:tr2bl w:val="nil"/>
                  </w:tcBorders>
                  <w:noWrap w:val="0"/>
                  <w:vAlign w:val="center"/>
                </w:tcPr>
                <w:p w14:paraId="46C47348">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23 </w:t>
                  </w:r>
                </w:p>
              </w:tc>
              <w:tc>
                <w:tcPr>
                  <w:tcW w:w="725" w:type="dxa"/>
                  <w:vMerge w:val="continue"/>
                  <w:tcBorders>
                    <w:tl2br w:val="nil"/>
                    <w:tr2bl w:val="nil"/>
                  </w:tcBorders>
                  <w:noWrap w:val="0"/>
                  <w:vAlign w:val="center"/>
                </w:tcPr>
                <w:p w14:paraId="58ED9FE2">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0958751B">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2490BA54">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1836AEBD">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清洗喷枪</w:t>
                  </w:r>
                </w:p>
              </w:tc>
              <w:tc>
                <w:tcPr>
                  <w:tcW w:w="730" w:type="dxa"/>
                  <w:tcBorders>
                    <w:tl2br w:val="nil"/>
                    <w:tr2bl w:val="nil"/>
                  </w:tcBorders>
                  <w:noWrap w:val="0"/>
                  <w:vAlign w:val="center"/>
                </w:tcPr>
                <w:p w14:paraId="63F17355">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4280B9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474682C0">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24 </w:t>
                  </w:r>
                </w:p>
              </w:tc>
              <w:tc>
                <w:tcPr>
                  <w:tcW w:w="725" w:type="dxa"/>
                  <w:vMerge w:val="continue"/>
                  <w:tcBorders>
                    <w:tl2br w:val="nil"/>
                    <w:tr2bl w:val="nil"/>
                  </w:tcBorders>
                  <w:noWrap w:val="0"/>
                  <w:vAlign w:val="center"/>
                </w:tcPr>
                <w:p w14:paraId="6DA81BBD">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0425B080">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7DC6FBD9">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78508A7F">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气枪</w:t>
                  </w:r>
                </w:p>
              </w:tc>
              <w:tc>
                <w:tcPr>
                  <w:tcW w:w="730" w:type="dxa"/>
                  <w:tcBorders>
                    <w:tl2br w:val="nil"/>
                    <w:tr2bl w:val="nil"/>
                  </w:tcBorders>
                  <w:noWrap w:val="0"/>
                  <w:vAlign w:val="center"/>
                </w:tcPr>
                <w:p w14:paraId="2F0C98D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550533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1394A449">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25 </w:t>
                  </w:r>
                </w:p>
              </w:tc>
              <w:tc>
                <w:tcPr>
                  <w:tcW w:w="725" w:type="dxa"/>
                  <w:vMerge w:val="continue"/>
                  <w:tcBorders>
                    <w:tl2br w:val="nil"/>
                    <w:tr2bl w:val="nil"/>
                  </w:tcBorders>
                  <w:noWrap w:val="0"/>
                  <w:vAlign w:val="center"/>
                </w:tcPr>
                <w:p w14:paraId="4956649A">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4095B05F">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369CCB07">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55854B44">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密封回收车（科室自备）</w:t>
                  </w:r>
                </w:p>
              </w:tc>
              <w:tc>
                <w:tcPr>
                  <w:tcW w:w="730" w:type="dxa"/>
                  <w:tcBorders>
                    <w:tl2br w:val="nil"/>
                    <w:tr2bl w:val="nil"/>
                  </w:tcBorders>
                  <w:noWrap w:val="0"/>
                  <w:vAlign w:val="center"/>
                </w:tcPr>
                <w:p w14:paraId="412EA56C">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 </w:t>
                  </w:r>
                </w:p>
              </w:tc>
            </w:tr>
            <w:tr w14:paraId="07B49C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2C8CDE70">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26 </w:t>
                  </w:r>
                </w:p>
              </w:tc>
              <w:tc>
                <w:tcPr>
                  <w:tcW w:w="725" w:type="dxa"/>
                  <w:vMerge w:val="continue"/>
                  <w:tcBorders>
                    <w:tl2br w:val="nil"/>
                    <w:tr2bl w:val="nil"/>
                  </w:tcBorders>
                  <w:noWrap w:val="0"/>
                  <w:vAlign w:val="center"/>
                </w:tcPr>
                <w:p w14:paraId="33BBA05D">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3B9CBADA">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7E65B0D6">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7A66803E">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高压小车清洗机</w:t>
                  </w:r>
                </w:p>
              </w:tc>
              <w:tc>
                <w:tcPr>
                  <w:tcW w:w="730" w:type="dxa"/>
                  <w:tcBorders>
                    <w:tl2br w:val="nil"/>
                    <w:tr2bl w:val="nil"/>
                  </w:tcBorders>
                  <w:noWrap w:val="0"/>
                  <w:vAlign w:val="center"/>
                </w:tcPr>
                <w:p w14:paraId="608731F4">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5B60CF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4422034B">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27 </w:t>
                  </w:r>
                </w:p>
              </w:tc>
              <w:tc>
                <w:tcPr>
                  <w:tcW w:w="725" w:type="dxa"/>
                  <w:vMerge w:val="continue"/>
                  <w:tcBorders>
                    <w:tl2br w:val="nil"/>
                    <w:tr2bl w:val="nil"/>
                  </w:tcBorders>
                  <w:noWrap w:val="0"/>
                  <w:vAlign w:val="center"/>
                </w:tcPr>
                <w:p w14:paraId="65F5B9D7">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1129E847">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5E0E3034">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2217EBB6">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空气压缩机</w:t>
                  </w:r>
                </w:p>
              </w:tc>
              <w:tc>
                <w:tcPr>
                  <w:tcW w:w="730" w:type="dxa"/>
                  <w:tcBorders>
                    <w:tl2br w:val="nil"/>
                    <w:tr2bl w:val="nil"/>
                  </w:tcBorders>
                  <w:noWrap w:val="0"/>
                  <w:vAlign w:val="center"/>
                </w:tcPr>
                <w:p w14:paraId="24D3C153">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650547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33562E03">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28 </w:t>
                  </w:r>
                </w:p>
              </w:tc>
              <w:tc>
                <w:tcPr>
                  <w:tcW w:w="725" w:type="dxa"/>
                  <w:vMerge w:val="continue"/>
                  <w:tcBorders>
                    <w:tl2br w:val="nil"/>
                    <w:tr2bl w:val="nil"/>
                  </w:tcBorders>
                  <w:noWrap w:val="0"/>
                  <w:vAlign w:val="center"/>
                </w:tcPr>
                <w:p w14:paraId="13F267A0">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75EF26B8">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1ADE5551">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1D9BD721">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洗眼器</w:t>
                  </w:r>
                </w:p>
              </w:tc>
              <w:tc>
                <w:tcPr>
                  <w:tcW w:w="730" w:type="dxa"/>
                  <w:tcBorders>
                    <w:tl2br w:val="nil"/>
                    <w:tr2bl w:val="nil"/>
                  </w:tcBorders>
                  <w:noWrap w:val="0"/>
                  <w:vAlign w:val="center"/>
                </w:tcPr>
                <w:p w14:paraId="6EF2180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4891A0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00FADF4D">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29 </w:t>
                  </w:r>
                </w:p>
              </w:tc>
              <w:tc>
                <w:tcPr>
                  <w:tcW w:w="725" w:type="dxa"/>
                  <w:vMerge w:val="continue"/>
                  <w:tcBorders>
                    <w:tl2br w:val="nil"/>
                    <w:tr2bl w:val="nil"/>
                  </w:tcBorders>
                  <w:noWrap w:val="0"/>
                  <w:vAlign w:val="center"/>
                </w:tcPr>
                <w:p w14:paraId="577EBAD5">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40158DC2">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140EBC8F">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51A29859">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升降1双门2互锁传递窗</w:t>
                  </w:r>
                </w:p>
              </w:tc>
              <w:tc>
                <w:tcPr>
                  <w:tcW w:w="730" w:type="dxa"/>
                  <w:tcBorders>
                    <w:tl2br w:val="nil"/>
                    <w:tr2bl w:val="nil"/>
                  </w:tcBorders>
                  <w:noWrap w:val="0"/>
                  <w:vAlign w:val="center"/>
                </w:tcPr>
                <w:p w14:paraId="7AFC15D3">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 </w:t>
                  </w:r>
                </w:p>
              </w:tc>
            </w:tr>
            <w:tr w14:paraId="4D9583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010E02D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30 </w:t>
                  </w:r>
                </w:p>
              </w:tc>
              <w:tc>
                <w:tcPr>
                  <w:tcW w:w="725" w:type="dxa"/>
                  <w:vMerge w:val="continue"/>
                  <w:tcBorders>
                    <w:tl2br w:val="nil"/>
                    <w:tr2bl w:val="nil"/>
                  </w:tcBorders>
                  <w:noWrap w:val="0"/>
                  <w:vAlign w:val="center"/>
                </w:tcPr>
                <w:p w14:paraId="37DAC5DB">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74CE2AED">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00817CFE">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1F0874B2">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手术凳</w:t>
                  </w:r>
                </w:p>
              </w:tc>
              <w:tc>
                <w:tcPr>
                  <w:tcW w:w="730" w:type="dxa"/>
                  <w:tcBorders>
                    <w:tl2br w:val="nil"/>
                    <w:tr2bl w:val="nil"/>
                  </w:tcBorders>
                  <w:noWrap w:val="0"/>
                  <w:vAlign w:val="center"/>
                </w:tcPr>
                <w:p w14:paraId="3C14E6DD">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16 </w:t>
                  </w:r>
                </w:p>
              </w:tc>
            </w:tr>
            <w:tr w14:paraId="337065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47E1FAA1">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31 </w:t>
                  </w:r>
                </w:p>
              </w:tc>
              <w:tc>
                <w:tcPr>
                  <w:tcW w:w="725" w:type="dxa"/>
                  <w:vMerge w:val="continue"/>
                  <w:tcBorders>
                    <w:tl2br w:val="nil"/>
                    <w:tr2bl w:val="nil"/>
                  </w:tcBorders>
                  <w:noWrap w:val="0"/>
                  <w:vAlign w:val="center"/>
                </w:tcPr>
                <w:p w14:paraId="53BC5AA7">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4F1AB0BD">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3D647E55">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7E8D2BAA">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九门鞋柜</w:t>
                  </w:r>
                </w:p>
              </w:tc>
              <w:tc>
                <w:tcPr>
                  <w:tcW w:w="730" w:type="dxa"/>
                  <w:tcBorders>
                    <w:tl2br w:val="nil"/>
                    <w:tr2bl w:val="nil"/>
                  </w:tcBorders>
                  <w:noWrap w:val="0"/>
                  <w:vAlign w:val="center"/>
                </w:tcPr>
                <w:p w14:paraId="3E215FD0">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 </w:t>
                  </w:r>
                </w:p>
              </w:tc>
            </w:tr>
            <w:tr w14:paraId="059D87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1B3F94B9">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32 </w:t>
                  </w:r>
                </w:p>
              </w:tc>
              <w:tc>
                <w:tcPr>
                  <w:tcW w:w="725" w:type="dxa"/>
                  <w:vMerge w:val="continue"/>
                  <w:tcBorders>
                    <w:tl2br w:val="nil"/>
                    <w:tr2bl w:val="nil"/>
                  </w:tcBorders>
                  <w:noWrap w:val="0"/>
                  <w:vAlign w:val="center"/>
                </w:tcPr>
                <w:p w14:paraId="617ACAD1">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6DA0DC83">
                  <w:pPr>
                    <w:spacing w:line="340" w:lineRule="exact"/>
                    <w:jc w:val="center"/>
                    <w:rPr>
                      <w:rFonts w:hint="eastAsia" w:ascii="Times New Roman" w:hAnsi="Times New Roman" w:eastAsia="宋体" w:cs="Times New Roman"/>
                      <w:color w:val="auto"/>
                      <w:szCs w:val="21"/>
                    </w:rPr>
                  </w:pPr>
                </w:p>
              </w:tc>
              <w:tc>
                <w:tcPr>
                  <w:tcW w:w="630" w:type="dxa"/>
                  <w:vMerge w:val="restart"/>
                  <w:tcBorders>
                    <w:tl2br w:val="nil"/>
                    <w:tr2bl w:val="nil"/>
                  </w:tcBorders>
                  <w:noWrap w:val="0"/>
                  <w:vAlign w:val="center"/>
                </w:tcPr>
                <w:p w14:paraId="3A5A4FEB">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灭菌区</w:t>
                  </w:r>
                </w:p>
              </w:tc>
              <w:tc>
                <w:tcPr>
                  <w:tcW w:w="4698" w:type="dxa"/>
                  <w:tcBorders>
                    <w:tl2br w:val="nil"/>
                    <w:tr2bl w:val="nil"/>
                  </w:tcBorders>
                  <w:noWrap w:val="0"/>
                  <w:vAlign w:val="center"/>
                </w:tcPr>
                <w:p w14:paraId="24C0C5CA">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器械检查打包台</w:t>
                  </w:r>
                </w:p>
              </w:tc>
              <w:tc>
                <w:tcPr>
                  <w:tcW w:w="730" w:type="dxa"/>
                  <w:tcBorders>
                    <w:tl2br w:val="nil"/>
                    <w:tr2bl w:val="nil"/>
                  </w:tcBorders>
                  <w:noWrap w:val="0"/>
                  <w:vAlign w:val="center"/>
                </w:tcPr>
                <w:p w14:paraId="1659E8F3">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 </w:t>
                  </w:r>
                </w:p>
              </w:tc>
            </w:tr>
            <w:tr w14:paraId="47D4F3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61959F0B">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33 </w:t>
                  </w:r>
                </w:p>
              </w:tc>
              <w:tc>
                <w:tcPr>
                  <w:tcW w:w="725" w:type="dxa"/>
                  <w:vMerge w:val="continue"/>
                  <w:tcBorders>
                    <w:tl2br w:val="nil"/>
                    <w:tr2bl w:val="nil"/>
                  </w:tcBorders>
                  <w:noWrap w:val="0"/>
                  <w:vAlign w:val="center"/>
                </w:tcPr>
                <w:p w14:paraId="0EC7EAFF">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3FC686B1">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152C703A">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568CFAD7">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干燥物品工作台</w:t>
                  </w:r>
                </w:p>
              </w:tc>
              <w:tc>
                <w:tcPr>
                  <w:tcW w:w="730" w:type="dxa"/>
                  <w:tcBorders>
                    <w:tl2br w:val="nil"/>
                    <w:tr2bl w:val="nil"/>
                  </w:tcBorders>
                  <w:noWrap w:val="0"/>
                  <w:vAlign w:val="center"/>
                </w:tcPr>
                <w:p w14:paraId="4402B485">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570C2D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6F7E5B66">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34 </w:t>
                  </w:r>
                </w:p>
              </w:tc>
              <w:tc>
                <w:tcPr>
                  <w:tcW w:w="725" w:type="dxa"/>
                  <w:vMerge w:val="continue"/>
                  <w:tcBorders>
                    <w:tl2br w:val="nil"/>
                    <w:tr2bl w:val="nil"/>
                  </w:tcBorders>
                  <w:noWrap w:val="0"/>
                  <w:vAlign w:val="center"/>
                </w:tcPr>
                <w:p w14:paraId="5B32F4B2">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0B9E8153">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65F7059E">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79BFBAD3">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包布检查打包台</w:t>
                  </w:r>
                </w:p>
              </w:tc>
              <w:tc>
                <w:tcPr>
                  <w:tcW w:w="730" w:type="dxa"/>
                  <w:tcBorders>
                    <w:tl2br w:val="nil"/>
                    <w:tr2bl w:val="nil"/>
                  </w:tcBorders>
                  <w:noWrap w:val="0"/>
                  <w:vAlign w:val="center"/>
                </w:tcPr>
                <w:p w14:paraId="43AE854B">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 </w:t>
                  </w:r>
                </w:p>
              </w:tc>
            </w:tr>
            <w:tr w14:paraId="092093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28DA2ED0">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35 </w:t>
                  </w:r>
                </w:p>
              </w:tc>
              <w:tc>
                <w:tcPr>
                  <w:tcW w:w="725" w:type="dxa"/>
                  <w:vMerge w:val="continue"/>
                  <w:tcBorders>
                    <w:tl2br w:val="nil"/>
                    <w:tr2bl w:val="nil"/>
                  </w:tcBorders>
                  <w:noWrap w:val="0"/>
                  <w:vAlign w:val="center"/>
                </w:tcPr>
                <w:p w14:paraId="168F05E2">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7D717838">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7F61D119">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72B08D61">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器械检查放大镜</w:t>
                  </w:r>
                </w:p>
              </w:tc>
              <w:tc>
                <w:tcPr>
                  <w:tcW w:w="730" w:type="dxa"/>
                  <w:tcBorders>
                    <w:tl2br w:val="nil"/>
                    <w:tr2bl w:val="nil"/>
                  </w:tcBorders>
                  <w:noWrap w:val="0"/>
                  <w:vAlign w:val="center"/>
                </w:tcPr>
                <w:p w14:paraId="241B878A">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 </w:t>
                  </w:r>
                </w:p>
              </w:tc>
            </w:tr>
            <w:tr w14:paraId="592EF0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5C60D2A3">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36 </w:t>
                  </w:r>
                </w:p>
              </w:tc>
              <w:tc>
                <w:tcPr>
                  <w:tcW w:w="725" w:type="dxa"/>
                  <w:vMerge w:val="continue"/>
                  <w:tcBorders>
                    <w:tl2br w:val="nil"/>
                    <w:tr2bl w:val="nil"/>
                  </w:tcBorders>
                  <w:noWrap w:val="0"/>
                  <w:vAlign w:val="center"/>
                </w:tcPr>
                <w:p w14:paraId="4058FE2C">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0FCE129C">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2BDF1028">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43A74F57">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不锈钢开架存放架</w:t>
                  </w:r>
                </w:p>
              </w:tc>
              <w:tc>
                <w:tcPr>
                  <w:tcW w:w="730" w:type="dxa"/>
                  <w:tcBorders>
                    <w:tl2br w:val="nil"/>
                    <w:tr2bl w:val="nil"/>
                  </w:tcBorders>
                  <w:noWrap w:val="0"/>
                  <w:vAlign w:val="center"/>
                </w:tcPr>
                <w:p w14:paraId="622AC52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 </w:t>
                  </w:r>
                </w:p>
              </w:tc>
            </w:tr>
            <w:tr w14:paraId="45E4AE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46275058">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37 </w:t>
                  </w:r>
                </w:p>
              </w:tc>
              <w:tc>
                <w:tcPr>
                  <w:tcW w:w="725" w:type="dxa"/>
                  <w:vMerge w:val="continue"/>
                  <w:tcBorders>
                    <w:tl2br w:val="nil"/>
                    <w:tr2bl w:val="nil"/>
                  </w:tcBorders>
                  <w:noWrap w:val="0"/>
                  <w:vAlign w:val="center"/>
                </w:tcPr>
                <w:p w14:paraId="0D84B85A">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7B13D4C9">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0EC67447">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0AB96F80">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器械柜</w:t>
                  </w:r>
                </w:p>
              </w:tc>
              <w:tc>
                <w:tcPr>
                  <w:tcW w:w="730" w:type="dxa"/>
                  <w:tcBorders>
                    <w:tl2br w:val="nil"/>
                    <w:tr2bl w:val="nil"/>
                  </w:tcBorders>
                  <w:noWrap w:val="0"/>
                  <w:vAlign w:val="center"/>
                </w:tcPr>
                <w:p w14:paraId="50351CBB">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 </w:t>
                  </w:r>
                </w:p>
              </w:tc>
            </w:tr>
            <w:tr w14:paraId="41F1FB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707DFAD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38 </w:t>
                  </w:r>
                </w:p>
              </w:tc>
              <w:tc>
                <w:tcPr>
                  <w:tcW w:w="725" w:type="dxa"/>
                  <w:vMerge w:val="continue"/>
                  <w:tcBorders>
                    <w:tl2br w:val="nil"/>
                    <w:tr2bl w:val="nil"/>
                  </w:tcBorders>
                  <w:noWrap w:val="0"/>
                  <w:vAlign w:val="center"/>
                </w:tcPr>
                <w:p w14:paraId="66069288">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1885847E">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2864829C">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72B3724E">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敷料柜</w:t>
                  </w:r>
                </w:p>
              </w:tc>
              <w:tc>
                <w:tcPr>
                  <w:tcW w:w="730" w:type="dxa"/>
                  <w:tcBorders>
                    <w:tl2br w:val="nil"/>
                    <w:tr2bl w:val="nil"/>
                  </w:tcBorders>
                  <w:noWrap w:val="0"/>
                  <w:vAlign w:val="center"/>
                </w:tcPr>
                <w:p w14:paraId="009DB9FA">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 </w:t>
                  </w:r>
                </w:p>
              </w:tc>
            </w:tr>
            <w:tr w14:paraId="7A3CF4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42AD2FDC">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39 </w:t>
                  </w:r>
                </w:p>
              </w:tc>
              <w:tc>
                <w:tcPr>
                  <w:tcW w:w="725" w:type="dxa"/>
                  <w:vMerge w:val="continue"/>
                  <w:tcBorders>
                    <w:tl2br w:val="nil"/>
                    <w:tr2bl w:val="nil"/>
                  </w:tcBorders>
                  <w:noWrap w:val="0"/>
                  <w:vAlign w:val="center"/>
                </w:tcPr>
                <w:p w14:paraId="1097E60C">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43FA7371">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2B4E2AB3">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01BCB82F">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空气压缩机</w:t>
                  </w:r>
                </w:p>
              </w:tc>
              <w:tc>
                <w:tcPr>
                  <w:tcW w:w="730" w:type="dxa"/>
                  <w:tcBorders>
                    <w:tl2br w:val="nil"/>
                    <w:tr2bl w:val="nil"/>
                  </w:tcBorders>
                  <w:noWrap w:val="0"/>
                  <w:vAlign w:val="center"/>
                </w:tcPr>
                <w:p w14:paraId="52B900C8">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 </w:t>
                  </w:r>
                </w:p>
              </w:tc>
            </w:tr>
            <w:tr w14:paraId="40CA24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7AED888B">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40 </w:t>
                  </w:r>
                </w:p>
              </w:tc>
              <w:tc>
                <w:tcPr>
                  <w:tcW w:w="725" w:type="dxa"/>
                  <w:vMerge w:val="continue"/>
                  <w:tcBorders>
                    <w:tl2br w:val="nil"/>
                    <w:tr2bl w:val="nil"/>
                  </w:tcBorders>
                  <w:noWrap w:val="0"/>
                  <w:vAlign w:val="center"/>
                </w:tcPr>
                <w:p w14:paraId="49A62588">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6AA45886">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159DB02C">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061FC8E4">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包布车</w:t>
                  </w:r>
                </w:p>
              </w:tc>
              <w:tc>
                <w:tcPr>
                  <w:tcW w:w="730" w:type="dxa"/>
                  <w:tcBorders>
                    <w:tl2br w:val="nil"/>
                    <w:tr2bl w:val="nil"/>
                  </w:tcBorders>
                  <w:noWrap w:val="0"/>
                  <w:vAlign w:val="center"/>
                </w:tcPr>
                <w:p w14:paraId="5DD5D82B">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 </w:t>
                  </w:r>
                </w:p>
              </w:tc>
            </w:tr>
            <w:tr w14:paraId="2ED9F9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38D564C9">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41 </w:t>
                  </w:r>
                </w:p>
              </w:tc>
              <w:tc>
                <w:tcPr>
                  <w:tcW w:w="725" w:type="dxa"/>
                  <w:vMerge w:val="continue"/>
                  <w:tcBorders>
                    <w:tl2br w:val="nil"/>
                    <w:tr2bl w:val="nil"/>
                  </w:tcBorders>
                  <w:noWrap w:val="0"/>
                  <w:vAlign w:val="center"/>
                </w:tcPr>
                <w:p w14:paraId="45C3CCFB">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31BB71EB">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6AB8C2BB">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554B9722">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双门互锁传递窗</w:t>
                  </w:r>
                </w:p>
              </w:tc>
              <w:tc>
                <w:tcPr>
                  <w:tcW w:w="730" w:type="dxa"/>
                  <w:tcBorders>
                    <w:tl2br w:val="nil"/>
                    <w:tr2bl w:val="nil"/>
                  </w:tcBorders>
                  <w:noWrap w:val="0"/>
                  <w:vAlign w:val="center"/>
                </w:tcPr>
                <w:p w14:paraId="0E73F6A6">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 </w:t>
                  </w:r>
                </w:p>
              </w:tc>
            </w:tr>
            <w:tr w14:paraId="39389D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50918005">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42 </w:t>
                  </w:r>
                </w:p>
              </w:tc>
              <w:tc>
                <w:tcPr>
                  <w:tcW w:w="725" w:type="dxa"/>
                  <w:vMerge w:val="continue"/>
                  <w:tcBorders>
                    <w:tl2br w:val="nil"/>
                    <w:tr2bl w:val="nil"/>
                  </w:tcBorders>
                  <w:noWrap w:val="0"/>
                  <w:vAlign w:val="center"/>
                </w:tcPr>
                <w:p w14:paraId="6FE758CE">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4E90BC32">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43BC152F">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17EC16FA">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平板运送车</w:t>
                  </w:r>
                </w:p>
              </w:tc>
              <w:tc>
                <w:tcPr>
                  <w:tcW w:w="730" w:type="dxa"/>
                  <w:tcBorders>
                    <w:tl2br w:val="nil"/>
                    <w:tr2bl w:val="nil"/>
                  </w:tcBorders>
                  <w:noWrap w:val="0"/>
                  <w:vAlign w:val="center"/>
                </w:tcPr>
                <w:p w14:paraId="72673746">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49CEFC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4E69D2F8">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43 </w:t>
                  </w:r>
                </w:p>
              </w:tc>
              <w:tc>
                <w:tcPr>
                  <w:tcW w:w="725" w:type="dxa"/>
                  <w:vMerge w:val="continue"/>
                  <w:tcBorders>
                    <w:tl2br w:val="nil"/>
                    <w:tr2bl w:val="nil"/>
                  </w:tcBorders>
                  <w:noWrap w:val="0"/>
                  <w:vAlign w:val="center"/>
                </w:tcPr>
                <w:p w14:paraId="4608BBE9">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33F3952E">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0F42963C">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4A0232E6">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切割机</w:t>
                  </w:r>
                </w:p>
              </w:tc>
              <w:tc>
                <w:tcPr>
                  <w:tcW w:w="730" w:type="dxa"/>
                  <w:tcBorders>
                    <w:tl2br w:val="nil"/>
                    <w:tr2bl w:val="nil"/>
                  </w:tcBorders>
                  <w:noWrap w:val="0"/>
                  <w:vAlign w:val="center"/>
                </w:tcPr>
                <w:p w14:paraId="365C614F">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1D932D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3DA8EF0D">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44 </w:t>
                  </w:r>
                </w:p>
              </w:tc>
              <w:tc>
                <w:tcPr>
                  <w:tcW w:w="725" w:type="dxa"/>
                  <w:vMerge w:val="continue"/>
                  <w:tcBorders>
                    <w:tl2br w:val="nil"/>
                    <w:tr2bl w:val="nil"/>
                  </w:tcBorders>
                  <w:noWrap w:val="0"/>
                  <w:vAlign w:val="center"/>
                </w:tcPr>
                <w:p w14:paraId="31D144ED">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505E1E88">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085380CF">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1E81D3AE">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封口机</w:t>
                  </w:r>
                </w:p>
              </w:tc>
              <w:tc>
                <w:tcPr>
                  <w:tcW w:w="730" w:type="dxa"/>
                  <w:tcBorders>
                    <w:tl2br w:val="nil"/>
                    <w:tr2bl w:val="nil"/>
                  </w:tcBorders>
                  <w:noWrap w:val="0"/>
                  <w:vAlign w:val="center"/>
                </w:tcPr>
                <w:p w14:paraId="4F7667D1">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067B24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4885F4F4">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45 </w:t>
                  </w:r>
                </w:p>
              </w:tc>
              <w:tc>
                <w:tcPr>
                  <w:tcW w:w="725" w:type="dxa"/>
                  <w:vMerge w:val="continue"/>
                  <w:tcBorders>
                    <w:tl2br w:val="nil"/>
                    <w:tr2bl w:val="nil"/>
                  </w:tcBorders>
                  <w:noWrap w:val="0"/>
                  <w:vAlign w:val="center"/>
                </w:tcPr>
                <w:p w14:paraId="5E5D6862">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661C84BC">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7A98FCBB">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56499EF3">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绝缘监测仪</w:t>
                  </w:r>
                </w:p>
              </w:tc>
              <w:tc>
                <w:tcPr>
                  <w:tcW w:w="730" w:type="dxa"/>
                  <w:tcBorders>
                    <w:tl2br w:val="nil"/>
                    <w:tr2bl w:val="nil"/>
                  </w:tcBorders>
                  <w:noWrap w:val="0"/>
                  <w:vAlign w:val="center"/>
                </w:tcPr>
                <w:p w14:paraId="5C8E5615">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724B9F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4AF4BD2F">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46 </w:t>
                  </w:r>
                </w:p>
              </w:tc>
              <w:tc>
                <w:tcPr>
                  <w:tcW w:w="725" w:type="dxa"/>
                  <w:vMerge w:val="continue"/>
                  <w:tcBorders>
                    <w:tl2br w:val="nil"/>
                    <w:tr2bl w:val="nil"/>
                  </w:tcBorders>
                  <w:noWrap w:val="0"/>
                  <w:vAlign w:val="center"/>
                </w:tcPr>
                <w:p w14:paraId="69CAB4DB">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69D35CEA">
                  <w:pPr>
                    <w:spacing w:line="340" w:lineRule="exact"/>
                    <w:jc w:val="center"/>
                    <w:rPr>
                      <w:rFonts w:hint="eastAsia" w:ascii="Times New Roman" w:hAnsi="Times New Roman" w:eastAsia="宋体" w:cs="Times New Roman"/>
                      <w:color w:val="auto"/>
                      <w:szCs w:val="21"/>
                    </w:rPr>
                  </w:pPr>
                </w:p>
              </w:tc>
              <w:tc>
                <w:tcPr>
                  <w:tcW w:w="630" w:type="dxa"/>
                  <w:vMerge w:val="restart"/>
                  <w:tcBorders>
                    <w:tl2br w:val="nil"/>
                    <w:tr2bl w:val="nil"/>
                  </w:tcBorders>
                  <w:noWrap w:val="0"/>
                  <w:vAlign w:val="center"/>
                </w:tcPr>
                <w:p w14:paraId="7FB86622">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无菌区</w:t>
                  </w:r>
                </w:p>
              </w:tc>
              <w:tc>
                <w:tcPr>
                  <w:tcW w:w="4698" w:type="dxa"/>
                  <w:tcBorders>
                    <w:tl2br w:val="nil"/>
                    <w:tr2bl w:val="nil"/>
                  </w:tcBorders>
                  <w:noWrap w:val="0"/>
                  <w:vAlign w:val="center"/>
                </w:tcPr>
                <w:p w14:paraId="13BACB09">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气体浓度检测仪</w:t>
                  </w:r>
                </w:p>
              </w:tc>
              <w:tc>
                <w:tcPr>
                  <w:tcW w:w="730" w:type="dxa"/>
                  <w:tcBorders>
                    <w:tl2br w:val="nil"/>
                    <w:tr2bl w:val="nil"/>
                  </w:tcBorders>
                  <w:noWrap w:val="0"/>
                  <w:vAlign w:val="center"/>
                </w:tcPr>
                <w:p w14:paraId="0CAFCD23">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3ED8A0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69E27038">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47 </w:t>
                  </w:r>
                </w:p>
              </w:tc>
              <w:tc>
                <w:tcPr>
                  <w:tcW w:w="725" w:type="dxa"/>
                  <w:vMerge w:val="continue"/>
                  <w:tcBorders>
                    <w:tl2br w:val="nil"/>
                    <w:tr2bl w:val="nil"/>
                  </w:tcBorders>
                  <w:noWrap w:val="0"/>
                  <w:vAlign w:val="center"/>
                </w:tcPr>
                <w:p w14:paraId="42DA50A8">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26CAF30F">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3F017254">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2FD5C0AD">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双门互锁传递窗（2大4小）</w:t>
                  </w:r>
                </w:p>
              </w:tc>
              <w:tc>
                <w:tcPr>
                  <w:tcW w:w="730" w:type="dxa"/>
                  <w:tcBorders>
                    <w:tl2br w:val="nil"/>
                    <w:tr2bl w:val="nil"/>
                  </w:tcBorders>
                  <w:noWrap w:val="0"/>
                  <w:vAlign w:val="center"/>
                </w:tcPr>
                <w:p w14:paraId="12E7255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 </w:t>
                  </w:r>
                </w:p>
              </w:tc>
            </w:tr>
            <w:tr w14:paraId="658B21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310E6D50">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48 </w:t>
                  </w:r>
                </w:p>
              </w:tc>
              <w:tc>
                <w:tcPr>
                  <w:tcW w:w="725" w:type="dxa"/>
                  <w:vMerge w:val="continue"/>
                  <w:tcBorders>
                    <w:tl2br w:val="nil"/>
                    <w:tr2bl w:val="nil"/>
                  </w:tcBorders>
                  <w:noWrap w:val="0"/>
                  <w:vAlign w:val="center"/>
                </w:tcPr>
                <w:p w14:paraId="13754549">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25346762">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1FC1F668">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6F2743ED">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无菌物品下送车</w:t>
                  </w:r>
                </w:p>
              </w:tc>
              <w:tc>
                <w:tcPr>
                  <w:tcW w:w="730" w:type="dxa"/>
                  <w:tcBorders>
                    <w:tl2br w:val="nil"/>
                    <w:tr2bl w:val="nil"/>
                  </w:tcBorders>
                  <w:noWrap w:val="0"/>
                  <w:vAlign w:val="center"/>
                </w:tcPr>
                <w:p w14:paraId="6455080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 </w:t>
                  </w:r>
                </w:p>
              </w:tc>
            </w:tr>
            <w:tr w14:paraId="17C07C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6C4BA9CA">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49 </w:t>
                  </w:r>
                </w:p>
              </w:tc>
              <w:tc>
                <w:tcPr>
                  <w:tcW w:w="725" w:type="dxa"/>
                  <w:vMerge w:val="continue"/>
                  <w:tcBorders>
                    <w:tl2br w:val="nil"/>
                    <w:tr2bl w:val="nil"/>
                  </w:tcBorders>
                  <w:noWrap w:val="0"/>
                  <w:vAlign w:val="center"/>
                </w:tcPr>
                <w:p w14:paraId="507EC420">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21BBAC93">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4E911F61">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07E3226F">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篮筐储物架(单列)</w:t>
                  </w:r>
                </w:p>
              </w:tc>
              <w:tc>
                <w:tcPr>
                  <w:tcW w:w="730" w:type="dxa"/>
                  <w:tcBorders>
                    <w:tl2br w:val="nil"/>
                    <w:tr2bl w:val="nil"/>
                  </w:tcBorders>
                  <w:noWrap w:val="0"/>
                  <w:vAlign w:val="center"/>
                </w:tcPr>
                <w:p w14:paraId="72685952">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4 </w:t>
                  </w:r>
                </w:p>
              </w:tc>
            </w:tr>
            <w:tr w14:paraId="761C92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987" w:type="dxa"/>
                  <w:tcBorders>
                    <w:tl2br w:val="nil"/>
                    <w:tr2bl w:val="nil"/>
                  </w:tcBorders>
                  <w:noWrap w:val="0"/>
                  <w:vAlign w:val="center"/>
                </w:tcPr>
                <w:p w14:paraId="785FE92F">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50 </w:t>
                  </w:r>
                </w:p>
              </w:tc>
              <w:tc>
                <w:tcPr>
                  <w:tcW w:w="725" w:type="dxa"/>
                  <w:vMerge w:val="continue"/>
                  <w:tcBorders>
                    <w:tl2br w:val="nil"/>
                    <w:tr2bl w:val="nil"/>
                  </w:tcBorders>
                  <w:noWrap w:val="0"/>
                  <w:vAlign w:val="center"/>
                </w:tcPr>
                <w:p w14:paraId="0A5C2546">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48800FB8">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3043EA0B">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2EA853C0">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灭菌篮筐</w:t>
                  </w:r>
                </w:p>
              </w:tc>
              <w:tc>
                <w:tcPr>
                  <w:tcW w:w="730" w:type="dxa"/>
                  <w:tcBorders>
                    <w:tl2br w:val="nil"/>
                    <w:tr2bl w:val="nil"/>
                  </w:tcBorders>
                  <w:noWrap w:val="0"/>
                  <w:vAlign w:val="center"/>
                </w:tcPr>
                <w:p w14:paraId="3E691EA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38 </w:t>
                  </w:r>
                </w:p>
              </w:tc>
            </w:tr>
            <w:tr w14:paraId="0755CC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3DA90BE0">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51 </w:t>
                  </w:r>
                </w:p>
              </w:tc>
              <w:tc>
                <w:tcPr>
                  <w:tcW w:w="725" w:type="dxa"/>
                  <w:vMerge w:val="continue"/>
                  <w:tcBorders>
                    <w:tl2br w:val="nil"/>
                    <w:tr2bl w:val="nil"/>
                  </w:tcBorders>
                  <w:noWrap w:val="0"/>
                  <w:vAlign w:val="center"/>
                </w:tcPr>
                <w:p w14:paraId="59267AFB">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43149A89">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3142A6BA">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676DB96C">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高压小车清洗机</w:t>
                  </w:r>
                </w:p>
              </w:tc>
              <w:tc>
                <w:tcPr>
                  <w:tcW w:w="730" w:type="dxa"/>
                  <w:tcBorders>
                    <w:tl2br w:val="nil"/>
                    <w:tr2bl w:val="nil"/>
                  </w:tcBorders>
                  <w:noWrap w:val="0"/>
                  <w:vAlign w:val="center"/>
                </w:tcPr>
                <w:p w14:paraId="095CE84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1F2AC1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6FC785C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52 </w:t>
                  </w:r>
                </w:p>
              </w:tc>
              <w:tc>
                <w:tcPr>
                  <w:tcW w:w="725" w:type="dxa"/>
                  <w:vMerge w:val="continue"/>
                  <w:tcBorders>
                    <w:tl2br w:val="nil"/>
                    <w:tr2bl w:val="nil"/>
                  </w:tcBorders>
                  <w:noWrap w:val="0"/>
                  <w:vAlign w:val="center"/>
                </w:tcPr>
                <w:p w14:paraId="3ECA51D5">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3B0F264C">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058BD51D">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0672AE1B">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拆包台</w:t>
                  </w:r>
                </w:p>
              </w:tc>
              <w:tc>
                <w:tcPr>
                  <w:tcW w:w="730" w:type="dxa"/>
                  <w:tcBorders>
                    <w:tl2br w:val="nil"/>
                    <w:tr2bl w:val="nil"/>
                  </w:tcBorders>
                  <w:noWrap w:val="0"/>
                  <w:vAlign w:val="center"/>
                </w:tcPr>
                <w:p w14:paraId="7E21E314">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27BA6F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3795754F">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53 </w:t>
                  </w:r>
                </w:p>
              </w:tc>
              <w:tc>
                <w:tcPr>
                  <w:tcW w:w="725" w:type="dxa"/>
                  <w:vMerge w:val="continue"/>
                  <w:tcBorders>
                    <w:tl2br w:val="nil"/>
                    <w:tr2bl w:val="nil"/>
                  </w:tcBorders>
                  <w:noWrap w:val="0"/>
                  <w:vAlign w:val="center"/>
                </w:tcPr>
                <w:p w14:paraId="57FEF654">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3933ABEE">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7842EF9C">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4E1482B9">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库房垫板（登高车）</w:t>
                  </w:r>
                </w:p>
              </w:tc>
              <w:tc>
                <w:tcPr>
                  <w:tcW w:w="730" w:type="dxa"/>
                  <w:tcBorders>
                    <w:tl2br w:val="nil"/>
                    <w:tr2bl w:val="nil"/>
                  </w:tcBorders>
                  <w:noWrap w:val="0"/>
                  <w:vAlign w:val="center"/>
                </w:tcPr>
                <w:p w14:paraId="16E7489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 </w:t>
                  </w:r>
                </w:p>
              </w:tc>
            </w:tr>
            <w:tr w14:paraId="50A608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53B14471">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54 </w:t>
                  </w:r>
                </w:p>
              </w:tc>
              <w:tc>
                <w:tcPr>
                  <w:tcW w:w="725" w:type="dxa"/>
                  <w:vMerge w:val="continue"/>
                  <w:tcBorders>
                    <w:tl2br w:val="nil"/>
                    <w:tr2bl w:val="nil"/>
                  </w:tcBorders>
                  <w:noWrap w:val="0"/>
                  <w:vAlign w:val="center"/>
                </w:tcPr>
                <w:p w14:paraId="510232C3">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2CC0875A">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3A01F227">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297F26BC">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不锈钢开架存放架</w:t>
                  </w:r>
                </w:p>
              </w:tc>
              <w:tc>
                <w:tcPr>
                  <w:tcW w:w="730" w:type="dxa"/>
                  <w:tcBorders>
                    <w:tl2br w:val="nil"/>
                    <w:tr2bl w:val="nil"/>
                  </w:tcBorders>
                  <w:noWrap w:val="0"/>
                  <w:vAlign w:val="center"/>
                </w:tcPr>
                <w:p w14:paraId="3BC5C58C">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8 </w:t>
                  </w:r>
                </w:p>
              </w:tc>
            </w:tr>
            <w:tr w14:paraId="5F79F8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037444F5">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55 </w:t>
                  </w:r>
                </w:p>
              </w:tc>
              <w:tc>
                <w:tcPr>
                  <w:tcW w:w="725" w:type="dxa"/>
                  <w:vMerge w:val="continue"/>
                  <w:tcBorders>
                    <w:tl2br w:val="nil"/>
                    <w:tr2bl w:val="nil"/>
                  </w:tcBorders>
                  <w:noWrap w:val="0"/>
                  <w:vAlign w:val="center"/>
                </w:tcPr>
                <w:p w14:paraId="2B2E20B4">
                  <w:pPr>
                    <w:spacing w:line="340" w:lineRule="exact"/>
                    <w:jc w:val="center"/>
                    <w:rPr>
                      <w:rFonts w:hint="eastAsia" w:ascii="Times New Roman" w:hAnsi="Times New Roman" w:eastAsia="宋体" w:cs="Times New Roman"/>
                      <w:color w:val="auto"/>
                      <w:szCs w:val="21"/>
                    </w:rPr>
                  </w:pPr>
                </w:p>
              </w:tc>
              <w:tc>
                <w:tcPr>
                  <w:tcW w:w="675" w:type="dxa"/>
                  <w:vMerge w:val="continue"/>
                  <w:tcBorders>
                    <w:tl2br w:val="nil"/>
                    <w:tr2bl w:val="nil"/>
                  </w:tcBorders>
                  <w:noWrap w:val="0"/>
                  <w:vAlign w:val="center"/>
                </w:tcPr>
                <w:p w14:paraId="7CEB1162">
                  <w:pPr>
                    <w:spacing w:line="340" w:lineRule="exact"/>
                    <w:jc w:val="center"/>
                    <w:rPr>
                      <w:rFonts w:hint="eastAsia" w:ascii="Times New Roman" w:hAnsi="Times New Roman" w:eastAsia="宋体" w:cs="Times New Roman"/>
                      <w:color w:val="auto"/>
                      <w:szCs w:val="21"/>
                    </w:rPr>
                  </w:pPr>
                </w:p>
              </w:tc>
              <w:tc>
                <w:tcPr>
                  <w:tcW w:w="630" w:type="dxa"/>
                  <w:vMerge w:val="continue"/>
                  <w:tcBorders>
                    <w:tl2br w:val="nil"/>
                    <w:tr2bl w:val="nil"/>
                  </w:tcBorders>
                  <w:noWrap w:val="0"/>
                  <w:vAlign w:val="center"/>
                </w:tcPr>
                <w:p w14:paraId="2785E2D7">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27B5C6FE">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断电自动开启门</w:t>
                  </w:r>
                </w:p>
              </w:tc>
              <w:tc>
                <w:tcPr>
                  <w:tcW w:w="730" w:type="dxa"/>
                  <w:tcBorders>
                    <w:tl2br w:val="nil"/>
                    <w:tr2bl w:val="nil"/>
                  </w:tcBorders>
                  <w:noWrap w:val="0"/>
                  <w:vAlign w:val="center"/>
                </w:tcPr>
                <w:p w14:paraId="00DA0ACA">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13A10F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264CDF8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56 </w:t>
                  </w:r>
                </w:p>
              </w:tc>
              <w:tc>
                <w:tcPr>
                  <w:tcW w:w="2030" w:type="dxa"/>
                  <w:gridSpan w:val="3"/>
                  <w:vMerge w:val="restart"/>
                  <w:tcBorders>
                    <w:tl2br w:val="nil"/>
                    <w:tr2bl w:val="nil"/>
                  </w:tcBorders>
                  <w:noWrap w:val="0"/>
                  <w:vAlign w:val="center"/>
                </w:tcPr>
                <w:p w14:paraId="7D9DB1E7">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手术室</w:t>
                  </w:r>
                </w:p>
              </w:tc>
              <w:tc>
                <w:tcPr>
                  <w:tcW w:w="4698" w:type="dxa"/>
                  <w:tcBorders>
                    <w:tl2br w:val="nil"/>
                    <w:tr2bl w:val="nil"/>
                  </w:tcBorders>
                  <w:noWrap w:val="0"/>
                  <w:vAlign w:val="center"/>
                </w:tcPr>
                <w:p w14:paraId="22137F61">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防辐射两间</w:t>
                  </w:r>
                </w:p>
              </w:tc>
              <w:tc>
                <w:tcPr>
                  <w:tcW w:w="730" w:type="dxa"/>
                  <w:tcBorders>
                    <w:tl2br w:val="nil"/>
                    <w:tr2bl w:val="nil"/>
                  </w:tcBorders>
                  <w:noWrap w:val="0"/>
                  <w:vAlign w:val="center"/>
                </w:tcPr>
                <w:p w14:paraId="0A133F2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 </w:t>
                  </w:r>
                </w:p>
              </w:tc>
            </w:tr>
            <w:tr w14:paraId="69C282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0B9AD2F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57 </w:t>
                  </w:r>
                </w:p>
              </w:tc>
              <w:tc>
                <w:tcPr>
                  <w:tcW w:w="2030" w:type="dxa"/>
                  <w:gridSpan w:val="3"/>
                  <w:vMerge w:val="continue"/>
                  <w:tcBorders>
                    <w:tl2br w:val="nil"/>
                    <w:tr2bl w:val="nil"/>
                  </w:tcBorders>
                  <w:noWrap w:val="0"/>
                  <w:vAlign w:val="center"/>
                </w:tcPr>
                <w:p w14:paraId="2D743609">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37E5F3C3">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电动手术床</w:t>
                  </w:r>
                </w:p>
              </w:tc>
              <w:tc>
                <w:tcPr>
                  <w:tcW w:w="730" w:type="dxa"/>
                  <w:tcBorders>
                    <w:tl2br w:val="nil"/>
                    <w:tr2bl w:val="nil"/>
                  </w:tcBorders>
                  <w:noWrap w:val="0"/>
                  <w:vAlign w:val="center"/>
                </w:tcPr>
                <w:p w14:paraId="72E5163C">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 </w:t>
                  </w:r>
                </w:p>
              </w:tc>
            </w:tr>
            <w:tr w14:paraId="486D85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0CB83C8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58 </w:t>
                  </w:r>
                </w:p>
              </w:tc>
              <w:tc>
                <w:tcPr>
                  <w:tcW w:w="2030" w:type="dxa"/>
                  <w:gridSpan w:val="3"/>
                  <w:vMerge w:val="continue"/>
                  <w:tcBorders>
                    <w:tl2br w:val="nil"/>
                    <w:tr2bl w:val="nil"/>
                  </w:tcBorders>
                  <w:noWrap w:val="0"/>
                  <w:vAlign w:val="center"/>
                </w:tcPr>
                <w:p w14:paraId="56ACBA31">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73C1FF8E">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无影灯(子母)</w:t>
                  </w:r>
                </w:p>
              </w:tc>
              <w:tc>
                <w:tcPr>
                  <w:tcW w:w="730" w:type="dxa"/>
                  <w:tcBorders>
                    <w:tl2br w:val="nil"/>
                    <w:tr2bl w:val="nil"/>
                  </w:tcBorders>
                  <w:noWrap w:val="0"/>
                  <w:vAlign w:val="center"/>
                </w:tcPr>
                <w:p w14:paraId="148275B2">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 </w:t>
                  </w:r>
                </w:p>
              </w:tc>
            </w:tr>
            <w:tr w14:paraId="519AE1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5CD7716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59 </w:t>
                  </w:r>
                </w:p>
              </w:tc>
              <w:tc>
                <w:tcPr>
                  <w:tcW w:w="2030" w:type="dxa"/>
                  <w:gridSpan w:val="3"/>
                  <w:vMerge w:val="continue"/>
                  <w:tcBorders>
                    <w:tl2br w:val="nil"/>
                    <w:tr2bl w:val="nil"/>
                  </w:tcBorders>
                  <w:noWrap w:val="0"/>
                  <w:vAlign w:val="center"/>
                </w:tcPr>
                <w:p w14:paraId="239E2AC6">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508ABE91">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吊塔</w:t>
                  </w:r>
                </w:p>
              </w:tc>
              <w:tc>
                <w:tcPr>
                  <w:tcW w:w="730" w:type="dxa"/>
                  <w:tcBorders>
                    <w:tl2br w:val="nil"/>
                    <w:tr2bl w:val="nil"/>
                  </w:tcBorders>
                  <w:noWrap w:val="0"/>
                  <w:vAlign w:val="center"/>
                </w:tcPr>
                <w:p w14:paraId="146A705F">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10 </w:t>
                  </w:r>
                </w:p>
              </w:tc>
            </w:tr>
            <w:tr w14:paraId="2375F5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64E1C080">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60 </w:t>
                  </w:r>
                </w:p>
              </w:tc>
              <w:tc>
                <w:tcPr>
                  <w:tcW w:w="2030" w:type="dxa"/>
                  <w:gridSpan w:val="3"/>
                  <w:vMerge w:val="continue"/>
                  <w:tcBorders>
                    <w:tl2br w:val="nil"/>
                    <w:tr2bl w:val="nil"/>
                  </w:tcBorders>
                  <w:noWrap w:val="0"/>
                  <w:vAlign w:val="center"/>
                </w:tcPr>
                <w:p w14:paraId="4B2FE1A7">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248C4010">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书写台</w:t>
                  </w:r>
                </w:p>
              </w:tc>
              <w:tc>
                <w:tcPr>
                  <w:tcW w:w="730" w:type="dxa"/>
                  <w:tcBorders>
                    <w:tl2br w:val="nil"/>
                    <w:tr2bl w:val="nil"/>
                  </w:tcBorders>
                  <w:noWrap w:val="0"/>
                  <w:vAlign w:val="center"/>
                </w:tcPr>
                <w:p w14:paraId="5BFDC17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 </w:t>
                  </w:r>
                </w:p>
              </w:tc>
            </w:tr>
            <w:tr w14:paraId="49376E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987" w:type="dxa"/>
                  <w:tcBorders>
                    <w:tl2br w:val="nil"/>
                    <w:tr2bl w:val="nil"/>
                  </w:tcBorders>
                  <w:noWrap w:val="0"/>
                  <w:vAlign w:val="center"/>
                </w:tcPr>
                <w:p w14:paraId="0D91A7C6">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61 </w:t>
                  </w:r>
                </w:p>
              </w:tc>
              <w:tc>
                <w:tcPr>
                  <w:tcW w:w="2030" w:type="dxa"/>
                  <w:gridSpan w:val="3"/>
                  <w:vMerge w:val="continue"/>
                  <w:tcBorders>
                    <w:tl2br w:val="nil"/>
                    <w:tr2bl w:val="nil"/>
                  </w:tcBorders>
                  <w:noWrap w:val="0"/>
                  <w:vAlign w:val="center"/>
                </w:tcPr>
                <w:p w14:paraId="6C9B5FA8">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4C69DF65">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观片灯(电子)</w:t>
                  </w:r>
                </w:p>
              </w:tc>
              <w:tc>
                <w:tcPr>
                  <w:tcW w:w="730" w:type="dxa"/>
                  <w:tcBorders>
                    <w:tl2br w:val="nil"/>
                    <w:tr2bl w:val="nil"/>
                  </w:tcBorders>
                  <w:noWrap w:val="0"/>
                  <w:vAlign w:val="center"/>
                </w:tcPr>
                <w:p w14:paraId="011276A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 </w:t>
                  </w:r>
                </w:p>
              </w:tc>
            </w:tr>
            <w:tr w14:paraId="752AF8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987" w:type="dxa"/>
                  <w:tcBorders>
                    <w:tl2br w:val="nil"/>
                    <w:tr2bl w:val="nil"/>
                  </w:tcBorders>
                  <w:noWrap w:val="0"/>
                  <w:vAlign w:val="center"/>
                </w:tcPr>
                <w:p w14:paraId="0A2C0DE2">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62 </w:t>
                  </w:r>
                </w:p>
              </w:tc>
              <w:tc>
                <w:tcPr>
                  <w:tcW w:w="2030" w:type="dxa"/>
                  <w:gridSpan w:val="3"/>
                  <w:vMerge w:val="continue"/>
                  <w:tcBorders>
                    <w:tl2br w:val="nil"/>
                    <w:tr2bl w:val="nil"/>
                  </w:tcBorders>
                  <w:noWrap w:val="0"/>
                  <w:vAlign w:val="center"/>
                </w:tcPr>
                <w:p w14:paraId="26193E49">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43E6C89F">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嵌入式不锈钢柜</w:t>
                  </w:r>
                </w:p>
              </w:tc>
              <w:tc>
                <w:tcPr>
                  <w:tcW w:w="730" w:type="dxa"/>
                  <w:tcBorders>
                    <w:tl2br w:val="nil"/>
                    <w:tr2bl w:val="nil"/>
                  </w:tcBorders>
                  <w:noWrap w:val="0"/>
                  <w:vAlign w:val="center"/>
                </w:tcPr>
                <w:p w14:paraId="12A3C241">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20 </w:t>
                  </w:r>
                </w:p>
              </w:tc>
            </w:tr>
            <w:tr w14:paraId="51731A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987" w:type="dxa"/>
                  <w:tcBorders>
                    <w:tl2br w:val="nil"/>
                    <w:tr2bl w:val="nil"/>
                  </w:tcBorders>
                  <w:noWrap w:val="0"/>
                  <w:vAlign w:val="center"/>
                </w:tcPr>
                <w:p w14:paraId="47FEAC62">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63 </w:t>
                  </w:r>
                </w:p>
              </w:tc>
              <w:tc>
                <w:tcPr>
                  <w:tcW w:w="2030" w:type="dxa"/>
                  <w:gridSpan w:val="3"/>
                  <w:vMerge w:val="continue"/>
                  <w:tcBorders>
                    <w:tl2br w:val="nil"/>
                    <w:tr2bl w:val="nil"/>
                  </w:tcBorders>
                  <w:noWrap w:val="0"/>
                  <w:vAlign w:val="center"/>
                </w:tcPr>
                <w:p w14:paraId="0031EDEA">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37CD1472">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恒温箱150升</w:t>
                  </w:r>
                </w:p>
              </w:tc>
              <w:tc>
                <w:tcPr>
                  <w:tcW w:w="730" w:type="dxa"/>
                  <w:tcBorders>
                    <w:tl2br w:val="nil"/>
                    <w:tr2bl w:val="nil"/>
                  </w:tcBorders>
                  <w:noWrap w:val="0"/>
                  <w:vAlign w:val="center"/>
                </w:tcPr>
                <w:p w14:paraId="3A829A71">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 </w:t>
                  </w:r>
                </w:p>
              </w:tc>
            </w:tr>
            <w:tr w14:paraId="6D9C62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987" w:type="dxa"/>
                  <w:tcBorders>
                    <w:tl2br w:val="nil"/>
                    <w:tr2bl w:val="nil"/>
                  </w:tcBorders>
                  <w:noWrap w:val="0"/>
                  <w:vAlign w:val="center"/>
                </w:tcPr>
                <w:p w14:paraId="6F899943">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64 </w:t>
                  </w:r>
                </w:p>
              </w:tc>
              <w:tc>
                <w:tcPr>
                  <w:tcW w:w="2030" w:type="dxa"/>
                  <w:gridSpan w:val="3"/>
                  <w:vMerge w:val="continue"/>
                  <w:tcBorders>
                    <w:tl2br w:val="nil"/>
                    <w:tr2bl w:val="nil"/>
                  </w:tcBorders>
                  <w:noWrap w:val="0"/>
                  <w:vAlign w:val="center"/>
                </w:tcPr>
                <w:p w14:paraId="555CA213">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4DFD67F6">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恒温箱280升</w:t>
                  </w:r>
                </w:p>
              </w:tc>
              <w:tc>
                <w:tcPr>
                  <w:tcW w:w="730" w:type="dxa"/>
                  <w:tcBorders>
                    <w:tl2br w:val="nil"/>
                    <w:tr2bl w:val="nil"/>
                  </w:tcBorders>
                  <w:noWrap w:val="0"/>
                  <w:vAlign w:val="center"/>
                </w:tcPr>
                <w:p w14:paraId="5D14FCC0">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0342D3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48C4E99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65 </w:t>
                  </w:r>
                </w:p>
              </w:tc>
              <w:tc>
                <w:tcPr>
                  <w:tcW w:w="2030" w:type="dxa"/>
                  <w:gridSpan w:val="3"/>
                  <w:vMerge w:val="continue"/>
                  <w:tcBorders>
                    <w:tl2br w:val="nil"/>
                    <w:tr2bl w:val="nil"/>
                  </w:tcBorders>
                  <w:noWrap w:val="0"/>
                  <w:vAlign w:val="center"/>
                </w:tcPr>
                <w:p w14:paraId="11543005">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29CA801F">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器械推车</w:t>
                  </w:r>
                </w:p>
              </w:tc>
              <w:tc>
                <w:tcPr>
                  <w:tcW w:w="730" w:type="dxa"/>
                  <w:tcBorders>
                    <w:tl2br w:val="nil"/>
                    <w:tr2bl w:val="nil"/>
                  </w:tcBorders>
                  <w:noWrap w:val="0"/>
                  <w:vAlign w:val="center"/>
                </w:tcPr>
                <w:p w14:paraId="310958EB">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20 </w:t>
                  </w:r>
                </w:p>
              </w:tc>
            </w:tr>
            <w:tr w14:paraId="5D0503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987" w:type="dxa"/>
                  <w:tcBorders>
                    <w:tl2br w:val="nil"/>
                    <w:tr2bl w:val="nil"/>
                  </w:tcBorders>
                  <w:noWrap w:val="0"/>
                  <w:vAlign w:val="center"/>
                </w:tcPr>
                <w:p w14:paraId="7F42953C">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66 </w:t>
                  </w:r>
                </w:p>
              </w:tc>
              <w:tc>
                <w:tcPr>
                  <w:tcW w:w="2030" w:type="dxa"/>
                  <w:gridSpan w:val="3"/>
                  <w:vMerge w:val="continue"/>
                  <w:tcBorders>
                    <w:tl2br w:val="nil"/>
                    <w:tr2bl w:val="nil"/>
                  </w:tcBorders>
                  <w:noWrap w:val="0"/>
                  <w:vAlign w:val="center"/>
                </w:tcPr>
                <w:p w14:paraId="5A81CEA4">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04D95666">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病人转换车</w:t>
                  </w:r>
                </w:p>
              </w:tc>
              <w:tc>
                <w:tcPr>
                  <w:tcW w:w="730" w:type="dxa"/>
                  <w:tcBorders>
                    <w:tl2br w:val="nil"/>
                    <w:tr2bl w:val="nil"/>
                  </w:tcBorders>
                  <w:noWrap w:val="0"/>
                  <w:vAlign w:val="center"/>
                </w:tcPr>
                <w:p w14:paraId="739CB1E3">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 </w:t>
                  </w:r>
                </w:p>
              </w:tc>
            </w:tr>
            <w:tr w14:paraId="45E518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60905C64">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67 </w:t>
                  </w:r>
                </w:p>
              </w:tc>
              <w:tc>
                <w:tcPr>
                  <w:tcW w:w="2030" w:type="dxa"/>
                  <w:gridSpan w:val="3"/>
                  <w:vMerge w:val="restart"/>
                  <w:tcBorders>
                    <w:tl2br w:val="nil"/>
                    <w:tr2bl w:val="nil"/>
                  </w:tcBorders>
                  <w:noWrap w:val="0"/>
                  <w:vAlign w:val="center"/>
                </w:tcPr>
                <w:p w14:paraId="37059711">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放射科</w:t>
                  </w:r>
                </w:p>
              </w:tc>
              <w:tc>
                <w:tcPr>
                  <w:tcW w:w="4698" w:type="dxa"/>
                  <w:tcBorders>
                    <w:tl2br w:val="nil"/>
                    <w:tr2bl w:val="nil"/>
                  </w:tcBorders>
                  <w:noWrap w:val="0"/>
                  <w:vAlign w:val="center"/>
                </w:tcPr>
                <w:p w14:paraId="15F7199F">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核磁共振</w:t>
                  </w:r>
                </w:p>
              </w:tc>
              <w:tc>
                <w:tcPr>
                  <w:tcW w:w="730" w:type="dxa"/>
                  <w:tcBorders>
                    <w:tl2br w:val="nil"/>
                    <w:tr2bl w:val="nil"/>
                  </w:tcBorders>
                  <w:noWrap w:val="0"/>
                  <w:vAlign w:val="center"/>
                </w:tcPr>
                <w:p w14:paraId="3A15439C">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4C4A16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59BB1AFB">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68 </w:t>
                  </w:r>
                </w:p>
              </w:tc>
              <w:tc>
                <w:tcPr>
                  <w:tcW w:w="2030" w:type="dxa"/>
                  <w:gridSpan w:val="3"/>
                  <w:vMerge w:val="continue"/>
                  <w:tcBorders>
                    <w:tl2br w:val="nil"/>
                    <w:tr2bl w:val="nil"/>
                  </w:tcBorders>
                  <w:noWrap w:val="0"/>
                  <w:vAlign w:val="center"/>
                </w:tcPr>
                <w:p w14:paraId="1EEE7A0D">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5C178A9E">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62排CT</w:t>
                  </w:r>
                </w:p>
              </w:tc>
              <w:tc>
                <w:tcPr>
                  <w:tcW w:w="730" w:type="dxa"/>
                  <w:tcBorders>
                    <w:tl2br w:val="nil"/>
                    <w:tr2bl w:val="nil"/>
                  </w:tcBorders>
                  <w:noWrap w:val="0"/>
                  <w:vAlign w:val="center"/>
                </w:tcPr>
                <w:p w14:paraId="491DABCD">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440C5C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2154FD7B">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69 </w:t>
                  </w:r>
                </w:p>
              </w:tc>
              <w:tc>
                <w:tcPr>
                  <w:tcW w:w="2030" w:type="dxa"/>
                  <w:gridSpan w:val="3"/>
                  <w:vMerge w:val="continue"/>
                  <w:tcBorders>
                    <w:tl2br w:val="nil"/>
                    <w:tr2bl w:val="nil"/>
                  </w:tcBorders>
                  <w:noWrap w:val="0"/>
                  <w:vAlign w:val="center"/>
                </w:tcPr>
                <w:p w14:paraId="6EDC5741">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524CFA30">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数字摄影系统</w:t>
                  </w:r>
                </w:p>
              </w:tc>
              <w:tc>
                <w:tcPr>
                  <w:tcW w:w="730" w:type="dxa"/>
                  <w:tcBorders>
                    <w:tl2br w:val="nil"/>
                    <w:tr2bl w:val="nil"/>
                  </w:tcBorders>
                  <w:noWrap w:val="0"/>
                  <w:vAlign w:val="center"/>
                </w:tcPr>
                <w:p w14:paraId="7F96E7F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5E7219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577E0BCB">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70 </w:t>
                  </w:r>
                </w:p>
              </w:tc>
              <w:tc>
                <w:tcPr>
                  <w:tcW w:w="2030" w:type="dxa"/>
                  <w:gridSpan w:val="3"/>
                  <w:vMerge w:val="continue"/>
                  <w:tcBorders>
                    <w:tl2br w:val="nil"/>
                    <w:tr2bl w:val="nil"/>
                  </w:tcBorders>
                  <w:noWrap w:val="0"/>
                  <w:vAlign w:val="center"/>
                </w:tcPr>
                <w:p w14:paraId="39FA6C59">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0B2A6F62">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钼靶</w:t>
                  </w:r>
                </w:p>
              </w:tc>
              <w:tc>
                <w:tcPr>
                  <w:tcW w:w="730" w:type="dxa"/>
                  <w:tcBorders>
                    <w:tl2br w:val="nil"/>
                    <w:tr2bl w:val="nil"/>
                  </w:tcBorders>
                  <w:noWrap w:val="0"/>
                  <w:vAlign w:val="center"/>
                </w:tcPr>
                <w:p w14:paraId="4A4F29D6">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6BE982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641D1F3D">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71 </w:t>
                  </w:r>
                </w:p>
              </w:tc>
              <w:tc>
                <w:tcPr>
                  <w:tcW w:w="2030" w:type="dxa"/>
                  <w:gridSpan w:val="3"/>
                  <w:tcBorders>
                    <w:tl2br w:val="nil"/>
                    <w:tr2bl w:val="nil"/>
                  </w:tcBorders>
                  <w:noWrap w:val="0"/>
                  <w:vAlign w:val="center"/>
                </w:tcPr>
                <w:p w14:paraId="18CD4A63">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药房</w:t>
                  </w:r>
                </w:p>
              </w:tc>
              <w:tc>
                <w:tcPr>
                  <w:tcW w:w="4698" w:type="dxa"/>
                  <w:tcBorders>
                    <w:tl2br w:val="nil"/>
                    <w:tr2bl w:val="nil"/>
                  </w:tcBorders>
                  <w:noWrap w:val="0"/>
                  <w:vAlign w:val="center"/>
                </w:tcPr>
                <w:p w14:paraId="574F33C8">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全自动片剂摆药机</w:t>
                  </w:r>
                </w:p>
              </w:tc>
              <w:tc>
                <w:tcPr>
                  <w:tcW w:w="730" w:type="dxa"/>
                  <w:tcBorders>
                    <w:tl2br w:val="nil"/>
                    <w:tr2bl w:val="nil"/>
                  </w:tcBorders>
                  <w:noWrap w:val="0"/>
                  <w:vAlign w:val="center"/>
                </w:tcPr>
                <w:p w14:paraId="40B18F4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61C899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987" w:type="dxa"/>
                  <w:tcBorders>
                    <w:tl2br w:val="nil"/>
                    <w:tr2bl w:val="nil"/>
                  </w:tcBorders>
                  <w:noWrap w:val="0"/>
                  <w:vAlign w:val="center"/>
                </w:tcPr>
                <w:p w14:paraId="07DE42E8">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72 </w:t>
                  </w:r>
                </w:p>
              </w:tc>
              <w:tc>
                <w:tcPr>
                  <w:tcW w:w="2030" w:type="dxa"/>
                  <w:gridSpan w:val="3"/>
                  <w:vMerge w:val="restart"/>
                  <w:tcBorders>
                    <w:tl2br w:val="nil"/>
                    <w:tr2bl w:val="nil"/>
                  </w:tcBorders>
                  <w:noWrap w:val="0"/>
                  <w:vAlign w:val="center"/>
                </w:tcPr>
                <w:p w14:paraId="523373A5">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病房</w:t>
                  </w:r>
                </w:p>
              </w:tc>
              <w:tc>
                <w:tcPr>
                  <w:tcW w:w="4698" w:type="dxa"/>
                  <w:tcBorders>
                    <w:tl2br w:val="nil"/>
                    <w:tr2bl w:val="nil"/>
                  </w:tcBorders>
                  <w:noWrap w:val="0"/>
                  <w:vAlign w:val="center"/>
                </w:tcPr>
                <w:p w14:paraId="0594402C">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普通病床</w:t>
                  </w:r>
                </w:p>
              </w:tc>
              <w:tc>
                <w:tcPr>
                  <w:tcW w:w="730" w:type="dxa"/>
                  <w:tcBorders>
                    <w:tl2br w:val="nil"/>
                    <w:tr2bl w:val="nil"/>
                  </w:tcBorders>
                  <w:noWrap w:val="0"/>
                  <w:vAlign w:val="center"/>
                </w:tcPr>
                <w:p w14:paraId="3D66139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131 </w:t>
                  </w:r>
                </w:p>
              </w:tc>
            </w:tr>
            <w:tr w14:paraId="47CF5D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87" w:type="dxa"/>
                  <w:tcBorders>
                    <w:tl2br w:val="nil"/>
                    <w:tr2bl w:val="nil"/>
                  </w:tcBorders>
                  <w:noWrap w:val="0"/>
                  <w:vAlign w:val="center"/>
                </w:tcPr>
                <w:p w14:paraId="2C132C42">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73 </w:t>
                  </w:r>
                </w:p>
              </w:tc>
              <w:tc>
                <w:tcPr>
                  <w:tcW w:w="2030" w:type="dxa"/>
                  <w:gridSpan w:val="3"/>
                  <w:vMerge w:val="continue"/>
                  <w:tcBorders>
                    <w:tl2br w:val="nil"/>
                    <w:tr2bl w:val="nil"/>
                  </w:tcBorders>
                  <w:noWrap w:val="0"/>
                  <w:vAlign w:val="center"/>
                </w:tcPr>
                <w:p w14:paraId="0CBA3DBD">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250556A5">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骨科病床</w:t>
                  </w:r>
                </w:p>
              </w:tc>
              <w:tc>
                <w:tcPr>
                  <w:tcW w:w="730" w:type="dxa"/>
                  <w:tcBorders>
                    <w:tl2br w:val="nil"/>
                    <w:tr2bl w:val="nil"/>
                  </w:tcBorders>
                  <w:noWrap w:val="0"/>
                  <w:vAlign w:val="center"/>
                </w:tcPr>
                <w:p w14:paraId="1CD5FEA1">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10 </w:t>
                  </w:r>
                </w:p>
              </w:tc>
            </w:tr>
            <w:tr w14:paraId="288E73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4F2CFA6A">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74 </w:t>
                  </w:r>
                </w:p>
              </w:tc>
              <w:tc>
                <w:tcPr>
                  <w:tcW w:w="2030" w:type="dxa"/>
                  <w:gridSpan w:val="3"/>
                  <w:vMerge w:val="restart"/>
                  <w:tcBorders>
                    <w:tl2br w:val="nil"/>
                    <w:tr2bl w:val="nil"/>
                  </w:tcBorders>
                  <w:noWrap w:val="0"/>
                  <w:vAlign w:val="center"/>
                </w:tcPr>
                <w:p w14:paraId="7F454878">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ICU</w:t>
                  </w:r>
                </w:p>
              </w:tc>
              <w:tc>
                <w:tcPr>
                  <w:tcW w:w="4698" w:type="dxa"/>
                  <w:tcBorders>
                    <w:tl2br w:val="nil"/>
                    <w:tr2bl w:val="nil"/>
                  </w:tcBorders>
                  <w:noWrap w:val="0"/>
                  <w:vAlign w:val="center"/>
                </w:tcPr>
                <w:p w14:paraId="160BB73F">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电动病床</w:t>
                  </w:r>
                </w:p>
              </w:tc>
              <w:tc>
                <w:tcPr>
                  <w:tcW w:w="730" w:type="dxa"/>
                  <w:tcBorders>
                    <w:tl2br w:val="nil"/>
                    <w:tr2bl w:val="nil"/>
                  </w:tcBorders>
                  <w:noWrap w:val="0"/>
                  <w:vAlign w:val="center"/>
                </w:tcPr>
                <w:p w14:paraId="46C92180">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12 </w:t>
                  </w:r>
                </w:p>
              </w:tc>
            </w:tr>
            <w:tr w14:paraId="22695D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7B8681E0">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75 </w:t>
                  </w:r>
                </w:p>
              </w:tc>
              <w:tc>
                <w:tcPr>
                  <w:tcW w:w="2030" w:type="dxa"/>
                  <w:gridSpan w:val="3"/>
                  <w:vMerge w:val="continue"/>
                  <w:tcBorders>
                    <w:tl2br w:val="nil"/>
                    <w:tr2bl w:val="nil"/>
                  </w:tcBorders>
                  <w:noWrap w:val="0"/>
                  <w:vAlign w:val="center"/>
                </w:tcPr>
                <w:p w14:paraId="43707744">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36CD963B">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吊塔</w:t>
                  </w:r>
                </w:p>
              </w:tc>
              <w:tc>
                <w:tcPr>
                  <w:tcW w:w="730" w:type="dxa"/>
                  <w:tcBorders>
                    <w:tl2br w:val="nil"/>
                    <w:tr2bl w:val="nil"/>
                  </w:tcBorders>
                  <w:noWrap w:val="0"/>
                  <w:vAlign w:val="center"/>
                </w:tcPr>
                <w:p w14:paraId="0D27F5E6">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12 </w:t>
                  </w:r>
                </w:p>
              </w:tc>
            </w:tr>
            <w:tr w14:paraId="699017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01281736">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76 </w:t>
                  </w:r>
                </w:p>
              </w:tc>
              <w:tc>
                <w:tcPr>
                  <w:tcW w:w="2030" w:type="dxa"/>
                  <w:gridSpan w:val="3"/>
                  <w:vMerge w:val="restart"/>
                  <w:tcBorders>
                    <w:tl2br w:val="nil"/>
                    <w:tr2bl w:val="nil"/>
                  </w:tcBorders>
                  <w:noWrap w:val="0"/>
                  <w:vAlign w:val="center"/>
                </w:tcPr>
                <w:p w14:paraId="2A965488">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血透室</w:t>
                  </w:r>
                </w:p>
              </w:tc>
              <w:tc>
                <w:tcPr>
                  <w:tcW w:w="4698" w:type="dxa"/>
                  <w:tcBorders>
                    <w:tl2br w:val="nil"/>
                    <w:tr2bl w:val="nil"/>
                  </w:tcBorders>
                  <w:noWrap w:val="0"/>
                  <w:vAlign w:val="center"/>
                </w:tcPr>
                <w:p w14:paraId="70FEA0E5">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血透床</w:t>
                  </w:r>
                </w:p>
              </w:tc>
              <w:tc>
                <w:tcPr>
                  <w:tcW w:w="730" w:type="dxa"/>
                  <w:tcBorders>
                    <w:tl2br w:val="nil"/>
                    <w:tr2bl w:val="nil"/>
                  </w:tcBorders>
                  <w:noWrap w:val="0"/>
                  <w:vAlign w:val="center"/>
                </w:tcPr>
                <w:p w14:paraId="50ECA9CC">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37 </w:t>
                  </w:r>
                </w:p>
              </w:tc>
            </w:tr>
            <w:tr w14:paraId="711FCB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211D1561">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77 </w:t>
                  </w:r>
                </w:p>
              </w:tc>
              <w:tc>
                <w:tcPr>
                  <w:tcW w:w="2030" w:type="dxa"/>
                  <w:gridSpan w:val="3"/>
                  <w:vMerge w:val="continue"/>
                  <w:tcBorders>
                    <w:tl2br w:val="nil"/>
                    <w:tr2bl w:val="nil"/>
                  </w:tcBorders>
                  <w:noWrap w:val="0"/>
                  <w:vAlign w:val="center"/>
                </w:tcPr>
                <w:p w14:paraId="33B461A9">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5BF1949D">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血液透析管理系统</w:t>
                  </w:r>
                </w:p>
              </w:tc>
              <w:tc>
                <w:tcPr>
                  <w:tcW w:w="730" w:type="dxa"/>
                  <w:tcBorders>
                    <w:tl2br w:val="nil"/>
                    <w:tr2bl w:val="nil"/>
                  </w:tcBorders>
                  <w:noWrap w:val="0"/>
                  <w:vAlign w:val="center"/>
                </w:tcPr>
                <w:p w14:paraId="6B857434">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275DA8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62F4CD2D">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78 </w:t>
                  </w:r>
                </w:p>
              </w:tc>
              <w:tc>
                <w:tcPr>
                  <w:tcW w:w="2030" w:type="dxa"/>
                  <w:gridSpan w:val="3"/>
                  <w:vMerge w:val="continue"/>
                  <w:tcBorders>
                    <w:tl2br w:val="nil"/>
                    <w:tr2bl w:val="nil"/>
                  </w:tcBorders>
                  <w:noWrap w:val="0"/>
                  <w:vAlign w:val="center"/>
                </w:tcPr>
                <w:p w14:paraId="386210C0">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31FE9413">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血透机</w:t>
                  </w:r>
                </w:p>
              </w:tc>
              <w:tc>
                <w:tcPr>
                  <w:tcW w:w="730" w:type="dxa"/>
                  <w:tcBorders>
                    <w:tl2br w:val="nil"/>
                    <w:tr2bl w:val="nil"/>
                  </w:tcBorders>
                  <w:noWrap w:val="0"/>
                  <w:vAlign w:val="center"/>
                </w:tcPr>
                <w:p w14:paraId="092A4B4D">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32 </w:t>
                  </w:r>
                </w:p>
              </w:tc>
            </w:tr>
            <w:tr w14:paraId="5F9551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2321DE76">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79 </w:t>
                  </w:r>
                </w:p>
              </w:tc>
              <w:tc>
                <w:tcPr>
                  <w:tcW w:w="2030" w:type="dxa"/>
                  <w:gridSpan w:val="3"/>
                  <w:vMerge w:val="continue"/>
                  <w:tcBorders>
                    <w:tl2br w:val="nil"/>
                    <w:tr2bl w:val="nil"/>
                  </w:tcBorders>
                  <w:noWrap w:val="0"/>
                  <w:vAlign w:val="center"/>
                </w:tcPr>
                <w:p w14:paraId="1FBC6BA5">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246A7A01">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血滤机</w:t>
                  </w:r>
                </w:p>
              </w:tc>
              <w:tc>
                <w:tcPr>
                  <w:tcW w:w="730" w:type="dxa"/>
                  <w:tcBorders>
                    <w:tl2br w:val="nil"/>
                    <w:tr2bl w:val="nil"/>
                  </w:tcBorders>
                  <w:noWrap w:val="0"/>
                  <w:vAlign w:val="center"/>
                </w:tcPr>
                <w:p w14:paraId="35B8D006">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 </w:t>
                  </w:r>
                </w:p>
              </w:tc>
            </w:tr>
            <w:tr w14:paraId="0B1DCE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3E5ABF14">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80 </w:t>
                  </w:r>
                </w:p>
              </w:tc>
              <w:tc>
                <w:tcPr>
                  <w:tcW w:w="2030" w:type="dxa"/>
                  <w:gridSpan w:val="3"/>
                  <w:vMerge w:val="continue"/>
                  <w:tcBorders>
                    <w:tl2br w:val="nil"/>
                    <w:tr2bl w:val="nil"/>
                  </w:tcBorders>
                  <w:noWrap w:val="0"/>
                  <w:vAlign w:val="center"/>
                </w:tcPr>
                <w:p w14:paraId="34DB931A">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6681A2D2">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血透水处理系统</w:t>
                  </w:r>
                </w:p>
              </w:tc>
              <w:tc>
                <w:tcPr>
                  <w:tcW w:w="730" w:type="dxa"/>
                  <w:tcBorders>
                    <w:tl2br w:val="nil"/>
                    <w:tr2bl w:val="nil"/>
                  </w:tcBorders>
                  <w:noWrap w:val="0"/>
                  <w:vAlign w:val="center"/>
                </w:tcPr>
                <w:p w14:paraId="13C9F6A6">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50F4F2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5DE94E16">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81 </w:t>
                  </w:r>
                </w:p>
              </w:tc>
              <w:tc>
                <w:tcPr>
                  <w:tcW w:w="2030" w:type="dxa"/>
                  <w:gridSpan w:val="3"/>
                  <w:vMerge w:val="continue"/>
                  <w:tcBorders>
                    <w:tl2br w:val="nil"/>
                    <w:tr2bl w:val="nil"/>
                  </w:tcBorders>
                  <w:noWrap w:val="0"/>
                  <w:vAlign w:val="center"/>
                </w:tcPr>
                <w:p w14:paraId="388AC631">
                  <w:pPr>
                    <w:spacing w:line="340" w:lineRule="exact"/>
                    <w:jc w:val="center"/>
                    <w:rPr>
                      <w:rFonts w:hint="eastAsia" w:ascii="Times New Roman" w:hAnsi="Times New Roman" w:eastAsia="宋体" w:cs="Times New Roman"/>
                      <w:color w:val="auto"/>
                      <w:szCs w:val="21"/>
                    </w:rPr>
                  </w:pPr>
                </w:p>
              </w:tc>
              <w:tc>
                <w:tcPr>
                  <w:tcW w:w="4698" w:type="dxa"/>
                  <w:tcBorders>
                    <w:tl2br w:val="nil"/>
                    <w:tr2bl w:val="nil"/>
                  </w:tcBorders>
                  <w:noWrap w:val="0"/>
                  <w:vAlign w:val="center"/>
                </w:tcPr>
                <w:p w14:paraId="662DC911">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集中供液系统</w:t>
                  </w:r>
                </w:p>
              </w:tc>
              <w:tc>
                <w:tcPr>
                  <w:tcW w:w="730" w:type="dxa"/>
                  <w:tcBorders>
                    <w:tl2br w:val="nil"/>
                    <w:tr2bl w:val="nil"/>
                  </w:tcBorders>
                  <w:noWrap w:val="0"/>
                  <w:vAlign w:val="center"/>
                </w:tcPr>
                <w:p w14:paraId="6F272697">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5622C1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37106FC1">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82 </w:t>
                  </w:r>
                </w:p>
              </w:tc>
              <w:tc>
                <w:tcPr>
                  <w:tcW w:w="2030" w:type="dxa"/>
                  <w:gridSpan w:val="3"/>
                  <w:vMerge w:val="restart"/>
                  <w:tcBorders>
                    <w:tl2br w:val="nil"/>
                    <w:tr2bl w:val="nil"/>
                  </w:tcBorders>
                  <w:noWrap w:val="0"/>
                  <w:vAlign w:val="center"/>
                </w:tcPr>
                <w:p w14:paraId="40153485">
                  <w:pPr>
                    <w:spacing w:line="340" w:lineRule="exact"/>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其他</w:t>
                  </w:r>
                </w:p>
              </w:tc>
              <w:tc>
                <w:tcPr>
                  <w:tcW w:w="4698" w:type="dxa"/>
                  <w:tcBorders>
                    <w:tl2br w:val="nil"/>
                    <w:tr2bl w:val="nil"/>
                  </w:tcBorders>
                  <w:noWrap w:val="0"/>
                  <w:vAlign w:val="center"/>
                </w:tcPr>
                <w:p w14:paraId="40E4CFC6">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中央监护系统</w:t>
                  </w:r>
                </w:p>
              </w:tc>
              <w:tc>
                <w:tcPr>
                  <w:tcW w:w="730" w:type="dxa"/>
                  <w:tcBorders>
                    <w:tl2br w:val="nil"/>
                    <w:tr2bl w:val="nil"/>
                  </w:tcBorders>
                  <w:noWrap w:val="0"/>
                  <w:vAlign w:val="center"/>
                </w:tcPr>
                <w:p w14:paraId="1816ED7C">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5 </w:t>
                  </w:r>
                </w:p>
              </w:tc>
            </w:tr>
            <w:tr w14:paraId="358674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777B0428">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83 </w:t>
                  </w:r>
                </w:p>
              </w:tc>
              <w:tc>
                <w:tcPr>
                  <w:tcW w:w="2030" w:type="dxa"/>
                  <w:gridSpan w:val="3"/>
                  <w:vMerge w:val="continue"/>
                  <w:tcBorders>
                    <w:tl2br w:val="nil"/>
                    <w:tr2bl w:val="nil"/>
                  </w:tcBorders>
                  <w:noWrap w:val="0"/>
                  <w:vAlign w:val="center"/>
                </w:tcPr>
                <w:p w14:paraId="3E28DC19">
                  <w:pPr>
                    <w:spacing w:line="340" w:lineRule="exact"/>
                    <w:jc w:val="center"/>
                    <w:rPr>
                      <w:rFonts w:hint="default" w:ascii="Times New Roman" w:hAnsi="Times New Roman" w:eastAsia="宋体" w:cs="Times New Roman"/>
                      <w:color w:val="auto"/>
                      <w:szCs w:val="21"/>
                    </w:rPr>
                  </w:pPr>
                </w:p>
              </w:tc>
              <w:tc>
                <w:tcPr>
                  <w:tcW w:w="4698" w:type="dxa"/>
                  <w:tcBorders>
                    <w:tl2br w:val="nil"/>
                    <w:tr2bl w:val="nil"/>
                  </w:tcBorders>
                  <w:noWrap w:val="0"/>
                  <w:vAlign w:val="center"/>
                </w:tcPr>
                <w:p w14:paraId="3F516416">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移动护理系统</w:t>
                  </w:r>
                </w:p>
              </w:tc>
              <w:tc>
                <w:tcPr>
                  <w:tcW w:w="730" w:type="dxa"/>
                  <w:tcBorders>
                    <w:tl2br w:val="nil"/>
                    <w:tr2bl w:val="nil"/>
                  </w:tcBorders>
                  <w:noWrap w:val="0"/>
                  <w:vAlign w:val="center"/>
                </w:tcPr>
                <w:p w14:paraId="68F5D07F">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6 </w:t>
                  </w:r>
                </w:p>
              </w:tc>
            </w:tr>
            <w:tr w14:paraId="166CB1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2F996B1E">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84 </w:t>
                  </w:r>
                </w:p>
              </w:tc>
              <w:tc>
                <w:tcPr>
                  <w:tcW w:w="2030" w:type="dxa"/>
                  <w:gridSpan w:val="3"/>
                  <w:vMerge w:val="continue"/>
                  <w:tcBorders>
                    <w:tl2br w:val="nil"/>
                    <w:tr2bl w:val="nil"/>
                  </w:tcBorders>
                  <w:noWrap w:val="0"/>
                  <w:vAlign w:val="center"/>
                </w:tcPr>
                <w:p w14:paraId="0FEDC2C2">
                  <w:pPr>
                    <w:spacing w:line="340" w:lineRule="exact"/>
                    <w:jc w:val="center"/>
                    <w:rPr>
                      <w:rFonts w:hint="default" w:ascii="Times New Roman" w:hAnsi="Times New Roman" w:eastAsia="宋体" w:cs="Times New Roman"/>
                      <w:color w:val="auto"/>
                      <w:szCs w:val="21"/>
                    </w:rPr>
                  </w:pPr>
                </w:p>
              </w:tc>
              <w:tc>
                <w:tcPr>
                  <w:tcW w:w="4698" w:type="dxa"/>
                  <w:tcBorders>
                    <w:tl2br w:val="nil"/>
                    <w:tr2bl w:val="nil"/>
                  </w:tcBorders>
                  <w:noWrap w:val="0"/>
                  <w:vAlign w:val="center"/>
                </w:tcPr>
                <w:p w14:paraId="7ADA656A">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壁挂式等离子空气消毒机</w:t>
                  </w:r>
                </w:p>
              </w:tc>
              <w:tc>
                <w:tcPr>
                  <w:tcW w:w="730" w:type="dxa"/>
                  <w:tcBorders>
                    <w:tl2br w:val="nil"/>
                    <w:tr2bl w:val="nil"/>
                  </w:tcBorders>
                  <w:noWrap w:val="0"/>
                  <w:vAlign w:val="center"/>
                </w:tcPr>
                <w:p w14:paraId="4E7DE903">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105 </w:t>
                  </w:r>
                </w:p>
              </w:tc>
            </w:tr>
            <w:tr w14:paraId="2FEFD3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57A34304">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85 </w:t>
                  </w:r>
                </w:p>
              </w:tc>
              <w:tc>
                <w:tcPr>
                  <w:tcW w:w="2030" w:type="dxa"/>
                  <w:gridSpan w:val="3"/>
                  <w:vMerge w:val="continue"/>
                  <w:tcBorders>
                    <w:tl2br w:val="nil"/>
                    <w:tr2bl w:val="nil"/>
                  </w:tcBorders>
                  <w:noWrap w:val="0"/>
                  <w:vAlign w:val="center"/>
                </w:tcPr>
                <w:p w14:paraId="2942A2DA">
                  <w:pPr>
                    <w:spacing w:line="340" w:lineRule="exact"/>
                    <w:jc w:val="center"/>
                    <w:rPr>
                      <w:rFonts w:hint="default" w:ascii="Times New Roman" w:hAnsi="Times New Roman" w:eastAsia="宋体" w:cs="Times New Roman"/>
                      <w:color w:val="auto"/>
                      <w:szCs w:val="21"/>
                    </w:rPr>
                  </w:pPr>
                </w:p>
              </w:tc>
              <w:tc>
                <w:tcPr>
                  <w:tcW w:w="4698" w:type="dxa"/>
                  <w:tcBorders>
                    <w:tl2br w:val="nil"/>
                    <w:tr2bl w:val="nil"/>
                  </w:tcBorders>
                  <w:noWrap w:val="0"/>
                  <w:vAlign w:val="center"/>
                </w:tcPr>
                <w:p w14:paraId="15CF64F6">
                  <w:pPr>
                    <w:spacing w:line="340" w:lineRule="exact"/>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胃肠镜（两胃两肠）</w:t>
                  </w:r>
                </w:p>
              </w:tc>
              <w:tc>
                <w:tcPr>
                  <w:tcW w:w="730" w:type="dxa"/>
                  <w:tcBorders>
                    <w:tl2br w:val="nil"/>
                    <w:tr2bl w:val="nil"/>
                  </w:tcBorders>
                  <w:noWrap w:val="0"/>
                  <w:vAlign w:val="center"/>
                </w:tcPr>
                <w:p w14:paraId="5E2643AD">
                  <w:pPr>
                    <w:spacing w:line="3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1 </w:t>
                  </w:r>
                </w:p>
              </w:tc>
            </w:tr>
            <w:tr w14:paraId="2A0AFA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5ACA2DD0">
                  <w:pPr>
                    <w:spacing w:line="340" w:lineRule="exact"/>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86</w:t>
                  </w:r>
                </w:p>
              </w:tc>
              <w:tc>
                <w:tcPr>
                  <w:tcW w:w="2030" w:type="dxa"/>
                  <w:gridSpan w:val="3"/>
                  <w:vMerge w:val="restart"/>
                  <w:tcBorders>
                    <w:tl2br w:val="nil"/>
                    <w:tr2bl w:val="nil"/>
                  </w:tcBorders>
                  <w:noWrap w:val="0"/>
                  <w:vAlign w:val="center"/>
                </w:tcPr>
                <w:p w14:paraId="0BC98B67">
                  <w:pPr>
                    <w:spacing w:line="340" w:lineRule="exact"/>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公用设备</w:t>
                  </w:r>
                </w:p>
              </w:tc>
              <w:tc>
                <w:tcPr>
                  <w:tcW w:w="4698" w:type="dxa"/>
                  <w:tcBorders>
                    <w:tl2br w:val="nil"/>
                    <w:tr2bl w:val="nil"/>
                  </w:tcBorders>
                  <w:noWrap w:val="0"/>
                  <w:vAlign w:val="center"/>
                </w:tcPr>
                <w:p w14:paraId="63CC5D2B">
                  <w:pPr>
                    <w:spacing w:line="340" w:lineRule="exact"/>
                    <w:jc w:val="center"/>
                    <w:rPr>
                      <w:rFonts w:hint="eastAsia" w:ascii="Times New Roman" w:hAnsi="Times New Roman" w:eastAsia="宋体" w:cs="Times New Roman"/>
                      <w:color w:val="auto"/>
                      <w:szCs w:val="21"/>
                      <w:lang w:val="en-US" w:eastAsia="zh-CN"/>
                    </w:rPr>
                  </w:pPr>
                  <w:r>
                    <w:rPr>
                      <w:color w:val="auto"/>
                      <w:spacing w:val="8"/>
                    </w:rPr>
                    <w:t>排风系统风机</w:t>
                  </w:r>
                </w:p>
              </w:tc>
              <w:tc>
                <w:tcPr>
                  <w:tcW w:w="730" w:type="dxa"/>
                  <w:tcBorders>
                    <w:tl2br w:val="nil"/>
                    <w:tr2bl w:val="nil"/>
                  </w:tcBorders>
                  <w:noWrap w:val="0"/>
                  <w:vAlign w:val="center"/>
                </w:tcPr>
                <w:p w14:paraId="331F3258">
                  <w:pPr>
                    <w:spacing w:line="340" w:lineRule="exact"/>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 xml:space="preserve">1 </w:t>
                  </w:r>
                </w:p>
              </w:tc>
            </w:tr>
            <w:tr w14:paraId="1399D4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2B732F9E">
                  <w:pPr>
                    <w:spacing w:line="340" w:lineRule="exact"/>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87</w:t>
                  </w:r>
                </w:p>
              </w:tc>
              <w:tc>
                <w:tcPr>
                  <w:tcW w:w="2030" w:type="dxa"/>
                  <w:gridSpan w:val="3"/>
                  <w:vMerge w:val="continue"/>
                  <w:tcBorders>
                    <w:tl2br w:val="nil"/>
                    <w:tr2bl w:val="nil"/>
                  </w:tcBorders>
                  <w:noWrap w:val="0"/>
                  <w:vAlign w:val="center"/>
                </w:tcPr>
                <w:p w14:paraId="69F5A415">
                  <w:pPr>
                    <w:spacing w:line="340" w:lineRule="exact"/>
                    <w:jc w:val="center"/>
                    <w:rPr>
                      <w:rFonts w:hint="default" w:ascii="Times New Roman" w:hAnsi="Times New Roman" w:eastAsia="宋体" w:cs="Times New Roman"/>
                      <w:color w:val="auto"/>
                      <w:szCs w:val="21"/>
                    </w:rPr>
                  </w:pPr>
                </w:p>
              </w:tc>
              <w:tc>
                <w:tcPr>
                  <w:tcW w:w="4698" w:type="dxa"/>
                  <w:tcBorders>
                    <w:tl2br w:val="nil"/>
                    <w:tr2bl w:val="nil"/>
                  </w:tcBorders>
                  <w:noWrap w:val="0"/>
                  <w:vAlign w:val="center"/>
                </w:tcPr>
                <w:p w14:paraId="215B3922">
                  <w:pPr>
                    <w:spacing w:line="340" w:lineRule="exact"/>
                    <w:jc w:val="center"/>
                    <w:rPr>
                      <w:rFonts w:hint="eastAsia" w:ascii="Times New Roman" w:hAnsi="Times New Roman" w:eastAsia="宋体" w:cs="Times New Roman"/>
                      <w:color w:val="auto"/>
                      <w:szCs w:val="21"/>
                      <w:lang w:val="en-US" w:eastAsia="zh-CN"/>
                    </w:rPr>
                  </w:pPr>
                  <w:r>
                    <w:rPr>
                      <w:color w:val="auto"/>
                      <w:spacing w:val="7"/>
                    </w:rPr>
                    <w:t>鼓风机、水泵</w:t>
                  </w:r>
                </w:p>
              </w:tc>
              <w:tc>
                <w:tcPr>
                  <w:tcW w:w="730" w:type="dxa"/>
                  <w:tcBorders>
                    <w:tl2br w:val="nil"/>
                    <w:tr2bl w:val="nil"/>
                  </w:tcBorders>
                  <w:noWrap w:val="0"/>
                  <w:vAlign w:val="center"/>
                </w:tcPr>
                <w:p w14:paraId="1A7C0109">
                  <w:pPr>
                    <w:spacing w:line="340" w:lineRule="exact"/>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 xml:space="preserve">1 </w:t>
                  </w:r>
                </w:p>
              </w:tc>
            </w:tr>
            <w:tr w14:paraId="69884C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87" w:type="dxa"/>
                  <w:tcBorders>
                    <w:tl2br w:val="nil"/>
                    <w:tr2bl w:val="nil"/>
                  </w:tcBorders>
                  <w:noWrap w:val="0"/>
                  <w:vAlign w:val="center"/>
                </w:tcPr>
                <w:p w14:paraId="615B2DBD">
                  <w:pPr>
                    <w:spacing w:line="340" w:lineRule="exact"/>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88</w:t>
                  </w:r>
                </w:p>
              </w:tc>
              <w:tc>
                <w:tcPr>
                  <w:tcW w:w="2030" w:type="dxa"/>
                  <w:gridSpan w:val="3"/>
                  <w:vMerge w:val="continue"/>
                  <w:tcBorders>
                    <w:tl2br w:val="nil"/>
                    <w:tr2bl w:val="nil"/>
                  </w:tcBorders>
                  <w:noWrap w:val="0"/>
                  <w:vAlign w:val="center"/>
                </w:tcPr>
                <w:p w14:paraId="303B718F">
                  <w:pPr>
                    <w:spacing w:line="340" w:lineRule="exact"/>
                    <w:jc w:val="center"/>
                    <w:rPr>
                      <w:rFonts w:hint="default" w:ascii="Times New Roman" w:hAnsi="Times New Roman" w:eastAsia="宋体" w:cs="Times New Roman"/>
                      <w:color w:val="auto"/>
                      <w:szCs w:val="21"/>
                    </w:rPr>
                  </w:pPr>
                </w:p>
              </w:tc>
              <w:tc>
                <w:tcPr>
                  <w:tcW w:w="4698" w:type="dxa"/>
                  <w:tcBorders>
                    <w:tl2br w:val="nil"/>
                    <w:tr2bl w:val="nil"/>
                  </w:tcBorders>
                  <w:noWrap w:val="0"/>
                  <w:vAlign w:val="center"/>
                </w:tcPr>
                <w:p w14:paraId="7A995000">
                  <w:pPr>
                    <w:spacing w:line="340" w:lineRule="exact"/>
                    <w:jc w:val="center"/>
                    <w:rPr>
                      <w:rFonts w:hint="eastAsia" w:ascii="Times New Roman" w:hAnsi="Times New Roman" w:eastAsia="宋体" w:cs="Times New Roman"/>
                      <w:color w:val="auto"/>
                      <w:szCs w:val="21"/>
                      <w:lang w:val="en-US" w:eastAsia="zh-CN"/>
                    </w:rPr>
                  </w:pPr>
                  <w:r>
                    <w:rPr>
                      <w:color w:val="auto"/>
                      <w:spacing w:val="8"/>
                    </w:rPr>
                    <w:t>柴油发电机</w:t>
                  </w:r>
                </w:p>
              </w:tc>
              <w:tc>
                <w:tcPr>
                  <w:tcW w:w="730" w:type="dxa"/>
                  <w:tcBorders>
                    <w:tl2br w:val="nil"/>
                    <w:tr2bl w:val="nil"/>
                  </w:tcBorders>
                  <w:noWrap w:val="0"/>
                  <w:vAlign w:val="center"/>
                </w:tcPr>
                <w:p w14:paraId="02AFE003">
                  <w:pPr>
                    <w:spacing w:line="340" w:lineRule="exact"/>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 xml:space="preserve">1 </w:t>
                  </w:r>
                </w:p>
              </w:tc>
            </w:tr>
            <w:tr w14:paraId="0968A5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87" w:type="dxa"/>
                  <w:tcBorders>
                    <w:tl2br w:val="nil"/>
                    <w:tr2bl w:val="nil"/>
                  </w:tcBorders>
                  <w:noWrap w:val="0"/>
                  <w:vAlign w:val="center"/>
                </w:tcPr>
                <w:p w14:paraId="3BD2E55D">
                  <w:pPr>
                    <w:spacing w:line="340" w:lineRule="exact"/>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89</w:t>
                  </w:r>
                </w:p>
              </w:tc>
              <w:tc>
                <w:tcPr>
                  <w:tcW w:w="2030" w:type="dxa"/>
                  <w:gridSpan w:val="3"/>
                  <w:vMerge w:val="continue"/>
                  <w:tcBorders>
                    <w:tl2br w:val="nil"/>
                    <w:tr2bl w:val="nil"/>
                  </w:tcBorders>
                  <w:noWrap w:val="0"/>
                  <w:vAlign w:val="center"/>
                </w:tcPr>
                <w:p w14:paraId="3189FDF8">
                  <w:pPr>
                    <w:spacing w:line="340" w:lineRule="exact"/>
                    <w:jc w:val="center"/>
                    <w:rPr>
                      <w:rFonts w:hint="default" w:ascii="Times New Roman" w:hAnsi="Times New Roman" w:eastAsia="宋体" w:cs="Times New Roman"/>
                      <w:color w:val="auto"/>
                      <w:szCs w:val="21"/>
                    </w:rPr>
                  </w:pPr>
                </w:p>
              </w:tc>
              <w:tc>
                <w:tcPr>
                  <w:tcW w:w="4698" w:type="dxa"/>
                  <w:tcBorders>
                    <w:tl2br w:val="nil"/>
                    <w:tr2bl w:val="nil"/>
                  </w:tcBorders>
                  <w:noWrap w:val="0"/>
                  <w:vAlign w:val="center"/>
                </w:tcPr>
                <w:p w14:paraId="74E7E252">
                  <w:pPr>
                    <w:spacing w:line="340" w:lineRule="exact"/>
                    <w:jc w:val="center"/>
                    <w:rPr>
                      <w:rFonts w:hint="eastAsia" w:ascii="Times New Roman" w:hAnsi="Times New Roman" w:eastAsia="宋体" w:cs="Times New Roman"/>
                      <w:color w:val="auto"/>
                      <w:szCs w:val="21"/>
                      <w:lang w:val="en-US" w:eastAsia="zh-CN"/>
                    </w:rPr>
                  </w:pPr>
                  <w:r>
                    <w:rPr>
                      <w:color w:val="auto"/>
                      <w:spacing w:val="5"/>
                    </w:rPr>
                    <w:t>空调风机</w:t>
                  </w:r>
                </w:p>
              </w:tc>
              <w:tc>
                <w:tcPr>
                  <w:tcW w:w="730" w:type="dxa"/>
                  <w:tcBorders>
                    <w:tl2br w:val="nil"/>
                    <w:tr2bl w:val="nil"/>
                  </w:tcBorders>
                  <w:noWrap w:val="0"/>
                  <w:vAlign w:val="center"/>
                </w:tcPr>
                <w:p w14:paraId="4C1AE619">
                  <w:pPr>
                    <w:spacing w:line="340" w:lineRule="exact"/>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 xml:space="preserve">1 </w:t>
                  </w:r>
                </w:p>
              </w:tc>
            </w:tr>
          </w:tbl>
          <w:p w14:paraId="0E21ED8C">
            <w:pPr>
              <w:spacing w:line="360" w:lineRule="auto"/>
              <w:rPr>
                <w:rFonts w:hint="eastAsia" w:ascii="Times New Roman" w:hAnsi="Times New Roman" w:eastAsia="宋体" w:cs="Times New Roman"/>
                <w:b/>
                <w:bCs/>
                <w:color w:val="auto"/>
                <w:kern w:val="2"/>
                <w:sz w:val="28"/>
                <w:szCs w:val="28"/>
                <w:lang w:val="en-US" w:eastAsia="zh-CN" w:bidi="ar-SA"/>
              </w:rPr>
            </w:pPr>
            <w:r>
              <w:rPr>
                <w:rFonts w:hint="eastAsia"/>
                <w:b/>
                <w:bCs/>
                <w:color w:val="auto"/>
                <w:sz w:val="28"/>
                <w:szCs w:val="28"/>
              </w:rPr>
              <w:t>2.2.</w:t>
            </w:r>
            <w:r>
              <w:rPr>
                <w:rFonts w:hint="eastAsia"/>
                <w:b/>
                <w:bCs/>
                <w:color w:val="auto"/>
                <w:sz w:val="28"/>
                <w:szCs w:val="28"/>
                <w:lang w:val="en-US" w:eastAsia="zh-CN"/>
              </w:rPr>
              <w:t>4</w:t>
            </w:r>
            <w:r>
              <w:rPr>
                <w:rFonts w:hint="eastAsia" w:ascii="Times New Roman" w:hAnsi="Times New Roman" w:eastAsia="宋体" w:cs="Times New Roman"/>
                <w:b/>
                <w:bCs/>
                <w:color w:val="auto"/>
                <w:kern w:val="2"/>
                <w:sz w:val="28"/>
                <w:szCs w:val="28"/>
                <w:lang w:val="en-US" w:eastAsia="zh-CN" w:bidi="ar-SA"/>
              </w:rPr>
              <w:t>主要原辅材料</w:t>
            </w:r>
          </w:p>
          <w:p w14:paraId="43F8DC89">
            <w:pPr>
              <w:pStyle w:val="30"/>
              <w:spacing w:before="54" w:line="360" w:lineRule="auto"/>
              <w:ind w:firstLine="492" w:firstLineChars="200"/>
              <w:rPr>
                <w:rFonts w:ascii="宋体" w:hAnsi="宋体" w:eastAsia="宋体" w:cs="宋体"/>
                <w:color w:val="auto"/>
                <w:spacing w:val="3"/>
              </w:rPr>
            </w:pPr>
            <w:r>
              <w:rPr>
                <w:rFonts w:ascii="宋体" w:hAnsi="宋体" w:eastAsia="宋体" w:cs="宋体"/>
                <w:color w:val="auto"/>
                <w:spacing w:val="3"/>
              </w:rPr>
              <w:t>项目使用的原辅材料主要包括医疗用品、</w:t>
            </w:r>
            <w:r>
              <w:rPr>
                <w:rFonts w:hint="eastAsia" w:ascii="宋体" w:hAnsi="宋体" w:eastAsia="宋体" w:cs="宋体"/>
                <w:color w:val="auto"/>
                <w:spacing w:val="3"/>
                <w:lang w:val="en-US" w:eastAsia="zh-CN"/>
              </w:rPr>
              <w:t>消毒</w:t>
            </w:r>
            <w:r>
              <w:rPr>
                <w:rFonts w:ascii="宋体" w:hAnsi="宋体" w:eastAsia="宋体" w:cs="宋体"/>
                <w:color w:val="auto"/>
                <w:spacing w:val="3"/>
              </w:rPr>
              <w:t>试剂及辅料等，辅料包括污水处理过程中投加的药剂。主要医疗用品、辅料使用量情况见表</w:t>
            </w:r>
            <w:r>
              <w:rPr>
                <w:rFonts w:hint="default" w:ascii="Times New Roman" w:hAnsi="Times New Roman" w:eastAsia="宋体" w:cs="Times New Roman"/>
                <w:color w:val="auto"/>
                <w:spacing w:val="3"/>
                <w:lang w:val="en-US" w:eastAsia="zh-CN"/>
              </w:rPr>
              <w:t>2.2-3</w:t>
            </w:r>
            <w:r>
              <w:rPr>
                <w:rFonts w:hint="default" w:ascii="Times New Roman" w:hAnsi="Times New Roman" w:eastAsia="宋体" w:cs="Times New Roman"/>
                <w:color w:val="auto"/>
                <w:spacing w:val="3"/>
              </w:rPr>
              <w:t>。</w:t>
            </w:r>
          </w:p>
          <w:p w14:paraId="70543FC0">
            <w:pPr>
              <w:pStyle w:val="7"/>
              <w:spacing w:before="1" w:line="218" w:lineRule="auto"/>
              <w:ind w:left="2804"/>
              <w:rPr>
                <w:color w:val="auto"/>
                <w:sz w:val="24"/>
                <w:szCs w:val="28"/>
              </w:rPr>
            </w:pPr>
            <w:r>
              <w:rPr>
                <w:b/>
                <w:bCs/>
                <w:color w:val="auto"/>
                <w:spacing w:val="-2"/>
                <w:sz w:val="24"/>
                <w:szCs w:val="28"/>
              </w:rPr>
              <w:t>表</w:t>
            </w:r>
            <w:r>
              <w:rPr>
                <w:color w:val="auto"/>
                <w:spacing w:val="-47"/>
                <w:sz w:val="24"/>
                <w:szCs w:val="28"/>
              </w:rPr>
              <w:t xml:space="preserve"> </w:t>
            </w:r>
            <w:r>
              <w:rPr>
                <w:rFonts w:hint="eastAsia" w:ascii="Times New Roman" w:hAnsi="Times New Roman" w:eastAsia="宋体" w:cs="Times New Roman"/>
                <w:b/>
                <w:bCs/>
                <w:color w:val="auto"/>
                <w:spacing w:val="-2"/>
                <w:sz w:val="24"/>
                <w:szCs w:val="28"/>
                <w:lang w:val="en-US" w:eastAsia="zh-CN"/>
              </w:rPr>
              <w:t>2.2-3</w:t>
            </w:r>
            <w:r>
              <w:rPr>
                <w:rFonts w:ascii="Times New Roman" w:hAnsi="Times New Roman" w:eastAsia="Times New Roman" w:cs="Times New Roman"/>
                <w:b/>
                <w:bCs/>
                <w:color w:val="auto"/>
                <w:spacing w:val="-2"/>
                <w:sz w:val="24"/>
                <w:szCs w:val="28"/>
              </w:rPr>
              <w:t xml:space="preserve"> </w:t>
            </w:r>
            <w:r>
              <w:rPr>
                <w:b/>
                <w:bCs/>
                <w:color w:val="auto"/>
                <w:spacing w:val="-2"/>
                <w:sz w:val="24"/>
                <w:szCs w:val="28"/>
              </w:rPr>
              <w:t>项目主要原辅材料一览表</w:t>
            </w:r>
          </w:p>
          <w:p w14:paraId="1F5D147E">
            <w:pPr>
              <w:spacing w:line="68" w:lineRule="exact"/>
              <w:rPr>
                <w:color w:val="auto"/>
              </w:rPr>
            </w:pPr>
          </w:p>
          <w:tbl>
            <w:tblPr>
              <w:tblStyle w:val="32"/>
              <w:tblW w:w="4992"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1138"/>
              <w:gridCol w:w="3313"/>
              <w:gridCol w:w="2029"/>
              <w:gridCol w:w="1900"/>
            </w:tblGrid>
            <w:tr w14:paraId="57CD75B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79" w:type="pct"/>
                  <w:tcBorders>
                    <w:tl2br w:val="nil"/>
                    <w:tr2bl w:val="nil"/>
                  </w:tcBorders>
                  <w:noWrap w:val="0"/>
                  <w:vAlign w:val="top"/>
                </w:tcPr>
                <w:p w14:paraId="2CC4C83E">
                  <w:pPr>
                    <w:pStyle w:val="30"/>
                    <w:keepNext w:val="0"/>
                    <w:keepLines w:val="0"/>
                    <w:pageBreakBefore w:val="0"/>
                    <w:widowControl w:val="0"/>
                    <w:kinsoku/>
                    <w:wordWrap/>
                    <w:overflowPunct/>
                    <w:topLinePunct w:val="0"/>
                    <w:autoSpaceDE/>
                    <w:autoSpaceDN/>
                    <w:bidi w:val="0"/>
                    <w:adjustRightInd/>
                    <w:snapToGrid/>
                    <w:spacing w:before="56" w:line="340" w:lineRule="exact"/>
                    <w:ind w:firstLine="217" w:firstLineChars="100"/>
                    <w:textAlignment w:val="auto"/>
                    <w:rPr>
                      <w:color w:val="auto"/>
                      <w:sz w:val="21"/>
                      <w:szCs w:val="21"/>
                    </w:rPr>
                  </w:pPr>
                  <w:r>
                    <w:rPr>
                      <w:b/>
                      <w:bCs/>
                      <w:color w:val="auto"/>
                      <w:spacing w:val="3"/>
                      <w:sz w:val="21"/>
                      <w:szCs w:val="21"/>
                    </w:rPr>
                    <w:t>类别</w:t>
                  </w:r>
                </w:p>
              </w:tc>
              <w:tc>
                <w:tcPr>
                  <w:tcW w:w="1976" w:type="pct"/>
                  <w:tcBorders>
                    <w:tl2br w:val="nil"/>
                    <w:tr2bl w:val="nil"/>
                  </w:tcBorders>
                  <w:noWrap w:val="0"/>
                  <w:vAlign w:val="top"/>
                </w:tcPr>
                <w:p w14:paraId="7C533A57">
                  <w:pPr>
                    <w:pStyle w:val="30"/>
                    <w:keepNext w:val="0"/>
                    <w:keepLines w:val="0"/>
                    <w:pageBreakBefore w:val="0"/>
                    <w:widowControl w:val="0"/>
                    <w:kinsoku/>
                    <w:wordWrap/>
                    <w:overflowPunct/>
                    <w:topLinePunct w:val="0"/>
                    <w:autoSpaceDE/>
                    <w:autoSpaceDN/>
                    <w:bidi w:val="0"/>
                    <w:adjustRightInd/>
                    <w:snapToGrid/>
                    <w:spacing w:before="56" w:line="340" w:lineRule="exact"/>
                    <w:ind w:left="1631"/>
                    <w:textAlignment w:val="auto"/>
                    <w:rPr>
                      <w:color w:val="auto"/>
                      <w:sz w:val="21"/>
                      <w:szCs w:val="21"/>
                    </w:rPr>
                  </w:pPr>
                  <w:r>
                    <w:rPr>
                      <w:b/>
                      <w:bCs/>
                      <w:color w:val="auto"/>
                      <w:spacing w:val="2"/>
                      <w:sz w:val="21"/>
                      <w:szCs w:val="21"/>
                    </w:rPr>
                    <w:t>名称</w:t>
                  </w:r>
                </w:p>
              </w:tc>
              <w:tc>
                <w:tcPr>
                  <w:tcW w:w="1210" w:type="pct"/>
                  <w:tcBorders>
                    <w:tl2br w:val="nil"/>
                    <w:tr2bl w:val="nil"/>
                  </w:tcBorders>
                  <w:noWrap w:val="0"/>
                  <w:vAlign w:val="top"/>
                </w:tcPr>
                <w:p w14:paraId="018A6103">
                  <w:pPr>
                    <w:pStyle w:val="30"/>
                    <w:keepNext w:val="0"/>
                    <w:keepLines w:val="0"/>
                    <w:pageBreakBefore w:val="0"/>
                    <w:widowControl w:val="0"/>
                    <w:kinsoku/>
                    <w:wordWrap/>
                    <w:overflowPunct/>
                    <w:topLinePunct w:val="0"/>
                    <w:autoSpaceDE/>
                    <w:autoSpaceDN/>
                    <w:bidi w:val="0"/>
                    <w:adjustRightInd/>
                    <w:snapToGrid/>
                    <w:spacing w:before="57" w:line="340" w:lineRule="exact"/>
                    <w:ind w:left="922"/>
                    <w:textAlignment w:val="auto"/>
                    <w:rPr>
                      <w:color w:val="auto"/>
                      <w:sz w:val="21"/>
                      <w:szCs w:val="21"/>
                    </w:rPr>
                  </w:pPr>
                  <w:r>
                    <w:rPr>
                      <w:b/>
                      <w:bCs/>
                      <w:color w:val="auto"/>
                      <w:spacing w:val="3"/>
                      <w:sz w:val="21"/>
                      <w:szCs w:val="21"/>
                    </w:rPr>
                    <w:t>单位</w:t>
                  </w:r>
                </w:p>
              </w:tc>
              <w:tc>
                <w:tcPr>
                  <w:tcW w:w="1133" w:type="pct"/>
                  <w:tcBorders>
                    <w:tl2br w:val="nil"/>
                    <w:tr2bl w:val="nil"/>
                  </w:tcBorders>
                  <w:noWrap w:val="0"/>
                  <w:vAlign w:val="top"/>
                </w:tcPr>
                <w:p w14:paraId="792E55AF">
                  <w:pPr>
                    <w:pStyle w:val="30"/>
                    <w:keepNext w:val="0"/>
                    <w:keepLines w:val="0"/>
                    <w:pageBreakBefore w:val="0"/>
                    <w:widowControl w:val="0"/>
                    <w:kinsoku/>
                    <w:wordWrap/>
                    <w:overflowPunct/>
                    <w:topLinePunct w:val="0"/>
                    <w:autoSpaceDE/>
                    <w:autoSpaceDN/>
                    <w:bidi w:val="0"/>
                    <w:adjustRightInd/>
                    <w:snapToGrid/>
                    <w:spacing w:before="56" w:line="340" w:lineRule="exact"/>
                    <w:ind w:left="744"/>
                    <w:textAlignment w:val="auto"/>
                    <w:rPr>
                      <w:color w:val="auto"/>
                      <w:sz w:val="21"/>
                      <w:szCs w:val="21"/>
                    </w:rPr>
                  </w:pPr>
                  <w:r>
                    <w:rPr>
                      <w:b/>
                      <w:bCs/>
                      <w:color w:val="auto"/>
                      <w:spacing w:val="5"/>
                      <w:sz w:val="21"/>
                      <w:szCs w:val="21"/>
                    </w:rPr>
                    <w:t>年用量</w:t>
                  </w:r>
                </w:p>
              </w:tc>
            </w:tr>
            <w:tr w14:paraId="4DDB768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679" w:type="pct"/>
                  <w:vMerge w:val="restart"/>
                  <w:tcBorders>
                    <w:tl2br w:val="nil"/>
                    <w:tr2bl w:val="nil"/>
                  </w:tcBorders>
                  <w:noWrap w:val="0"/>
                  <w:vAlign w:val="top"/>
                </w:tcPr>
                <w:p w14:paraId="63291AC0">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p w14:paraId="656D11FB">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p w14:paraId="408A7EA5">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p w14:paraId="1446FAF2">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p w14:paraId="54164B32">
                  <w:pPr>
                    <w:pStyle w:val="30"/>
                    <w:keepNext w:val="0"/>
                    <w:keepLines w:val="0"/>
                    <w:pageBreakBefore w:val="0"/>
                    <w:widowControl w:val="0"/>
                    <w:kinsoku/>
                    <w:wordWrap/>
                    <w:overflowPunct/>
                    <w:topLinePunct w:val="0"/>
                    <w:autoSpaceDE/>
                    <w:autoSpaceDN/>
                    <w:bidi w:val="0"/>
                    <w:adjustRightInd/>
                    <w:snapToGrid/>
                    <w:spacing w:before="65" w:line="340" w:lineRule="exact"/>
                    <w:ind w:left="229"/>
                    <w:textAlignment w:val="auto"/>
                    <w:rPr>
                      <w:color w:val="auto"/>
                      <w:sz w:val="21"/>
                      <w:szCs w:val="21"/>
                    </w:rPr>
                  </w:pPr>
                  <w:r>
                    <w:rPr>
                      <w:color w:val="auto"/>
                      <w:spacing w:val="4"/>
                      <w:sz w:val="21"/>
                      <w:szCs w:val="21"/>
                    </w:rPr>
                    <w:t>医疗用品</w:t>
                  </w:r>
                </w:p>
              </w:tc>
              <w:tc>
                <w:tcPr>
                  <w:tcW w:w="1976" w:type="pct"/>
                  <w:tcBorders>
                    <w:tl2br w:val="nil"/>
                    <w:tr2bl w:val="nil"/>
                  </w:tcBorders>
                  <w:noWrap w:val="0"/>
                  <w:vAlign w:val="top"/>
                </w:tcPr>
                <w:p w14:paraId="58D676C0">
                  <w:pPr>
                    <w:pStyle w:val="30"/>
                    <w:keepNext w:val="0"/>
                    <w:keepLines w:val="0"/>
                    <w:pageBreakBefore w:val="0"/>
                    <w:widowControl w:val="0"/>
                    <w:kinsoku/>
                    <w:wordWrap/>
                    <w:overflowPunct/>
                    <w:topLinePunct w:val="0"/>
                    <w:autoSpaceDE/>
                    <w:autoSpaceDN/>
                    <w:bidi w:val="0"/>
                    <w:adjustRightInd/>
                    <w:snapToGrid/>
                    <w:spacing w:before="54" w:line="340" w:lineRule="exact"/>
                    <w:ind w:left="1632"/>
                    <w:textAlignment w:val="auto"/>
                    <w:rPr>
                      <w:color w:val="auto"/>
                      <w:sz w:val="21"/>
                      <w:szCs w:val="21"/>
                    </w:rPr>
                  </w:pPr>
                  <w:r>
                    <w:rPr>
                      <w:color w:val="auto"/>
                      <w:spacing w:val="3"/>
                      <w:sz w:val="21"/>
                      <w:szCs w:val="21"/>
                    </w:rPr>
                    <w:t>绷带</w:t>
                  </w:r>
                </w:p>
              </w:tc>
              <w:tc>
                <w:tcPr>
                  <w:tcW w:w="1210" w:type="pct"/>
                  <w:tcBorders>
                    <w:tl2br w:val="nil"/>
                    <w:tr2bl w:val="nil"/>
                  </w:tcBorders>
                  <w:noWrap w:val="0"/>
                  <w:vAlign w:val="top"/>
                </w:tcPr>
                <w:p w14:paraId="051C9799">
                  <w:pPr>
                    <w:pStyle w:val="30"/>
                    <w:keepNext w:val="0"/>
                    <w:keepLines w:val="0"/>
                    <w:pageBreakBefore w:val="0"/>
                    <w:widowControl w:val="0"/>
                    <w:kinsoku/>
                    <w:wordWrap/>
                    <w:overflowPunct/>
                    <w:topLinePunct w:val="0"/>
                    <w:autoSpaceDE/>
                    <w:autoSpaceDN/>
                    <w:bidi w:val="0"/>
                    <w:adjustRightInd/>
                    <w:snapToGrid/>
                    <w:spacing w:before="55" w:line="340" w:lineRule="exact"/>
                    <w:ind w:left="1026"/>
                    <w:textAlignment w:val="auto"/>
                    <w:rPr>
                      <w:color w:val="auto"/>
                      <w:sz w:val="21"/>
                      <w:szCs w:val="21"/>
                    </w:rPr>
                  </w:pPr>
                  <w:r>
                    <w:rPr>
                      <w:color w:val="auto"/>
                      <w:sz w:val="21"/>
                      <w:szCs w:val="21"/>
                    </w:rPr>
                    <w:t>块</w:t>
                  </w:r>
                </w:p>
              </w:tc>
              <w:tc>
                <w:tcPr>
                  <w:tcW w:w="1133" w:type="pct"/>
                  <w:tcBorders>
                    <w:tl2br w:val="nil"/>
                    <w:tr2bl w:val="nil"/>
                  </w:tcBorders>
                  <w:noWrap w:val="0"/>
                  <w:vAlign w:val="top"/>
                </w:tcPr>
                <w:p w14:paraId="669697CF">
                  <w:pPr>
                    <w:keepNext w:val="0"/>
                    <w:keepLines w:val="0"/>
                    <w:pageBreakBefore w:val="0"/>
                    <w:widowControl w:val="0"/>
                    <w:kinsoku/>
                    <w:wordWrap/>
                    <w:overflowPunct/>
                    <w:topLinePunct w:val="0"/>
                    <w:autoSpaceDE/>
                    <w:autoSpaceDN/>
                    <w:bidi w:val="0"/>
                    <w:adjustRightInd/>
                    <w:snapToGrid/>
                    <w:spacing w:before="90" w:line="340" w:lineRule="exact"/>
                    <w:ind w:left="845"/>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3"/>
                      <w:sz w:val="21"/>
                      <w:szCs w:val="21"/>
                      <w:lang w:val="en-US" w:eastAsia="zh-CN"/>
                    </w:rPr>
                    <w:t>2500</w:t>
                  </w:r>
                </w:p>
              </w:tc>
            </w:tr>
            <w:tr w14:paraId="5084D40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679" w:type="pct"/>
                  <w:vMerge w:val="continue"/>
                  <w:tcBorders>
                    <w:tl2br w:val="nil"/>
                    <w:tr2bl w:val="nil"/>
                  </w:tcBorders>
                  <w:noWrap w:val="0"/>
                  <w:vAlign w:val="top"/>
                </w:tcPr>
                <w:p w14:paraId="4B6D44D5">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61A3F5C7">
                  <w:pPr>
                    <w:pStyle w:val="30"/>
                    <w:keepNext w:val="0"/>
                    <w:keepLines w:val="0"/>
                    <w:pageBreakBefore w:val="0"/>
                    <w:widowControl w:val="0"/>
                    <w:kinsoku/>
                    <w:wordWrap/>
                    <w:overflowPunct/>
                    <w:topLinePunct w:val="0"/>
                    <w:autoSpaceDE/>
                    <w:autoSpaceDN/>
                    <w:bidi w:val="0"/>
                    <w:adjustRightInd/>
                    <w:snapToGrid/>
                    <w:spacing w:before="56" w:line="340" w:lineRule="exact"/>
                    <w:ind w:left="1429"/>
                    <w:textAlignment w:val="auto"/>
                    <w:rPr>
                      <w:color w:val="auto"/>
                      <w:sz w:val="21"/>
                      <w:szCs w:val="21"/>
                    </w:rPr>
                  </w:pPr>
                  <w:r>
                    <w:rPr>
                      <w:color w:val="auto"/>
                      <w:spacing w:val="4"/>
                      <w:sz w:val="21"/>
                      <w:szCs w:val="21"/>
                    </w:rPr>
                    <w:t>医用棉签</w:t>
                  </w:r>
                </w:p>
              </w:tc>
              <w:tc>
                <w:tcPr>
                  <w:tcW w:w="1210" w:type="pct"/>
                  <w:tcBorders>
                    <w:tl2br w:val="nil"/>
                    <w:tr2bl w:val="nil"/>
                  </w:tcBorders>
                  <w:noWrap w:val="0"/>
                  <w:vAlign w:val="top"/>
                </w:tcPr>
                <w:p w14:paraId="0E483B00">
                  <w:pPr>
                    <w:pStyle w:val="30"/>
                    <w:keepNext w:val="0"/>
                    <w:keepLines w:val="0"/>
                    <w:pageBreakBefore w:val="0"/>
                    <w:widowControl w:val="0"/>
                    <w:kinsoku/>
                    <w:wordWrap/>
                    <w:overflowPunct/>
                    <w:topLinePunct w:val="0"/>
                    <w:autoSpaceDE/>
                    <w:autoSpaceDN/>
                    <w:bidi w:val="0"/>
                    <w:adjustRightInd/>
                    <w:snapToGrid/>
                    <w:spacing w:before="56" w:line="340" w:lineRule="exact"/>
                    <w:ind w:left="1026"/>
                    <w:textAlignment w:val="auto"/>
                    <w:rPr>
                      <w:color w:val="auto"/>
                      <w:sz w:val="21"/>
                      <w:szCs w:val="21"/>
                    </w:rPr>
                  </w:pPr>
                  <w:r>
                    <w:rPr>
                      <w:color w:val="auto"/>
                      <w:sz w:val="21"/>
                      <w:szCs w:val="21"/>
                    </w:rPr>
                    <w:t>包</w:t>
                  </w:r>
                </w:p>
              </w:tc>
              <w:tc>
                <w:tcPr>
                  <w:tcW w:w="1133" w:type="pct"/>
                  <w:tcBorders>
                    <w:tl2br w:val="nil"/>
                    <w:tr2bl w:val="nil"/>
                  </w:tcBorders>
                  <w:noWrap w:val="0"/>
                  <w:vAlign w:val="top"/>
                </w:tcPr>
                <w:p w14:paraId="7328CF7A">
                  <w:pPr>
                    <w:keepNext w:val="0"/>
                    <w:keepLines w:val="0"/>
                    <w:pageBreakBefore w:val="0"/>
                    <w:widowControl w:val="0"/>
                    <w:kinsoku/>
                    <w:wordWrap/>
                    <w:overflowPunct/>
                    <w:topLinePunct w:val="0"/>
                    <w:autoSpaceDE/>
                    <w:autoSpaceDN/>
                    <w:bidi w:val="0"/>
                    <w:adjustRightInd/>
                    <w:snapToGrid/>
                    <w:spacing w:before="93" w:line="340" w:lineRule="exact"/>
                    <w:ind w:left="865"/>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2"/>
                      <w:sz w:val="21"/>
                      <w:szCs w:val="21"/>
                      <w:lang w:val="en-US" w:eastAsia="zh-CN"/>
                    </w:rPr>
                    <w:t>800</w:t>
                  </w:r>
                </w:p>
              </w:tc>
            </w:tr>
            <w:tr w14:paraId="50B38F5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679" w:type="pct"/>
                  <w:vMerge w:val="continue"/>
                  <w:tcBorders>
                    <w:tl2br w:val="nil"/>
                    <w:tr2bl w:val="nil"/>
                  </w:tcBorders>
                  <w:noWrap w:val="0"/>
                  <w:vAlign w:val="top"/>
                </w:tcPr>
                <w:p w14:paraId="2A024311">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14463467">
                  <w:pPr>
                    <w:pStyle w:val="30"/>
                    <w:keepNext w:val="0"/>
                    <w:keepLines w:val="0"/>
                    <w:pageBreakBefore w:val="0"/>
                    <w:widowControl w:val="0"/>
                    <w:kinsoku/>
                    <w:wordWrap/>
                    <w:overflowPunct/>
                    <w:topLinePunct w:val="0"/>
                    <w:autoSpaceDE/>
                    <w:autoSpaceDN/>
                    <w:bidi w:val="0"/>
                    <w:adjustRightInd/>
                    <w:snapToGrid/>
                    <w:spacing w:before="60" w:line="340" w:lineRule="exact"/>
                    <w:ind w:left="999"/>
                    <w:textAlignment w:val="auto"/>
                    <w:rPr>
                      <w:color w:val="auto"/>
                      <w:sz w:val="21"/>
                      <w:szCs w:val="21"/>
                    </w:rPr>
                  </w:pPr>
                  <w:r>
                    <w:rPr>
                      <w:color w:val="auto"/>
                      <w:spacing w:val="8"/>
                      <w:sz w:val="21"/>
                      <w:szCs w:val="21"/>
                    </w:rPr>
                    <w:t>碘伏医用手术薄膜</w:t>
                  </w:r>
                </w:p>
              </w:tc>
              <w:tc>
                <w:tcPr>
                  <w:tcW w:w="1210" w:type="pct"/>
                  <w:tcBorders>
                    <w:tl2br w:val="nil"/>
                    <w:tr2bl w:val="nil"/>
                  </w:tcBorders>
                  <w:noWrap w:val="0"/>
                  <w:vAlign w:val="top"/>
                </w:tcPr>
                <w:p w14:paraId="499E005B">
                  <w:pPr>
                    <w:pStyle w:val="30"/>
                    <w:keepNext w:val="0"/>
                    <w:keepLines w:val="0"/>
                    <w:pageBreakBefore w:val="0"/>
                    <w:widowControl w:val="0"/>
                    <w:kinsoku/>
                    <w:wordWrap/>
                    <w:overflowPunct/>
                    <w:topLinePunct w:val="0"/>
                    <w:autoSpaceDE/>
                    <w:autoSpaceDN/>
                    <w:bidi w:val="0"/>
                    <w:adjustRightInd/>
                    <w:snapToGrid/>
                    <w:spacing w:before="60" w:line="340" w:lineRule="exact"/>
                    <w:ind w:left="1026"/>
                    <w:textAlignment w:val="auto"/>
                    <w:rPr>
                      <w:color w:val="auto"/>
                      <w:sz w:val="21"/>
                      <w:szCs w:val="21"/>
                    </w:rPr>
                  </w:pPr>
                  <w:r>
                    <w:rPr>
                      <w:color w:val="auto"/>
                      <w:sz w:val="21"/>
                      <w:szCs w:val="21"/>
                    </w:rPr>
                    <w:t>个</w:t>
                  </w:r>
                </w:p>
              </w:tc>
              <w:tc>
                <w:tcPr>
                  <w:tcW w:w="1133" w:type="pct"/>
                  <w:tcBorders>
                    <w:tl2br w:val="nil"/>
                    <w:tr2bl w:val="nil"/>
                  </w:tcBorders>
                  <w:noWrap w:val="0"/>
                  <w:vAlign w:val="top"/>
                </w:tcPr>
                <w:p w14:paraId="6DCBF7FE">
                  <w:pPr>
                    <w:keepNext w:val="0"/>
                    <w:keepLines w:val="0"/>
                    <w:pageBreakBefore w:val="0"/>
                    <w:widowControl w:val="0"/>
                    <w:kinsoku/>
                    <w:wordWrap/>
                    <w:overflowPunct/>
                    <w:topLinePunct w:val="0"/>
                    <w:autoSpaceDE/>
                    <w:autoSpaceDN/>
                    <w:bidi w:val="0"/>
                    <w:adjustRightInd/>
                    <w:snapToGrid/>
                    <w:spacing w:before="95" w:line="340" w:lineRule="exact"/>
                    <w:ind w:left="849"/>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2"/>
                      <w:sz w:val="21"/>
                      <w:szCs w:val="21"/>
                      <w:lang w:val="en-US" w:eastAsia="zh-CN"/>
                    </w:rPr>
                    <w:t>1800</w:t>
                  </w:r>
                </w:p>
              </w:tc>
            </w:tr>
            <w:tr w14:paraId="0DF1B63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679" w:type="pct"/>
                  <w:vMerge w:val="continue"/>
                  <w:tcBorders>
                    <w:tl2br w:val="nil"/>
                    <w:tr2bl w:val="nil"/>
                  </w:tcBorders>
                  <w:noWrap w:val="0"/>
                  <w:vAlign w:val="top"/>
                </w:tcPr>
                <w:p w14:paraId="1E5530EF">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019DBF37">
                  <w:pPr>
                    <w:pStyle w:val="30"/>
                    <w:keepNext w:val="0"/>
                    <w:keepLines w:val="0"/>
                    <w:pageBreakBefore w:val="0"/>
                    <w:widowControl w:val="0"/>
                    <w:kinsoku/>
                    <w:wordWrap/>
                    <w:overflowPunct/>
                    <w:topLinePunct w:val="0"/>
                    <w:autoSpaceDE/>
                    <w:autoSpaceDN/>
                    <w:bidi w:val="0"/>
                    <w:adjustRightInd/>
                    <w:snapToGrid/>
                    <w:spacing w:before="62" w:line="340" w:lineRule="exact"/>
                    <w:ind w:left="1541"/>
                    <w:textAlignment w:val="auto"/>
                    <w:rPr>
                      <w:color w:val="auto"/>
                      <w:sz w:val="21"/>
                      <w:szCs w:val="21"/>
                    </w:rPr>
                  </w:pPr>
                  <w:r>
                    <w:rPr>
                      <w:color w:val="auto"/>
                      <w:spacing w:val="1"/>
                      <w:sz w:val="21"/>
                      <w:szCs w:val="21"/>
                    </w:rPr>
                    <w:t>引流器</w:t>
                  </w:r>
                </w:p>
              </w:tc>
              <w:tc>
                <w:tcPr>
                  <w:tcW w:w="1210" w:type="pct"/>
                  <w:tcBorders>
                    <w:tl2br w:val="nil"/>
                    <w:tr2bl w:val="nil"/>
                  </w:tcBorders>
                  <w:noWrap w:val="0"/>
                  <w:vAlign w:val="top"/>
                </w:tcPr>
                <w:p w14:paraId="3E01562C">
                  <w:pPr>
                    <w:pStyle w:val="30"/>
                    <w:keepNext w:val="0"/>
                    <w:keepLines w:val="0"/>
                    <w:pageBreakBefore w:val="0"/>
                    <w:widowControl w:val="0"/>
                    <w:kinsoku/>
                    <w:wordWrap/>
                    <w:overflowPunct/>
                    <w:topLinePunct w:val="0"/>
                    <w:autoSpaceDE/>
                    <w:autoSpaceDN/>
                    <w:bidi w:val="0"/>
                    <w:adjustRightInd/>
                    <w:snapToGrid/>
                    <w:spacing w:before="62" w:line="340" w:lineRule="exact"/>
                    <w:ind w:left="1026"/>
                    <w:textAlignment w:val="auto"/>
                    <w:rPr>
                      <w:color w:val="auto"/>
                      <w:sz w:val="21"/>
                      <w:szCs w:val="21"/>
                    </w:rPr>
                  </w:pPr>
                  <w:r>
                    <w:rPr>
                      <w:color w:val="auto"/>
                      <w:sz w:val="21"/>
                      <w:szCs w:val="21"/>
                    </w:rPr>
                    <w:t>个</w:t>
                  </w:r>
                </w:p>
              </w:tc>
              <w:tc>
                <w:tcPr>
                  <w:tcW w:w="1133" w:type="pct"/>
                  <w:tcBorders>
                    <w:tl2br w:val="nil"/>
                    <w:tr2bl w:val="nil"/>
                  </w:tcBorders>
                  <w:noWrap w:val="0"/>
                  <w:vAlign w:val="top"/>
                </w:tcPr>
                <w:p w14:paraId="601D6F36">
                  <w:pPr>
                    <w:keepNext w:val="0"/>
                    <w:keepLines w:val="0"/>
                    <w:pageBreakBefore w:val="0"/>
                    <w:widowControl w:val="0"/>
                    <w:kinsoku/>
                    <w:wordWrap/>
                    <w:overflowPunct/>
                    <w:topLinePunct w:val="0"/>
                    <w:autoSpaceDE/>
                    <w:autoSpaceDN/>
                    <w:bidi w:val="0"/>
                    <w:adjustRightInd/>
                    <w:snapToGrid/>
                    <w:spacing w:before="98" w:line="340" w:lineRule="exact"/>
                    <w:ind w:left="851"/>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2"/>
                      <w:sz w:val="21"/>
                      <w:szCs w:val="21"/>
                      <w:lang w:val="en-US" w:eastAsia="zh-CN"/>
                    </w:rPr>
                    <w:t>400</w:t>
                  </w:r>
                </w:p>
              </w:tc>
            </w:tr>
            <w:tr w14:paraId="59ACDD9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679" w:type="pct"/>
                  <w:vMerge w:val="continue"/>
                  <w:tcBorders>
                    <w:tl2br w:val="nil"/>
                    <w:tr2bl w:val="nil"/>
                  </w:tcBorders>
                  <w:noWrap w:val="0"/>
                  <w:vAlign w:val="top"/>
                </w:tcPr>
                <w:p w14:paraId="503B0C77">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4C243F71">
                  <w:pPr>
                    <w:pStyle w:val="30"/>
                    <w:keepNext w:val="0"/>
                    <w:keepLines w:val="0"/>
                    <w:pageBreakBefore w:val="0"/>
                    <w:widowControl w:val="0"/>
                    <w:kinsoku/>
                    <w:wordWrap/>
                    <w:overflowPunct/>
                    <w:topLinePunct w:val="0"/>
                    <w:autoSpaceDE/>
                    <w:autoSpaceDN/>
                    <w:bidi w:val="0"/>
                    <w:adjustRightInd/>
                    <w:snapToGrid/>
                    <w:spacing w:before="67" w:line="340" w:lineRule="exact"/>
                    <w:ind w:left="1537"/>
                    <w:textAlignment w:val="auto"/>
                    <w:rPr>
                      <w:color w:val="auto"/>
                      <w:sz w:val="21"/>
                      <w:szCs w:val="21"/>
                    </w:rPr>
                  </w:pPr>
                  <w:r>
                    <w:rPr>
                      <w:color w:val="auto"/>
                      <w:spacing w:val="2"/>
                      <w:sz w:val="21"/>
                      <w:szCs w:val="21"/>
                    </w:rPr>
                    <w:t>隔离衣</w:t>
                  </w:r>
                </w:p>
              </w:tc>
              <w:tc>
                <w:tcPr>
                  <w:tcW w:w="1210" w:type="pct"/>
                  <w:tcBorders>
                    <w:tl2br w:val="nil"/>
                    <w:tr2bl w:val="nil"/>
                  </w:tcBorders>
                  <w:noWrap w:val="0"/>
                  <w:vAlign w:val="top"/>
                </w:tcPr>
                <w:p w14:paraId="5725B6A3">
                  <w:pPr>
                    <w:pStyle w:val="30"/>
                    <w:keepNext w:val="0"/>
                    <w:keepLines w:val="0"/>
                    <w:pageBreakBefore w:val="0"/>
                    <w:widowControl w:val="0"/>
                    <w:kinsoku/>
                    <w:wordWrap/>
                    <w:overflowPunct/>
                    <w:topLinePunct w:val="0"/>
                    <w:autoSpaceDE/>
                    <w:autoSpaceDN/>
                    <w:bidi w:val="0"/>
                    <w:adjustRightInd/>
                    <w:snapToGrid/>
                    <w:spacing w:before="67" w:line="340" w:lineRule="exact"/>
                    <w:ind w:left="1026"/>
                    <w:textAlignment w:val="auto"/>
                    <w:rPr>
                      <w:color w:val="auto"/>
                      <w:sz w:val="21"/>
                      <w:szCs w:val="21"/>
                    </w:rPr>
                  </w:pPr>
                  <w:r>
                    <w:rPr>
                      <w:color w:val="auto"/>
                      <w:sz w:val="21"/>
                      <w:szCs w:val="21"/>
                    </w:rPr>
                    <w:t>套</w:t>
                  </w:r>
                </w:p>
              </w:tc>
              <w:tc>
                <w:tcPr>
                  <w:tcW w:w="1133" w:type="pct"/>
                  <w:tcBorders>
                    <w:tl2br w:val="nil"/>
                    <w:tr2bl w:val="nil"/>
                  </w:tcBorders>
                  <w:noWrap w:val="0"/>
                  <w:vAlign w:val="top"/>
                </w:tcPr>
                <w:p w14:paraId="030CDA23">
                  <w:pPr>
                    <w:keepNext w:val="0"/>
                    <w:keepLines w:val="0"/>
                    <w:pageBreakBefore w:val="0"/>
                    <w:widowControl w:val="0"/>
                    <w:kinsoku/>
                    <w:wordWrap/>
                    <w:overflowPunct/>
                    <w:topLinePunct w:val="0"/>
                    <w:autoSpaceDE/>
                    <w:autoSpaceDN/>
                    <w:bidi w:val="0"/>
                    <w:adjustRightInd/>
                    <w:snapToGrid/>
                    <w:spacing w:before="103" w:line="340" w:lineRule="exact"/>
                    <w:ind w:left="851"/>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2"/>
                      <w:sz w:val="21"/>
                      <w:szCs w:val="21"/>
                      <w:lang w:val="en-US" w:eastAsia="zh-CN"/>
                    </w:rPr>
                    <w:t>300</w:t>
                  </w:r>
                </w:p>
              </w:tc>
            </w:tr>
            <w:tr w14:paraId="75D056B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679" w:type="pct"/>
                  <w:vMerge w:val="continue"/>
                  <w:tcBorders>
                    <w:tl2br w:val="nil"/>
                    <w:tr2bl w:val="nil"/>
                  </w:tcBorders>
                  <w:noWrap w:val="0"/>
                  <w:vAlign w:val="top"/>
                </w:tcPr>
                <w:p w14:paraId="3F265F4D">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0879B40F">
                  <w:pPr>
                    <w:pStyle w:val="30"/>
                    <w:keepNext w:val="0"/>
                    <w:keepLines w:val="0"/>
                    <w:pageBreakBefore w:val="0"/>
                    <w:widowControl w:val="0"/>
                    <w:kinsoku/>
                    <w:wordWrap/>
                    <w:overflowPunct/>
                    <w:topLinePunct w:val="0"/>
                    <w:autoSpaceDE/>
                    <w:autoSpaceDN/>
                    <w:bidi w:val="0"/>
                    <w:adjustRightInd/>
                    <w:snapToGrid/>
                    <w:spacing w:before="68" w:line="340" w:lineRule="exact"/>
                    <w:ind w:left="1632"/>
                    <w:textAlignment w:val="auto"/>
                    <w:rPr>
                      <w:color w:val="auto"/>
                      <w:sz w:val="21"/>
                      <w:szCs w:val="21"/>
                    </w:rPr>
                  </w:pPr>
                  <w:r>
                    <w:rPr>
                      <w:color w:val="auto"/>
                      <w:spacing w:val="4"/>
                      <w:sz w:val="21"/>
                      <w:szCs w:val="21"/>
                    </w:rPr>
                    <w:t>棉球</w:t>
                  </w:r>
                </w:p>
              </w:tc>
              <w:tc>
                <w:tcPr>
                  <w:tcW w:w="1210" w:type="pct"/>
                  <w:tcBorders>
                    <w:tl2br w:val="nil"/>
                    <w:tr2bl w:val="nil"/>
                  </w:tcBorders>
                  <w:noWrap w:val="0"/>
                  <w:vAlign w:val="top"/>
                </w:tcPr>
                <w:p w14:paraId="04683702">
                  <w:pPr>
                    <w:pStyle w:val="30"/>
                    <w:keepNext w:val="0"/>
                    <w:keepLines w:val="0"/>
                    <w:pageBreakBefore w:val="0"/>
                    <w:widowControl w:val="0"/>
                    <w:kinsoku/>
                    <w:wordWrap/>
                    <w:overflowPunct/>
                    <w:topLinePunct w:val="0"/>
                    <w:autoSpaceDE/>
                    <w:autoSpaceDN/>
                    <w:bidi w:val="0"/>
                    <w:adjustRightInd/>
                    <w:snapToGrid/>
                    <w:spacing w:before="68" w:line="340" w:lineRule="exact"/>
                    <w:ind w:left="1026"/>
                    <w:textAlignment w:val="auto"/>
                    <w:rPr>
                      <w:color w:val="auto"/>
                      <w:sz w:val="21"/>
                      <w:szCs w:val="21"/>
                    </w:rPr>
                  </w:pPr>
                  <w:r>
                    <w:rPr>
                      <w:color w:val="auto"/>
                      <w:sz w:val="21"/>
                      <w:szCs w:val="21"/>
                    </w:rPr>
                    <w:t>包</w:t>
                  </w:r>
                </w:p>
              </w:tc>
              <w:tc>
                <w:tcPr>
                  <w:tcW w:w="1133" w:type="pct"/>
                  <w:tcBorders>
                    <w:tl2br w:val="nil"/>
                    <w:tr2bl w:val="nil"/>
                  </w:tcBorders>
                  <w:noWrap w:val="0"/>
                  <w:vAlign w:val="top"/>
                </w:tcPr>
                <w:p w14:paraId="299EEB5D">
                  <w:pPr>
                    <w:keepNext w:val="0"/>
                    <w:keepLines w:val="0"/>
                    <w:pageBreakBefore w:val="0"/>
                    <w:widowControl w:val="0"/>
                    <w:kinsoku/>
                    <w:wordWrap/>
                    <w:overflowPunct/>
                    <w:topLinePunct w:val="0"/>
                    <w:autoSpaceDE/>
                    <w:autoSpaceDN/>
                    <w:bidi w:val="0"/>
                    <w:adjustRightInd/>
                    <w:snapToGrid/>
                    <w:spacing w:before="104" w:line="340" w:lineRule="exact"/>
                    <w:ind w:left="865"/>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2"/>
                      <w:sz w:val="21"/>
                      <w:szCs w:val="21"/>
                      <w:lang w:val="en-US" w:eastAsia="zh-CN"/>
                    </w:rPr>
                    <w:t>600</w:t>
                  </w:r>
                </w:p>
              </w:tc>
            </w:tr>
            <w:tr w14:paraId="7A6F882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679" w:type="pct"/>
                  <w:vMerge w:val="continue"/>
                  <w:tcBorders>
                    <w:tl2br w:val="nil"/>
                    <w:tr2bl w:val="nil"/>
                  </w:tcBorders>
                  <w:noWrap w:val="0"/>
                  <w:vAlign w:val="top"/>
                </w:tcPr>
                <w:p w14:paraId="5B6AA9B9">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41A64363">
                  <w:pPr>
                    <w:pStyle w:val="30"/>
                    <w:keepNext w:val="0"/>
                    <w:keepLines w:val="0"/>
                    <w:pageBreakBefore w:val="0"/>
                    <w:widowControl w:val="0"/>
                    <w:kinsoku/>
                    <w:wordWrap/>
                    <w:overflowPunct/>
                    <w:topLinePunct w:val="0"/>
                    <w:autoSpaceDE/>
                    <w:autoSpaceDN/>
                    <w:bidi w:val="0"/>
                    <w:adjustRightInd/>
                    <w:snapToGrid/>
                    <w:spacing w:before="72" w:line="340" w:lineRule="exact"/>
                    <w:ind w:left="1214"/>
                    <w:textAlignment w:val="auto"/>
                    <w:rPr>
                      <w:color w:val="auto"/>
                      <w:sz w:val="21"/>
                      <w:szCs w:val="21"/>
                    </w:rPr>
                  </w:pPr>
                  <w:r>
                    <w:rPr>
                      <w:color w:val="auto"/>
                      <w:spacing w:val="7"/>
                      <w:sz w:val="21"/>
                      <w:szCs w:val="21"/>
                    </w:rPr>
                    <w:t>一次性护理包</w:t>
                  </w:r>
                </w:p>
              </w:tc>
              <w:tc>
                <w:tcPr>
                  <w:tcW w:w="1210" w:type="pct"/>
                  <w:tcBorders>
                    <w:tl2br w:val="nil"/>
                    <w:tr2bl w:val="nil"/>
                  </w:tcBorders>
                  <w:noWrap w:val="0"/>
                  <w:vAlign w:val="top"/>
                </w:tcPr>
                <w:p w14:paraId="4EE8B4E5">
                  <w:pPr>
                    <w:pStyle w:val="30"/>
                    <w:keepNext w:val="0"/>
                    <w:keepLines w:val="0"/>
                    <w:pageBreakBefore w:val="0"/>
                    <w:widowControl w:val="0"/>
                    <w:kinsoku/>
                    <w:wordWrap/>
                    <w:overflowPunct/>
                    <w:topLinePunct w:val="0"/>
                    <w:autoSpaceDE/>
                    <w:autoSpaceDN/>
                    <w:bidi w:val="0"/>
                    <w:adjustRightInd/>
                    <w:snapToGrid/>
                    <w:spacing w:before="72" w:line="340" w:lineRule="exact"/>
                    <w:ind w:left="1026"/>
                    <w:textAlignment w:val="auto"/>
                    <w:rPr>
                      <w:color w:val="auto"/>
                      <w:sz w:val="21"/>
                      <w:szCs w:val="21"/>
                    </w:rPr>
                  </w:pPr>
                  <w:r>
                    <w:rPr>
                      <w:color w:val="auto"/>
                      <w:sz w:val="21"/>
                      <w:szCs w:val="21"/>
                    </w:rPr>
                    <w:t>个</w:t>
                  </w:r>
                </w:p>
              </w:tc>
              <w:tc>
                <w:tcPr>
                  <w:tcW w:w="1133" w:type="pct"/>
                  <w:tcBorders>
                    <w:tl2br w:val="nil"/>
                    <w:tr2bl w:val="nil"/>
                  </w:tcBorders>
                  <w:noWrap w:val="0"/>
                  <w:vAlign w:val="top"/>
                </w:tcPr>
                <w:p w14:paraId="60885DCE">
                  <w:pPr>
                    <w:keepNext w:val="0"/>
                    <w:keepLines w:val="0"/>
                    <w:pageBreakBefore w:val="0"/>
                    <w:widowControl w:val="0"/>
                    <w:kinsoku/>
                    <w:wordWrap/>
                    <w:overflowPunct/>
                    <w:topLinePunct w:val="0"/>
                    <w:autoSpaceDE/>
                    <w:autoSpaceDN/>
                    <w:bidi w:val="0"/>
                    <w:adjustRightInd/>
                    <w:snapToGrid/>
                    <w:spacing w:before="107" w:line="340" w:lineRule="exact"/>
                    <w:ind w:left="851"/>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2"/>
                      <w:sz w:val="21"/>
                      <w:szCs w:val="21"/>
                      <w:lang w:val="en-US" w:eastAsia="zh-CN"/>
                    </w:rPr>
                    <w:t>1500</w:t>
                  </w:r>
                </w:p>
              </w:tc>
            </w:tr>
            <w:tr w14:paraId="4B91692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9" w:type="pct"/>
                  <w:vMerge w:val="continue"/>
                  <w:tcBorders>
                    <w:tl2br w:val="nil"/>
                    <w:tr2bl w:val="nil"/>
                  </w:tcBorders>
                  <w:noWrap w:val="0"/>
                  <w:vAlign w:val="top"/>
                </w:tcPr>
                <w:p w14:paraId="45434568">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1D0E0F5E">
                  <w:pPr>
                    <w:pStyle w:val="30"/>
                    <w:keepNext w:val="0"/>
                    <w:keepLines w:val="0"/>
                    <w:pageBreakBefore w:val="0"/>
                    <w:widowControl w:val="0"/>
                    <w:kinsoku/>
                    <w:wordWrap/>
                    <w:overflowPunct/>
                    <w:topLinePunct w:val="0"/>
                    <w:autoSpaceDE/>
                    <w:autoSpaceDN/>
                    <w:bidi w:val="0"/>
                    <w:adjustRightInd/>
                    <w:snapToGrid/>
                    <w:spacing w:before="74" w:line="340" w:lineRule="exact"/>
                    <w:ind w:left="583"/>
                    <w:textAlignment w:val="auto"/>
                    <w:rPr>
                      <w:color w:val="auto"/>
                      <w:sz w:val="21"/>
                      <w:szCs w:val="21"/>
                    </w:rPr>
                  </w:pPr>
                  <w:r>
                    <w:rPr>
                      <w:color w:val="auto"/>
                      <w:spacing w:val="8"/>
                      <w:sz w:val="21"/>
                      <w:szCs w:val="21"/>
                    </w:rPr>
                    <w:t>一次性使用采血针、采血管</w:t>
                  </w:r>
                </w:p>
              </w:tc>
              <w:tc>
                <w:tcPr>
                  <w:tcW w:w="1210" w:type="pct"/>
                  <w:tcBorders>
                    <w:tl2br w:val="nil"/>
                    <w:tr2bl w:val="nil"/>
                  </w:tcBorders>
                  <w:noWrap w:val="0"/>
                  <w:vAlign w:val="top"/>
                </w:tcPr>
                <w:p w14:paraId="04621A9A">
                  <w:pPr>
                    <w:pStyle w:val="30"/>
                    <w:keepNext w:val="0"/>
                    <w:keepLines w:val="0"/>
                    <w:pageBreakBefore w:val="0"/>
                    <w:widowControl w:val="0"/>
                    <w:kinsoku/>
                    <w:wordWrap/>
                    <w:overflowPunct/>
                    <w:topLinePunct w:val="0"/>
                    <w:autoSpaceDE/>
                    <w:autoSpaceDN/>
                    <w:bidi w:val="0"/>
                    <w:adjustRightInd/>
                    <w:snapToGrid/>
                    <w:spacing w:before="73" w:line="340" w:lineRule="exact"/>
                    <w:ind w:left="925"/>
                    <w:textAlignment w:val="auto"/>
                    <w:rPr>
                      <w:color w:val="auto"/>
                      <w:sz w:val="21"/>
                      <w:szCs w:val="21"/>
                    </w:rPr>
                  </w:pPr>
                  <w:r>
                    <w:rPr>
                      <w:color w:val="auto"/>
                      <w:spacing w:val="2"/>
                      <w:sz w:val="21"/>
                      <w:szCs w:val="21"/>
                    </w:rPr>
                    <w:t>万个</w:t>
                  </w:r>
                </w:p>
              </w:tc>
              <w:tc>
                <w:tcPr>
                  <w:tcW w:w="1133" w:type="pct"/>
                  <w:tcBorders>
                    <w:tl2br w:val="nil"/>
                    <w:tr2bl w:val="nil"/>
                  </w:tcBorders>
                  <w:noWrap w:val="0"/>
                  <w:vAlign w:val="top"/>
                </w:tcPr>
                <w:p w14:paraId="0DA3D83F">
                  <w:pPr>
                    <w:keepNext w:val="0"/>
                    <w:keepLines w:val="0"/>
                    <w:pageBreakBefore w:val="0"/>
                    <w:widowControl w:val="0"/>
                    <w:kinsoku/>
                    <w:wordWrap/>
                    <w:overflowPunct/>
                    <w:topLinePunct w:val="0"/>
                    <w:autoSpaceDE/>
                    <w:autoSpaceDN/>
                    <w:bidi w:val="0"/>
                    <w:adjustRightInd/>
                    <w:snapToGrid/>
                    <w:spacing w:before="110" w:line="340" w:lineRule="exact"/>
                    <w:ind w:left="952"/>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r>
            <w:tr w14:paraId="269E87A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9" w:type="pct"/>
                  <w:vMerge w:val="continue"/>
                  <w:tcBorders>
                    <w:tl2br w:val="nil"/>
                    <w:tr2bl w:val="nil"/>
                  </w:tcBorders>
                  <w:noWrap w:val="0"/>
                  <w:vAlign w:val="top"/>
                </w:tcPr>
                <w:p w14:paraId="727373BC">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2F490EEC">
                  <w:pPr>
                    <w:pStyle w:val="30"/>
                    <w:keepNext w:val="0"/>
                    <w:keepLines w:val="0"/>
                    <w:pageBreakBefore w:val="0"/>
                    <w:widowControl w:val="0"/>
                    <w:kinsoku/>
                    <w:wordWrap/>
                    <w:overflowPunct/>
                    <w:topLinePunct w:val="0"/>
                    <w:autoSpaceDE/>
                    <w:autoSpaceDN/>
                    <w:bidi w:val="0"/>
                    <w:adjustRightInd/>
                    <w:snapToGrid/>
                    <w:spacing w:before="51" w:line="340" w:lineRule="exact"/>
                    <w:ind w:left="1003" w:leftChars="0"/>
                    <w:textAlignment w:val="auto"/>
                    <w:rPr>
                      <w:color w:val="auto"/>
                      <w:spacing w:val="8"/>
                      <w:sz w:val="21"/>
                      <w:szCs w:val="21"/>
                    </w:rPr>
                  </w:pPr>
                  <w:r>
                    <w:rPr>
                      <w:color w:val="auto"/>
                      <w:spacing w:val="8"/>
                      <w:sz w:val="21"/>
                      <w:szCs w:val="21"/>
                    </w:rPr>
                    <w:t>一次性使用引流管</w:t>
                  </w:r>
                </w:p>
              </w:tc>
              <w:tc>
                <w:tcPr>
                  <w:tcW w:w="1210" w:type="pct"/>
                  <w:tcBorders>
                    <w:tl2br w:val="nil"/>
                    <w:tr2bl w:val="nil"/>
                  </w:tcBorders>
                  <w:noWrap w:val="0"/>
                  <w:vAlign w:val="top"/>
                </w:tcPr>
                <w:p w14:paraId="25615A39">
                  <w:pPr>
                    <w:pStyle w:val="30"/>
                    <w:keepNext w:val="0"/>
                    <w:keepLines w:val="0"/>
                    <w:pageBreakBefore w:val="0"/>
                    <w:widowControl w:val="0"/>
                    <w:kinsoku/>
                    <w:wordWrap/>
                    <w:overflowPunct/>
                    <w:topLinePunct w:val="0"/>
                    <w:autoSpaceDE/>
                    <w:autoSpaceDN/>
                    <w:bidi w:val="0"/>
                    <w:adjustRightInd/>
                    <w:snapToGrid/>
                    <w:spacing w:before="52" w:line="340" w:lineRule="exact"/>
                    <w:ind w:left="925" w:leftChars="0"/>
                    <w:textAlignment w:val="auto"/>
                    <w:rPr>
                      <w:color w:val="auto"/>
                      <w:spacing w:val="2"/>
                      <w:sz w:val="21"/>
                      <w:szCs w:val="21"/>
                    </w:rPr>
                  </w:pPr>
                  <w:r>
                    <w:rPr>
                      <w:color w:val="auto"/>
                      <w:spacing w:val="2"/>
                      <w:sz w:val="21"/>
                      <w:szCs w:val="21"/>
                    </w:rPr>
                    <w:t>万只</w:t>
                  </w:r>
                </w:p>
              </w:tc>
              <w:tc>
                <w:tcPr>
                  <w:tcW w:w="1133" w:type="pct"/>
                  <w:tcBorders>
                    <w:tl2br w:val="nil"/>
                    <w:tr2bl w:val="nil"/>
                  </w:tcBorders>
                  <w:noWrap w:val="0"/>
                  <w:vAlign w:val="top"/>
                </w:tcPr>
                <w:p w14:paraId="50F170A4">
                  <w:pPr>
                    <w:keepNext w:val="0"/>
                    <w:keepLines w:val="0"/>
                    <w:pageBreakBefore w:val="0"/>
                    <w:widowControl w:val="0"/>
                    <w:kinsoku/>
                    <w:wordWrap/>
                    <w:overflowPunct/>
                    <w:topLinePunct w:val="0"/>
                    <w:autoSpaceDE/>
                    <w:autoSpaceDN/>
                    <w:bidi w:val="0"/>
                    <w:adjustRightInd/>
                    <w:snapToGrid/>
                    <w:spacing w:before="87" w:line="340" w:lineRule="exact"/>
                    <w:ind w:left="968" w:left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r>
            <w:tr w14:paraId="3F13E13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9" w:type="pct"/>
                  <w:vMerge w:val="continue"/>
                  <w:tcBorders>
                    <w:tl2br w:val="nil"/>
                    <w:tr2bl w:val="nil"/>
                  </w:tcBorders>
                  <w:noWrap w:val="0"/>
                  <w:vAlign w:val="top"/>
                </w:tcPr>
                <w:p w14:paraId="6DACACFB">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4CCEDE5A">
                  <w:pPr>
                    <w:pStyle w:val="30"/>
                    <w:keepNext w:val="0"/>
                    <w:keepLines w:val="0"/>
                    <w:pageBreakBefore w:val="0"/>
                    <w:widowControl w:val="0"/>
                    <w:kinsoku/>
                    <w:wordWrap/>
                    <w:overflowPunct/>
                    <w:topLinePunct w:val="0"/>
                    <w:autoSpaceDE/>
                    <w:autoSpaceDN/>
                    <w:bidi w:val="0"/>
                    <w:adjustRightInd/>
                    <w:snapToGrid/>
                    <w:spacing w:before="52" w:line="340" w:lineRule="exact"/>
                    <w:ind w:left="688" w:leftChars="0"/>
                    <w:textAlignment w:val="auto"/>
                    <w:rPr>
                      <w:color w:val="auto"/>
                      <w:spacing w:val="8"/>
                      <w:sz w:val="21"/>
                      <w:szCs w:val="21"/>
                    </w:rPr>
                  </w:pPr>
                  <w:r>
                    <w:rPr>
                      <w:color w:val="auto"/>
                      <w:spacing w:val="8"/>
                      <w:sz w:val="21"/>
                      <w:szCs w:val="21"/>
                    </w:rPr>
                    <w:t>一次性使用橡胶外科手套</w:t>
                  </w:r>
                </w:p>
              </w:tc>
              <w:tc>
                <w:tcPr>
                  <w:tcW w:w="1210" w:type="pct"/>
                  <w:tcBorders>
                    <w:tl2br w:val="nil"/>
                    <w:tr2bl w:val="nil"/>
                  </w:tcBorders>
                  <w:noWrap w:val="0"/>
                  <w:vAlign w:val="top"/>
                </w:tcPr>
                <w:p w14:paraId="3B0676EE">
                  <w:pPr>
                    <w:pStyle w:val="30"/>
                    <w:keepNext w:val="0"/>
                    <w:keepLines w:val="0"/>
                    <w:pageBreakBefore w:val="0"/>
                    <w:widowControl w:val="0"/>
                    <w:kinsoku/>
                    <w:wordWrap/>
                    <w:overflowPunct/>
                    <w:topLinePunct w:val="0"/>
                    <w:autoSpaceDE/>
                    <w:autoSpaceDN/>
                    <w:bidi w:val="0"/>
                    <w:adjustRightInd/>
                    <w:snapToGrid/>
                    <w:spacing w:before="52" w:line="340" w:lineRule="exact"/>
                    <w:ind w:left="925" w:leftChars="0"/>
                    <w:textAlignment w:val="auto"/>
                    <w:rPr>
                      <w:color w:val="auto"/>
                      <w:spacing w:val="2"/>
                      <w:sz w:val="21"/>
                      <w:szCs w:val="21"/>
                    </w:rPr>
                  </w:pPr>
                  <w:r>
                    <w:rPr>
                      <w:color w:val="auto"/>
                      <w:spacing w:val="2"/>
                      <w:sz w:val="21"/>
                      <w:szCs w:val="21"/>
                    </w:rPr>
                    <w:t>万双</w:t>
                  </w:r>
                </w:p>
              </w:tc>
              <w:tc>
                <w:tcPr>
                  <w:tcW w:w="1133" w:type="pct"/>
                  <w:tcBorders>
                    <w:tl2br w:val="nil"/>
                    <w:tr2bl w:val="nil"/>
                  </w:tcBorders>
                  <w:noWrap w:val="0"/>
                  <w:vAlign w:val="top"/>
                </w:tcPr>
                <w:p w14:paraId="1E4A9035">
                  <w:pPr>
                    <w:keepNext w:val="0"/>
                    <w:keepLines w:val="0"/>
                    <w:pageBreakBefore w:val="0"/>
                    <w:widowControl w:val="0"/>
                    <w:kinsoku/>
                    <w:wordWrap/>
                    <w:overflowPunct/>
                    <w:topLinePunct w:val="0"/>
                    <w:autoSpaceDE/>
                    <w:autoSpaceDN/>
                    <w:bidi w:val="0"/>
                    <w:adjustRightInd/>
                    <w:snapToGrid/>
                    <w:spacing w:before="88" w:line="340" w:lineRule="exact"/>
                    <w:ind w:left="954" w:left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r>
            <w:tr w14:paraId="2DB62BF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9" w:type="pct"/>
                  <w:vMerge w:val="continue"/>
                  <w:tcBorders>
                    <w:tl2br w:val="nil"/>
                    <w:tr2bl w:val="nil"/>
                  </w:tcBorders>
                  <w:noWrap w:val="0"/>
                  <w:vAlign w:val="top"/>
                </w:tcPr>
                <w:p w14:paraId="79FCE99F">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75E0357E">
                  <w:pPr>
                    <w:pStyle w:val="30"/>
                    <w:keepNext w:val="0"/>
                    <w:keepLines w:val="0"/>
                    <w:pageBreakBefore w:val="0"/>
                    <w:widowControl w:val="0"/>
                    <w:kinsoku/>
                    <w:wordWrap/>
                    <w:overflowPunct/>
                    <w:topLinePunct w:val="0"/>
                    <w:autoSpaceDE/>
                    <w:autoSpaceDN/>
                    <w:bidi w:val="0"/>
                    <w:adjustRightInd/>
                    <w:snapToGrid/>
                    <w:spacing w:before="54" w:line="340" w:lineRule="exact"/>
                    <w:ind w:left="794" w:leftChars="0"/>
                    <w:textAlignment w:val="auto"/>
                    <w:rPr>
                      <w:color w:val="auto"/>
                      <w:spacing w:val="8"/>
                      <w:sz w:val="21"/>
                      <w:szCs w:val="21"/>
                    </w:rPr>
                  </w:pPr>
                  <w:r>
                    <w:rPr>
                      <w:color w:val="auto"/>
                      <w:spacing w:val="8"/>
                      <w:sz w:val="21"/>
                      <w:szCs w:val="21"/>
                    </w:rPr>
                    <w:t>一次性使用无菌注射针</w:t>
                  </w:r>
                </w:p>
              </w:tc>
              <w:tc>
                <w:tcPr>
                  <w:tcW w:w="1210" w:type="pct"/>
                  <w:tcBorders>
                    <w:tl2br w:val="nil"/>
                    <w:tr2bl w:val="nil"/>
                  </w:tcBorders>
                  <w:noWrap w:val="0"/>
                  <w:vAlign w:val="top"/>
                </w:tcPr>
                <w:p w14:paraId="2FCE6605">
                  <w:pPr>
                    <w:pStyle w:val="30"/>
                    <w:keepNext w:val="0"/>
                    <w:keepLines w:val="0"/>
                    <w:pageBreakBefore w:val="0"/>
                    <w:widowControl w:val="0"/>
                    <w:kinsoku/>
                    <w:wordWrap/>
                    <w:overflowPunct/>
                    <w:topLinePunct w:val="0"/>
                    <w:autoSpaceDE/>
                    <w:autoSpaceDN/>
                    <w:bidi w:val="0"/>
                    <w:adjustRightInd/>
                    <w:snapToGrid/>
                    <w:spacing w:before="54" w:line="340" w:lineRule="exact"/>
                    <w:ind w:left="925" w:leftChars="0"/>
                    <w:textAlignment w:val="auto"/>
                    <w:rPr>
                      <w:color w:val="auto"/>
                      <w:spacing w:val="2"/>
                      <w:sz w:val="21"/>
                      <w:szCs w:val="21"/>
                    </w:rPr>
                  </w:pPr>
                  <w:r>
                    <w:rPr>
                      <w:color w:val="auto"/>
                      <w:spacing w:val="2"/>
                      <w:sz w:val="21"/>
                      <w:szCs w:val="21"/>
                    </w:rPr>
                    <w:t>万个</w:t>
                  </w:r>
                </w:p>
              </w:tc>
              <w:tc>
                <w:tcPr>
                  <w:tcW w:w="1133" w:type="pct"/>
                  <w:tcBorders>
                    <w:tl2br w:val="nil"/>
                    <w:tr2bl w:val="nil"/>
                  </w:tcBorders>
                  <w:noWrap w:val="0"/>
                  <w:vAlign w:val="top"/>
                </w:tcPr>
                <w:p w14:paraId="6DD4E1F4">
                  <w:pPr>
                    <w:keepNext w:val="0"/>
                    <w:keepLines w:val="0"/>
                    <w:pageBreakBefore w:val="0"/>
                    <w:widowControl w:val="0"/>
                    <w:kinsoku/>
                    <w:wordWrap/>
                    <w:overflowPunct/>
                    <w:topLinePunct w:val="0"/>
                    <w:autoSpaceDE/>
                    <w:autoSpaceDN/>
                    <w:bidi w:val="0"/>
                    <w:adjustRightInd/>
                    <w:snapToGrid/>
                    <w:spacing w:before="91" w:line="340" w:lineRule="exact"/>
                    <w:ind w:left="947" w:left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3"/>
                      <w:sz w:val="21"/>
                      <w:szCs w:val="21"/>
                      <w:lang w:val="en-US" w:eastAsia="zh-CN"/>
                    </w:rPr>
                    <w:t>15</w:t>
                  </w:r>
                </w:p>
              </w:tc>
            </w:tr>
            <w:tr w14:paraId="7936DB5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9" w:type="pct"/>
                  <w:vMerge w:val="continue"/>
                  <w:tcBorders>
                    <w:tl2br w:val="nil"/>
                    <w:tr2bl w:val="nil"/>
                  </w:tcBorders>
                  <w:noWrap w:val="0"/>
                  <w:vAlign w:val="top"/>
                </w:tcPr>
                <w:p w14:paraId="5181C32C">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1879E1BA">
                  <w:pPr>
                    <w:pStyle w:val="30"/>
                    <w:keepNext w:val="0"/>
                    <w:keepLines w:val="0"/>
                    <w:pageBreakBefore w:val="0"/>
                    <w:widowControl w:val="0"/>
                    <w:kinsoku/>
                    <w:wordWrap/>
                    <w:overflowPunct/>
                    <w:topLinePunct w:val="0"/>
                    <w:autoSpaceDE/>
                    <w:autoSpaceDN/>
                    <w:bidi w:val="0"/>
                    <w:adjustRightInd/>
                    <w:snapToGrid/>
                    <w:spacing w:before="54" w:line="340" w:lineRule="exact"/>
                    <w:ind w:left="897" w:leftChars="0"/>
                    <w:textAlignment w:val="auto"/>
                    <w:rPr>
                      <w:color w:val="auto"/>
                      <w:spacing w:val="8"/>
                      <w:sz w:val="21"/>
                      <w:szCs w:val="21"/>
                    </w:rPr>
                  </w:pPr>
                  <w:r>
                    <w:rPr>
                      <w:color w:val="auto"/>
                      <w:spacing w:val="8"/>
                      <w:sz w:val="21"/>
                      <w:szCs w:val="21"/>
                    </w:rPr>
                    <w:t>一次性使用雾化面罩</w:t>
                  </w:r>
                </w:p>
              </w:tc>
              <w:tc>
                <w:tcPr>
                  <w:tcW w:w="1210" w:type="pct"/>
                  <w:tcBorders>
                    <w:tl2br w:val="nil"/>
                    <w:tr2bl w:val="nil"/>
                  </w:tcBorders>
                  <w:noWrap w:val="0"/>
                  <w:vAlign w:val="top"/>
                </w:tcPr>
                <w:p w14:paraId="23D5B947">
                  <w:pPr>
                    <w:pStyle w:val="30"/>
                    <w:keepNext w:val="0"/>
                    <w:keepLines w:val="0"/>
                    <w:pageBreakBefore w:val="0"/>
                    <w:widowControl w:val="0"/>
                    <w:kinsoku/>
                    <w:wordWrap/>
                    <w:overflowPunct/>
                    <w:topLinePunct w:val="0"/>
                    <w:autoSpaceDE/>
                    <w:autoSpaceDN/>
                    <w:bidi w:val="0"/>
                    <w:adjustRightInd/>
                    <w:snapToGrid/>
                    <w:spacing w:before="54" w:line="340" w:lineRule="exact"/>
                    <w:ind w:left="1026" w:leftChars="0"/>
                    <w:textAlignment w:val="auto"/>
                    <w:rPr>
                      <w:color w:val="auto"/>
                      <w:spacing w:val="2"/>
                      <w:sz w:val="21"/>
                      <w:szCs w:val="21"/>
                    </w:rPr>
                  </w:pPr>
                  <w:r>
                    <w:rPr>
                      <w:color w:val="auto"/>
                      <w:sz w:val="21"/>
                      <w:szCs w:val="21"/>
                    </w:rPr>
                    <w:t>个</w:t>
                  </w:r>
                </w:p>
              </w:tc>
              <w:tc>
                <w:tcPr>
                  <w:tcW w:w="1133" w:type="pct"/>
                  <w:tcBorders>
                    <w:tl2br w:val="nil"/>
                    <w:tr2bl w:val="nil"/>
                  </w:tcBorders>
                  <w:noWrap w:val="0"/>
                  <w:vAlign w:val="top"/>
                </w:tcPr>
                <w:p w14:paraId="18640511">
                  <w:pPr>
                    <w:keepNext w:val="0"/>
                    <w:keepLines w:val="0"/>
                    <w:pageBreakBefore w:val="0"/>
                    <w:widowControl w:val="0"/>
                    <w:kinsoku/>
                    <w:wordWrap/>
                    <w:overflowPunct/>
                    <w:topLinePunct w:val="0"/>
                    <w:autoSpaceDE/>
                    <w:autoSpaceDN/>
                    <w:bidi w:val="0"/>
                    <w:adjustRightInd/>
                    <w:snapToGrid/>
                    <w:spacing w:before="90" w:line="340" w:lineRule="exact"/>
                    <w:ind w:left="851" w:left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2"/>
                      <w:sz w:val="21"/>
                      <w:szCs w:val="21"/>
                      <w:lang w:val="en-US" w:eastAsia="zh-CN"/>
                    </w:rPr>
                    <w:t>2000</w:t>
                  </w:r>
                </w:p>
              </w:tc>
            </w:tr>
            <w:tr w14:paraId="10CED26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9" w:type="pct"/>
                  <w:vMerge w:val="continue"/>
                  <w:tcBorders>
                    <w:tl2br w:val="nil"/>
                    <w:tr2bl w:val="nil"/>
                  </w:tcBorders>
                  <w:noWrap w:val="0"/>
                  <w:vAlign w:val="top"/>
                </w:tcPr>
                <w:p w14:paraId="23C21F31">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5BA7EE61">
                  <w:pPr>
                    <w:pStyle w:val="30"/>
                    <w:keepNext w:val="0"/>
                    <w:keepLines w:val="0"/>
                    <w:pageBreakBefore w:val="0"/>
                    <w:widowControl w:val="0"/>
                    <w:kinsoku/>
                    <w:wordWrap/>
                    <w:overflowPunct/>
                    <w:topLinePunct w:val="0"/>
                    <w:autoSpaceDE/>
                    <w:autoSpaceDN/>
                    <w:bidi w:val="0"/>
                    <w:adjustRightInd/>
                    <w:snapToGrid/>
                    <w:spacing w:before="55" w:line="340" w:lineRule="exact"/>
                    <w:ind w:left="1003" w:leftChars="0"/>
                    <w:textAlignment w:val="auto"/>
                    <w:rPr>
                      <w:color w:val="auto"/>
                      <w:spacing w:val="8"/>
                      <w:sz w:val="21"/>
                      <w:szCs w:val="21"/>
                    </w:rPr>
                  </w:pPr>
                  <w:r>
                    <w:rPr>
                      <w:color w:val="auto"/>
                      <w:spacing w:val="8"/>
                      <w:sz w:val="21"/>
                      <w:szCs w:val="21"/>
                    </w:rPr>
                    <w:t>一次性使用防护服</w:t>
                  </w:r>
                </w:p>
              </w:tc>
              <w:tc>
                <w:tcPr>
                  <w:tcW w:w="1210" w:type="pct"/>
                  <w:tcBorders>
                    <w:tl2br w:val="nil"/>
                    <w:tr2bl w:val="nil"/>
                  </w:tcBorders>
                  <w:noWrap w:val="0"/>
                  <w:vAlign w:val="top"/>
                </w:tcPr>
                <w:p w14:paraId="6A8F709C">
                  <w:pPr>
                    <w:pStyle w:val="30"/>
                    <w:keepNext w:val="0"/>
                    <w:keepLines w:val="0"/>
                    <w:pageBreakBefore w:val="0"/>
                    <w:widowControl w:val="0"/>
                    <w:kinsoku/>
                    <w:wordWrap/>
                    <w:overflowPunct/>
                    <w:topLinePunct w:val="0"/>
                    <w:autoSpaceDE/>
                    <w:autoSpaceDN/>
                    <w:bidi w:val="0"/>
                    <w:adjustRightInd/>
                    <w:snapToGrid/>
                    <w:spacing w:before="55" w:line="340" w:lineRule="exact"/>
                    <w:ind w:left="1026" w:leftChars="0"/>
                    <w:textAlignment w:val="auto"/>
                    <w:rPr>
                      <w:color w:val="auto"/>
                      <w:spacing w:val="2"/>
                      <w:sz w:val="21"/>
                      <w:szCs w:val="21"/>
                    </w:rPr>
                  </w:pPr>
                  <w:r>
                    <w:rPr>
                      <w:color w:val="auto"/>
                      <w:sz w:val="21"/>
                      <w:szCs w:val="21"/>
                    </w:rPr>
                    <w:t>套</w:t>
                  </w:r>
                </w:p>
              </w:tc>
              <w:tc>
                <w:tcPr>
                  <w:tcW w:w="1133" w:type="pct"/>
                  <w:tcBorders>
                    <w:tl2br w:val="nil"/>
                    <w:tr2bl w:val="nil"/>
                  </w:tcBorders>
                  <w:noWrap w:val="0"/>
                  <w:vAlign w:val="top"/>
                </w:tcPr>
                <w:p w14:paraId="367690A2">
                  <w:pPr>
                    <w:keepNext w:val="0"/>
                    <w:keepLines w:val="0"/>
                    <w:pageBreakBefore w:val="0"/>
                    <w:widowControl w:val="0"/>
                    <w:kinsoku/>
                    <w:wordWrap/>
                    <w:overflowPunct/>
                    <w:topLinePunct w:val="0"/>
                    <w:autoSpaceDE/>
                    <w:autoSpaceDN/>
                    <w:bidi w:val="0"/>
                    <w:adjustRightInd/>
                    <w:snapToGrid/>
                    <w:spacing w:before="91" w:line="340" w:lineRule="exact"/>
                    <w:ind w:left="851" w:left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2"/>
                      <w:sz w:val="21"/>
                      <w:szCs w:val="21"/>
                      <w:lang w:val="en-US" w:eastAsia="zh-CN"/>
                    </w:rPr>
                    <w:t>2000</w:t>
                  </w:r>
                </w:p>
              </w:tc>
            </w:tr>
            <w:tr w14:paraId="31F7C45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9" w:type="pct"/>
                  <w:vMerge w:val="continue"/>
                  <w:tcBorders>
                    <w:tl2br w:val="nil"/>
                    <w:tr2bl w:val="nil"/>
                  </w:tcBorders>
                  <w:noWrap w:val="0"/>
                  <w:vAlign w:val="top"/>
                </w:tcPr>
                <w:p w14:paraId="0DA51604">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3895DFB3">
                  <w:pPr>
                    <w:pStyle w:val="30"/>
                    <w:keepNext w:val="0"/>
                    <w:keepLines w:val="0"/>
                    <w:pageBreakBefore w:val="0"/>
                    <w:widowControl w:val="0"/>
                    <w:kinsoku/>
                    <w:wordWrap/>
                    <w:overflowPunct/>
                    <w:topLinePunct w:val="0"/>
                    <w:autoSpaceDE/>
                    <w:autoSpaceDN/>
                    <w:bidi w:val="0"/>
                    <w:adjustRightInd/>
                    <w:snapToGrid/>
                    <w:spacing w:before="55" w:line="340" w:lineRule="exact"/>
                    <w:ind w:left="1216" w:leftChars="0"/>
                    <w:textAlignment w:val="auto"/>
                    <w:rPr>
                      <w:color w:val="auto"/>
                      <w:spacing w:val="8"/>
                      <w:sz w:val="21"/>
                      <w:szCs w:val="21"/>
                    </w:rPr>
                  </w:pPr>
                  <w:r>
                    <w:rPr>
                      <w:color w:val="auto"/>
                      <w:spacing w:val="7"/>
                      <w:sz w:val="21"/>
                      <w:szCs w:val="21"/>
                    </w:rPr>
                    <w:t>免洗手消毒液</w:t>
                  </w:r>
                </w:p>
              </w:tc>
              <w:tc>
                <w:tcPr>
                  <w:tcW w:w="1210" w:type="pct"/>
                  <w:tcBorders>
                    <w:tl2br w:val="nil"/>
                    <w:tr2bl w:val="nil"/>
                  </w:tcBorders>
                  <w:noWrap w:val="0"/>
                  <w:vAlign w:val="top"/>
                </w:tcPr>
                <w:p w14:paraId="1EE924B3">
                  <w:pPr>
                    <w:pStyle w:val="30"/>
                    <w:keepNext w:val="0"/>
                    <w:keepLines w:val="0"/>
                    <w:pageBreakBefore w:val="0"/>
                    <w:widowControl w:val="0"/>
                    <w:kinsoku/>
                    <w:wordWrap/>
                    <w:overflowPunct/>
                    <w:topLinePunct w:val="0"/>
                    <w:autoSpaceDE/>
                    <w:autoSpaceDN/>
                    <w:bidi w:val="0"/>
                    <w:adjustRightInd/>
                    <w:snapToGrid/>
                    <w:spacing w:before="56" w:line="340" w:lineRule="exact"/>
                    <w:ind w:left="1026" w:leftChars="0"/>
                    <w:textAlignment w:val="auto"/>
                    <w:rPr>
                      <w:color w:val="auto"/>
                      <w:spacing w:val="2"/>
                      <w:sz w:val="21"/>
                      <w:szCs w:val="21"/>
                    </w:rPr>
                  </w:pPr>
                  <w:r>
                    <w:rPr>
                      <w:color w:val="auto"/>
                      <w:sz w:val="21"/>
                      <w:szCs w:val="21"/>
                    </w:rPr>
                    <w:t>瓶</w:t>
                  </w:r>
                </w:p>
              </w:tc>
              <w:tc>
                <w:tcPr>
                  <w:tcW w:w="1133" w:type="pct"/>
                  <w:tcBorders>
                    <w:tl2br w:val="nil"/>
                    <w:tr2bl w:val="nil"/>
                  </w:tcBorders>
                  <w:noWrap w:val="0"/>
                  <w:vAlign w:val="top"/>
                </w:tcPr>
                <w:p w14:paraId="4CE7D815">
                  <w:pPr>
                    <w:keepNext w:val="0"/>
                    <w:keepLines w:val="0"/>
                    <w:pageBreakBefore w:val="0"/>
                    <w:widowControl w:val="0"/>
                    <w:kinsoku/>
                    <w:wordWrap/>
                    <w:overflowPunct/>
                    <w:topLinePunct w:val="0"/>
                    <w:autoSpaceDE/>
                    <w:autoSpaceDN/>
                    <w:bidi w:val="0"/>
                    <w:adjustRightInd/>
                    <w:snapToGrid/>
                    <w:spacing w:before="91" w:line="340" w:lineRule="exact"/>
                    <w:ind w:left="845" w:left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3"/>
                      <w:sz w:val="21"/>
                      <w:szCs w:val="21"/>
                      <w:lang w:val="en-US" w:eastAsia="zh-CN"/>
                    </w:rPr>
                    <w:t>800</w:t>
                  </w:r>
                </w:p>
              </w:tc>
            </w:tr>
            <w:tr w14:paraId="28CECFE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9" w:type="pct"/>
                  <w:vMerge w:val="continue"/>
                  <w:tcBorders>
                    <w:tl2br w:val="nil"/>
                    <w:tr2bl w:val="nil"/>
                  </w:tcBorders>
                  <w:noWrap w:val="0"/>
                  <w:vAlign w:val="top"/>
                </w:tcPr>
                <w:p w14:paraId="2770ECEA">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5310A634">
                  <w:pPr>
                    <w:pStyle w:val="30"/>
                    <w:keepNext w:val="0"/>
                    <w:keepLines w:val="0"/>
                    <w:pageBreakBefore w:val="0"/>
                    <w:widowControl w:val="0"/>
                    <w:kinsoku/>
                    <w:wordWrap/>
                    <w:overflowPunct/>
                    <w:topLinePunct w:val="0"/>
                    <w:autoSpaceDE/>
                    <w:autoSpaceDN/>
                    <w:bidi w:val="0"/>
                    <w:adjustRightInd/>
                    <w:snapToGrid/>
                    <w:spacing w:before="56" w:line="340" w:lineRule="exact"/>
                    <w:ind w:left="1353" w:leftChars="0"/>
                    <w:textAlignment w:val="auto"/>
                    <w:rPr>
                      <w:color w:val="auto"/>
                      <w:spacing w:val="8"/>
                      <w:sz w:val="21"/>
                      <w:szCs w:val="21"/>
                    </w:rPr>
                  </w:pPr>
                  <w:r>
                    <w:rPr>
                      <w:color w:val="auto"/>
                      <w:spacing w:val="4"/>
                      <w:sz w:val="21"/>
                      <w:szCs w:val="21"/>
                    </w:rPr>
                    <w:t>消毒液</w:t>
                  </w:r>
                </w:p>
              </w:tc>
              <w:tc>
                <w:tcPr>
                  <w:tcW w:w="1210" w:type="pct"/>
                  <w:tcBorders>
                    <w:tl2br w:val="nil"/>
                    <w:tr2bl w:val="nil"/>
                  </w:tcBorders>
                  <w:noWrap w:val="0"/>
                  <w:vAlign w:val="top"/>
                </w:tcPr>
                <w:p w14:paraId="0C55FB23">
                  <w:pPr>
                    <w:pStyle w:val="30"/>
                    <w:keepNext w:val="0"/>
                    <w:keepLines w:val="0"/>
                    <w:pageBreakBefore w:val="0"/>
                    <w:widowControl w:val="0"/>
                    <w:kinsoku/>
                    <w:wordWrap/>
                    <w:overflowPunct/>
                    <w:topLinePunct w:val="0"/>
                    <w:autoSpaceDE/>
                    <w:autoSpaceDN/>
                    <w:bidi w:val="0"/>
                    <w:adjustRightInd/>
                    <w:snapToGrid/>
                    <w:spacing w:before="56" w:line="340" w:lineRule="exact"/>
                    <w:ind w:left="1026" w:leftChars="0"/>
                    <w:textAlignment w:val="auto"/>
                    <w:rPr>
                      <w:color w:val="auto"/>
                      <w:spacing w:val="2"/>
                      <w:sz w:val="21"/>
                      <w:szCs w:val="21"/>
                    </w:rPr>
                  </w:pPr>
                  <w:r>
                    <w:rPr>
                      <w:color w:val="auto"/>
                      <w:sz w:val="21"/>
                      <w:szCs w:val="21"/>
                    </w:rPr>
                    <w:t>瓶</w:t>
                  </w:r>
                </w:p>
              </w:tc>
              <w:tc>
                <w:tcPr>
                  <w:tcW w:w="1133" w:type="pct"/>
                  <w:tcBorders>
                    <w:tl2br w:val="nil"/>
                    <w:tr2bl w:val="nil"/>
                  </w:tcBorders>
                  <w:noWrap w:val="0"/>
                  <w:vAlign w:val="top"/>
                </w:tcPr>
                <w:p w14:paraId="2C310652">
                  <w:pPr>
                    <w:keepNext w:val="0"/>
                    <w:keepLines w:val="0"/>
                    <w:pageBreakBefore w:val="0"/>
                    <w:widowControl w:val="0"/>
                    <w:kinsoku/>
                    <w:wordWrap/>
                    <w:overflowPunct/>
                    <w:topLinePunct w:val="0"/>
                    <w:autoSpaceDE/>
                    <w:autoSpaceDN/>
                    <w:bidi w:val="0"/>
                    <w:adjustRightInd/>
                    <w:snapToGrid/>
                    <w:spacing w:before="92" w:line="340" w:lineRule="exact"/>
                    <w:ind w:left="849" w:left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2"/>
                      <w:sz w:val="21"/>
                      <w:szCs w:val="21"/>
                      <w:lang w:val="en-US" w:eastAsia="zh-CN"/>
                    </w:rPr>
                    <w:t>1500</w:t>
                  </w:r>
                </w:p>
              </w:tc>
            </w:tr>
            <w:tr w14:paraId="394B3FB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9" w:type="pct"/>
                  <w:vMerge w:val="continue"/>
                  <w:tcBorders>
                    <w:tl2br w:val="nil"/>
                    <w:tr2bl w:val="nil"/>
                  </w:tcBorders>
                  <w:noWrap w:val="0"/>
                  <w:vAlign w:val="top"/>
                </w:tcPr>
                <w:p w14:paraId="24DCFEF8">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06012522">
                  <w:pPr>
                    <w:pStyle w:val="30"/>
                    <w:keepNext w:val="0"/>
                    <w:keepLines w:val="0"/>
                    <w:pageBreakBefore w:val="0"/>
                    <w:widowControl w:val="0"/>
                    <w:kinsoku/>
                    <w:wordWrap/>
                    <w:overflowPunct/>
                    <w:topLinePunct w:val="0"/>
                    <w:autoSpaceDE/>
                    <w:autoSpaceDN/>
                    <w:bidi w:val="0"/>
                    <w:adjustRightInd/>
                    <w:snapToGrid/>
                    <w:spacing w:before="56" w:line="340" w:lineRule="exact"/>
                    <w:ind w:left="1317" w:leftChars="0"/>
                    <w:textAlignment w:val="auto"/>
                    <w:rPr>
                      <w:color w:val="auto"/>
                      <w:spacing w:val="8"/>
                      <w:sz w:val="21"/>
                      <w:szCs w:val="21"/>
                    </w:rPr>
                  </w:pPr>
                  <w:r>
                    <w:rPr>
                      <w:color w:val="auto"/>
                      <w:spacing w:val="7"/>
                      <w:sz w:val="21"/>
                      <w:szCs w:val="21"/>
                    </w:rPr>
                    <w:t>一次性口罩</w:t>
                  </w:r>
                </w:p>
              </w:tc>
              <w:tc>
                <w:tcPr>
                  <w:tcW w:w="1210" w:type="pct"/>
                  <w:tcBorders>
                    <w:tl2br w:val="nil"/>
                    <w:tr2bl w:val="nil"/>
                  </w:tcBorders>
                  <w:noWrap w:val="0"/>
                  <w:vAlign w:val="top"/>
                </w:tcPr>
                <w:p w14:paraId="5470892B">
                  <w:pPr>
                    <w:pStyle w:val="30"/>
                    <w:keepNext w:val="0"/>
                    <w:keepLines w:val="0"/>
                    <w:pageBreakBefore w:val="0"/>
                    <w:widowControl w:val="0"/>
                    <w:kinsoku/>
                    <w:wordWrap/>
                    <w:overflowPunct/>
                    <w:topLinePunct w:val="0"/>
                    <w:autoSpaceDE/>
                    <w:autoSpaceDN/>
                    <w:bidi w:val="0"/>
                    <w:adjustRightInd/>
                    <w:snapToGrid/>
                    <w:spacing w:before="56" w:line="340" w:lineRule="exact"/>
                    <w:ind w:left="925" w:leftChars="0"/>
                    <w:textAlignment w:val="auto"/>
                    <w:rPr>
                      <w:color w:val="auto"/>
                      <w:spacing w:val="2"/>
                      <w:sz w:val="21"/>
                      <w:szCs w:val="21"/>
                    </w:rPr>
                  </w:pPr>
                  <w:r>
                    <w:rPr>
                      <w:color w:val="auto"/>
                      <w:spacing w:val="2"/>
                      <w:sz w:val="21"/>
                      <w:szCs w:val="21"/>
                    </w:rPr>
                    <w:t>万个</w:t>
                  </w:r>
                </w:p>
              </w:tc>
              <w:tc>
                <w:tcPr>
                  <w:tcW w:w="1133" w:type="pct"/>
                  <w:tcBorders>
                    <w:tl2br w:val="nil"/>
                    <w:tr2bl w:val="nil"/>
                  </w:tcBorders>
                  <w:noWrap w:val="0"/>
                  <w:vAlign w:val="top"/>
                </w:tcPr>
                <w:p w14:paraId="7999BADD">
                  <w:pPr>
                    <w:keepNext w:val="0"/>
                    <w:keepLines w:val="0"/>
                    <w:pageBreakBefore w:val="0"/>
                    <w:widowControl w:val="0"/>
                    <w:kinsoku/>
                    <w:wordWrap/>
                    <w:overflowPunct/>
                    <w:topLinePunct w:val="0"/>
                    <w:autoSpaceDE/>
                    <w:autoSpaceDN/>
                    <w:bidi w:val="0"/>
                    <w:adjustRightInd/>
                    <w:snapToGrid/>
                    <w:spacing w:before="93" w:line="340" w:lineRule="exact"/>
                    <w:ind w:left="953" w:left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r>
            <w:tr w14:paraId="7F50E88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9" w:type="pct"/>
                  <w:vMerge w:val="restart"/>
                  <w:tcBorders>
                    <w:tl2br w:val="nil"/>
                    <w:tr2bl w:val="nil"/>
                  </w:tcBorders>
                  <w:noWrap w:val="0"/>
                  <w:vAlign w:val="top"/>
                </w:tcPr>
                <w:p w14:paraId="31BE36E2">
                  <w:pPr>
                    <w:pStyle w:val="30"/>
                    <w:spacing w:before="65" w:line="228" w:lineRule="auto"/>
                    <w:rPr>
                      <w:rFonts w:ascii="Arial"/>
                      <w:color w:val="auto"/>
                      <w:sz w:val="21"/>
                      <w:szCs w:val="21"/>
                    </w:rPr>
                  </w:pPr>
                  <w:r>
                    <w:rPr>
                      <w:rFonts w:ascii="宋体" w:hAnsi="宋体" w:eastAsia="宋体" w:cs="宋体"/>
                      <w:color w:val="auto"/>
                      <w:spacing w:val="3"/>
                      <w:sz w:val="21"/>
                      <w:szCs w:val="21"/>
                    </w:rPr>
                    <w:t>医院消毒试剂</w:t>
                  </w:r>
                </w:p>
              </w:tc>
              <w:tc>
                <w:tcPr>
                  <w:tcW w:w="1976" w:type="pct"/>
                  <w:tcBorders>
                    <w:tl2br w:val="nil"/>
                    <w:tr2bl w:val="nil"/>
                  </w:tcBorders>
                  <w:noWrap w:val="0"/>
                  <w:vAlign w:val="top"/>
                </w:tcPr>
                <w:p w14:paraId="17416185">
                  <w:pPr>
                    <w:pStyle w:val="30"/>
                    <w:keepNext w:val="0"/>
                    <w:keepLines w:val="0"/>
                    <w:pageBreakBefore w:val="0"/>
                    <w:widowControl w:val="0"/>
                    <w:kinsoku/>
                    <w:wordWrap/>
                    <w:overflowPunct/>
                    <w:topLinePunct w:val="0"/>
                    <w:autoSpaceDE/>
                    <w:autoSpaceDN/>
                    <w:bidi w:val="0"/>
                    <w:adjustRightInd/>
                    <w:snapToGrid/>
                    <w:spacing w:before="59" w:line="340" w:lineRule="exact"/>
                    <w:ind w:left="1314" w:leftChars="0"/>
                    <w:textAlignment w:val="auto"/>
                    <w:rPr>
                      <w:color w:val="auto"/>
                      <w:spacing w:val="8"/>
                      <w:sz w:val="21"/>
                      <w:szCs w:val="21"/>
                    </w:rPr>
                  </w:pPr>
                  <w:r>
                    <w:rPr>
                      <w:color w:val="auto"/>
                      <w:spacing w:val="8"/>
                      <w:sz w:val="21"/>
                      <w:szCs w:val="21"/>
                    </w:rPr>
                    <w:t>含氯消毒剂</w:t>
                  </w:r>
                </w:p>
              </w:tc>
              <w:tc>
                <w:tcPr>
                  <w:tcW w:w="1210" w:type="pct"/>
                  <w:tcBorders>
                    <w:tl2br w:val="nil"/>
                    <w:tr2bl w:val="nil"/>
                  </w:tcBorders>
                  <w:noWrap w:val="0"/>
                  <w:vAlign w:val="top"/>
                </w:tcPr>
                <w:p w14:paraId="0A23CCF3">
                  <w:pPr>
                    <w:pStyle w:val="30"/>
                    <w:keepNext w:val="0"/>
                    <w:keepLines w:val="0"/>
                    <w:pageBreakBefore w:val="0"/>
                    <w:widowControl w:val="0"/>
                    <w:kinsoku/>
                    <w:wordWrap/>
                    <w:overflowPunct/>
                    <w:topLinePunct w:val="0"/>
                    <w:autoSpaceDE/>
                    <w:autoSpaceDN/>
                    <w:bidi w:val="0"/>
                    <w:adjustRightInd/>
                    <w:snapToGrid/>
                    <w:spacing w:before="58" w:line="340" w:lineRule="exact"/>
                    <w:ind w:left="1026" w:leftChars="0"/>
                    <w:textAlignment w:val="auto"/>
                    <w:rPr>
                      <w:color w:val="auto"/>
                      <w:spacing w:val="2"/>
                      <w:sz w:val="21"/>
                      <w:szCs w:val="21"/>
                    </w:rPr>
                  </w:pPr>
                  <w:r>
                    <w:rPr>
                      <w:color w:val="auto"/>
                      <w:sz w:val="21"/>
                      <w:szCs w:val="21"/>
                    </w:rPr>
                    <w:t>瓶</w:t>
                  </w:r>
                </w:p>
              </w:tc>
              <w:tc>
                <w:tcPr>
                  <w:tcW w:w="1133" w:type="pct"/>
                  <w:tcBorders>
                    <w:tl2br w:val="nil"/>
                    <w:tr2bl w:val="nil"/>
                  </w:tcBorders>
                  <w:noWrap w:val="0"/>
                  <w:vAlign w:val="top"/>
                </w:tcPr>
                <w:p w14:paraId="5CCEE2A0">
                  <w:pPr>
                    <w:keepNext w:val="0"/>
                    <w:keepLines w:val="0"/>
                    <w:pageBreakBefore w:val="0"/>
                    <w:widowControl w:val="0"/>
                    <w:kinsoku/>
                    <w:wordWrap/>
                    <w:overflowPunct/>
                    <w:topLinePunct w:val="0"/>
                    <w:autoSpaceDE/>
                    <w:autoSpaceDN/>
                    <w:bidi w:val="0"/>
                    <w:adjustRightInd/>
                    <w:snapToGrid/>
                    <w:spacing w:before="95" w:line="34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2"/>
                      <w:sz w:val="21"/>
                      <w:szCs w:val="21"/>
                      <w:lang w:val="en-US" w:eastAsia="zh-CN"/>
                    </w:rPr>
                    <w:t>2000</w:t>
                  </w:r>
                </w:p>
              </w:tc>
            </w:tr>
            <w:tr w14:paraId="11358A1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79" w:type="pct"/>
                  <w:vMerge w:val="continue"/>
                  <w:tcBorders>
                    <w:tl2br w:val="nil"/>
                    <w:tr2bl w:val="nil"/>
                  </w:tcBorders>
                  <w:noWrap w:val="0"/>
                  <w:vAlign w:val="top"/>
                </w:tcPr>
                <w:p w14:paraId="11F7F31A">
                  <w:pPr>
                    <w:keepNext w:val="0"/>
                    <w:keepLines w:val="0"/>
                    <w:pageBreakBefore w:val="0"/>
                    <w:widowControl w:val="0"/>
                    <w:kinsoku/>
                    <w:wordWrap/>
                    <w:overflowPunct/>
                    <w:topLinePunct w:val="0"/>
                    <w:autoSpaceDE/>
                    <w:autoSpaceDN/>
                    <w:bidi w:val="0"/>
                    <w:adjustRightInd/>
                    <w:snapToGrid/>
                    <w:spacing w:line="340" w:lineRule="exact"/>
                    <w:textAlignment w:val="auto"/>
                    <w:rPr>
                      <w:rFonts w:ascii="Arial"/>
                      <w:color w:val="auto"/>
                      <w:sz w:val="21"/>
                      <w:szCs w:val="21"/>
                    </w:rPr>
                  </w:pPr>
                </w:p>
              </w:tc>
              <w:tc>
                <w:tcPr>
                  <w:tcW w:w="1976" w:type="pct"/>
                  <w:tcBorders>
                    <w:tl2br w:val="nil"/>
                    <w:tr2bl w:val="nil"/>
                  </w:tcBorders>
                  <w:noWrap w:val="0"/>
                  <w:vAlign w:val="top"/>
                </w:tcPr>
                <w:p w14:paraId="6A83A5A5">
                  <w:pPr>
                    <w:pStyle w:val="30"/>
                    <w:keepNext w:val="0"/>
                    <w:keepLines w:val="0"/>
                    <w:pageBreakBefore w:val="0"/>
                    <w:widowControl w:val="0"/>
                    <w:kinsoku/>
                    <w:wordWrap/>
                    <w:overflowPunct/>
                    <w:topLinePunct w:val="0"/>
                    <w:autoSpaceDE/>
                    <w:autoSpaceDN/>
                    <w:bidi w:val="0"/>
                    <w:adjustRightInd/>
                    <w:snapToGrid/>
                    <w:spacing w:before="59" w:line="340" w:lineRule="exact"/>
                    <w:ind w:left="1318" w:leftChars="0"/>
                    <w:textAlignment w:val="auto"/>
                    <w:rPr>
                      <w:color w:val="auto"/>
                      <w:spacing w:val="8"/>
                      <w:sz w:val="21"/>
                      <w:szCs w:val="21"/>
                    </w:rPr>
                  </w:pPr>
                  <w:r>
                    <w:rPr>
                      <w:color w:val="auto"/>
                      <w:spacing w:val="7"/>
                      <w:sz w:val="21"/>
                      <w:szCs w:val="21"/>
                    </w:rPr>
                    <w:t>酒精消毒剂</w:t>
                  </w:r>
                </w:p>
              </w:tc>
              <w:tc>
                <w:tcPr>
                  <w:tcW w:w="1210" w:type="pct"/>
                  <w:tcBorders>
                    <w:tl2br w:val="nil"/>
                    <w:tr2bl w:val="nil"/>
                  </w:tcBorders>
                  <w:noWrap w:val="0"/>
                  <w:vAlign w:val="top"/>
                </w:tcPr>
                <w:p w14:paraId="77E0ED88">
                  <w:pPr>
                    <w:keepNext w:val="0"/>
                    <w:keepLines w:val="0"/>
                    <w:pageBreakBefore w:val="0"/>
                    <w:widowControl w:val="0"/>
                    <w:kinsoku/>
                    <w:wordWrap/>
                    <w:overflowPunct/>
                    <w:topLinePunct w:val="0"/>
                    <w:autoSpaceDE/>
                    <w:autoSpaceDN/>
                    <w:bidi w:val="0"/>
                    <w:adjustRightInd/>
                    <w:snapToGrid/>
                    <w:spacing w:before="113" w:line="340" w:lineRule="exact"/>
                    <w:ind w:left="1094" w:leftChars="0"/>
                    <w:textAlignment w:val="auto"/>
                    <w:rPr>
                      <w:color w:val="auto"/>
                      <w:spacing w:val="2"/>
                      <w:sz w:val="21"/>
                      <w:szCs w:val="21"/>
                    </w:rPr>
                  </w:pPr>
                  <w:r>
                    <w:rPr>
                      <w:rFonts w:ascii="Times New Roman" w:hAnsi="Times New Roman" w:eastAsia="Times New Roman" w:cs="Times New Roman"/>
                      <w:color w:val="auto"/>
                      <w:sz w:val="21"/>
                      <w:szCs w:val="21"/>
                    </w:rPr>
                    <w:t>t</w:t>
                  </w:r>
                </w:p>
              </w:tc>
              <w:tc>
                <w:tcPr>
                  <w:tcW w:w="1133" w:type="pct"/>
                  <w:tcBorders>
                    <w:tl2br w:val="nil"/>
                    <w:tr2bl w:val="nil"/>
                  </w:tcBorders>
                  <w:noWrap w:val="0"/>
                  <w:vAlign w:val="top"/>
                </w:tcPr>
                <w:p w14:paraId="04790926">
                  <w:pPr>
                    <w:keepNext w:val="0"/>
                    <w:keepLines w:val="0"/>
                    <w:pageBreakBefore w:val="0"/>
                    <w:widowControl w:val="0"/>
                    <w:kinsoku/>
                    <w:wordWrap/>
                    <w:overflowPunct/>
                    <w:topLinePunct w:val="0"/>
                    <w:autoSpaceDE/>
                    <w:autoSpaceDN/>
                    <w:bidi w:val="0"/>
                    <w:adjustRightInd/>
                    <w:snapToGrid/>
                    <w:spacing w:before="95" w:line="340" w:lineRule="exact"/>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4"/>
                      <w:sz w:val="21"/>
                      <w:szCs w:val="21"/>
                      <w:lang w:val="en-US" w:eastAsia="zh-CN"/>
                    </w:rPr>
                    <w:t>0.8</w:t>
                  </w:r>
                </w:p>
              </w:tc>
            </w:tr>
            <w:tr w14:paraId="616C72E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141" w:type="dxa"/>
                  <w:vMerge w:val="restart"/>
                  <w:tcBorders>
                    <w:tl2br w:val="nil"/>
                    <w:tr2bl w:val="nil"/>
                  </w:tcBorders>
                  <w:noWrap w:val="0"/>
                  <w:vAlign w:val="top"/>
                </w:tcPr>
                <w:p w14:paraId="72D95150">
                  <w:pPr>
                    <w:spacing w:line="245" w:lineRule="auto"/>
                    <w:rPr>
                      <w:rFonts w:ascii="Arial"/>
                      <w:color w:val="auto"/>
                      <w:sz w:val="21"/>
                      <w:szCs w:val="21"/>
                    </w:rPr>
                  </w:pPr>
                </w:p>
                <w:p w14:paraId="75228CC6">
                  <w:pPr>
                    <w:spacing w:line="245" w:lineRule="auto"/>
                    <w:rPr>
                      <w:rFonts w:ascii="Arial"/>
                      <w:color w:val="auto"/>
                      <w:sz w:val="21"/>
                      <w:szCs w:val="21"/>
                    </w:rPr>
                  </w:pPr>
                </w:p>
                <w:p w14:paraId="76A4A853">
                  <w:pPr>
                    <w:pStyle w:val="30"/>
                    <w:spacing w:before="65" w:line="228" w:lineRule="auto"/>
                    <w:ind w:left="430" w:leftChars="0"/>
                    <w:rPr>
                      <w:rFonts w:ascii="Arial"/>
                      <w:color w:val="auto"/>
                      <w:sz w:val="21"/>
                      <w:szCs w:val="21"/>
                    </w:rPr>
                  </w:pPr>
                  <w:r>
                    <w:rPr>
                      <w:color w:val="auto"/>
                      <w:spacing w:val="3"/>
                      <w:sz w:val="21"/>
                      <w:szCs w:val="21"/>
                    </w:rPr>
                    <w:t>辅料</w:t>
                  </w:r>
                </w:p>
              </w:tc>
              <w:tc>
                <w:tcPr>
                  <w:tcW w:w="3320" w:type="dxa"/>
                  <w:tcBorders>
                    <w:tl2br w:val="nil"/>
                    <w:tr2bl w:val="nil"/>
                  </w:tcBorders>
                  <w:noWrap w:val="0"/>
                  <w:vAlign w:val="top"/>
                </w:tcPr>
                <w:p w14:paraId="20504BCD">
                  <w:pPr>
                    <w:spacing w:before="109" w:line="195" w:lineRule="auto"/>
                    <w:ind w:left="1617" w:leftChars="0"/>
                    <w:rPr>
                      <w:color w:val="auto"/>
                      <w:spacing w:val="7"/>
                      <w:sz w:val="21"/>
                      <w:szCs w:val="21"/>
                    </w:rPr>
                  </w:pPr>
                  <w:r>
                    <w:rPr>
                      <w:rFonts w:ascii="Times New Roman" w:hAnsi="Times New Roman" w:eastAsia="Times New Roman" w:cs="Times New Roman"/>
                      <w:color w:val="auto"/>
                      <w:spacing w:val="-1"/>
                      <w:sz w:val="21"/>
                      <w:szCs w:val="21"/>
                    </w:rPr>
                    <w:t>PAM</w:t>
                  </w:r>
                </w:p>
              </w:tc>
              <w:tc>
                <w:tcPr>
                  <w:tcW w:w="2033" w:type="dxa"/>
                  <w:tcBorders>
                    <w:tl2br w:val="nil"/>
                    <w:tr2bl w:val="nil"/>
                  </w:tcBorders>
                  <w:noWrap w:val="0"/>
                  <w:vAlign w:val="top"/>
                </w:tcPr>
                <w:p w14:paraId="25C83263">
                  <w:pPr>
                    <w:spacing w:before="127" w:line="176" w:lineRule="auto"/>
                    <w:ind w:left="1094" w:leftChars="0"/>
                    <w:rPr>
                      <w:rFonts w:ascii="Times New Roman" w:hAnsi="Times New Roman" w:eastAsia="Times New Roman" w:cs="Times New Roman"/>
                      <w:color w:val="auto"/>
                      <w:sz w:val="21"/>
                      <w:szCs w:val="21"/>
                    </w:rPr>
                  </w:pPr>
                  <w:r>
                    <w:rPr>
                      <w:rFonts w:ascii="Times New Roman" w:hAnsi="Times New Roman" w:eastAsia="Times New Roman" w:cs="Times New Roman"/>
                      <w:color w:val="auto"/>
                      <w:sz w:val="21"/>
                      <w:szCs w:val="21"/>
                    </w:rPr>
                    <w:t>t</w:t>
                  </w:r>
                </w:p>
              </w:tc>
              <w:tc>
                <w:tcPr>
                  <w:tcW w:w="1904" w:type="dxa"/>
                  <w:tcBorders>
                    <w:tl2br w:val="nil"/>
                    <w:tr2bl w:val="nil"/>
                  </w:tcBorders>
                  <w:noWrap w:val="0"/>
                  <w:vAlign w:val="top"/>
                </w:tcPr>
                <w:p w14:paraId="13BAF8B3">
                  <w:pPr>
                    <w:spacing w:before="109" w:line="195" w:lineRule="auto"/>
                    <w:jc w:val="center"/>
                    <w:rPr>
                      <w:rFonts w:ascii="Times New Roman" w:hAnsi="Times New Roman" w:eastAsia="Times New Roman" w:cs="Times New Roman"/>
                      <w:color w:val="auto"/>
                      <w:spacing w:val="-4"/>
                      <w:sz w:val="21"/>
                      <w:szCs w:val="21"/>
                    </w:rPr>
                  </w:pPr>
                  <w:r>
                    <w:rPr>
                      <w:rFonts w:hint="eastAsia" w:ascii="Times New Roman" w:hAnsi="Times New Roman" w:eastAsia="宋体" w:cs="Times New Roman"/>
                      <w:color w:val="auto"/>
                      <w:spacing w:val="2"/>
                      <w:sz w:val="21"/>
                      <w:szCs w:val="21"/>
                      <w:lang w:val="en-US" w:eastAsia="zh-CN"/>
                    </w:rPr>
                    <w:t>1</w:t>
                  </w:r>
                  <w:r>
                    <w:rPr>
                      <w:rFonts w:ascii="Times New Roman" w:hAnsi="Times New Roman" w:eastAsia="Times New Roman" w:cs="Times New Roman"/>
                      <w:color w:val="auto"/>
                      <w:spacing w:val="2"/>
                      <w:sz w:val="21"/>
                      <w:szCs w:val="21"/>
                    </w:rPr>
                    <w:t>.0</w:t>
                  </w:r>
                </w:p>
              </w:tc>
            </w:tr>
            <w:tr w14:paraId="250EB82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141" w:type="dxa"/>
                  <w:vMerge w:val="continue"/>
                  <w:tcBorders>
                    <w:tl2br w:val="nil"/>
                    <w:tr2bl w:val="nil"/>
                  </w:tcBorders>
                  <w:noWrap w:val="0"/>
                  <w:vAlign w:val="top"/>
                </w:tcPr>
                <w:p w14:paraId="7889B99E">
                  <w:pPr>
                    <w:rPr>
                      <w:rFonts w:ascii="Arial"/>
                      <w:color w:val="auto"/>
                      <w:sz w:val="21"/>
                      <w:szCs w:val="21"/>
                    </w:rPr>
                  </w:pPr>
                </w:p>
              </w:tc>
              <w:tc>
                <w:tcPr>
                  <w:tcW w:w="3320" w:type="dxa"/>
                  <w:tcBorders>
                    <w:tl2br w:val="nil"/>
                    <w:tr2bl w:val="nil"/>
                  </w:tcBorders>
                  <w:noWrap w:val="0"/>
                  <w:vAlign w:val="top"/>
                </w:tcPr>
                <w:p w14:paraId="48C9E5DE">
                  <w:pPr>
                    <w:pStyle w:val="30"/>
                    <w:spacing w:before="74" w:line="215" w:lineRule="auto"/>
                    <w:ind w:left="1632" w:leftChars="0"/>
                    <w:rPr>
                      <w:color w:val="auto"/>
                      <w:spacing w:val="7"/>
                      <w:sz w:val="21"/>
                      <w:szCs w:val="21"/>
                    </w:rPr>
                  </w:pPr>
                  <w:r>
                    <w:rPr>
                      <w:color w:val="auto"/>
                      <w:spacing w:val="4"/>
                      <w:sz w:val="21"/>
                      <w:szCs w:val="21"/>
                    </w:rPr>
                    <w:t>石灰</w:t>
                  </w:r>
                </w:p>
              </w:tc>
              <w:tc>
                <w:tcPr>
                  <w:tcW w:w="2033" w:type="dxa"/>
                  <w:tcBorders>
                    <w:tl2br w:val="nil"/>
                    <w:tr2bl w:val="nil"/>
                  </w:tcBorders>
                  <w:noWrap w:val="0"/>
                  <w:vAlign w:val="top"/>
                </w:tcPr>
                <w:p w14:paraId="61686737">
                  <w:pPr>
                    <w:spacing w:before="128" w:line="176" w:lineRule="auto"/>
                    <w:ind w:left="1094" w:leftChars="0"/>
                    <w:rPr>
                      <w:rFonts w:ascii="Times New Roman" w:hAnsi="Times New Roman" w:eastAsia="Times New Roman" w:cs="Times New Roman"/>
                      <w:color w:val="auto"/>
                      <w:sz w:val="21"/>
                      <w:szCs w:val="21"/>
                    </w:rPr>
                  </w:pPr>
                  <w:r>
                    <w:rPr>
                      <w:rFonts w:ascii="Times New Roman" w:hAnsi="Times New Roman" w:eastAsia="Times New Roman" w:cs="Times New Roman"/>
                      <w:color w:val="auto"/>
                      <w:sz w:val="21"/>
                      <w:szCs w:val="21"/>
                    </w:rPr>
                    <w:t>t</w:t>
                  </w:r>
                </w:p>
              </w:tc>
              <w:tc>
                <w:tcPr>
                  <w:tcW w:w="1904" w:type="dxa"/>
                  <w:tcBorders>
                    <w:tl2br w:val="nil"/>
                    <w:tr2bl w:val="nil"/>
                  </w:tcBorders>
                  <w:noWrap w:val="0"/>
                  <w:vAlign w:val="top"/>
                </w:tcPr>
                <w:p w14:paraId="7EB33EC9">
                  <w:pPr>
                    <w:spacing w:before="110" w:line="195" w:lineRule="auto"/>
                    <w:jc w:val="center"/>
                    <w:rPr>
                      <w:rFonts w:ascii="Times New Roman" w:hAnsi="Times New Roman" w:eastAsia="Times New Roman" w:cs="Times New Roman"/>
                      <w:color w:val="auto"/>
                      <w:spacing w:val="-4"/>
                      <w:sz w:val="21"/>
                      <w:szCs w:val="21"/>
                    </w:rPr>
                  </w:pPr>
                  <w:r>
                    <w:rPr>
                      <w:rFonts w:ascii="Times New Roman" w:hAnsi="Times New Roman" w:eastAsia="Times New Roman" w:cs="Times New Roman"/>
                      <w:color w:val="auto"/>
                      <w:spacing w:val="-4"/>
                      <w:sz w:val="21"/>
                      <w:szCs w:val="21"/>
                    </w:rPr>
                    <w:t>1.0</w:t>
                  </w:r>
                </w:p>
              </w:tc>
            </w:tr>
            <w:tr w14:paraId="28630F6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141" w:type="dxa"/>
                  <w:vMerge w:val="continue"/>
                  <w:tcBorders>
                    <w:tl2br w:val="nil"/>
                    <w:tr2bl w:val="nil"/>
                  </w:tcBorders>
                  <w:noWrap w:val="0"/>
                  <w:vAlign w:val="top"/>
                </w:tcPr>
                <w:p w14:paraId="55A764E7">
                  <w:pPr>
                    <w:rPr>
                      <w:rFonts w:ascii="Arial"/>
                      <w:color w:val="auto"/>
                      <w:sz w:val="21"/>
                      <w:szCs w:val="21"/>
                    </w:rPr>
                  </w:pPr>
                </w:p>
              </w:tc>
              <w:tc>
                <w:tcPr>
                  <w:tcW w:w="3320" w:type="dxa"/>
                  <w:tcBorders>
                    <w:tl2br w:val="nil"/>
                    <w:tr2bl w:val="nil"/>
                  </w:tcBorders>
                  <w:noWrap w:val="0"/>
                  <w:vAlign w:val="top"/>
                </w:tcPr>
                <w:p w14:paraId="19DFF58F">
                  <w:pPr>
                    <w:pStyle w:val="30"/>
                    <w:spacing w:before="76" w:line="212" w:lineRule="auto"/>
                    <w:ind w:left="1528" w:leftChars="0"/>
                    <w:rPr>
                      <w:color w:val="auto"/>
                      <w:spacing w:val="7"/>
                      <w:sz w:val="21"/>
                      <w:szCs w:val="21"/>
                    </w:rPr>
                  </w:pPr>
                  <w:r>
                    <w:rPr>
                      <w:color w:val="auto"/>
                      <w:spacing w:val="5"/>
                      <w:sz w:val="21"/>
                      <w:szCs w:val="21"/>
                    </w:rPr>
                    <w:t>氯酸钠</w:t>
                  </w:r>
                </w:p>
              </w:tc>
              <w:tc>
                <w:tcPr>
                  <w:tcW w:w="2033" w:type="dxa"/>
                  <w:tcBorders>
                    <w:tl2br w:val="nil"/>
                    <w:tr2bl w:val="nil"/>
                  </w:tcBorders>
                  <w:noWrap w:val="0"/>
                  <w:vAlign w:val="top"/>
                </w:tcPr>
                <w:p w14:paraId="323F7192">
                  <w:pPr>
                    <w:spacing w:before="130" w:line="176" w:lineRule="auto"/>
                    <w:ind w:left="1094" w:leftChars="0"/>
                    <w:rPr>
                      <w:rFonts w:ascii="Times New Roman" w:hAnsi="Times New Roman" w:eastAsia="Times New Roman" w:cs="Times New Roman"/>
                      <w:color w:val="auto"/>
                      <w:sz w:val="21"/>
                      <w:szCs w:val="21"/>
                    </w:rPr>
                  </w:pPr>
                  <w:r>
                    <w:rPr>
                      <w:rFonts w:ascii="Times New Roman" w:hAnsi="Times New Roman" w:eastAsia="Times New Roman" w:cs="Times New Roman"/>
                      <w:color w:val="auto"/>
                      <w:sz w:val="21"/>
                      <w:szCs w:val="21"/>
                    </w:rPr>
                    <w:t>t</w:t>
                  </w:r>
                </w:p>
              </w:tc>
              <w:tc>
                <w:tcPr>
                  <w:tcW w:w="1904" w:type="dxa"/>
                  <w:tcBorders>
                    <w:tl2br w:val="nil"/>
                    <w:tr2bl w:val="nil"/>
                  </w:tcBorders>
                  <w:noWrap w:val="0"/>
                  <w:vAlign w:val="top"/>
                </w:tcPr>
                <w:p w14:paraId="17A1557E">
                  <w:pPr>
                    <w:spacing w:before="112" w:line="195" w:lineRule="auto"/>
                    <w:jc w:val="center"/>
                    <w:rPr>
                      <w:rFonts w:hint="eastAsia" w:ascii="Times New Roman" w:hAnsi="Times New Roman" w:eastAsia="宋体" w:cs="Times New Roman"/>
                      <w:color w:val="auto"/>
                      <w:spacing w:val="-4"/>
                      <w:sz w:val="21"/>
                      <w:szCs w:val="21"/>
                      <w:lang w:eastAsia="zh-CN"/>
                    </w:rPr>
                  </w:pPr>
                  <w:r>
                    <w:rPr>
                      <w:rFonts w:hint="eastAsia" w:ascii="Times New Roman" w:hAnsi="Times New Roman" w:eastAsia="宋体" w:cs="Times New Roman"/>
                      <w:color w:val="auto"/>
                      <w:spacing w:val="1"/>
                      <w:sz w:val="21"/>
                      <w:szCs w:val="21"/>
                      <w:lang w:val="en-US" w:eastAsia="zh-CN"/>
                    </w:rPr>
                    <w:t>2</w:t>
                  </w:r>
                </w:p>
              </w:tc>
            </w:tr>
            <w:tr w14:paraId="1651A38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141" w:type="dxa"/>
                  <w:vMerge w:val="continue"/>
                  <w:tcBorders>
                    <w:tl2br w:val="nil"/>
                    <w:tr2bl w:val="nil"/>
                  </w:tcBorders>
                  <w:noWrap w:val="0"/>
                  <w:vAlign w:val="top"/>
                </w:tcPr>
                <w:p w14:paraId="091E219D">
                  <w:pPr>
                    <w:rPr>
                      <w:rFonts w:ascii="Arial"/>
                      <w:color w:val="auto"/>
                      <w:sz w:val="21"/>
                      <w:szCs w:val="21"/>
                    </w:rPr>
                  </w:pPr>
                </w:p>
              </w:tc>
              <w:tc>
                <w:tcPr>
                  <w:tcW w:w="3320" w:type="dxa"/>
                  <w:tcBorders>
                    <w:tl2br w:val="nil"/>
                    <w:tr2bl w:val="nil"/>
                  </w:tcBorders>
                  <w:noWrap w:val="0"/>
                  <w:vAlign w:val="top"/>
                </w:tcPr>
                <w:p w14:paraId="02BBB83E">
                  <w:pPr>
                    <w:pStyle w:val="30"/>
                    <w:spacing w:before="76" w:line="229" w:lineRule="auto"/>
                    <w:ind w:left="1632" w:leftChars="0"/>
                    <w:rPr>
                      <w:color w:val="auto"/>
                      <w:spacing w:val="7"/>
                      <w:sz w:val="21"/>
                      <w:szCs w:val="21"/>
                    </w:rPr>
                  </w:pPr>
                  <w:r>
                    <w:rPr>
                      <w:color w:val="auto"/>
                      <w:spacing w:val="3"/>
                      <w:sz w:val="21"/>
                      <w:szCs w:val="21"/>
                    </w:rPr>
                    <w:t>盐酸</w:t>
                  </w:r>
                </w:p>
              </w:tc>
              <w:tc>
                <w:tcPr>
                  <w:tcW w:w="2033" w:type="dxa"/>
                  <w:tcBorders>
                    <w:tl2br w:val="nil"/>
                    <w:tr2bl w:val="nil"/>
                  </w:tcBorders>
                  <w:noWrap w:val="0"/>
                  <w:vAlign w:val="top"/>
                </w:tcPr>
                <w:p w14:paraId="676BF403">
                  <w:pPr>
                    <w:spacing w:before="130" w:line="176" w:lineRule="auto"/>
                    <w:ind w:left="1094" w:leftChars="0"/>
                    <w:rPr>
                      <w:rFonts w:ascii="Times New Roman" w:hAnsi="Times New Roman" w:eastAsia="Times New Roman" w:cs="Times New Roman"/>
                      <w:color w:val="auto"/>
                      <w:sz w:val="21"/>
                      <w:szCs w:val="21"/>
                    </w:rPr>
                  </w:pPr>
                  <w:r>
                    <w:rPr>
                      <w:rFonts w:ascii="Times New Roman" w:hAnsi="Times New Roman" w:eastAsia="Times New Roman" w:cs="Times New Roman"/>
                      <w:color w:val="auto"/>
                      <w:sz w:val="21"/>
                      <w:szCs w:val="21"/>
                    </w:rPr>
                    <w:t>t</w:t>
                  </w:r>
                </w:p>
              </w:tc>
              <w:tc>
                <w:tcPr>
                  <w:tcW w:w="1904" w:type="dxa"/>
                  <w:tcBorders>
                    <w:tl2br w:val="nil"/>
                    <w:tr2bl w:val="nil"/>
                  </w:tcBorders>
                  <w:noWrap w:val="0"/>
                  <w:vAlign w:val="top"/>
                </w:tcPr>
                <w:p w14:paraId="43ACD2E3">
                  <w:pPr>
                    <w:spacing w:before="112" w:line="195" w:lineRule="auto"/>
                    <w:jc w:val="center"/>
                    <w:rPr>
                      <w:rFonts w:hint="default" w:ascii="Times New Roman" w:hAnsi="Times New Roman" w:eastAsia="宋体" w:cs="Times New Roman"/>
                      <w:color w:val="auto"/>
                      <w:spacing w:val="-4"/>
                      <w:sz w:val="21"/>
                      <w:szCs w:val="21"/>
                      <w:lang w:val="en-US" w:eastAsia="zh-CN"/>
                    </w:rPr>
                  </w:pPr>
                  <w:r>
                    <w:rPr>
                      <w:rFonts w:hint="eastAsia" w:ascii="Times New Roman" w:hAnsi="Times New Roman" w:eastAsia="宋体" w:cs="Times New Roman"/>
                      <w:color w:val="auto"/>
                      <w:spacing w:val="-4"/>
                      <w:sz w:val="21"/>
                      <w:szCs w:val="21"/>
                      <w:lang w:val="en-US" w:eastAsia="zh-CN"/>
                    </w:rPr>
                    <w:t>3</w:t>
                  </w:r>
                </w:p>
              </w:tc>
            </w:tr>
          </w:tbl>
          <w:p w14:paraId="540B66A7">
            <w:pPr>
              <w:rPr>
                <w:rFonts w:ascii="Arial"/>
                <w:color w:val="auto"/>
                <w:sz w:val="21"/>
              </w:rPr>
            </w:pPr>
          </w:p>
          <w:p w14:paraId="77AADC16">
            <w:pPr>
              <w:pStyle w:val="4"/>
              <w:spacing w:before="120"/>
              <w:rPr>
                <w:rFonts w:hint="default"/>
                <w:color w:val="auto"/>
                <w:lang w:val="en-US" w:eastAsia="zh-CN"/>
              </w:rPr>
            </w:pPr>
            <w:r>
              <w:rPr>
                <w:color w:val="auto"/>
              </w:rPr>
              <w:t>2.2.</w:t>
            </w:r>
            <w:r>
              <w:rPr>
                <w:rFonts w:hint="eastAsia"/>
                <w:color w:val="auto"/>
                <w:lang w:val="en-US" w:eastAsia="zh-CN"/>
              </w:rPr>
              <w:t>5项目水平衡</w:t>
            </w:r>
          </w:p>
          <w:p w14:paraId="149EB425">
            <w:pPr>
              <w:spacing w:line="360" w:lineRule="auto"/>
              <w:ind w:firstLine="480" w:firstLineChars="200"/>
              <w:jc w:val="left"/>
              <w:rPr>
                <w:rFonts w:hint="default" w:eastAsia="宋体"/>
                <w:color w:val="auto"/>
                <w:sz w:val="24"/>
                <w:lang w:val="en-US" w:eastAsia="zh-CN"/>
              </w:rPr>
            </w:pPr>
            <w:r>
              <w:rPr>
                <w:rFonts w:hint="eastAsia"/>
                <w:color w:val="auto"/>
                <w:sz w:val="24"/>
                <w:lang w:val="en-US" w:eastAsia="zh-CN"/>
              </w:rPr>
              <w:t>因本项目扩建后，现有污水处理设施拆除，故本环评分析扩建后全院区的水平衡。</w:t>
            </w:r>
          </w:p>
          <w:p w14:paraId="67F9FBFA">
            <w:pPr>
              <w:pStyle w:val="33"/>
              <w:ind w:left="0" w:leftChars="0"/>
              <w:jc w:val="left"/>
              <w:rPr>
                <w:rFonts w:hint="default" w:ascii="Times New Roman" w:hAnsi="Times New Roman" w:eastAsia="仿宋_GB2312"/>
                <w:color w:val="auto"/>
                <w:sz w:val="24"/>
                <w:szCs w:val="24"/>
                <w:lang w:val="en-US" w:eastAsia="zh-CN"/>
              </w:rPr>
            </w:pPr>
            <w:r>
              <w:rPr>
                <w:rFonts w:hint="eastAsia" w:ascii="Times New Roman" w:hAnsi="Times New Roman"/>
                <w:color w:val="auto"/>
              </w:rPr>
              <w:t>根据项目资料可知，项目用水主要为职工生活用水、门诊病人用水、病房病人用水</w:t>
            </w:r>
            <w:r>
              <w:rPr>
                <w:rFonts w:hint="eastAsia" w:ascii="Times New Roman" w:hAnsi="Times New Roman"/>
                <w:color w:val="auto"/>
                <w:lang w:eastAsia="zh-CN"/>
              </w:rPr>
              <w:t>、</w:t>
            </w:r>
            <w:r>
              <w:rPr>
                <w:rFonts w:hint="eastAsia" w:ascii="Times New Roman" w:hAnsi="Times New Roman" w:eastAsia="宋体" w:cs="Times New Roman"/>
                <w:color w:val="auto"/>
                <w:kern w:val="2"/>
                <w:sz w:val="24"/>
                <w:szCs w:val="20"/>
                <w:highlight w:val="none"/>
                <w:lang w:val="en-US" w:eastAsia="zh-CN" w:bidi="ar-SA"/>
              </w:rPr>
              <w:t>化验室用水、口腔科用水、</w:t>
            </w:r>
            <w:r>
              <w:rPr>
                <w:rFonts w:hint="eastAsia" w:ascii="Times New Roman" w:hAnsi="Times New Roman"/>
                <w:color w:val="auto"/>
                <w:lang w:val="en-US" w:eastAsia="zh-CN"/>
              </w:rPr>
              <w:t>纯水制备用水、</w:t>
            </w:r>
            <w:r>
              <w:rPr>
                <w:rFonts w:hint="eastAsia" w:ascii="Times New Roman" w:hAnsi="Times New Roman" w:eastAsia="宋体" w:cs="Times New Roman"/>
                <w:color w:val="auto"/>
                <w:lang w:val="en-US" w:eastAsia="zh-CN"/>
              </w:rPr>
              <w:t>清洗用水、</w:t>
            </w:r>
            <w:r>
              <w:rPr>
                <w:rFonts w:hint="eastAsia" w:ascii="Times New Roman" w:hAnsi="Times New Roman"/>
                <w:color w:val="auto"/>
                <w:lang w:val="en-US" w:eastAsia="zh-CN"/>
              </w:rPr>
              <w:t>手术用水、蒸汽用水、食堂用水、绿化用水</w:t>
            </w:r>
            <w:r>
              <w:rPr>
                <w:rFonts w:hint="eastAsia" w:ascii="Times New Roman" w:hAnsi="Times New Roman"/>
                <w:color w:val="auto"/>
              </w:rPr>
              <w:t>。</w:t>
            </w:r>
            <w:r>
              <w:rPr>
                <w:rFonts w:hint="eastAsia" w:ascii="Times New Roman" w:hAnsi="Times New Roman" w:eastAsia="宋体" w:cs="Times New Roman"/>
                <w:color w:val="auto"/>
                <w:lang w:val="en-US" w:eastAsia="zh-CN"/>
              </w:rPr>
              <w:t>床单、病号服洗涤委外处置，故本环评不分析洗涤用水及废水。</w:t>
            </w:r>
          </w:p>
          <w:p w14:paraId="06BD2A87">
            <w:pPr>
              <w:keepNext w:val="0"/>
              <w:keepLines w:val="0"/>
              <w:widowControl/>
              <w:suppressLineNumbers w:val="0"/>
              <w:spacing w:line="360" w:lineRule="auto"/>
              <w:ind w:firstLine="480" w:firstLineChars="200"/>
              <w:jc w:val="left"/>
              <w:rPr>
                <w:rFonts w:ascii="Times New Roman" w:hAnsi="Times New Roman" w:eastAsia="宋体" w:cs="Times New Roman"/>
                <w:color w:val="auto"/>
                <w:kern w:val="2"/>
                <w:sz w:val="24"/>
                <w:szCs w:val="20"/>
                <w:highlight w:val="none"/>
                <w:lang w:val="en-US" w:eastAsia="zh-CN" w:bidi="ar-SA"/>
              </w:rPr>
            </w:pPr>
            <w:r>
              <w:rPr>
                <w:rFonts w:ascii="Times New Roman" w:hAnsi="Times New Roman" w:eastAsia="宋体" w:cs="Times New Roman"/>
                <w:color w:val="auto"/>
                <w:kern w:val="2"/>
                <w:sz w:val="24"/>
                <w:szCs w:val="20"/>
                <w:highlight w:val="none"/>
                <w:lang w:val="en-US" w:eastAsia="zh-CN" w:bidi="ar-SA"/>
              </w:rPr>
              <w:t>①</w:t>
            </w:r>
            <w:r>
              <w:rPr>
                <w:rFonts w:hint="eastAsia" w:ascii="Times New Roman" w:hAnsi="Times New Roman" w:eastAsia="宋体" w:cs="Times New Roman"/>
                <w:color w:val="auto"/>
                <w:kern w:val="2"/>
                <w:sz w:val="24"/>
                <w:szCs w:val="20"/>
                <w:highlight w:val="none"/>
                <w:lang w:val="en-US" w:eastAsia="zh-CN" w:bidi="ar-SA"/>
              </w:rPr>
              <w:t>门诊</w:t>
            </w:r>
            <w:r>
              <w:rPr>
                <w:rFonts w:ascii="Times New Roman" w:hAnsi="Times New Roman" w:eastAsia="宋体" w:cs="Times New Roman"/>
                <w:color w:val="auto"/>
                <w:kern w:val="2"/>
                <w:sz w:val="24"/>
                <w:szCs w:val="20"/>
                <w:highlight w:val="none"/>
                <w:lang w:val="en-US" w:eastAsia="zh-CN" w:bidi="ar-SA"/>
              </w:rPr>
              <w:t>用水</w:t>
            </w:r>
            <w:r>
              <w:rPr>
                <w:rFonts w:hint="eastAsia" w:ascii="Times New Roman" w:hAnsi="Times New Roman" w:eastAsia="宋体" w:cs="Times New Roman"/>
                <w:color w:val="auto"/>
                <w:kern w:val="2"/>
                <w:sz w:val="24"/>
                <w:szCs w:val="20"/>
                <w:highlight w:val="none"/>
                <w:lang w:val="en-US" w:eastAsia="zh-CN" w:bidi="ar-SA"/>
              </w:rPr>
              <w:t>（现有工程）</w:t>
            </w:r>
          </w:p>
          <w:p w14:paraId="4BAABA8C">
            <w:pPr>
              <w:keepNext w:val="0"/>
              <w:keepLines w:val="0"/>
              <w:widowControl/>
              <w:suppressLineNumbers w:val="0"/>
              <w:spacing w:line="360" w:lineRule="auto"/>
              <w:ind w:firstLine="480" w:firstLineChars="200"/>
              <w:jc w:val="left"/>
              <w:rPr>
                <w:rFonts w:hint="default" w:ascii="Times New Roman" w:hAnsi="Times New Roman" w:eastAsia="宋体" w:cs="Times New Roman"/>
                <w:color w:val="auto"/>
                <w:kern w:val="2"/>
                <w:sz w:val="24"/>
                <w:szCs w:val="20"/>
                <w:highlight w:val="none"/>
                <w:lang w:val="en-US" w:eastAsia="zh-CN" w:bidi="ar-SA"/>
              </w:rPr>
            </w:pPr>
            <w:r>
              <w:rPr>
                <w:rFonts w:ascii="Times New Roman" w:hAnsi="Times New Roman" w:eastAsia="宋体" w:cs="Times New Roman"/>
                <w:color w:val="auto"/>
                <w:kern w:val="2"/>
                <w:sz w:val="24"/>
                <w:szCs w:val="20"/>
                <w:highlight w:val="none"/>
                <w:lang w:val="en-US" w:eastAsia="zh-CN" w:bidi="ar-SA"/>
              </w:rPr>
              <w:t>据</w:t>
            </w:r>
            <w:r>
              <w:rPr>
                <w:rFonts w:hint="eastAsia" w:ascii="Times New Roman" w:hAnsi="Times New Roman" w:eastAsia="宋体" w:cs="Times New Roman"/>
                <w:color w:val="auto"/>
                <w:kern w:val="2"/>
                <w:sz w:val="24"/>
                <w:szCs w:val="20"/>
                <w:highlight w:val="none"/>
                <w:lang w:val="en-US" w:eastAsia="zh-CN" w:bidi="ar-SA"/>
              </w:rPr>
              <w:t>项目设计资料，项目日就诊人数约为822人次</w:t>
            </w:r>
            <w:r>
              <w:rPr>
                <w:rFonts w:hint="default" w:ascii="Times New Roman" w:hAnsi="Times New Roman" w:eastAsia="宋体" w:cs="Times New Roman"/>
                <w:color w:val="auto"/>
                <w:kern w:val="2"/>
                <w:sz w:val="24"/>
                <w:szCs w:val="20"/>
                <w:highlight w:val="none"/>
                <w:lang w:val="en-US" w:eastAsia="zh-CN" w:bidi="ar-SA"/>
              </w:rPr>
              <w:t>/d</w:t>
            </w:r>
            <w:r>
              <w:rPr>
                <w:rFonts w:hint="eastAsia" w:ascii="Times New Roman" w:hAnsi="Times New Roman" w:eastAsia="宋体" w:cs="Times New Roman"/>
                <w:color w:val="auto"/>
                <w:kern w:val="2"/>
                <w:sz w:val="24"/>
                <w:szCs w:val="20"/>
                <w:highlight w:val="none"/>
                <w:lang w:val="en-US" w:eastAsia="zh-CN" w:bidi="ar-SA"/>
              </w:rPr>
              <w:t>，根据《建筑给水排水设计规范》（</w:t>
            </w:r>
            <w:r>
              <w:rPr>
                <w:rFonts w:ascii="Times New Roman" w:hAnsi="Times New Roman" w:eastAsia="宋体" w:cs="Times New Roman"/>
                <w:color w:val="auto"/>
                <w:kern w:val="2"/>
                <w:sz w:val="24"/>
                <w:szCs w:val="20"/>
                <w:highlight w:val="none"/>
                <w:lang w:val="en-US" w:eastAsia="zh-CN" w:bidi="ar-SA"/>
              </w:rPr>
              <w:t>GB50015-2019</w:t>
            </w:r>
            <w:r>
              <w:rPr>
                <w:rFonts w:hint="eastAsia" w:ascii="Times New Roman" w:hAnsi="Times New Roman" w:eastAsia="宋体" w:cs="Times New Roman"/>
                <w:color w:val="auto"/>
                <w:kern w:val="2"/>
                <w:sz w:val="24"/>
                <w:szCs w:val="20"/>
                <w:highlight w:val="none"/>
                <w:lang w:val="en-US" w:eastAsia="zh-CN" w:bidi="ar-SA"/>
              </w:rPr>
              <w:t>），门诊用水定额为</w:t>
            </w:r>
            <w:r>
              <w:rPr>
                <w:rFonts w:hint="default" w:ascii="Times New Roman" w:hAnsi="Times New Roman" w:eastAsia="宋体" w:cs="Times New Roman"/>
                <w:color w:val="auto"/>
                <w:kern w:val="2"/>
                <w:sz w:val="24"/>
                <w:szCs w:val="20"/>
                <w:highlight w:val="none"/>
                <w:lang w:val="en-US" w:eastAsia="zh-CN" w:bidi="ar-SA"/>
              </w:rPr>
              <w:t>10-15L/</w:t>
            </w:r>
            <w:r>
              <w:rPr>
                <w:rFonts w:hint="eastAsia" w:ascii="Times New Roman" w:hAnsi="Times New Roman" w:eastAsia="宋体" w:cs="Times New Roman"/>
                <w:color w:val="auto"/>
                <w:kern w:val="2"/>
                <w:sz w:val="24"/>
                <w:szCs w:val="20"/>
                <w:highlight w:val="none"/>
                <w:lang w:val="en-US" w:eastAsia="zh-CN" w:bidi="ar-SA"/>
              </w:rPr>
              <w:t>人次</w:t>
            </w:r>
            <w:r>
              <w:rPr>
                <w:rFonts w:hint="default" w:ascii="Times New Roman" w:hAnsi="Times New Roman" w:eastAsia="宋体" w:cs="Times New Roman"/>
                <w:color w:val="auto"/>
                <w:kern w:val="2"/>
                <w:sz w:val="24"/>
                <w:szCs w:val="20"/>
                <w:highlight w:val="none"/>
                <w:lang w:val="en-US" w:eastAsia="zh-CN" w:bidi="ar-SA"/>
              </w:rPr>
              <w:t>·d</w:t>
            </w:r>
            <w:r>
              <w:rPr>
                <w:rFonts w:hint="eastAsia" w:ascii="Times New Roman" w:hAnsi="Times New Roman" w:eastAsia="宋体" w:cs="Times New Roman"/>
                <w:color w:val="auto"/>
                <w:kern w:val="2"/>
                <w:sz w:val="24"/>
                <w:szCs w:val="20"/>
                <w:highlight w:val="none"/>
                <w:lang w:val="en-US" w:eastAsia="zh-CN" w:bidi="ar-SA"/>
              </w:rPr>
              <w:t>（本项目取</w:t>
            </w:r>
            <w:r>
              <w:rPr>
                <w:rFonts w:hint="default" w:ascii="Times New Roman" w:hAnsi="Times New Roman" w:eastAsia="宋体" w:cs="Times New Roman"/>
                <w:color w:val="auto"/>
                <w:kern w:val="2"/>
                <w:sz w:val="24"/>
                <w:szCs w:val="20"/>
                <w:highlight w:val="none"/>
                <w:lang w:val="en-US" w:eastAsia="zh-CN" w:bidi="ar-SA"/>
              </w:rPr>
              <w:t>15L/</w:t>
            </w:r>
            <w:r>
              <w:rPr>
                <w:rFonts w:hint="eastAsia" w:ascii="Times New Roman" w:hAnsi="Times New Roman" w:eastAsia="宋体" w:cs="Times New Roman"/>
                <w:color w:val="auto"/>
                <w:kern w:val="2"/>
                <w:sz w:val="24"/>
                <w:szCs w:val="20"/>
                <w:highlight w:val="none"/>
                <w:lang w:val="en-US" w:eastAsia="zh-CN" w:bidi="ar-SA"/>
              </w:rPr>
              <w:t>人次</w:t>
            </w:r>
            <w:r>
              <w:rPr>
                <w:rFonts w:hint="default" w:ascii="Times New Roman" w:hAnsi="Times New Roman" w:eastAsia="宋体" w:cs="Times New Roman"/>
                <w:color w:val="auto"/>
                <w:kern w:val="2"/>
                <w:sz w:val="24"/>
                <w:szCs w:val="20"/>
                <w:highlight w:val="none"/>
                <w:lang w:val="en-US" w:eastAsia="zh-CN" w:bidi="ar-SA"/>
              </w:rPr>
              <w:t>·d</w:t>
            </w:r>
            <w:r>
              <w:rPr>
                <w:rFonts w:hint="eastAsia" w:ascii="Times New Roman" w:hAnsi="Times New Roman" w:eastAsia="宋体" w:cs="Times New Roman"/>
                <w:color w:val="auto"/>
                <w:kern w:val="2"/>
                <w:sz w:val="24"/>
                <w:szCs w:val="20"/>
                <w:highlight w:val="none"/>
                <w:lang w:val="en-US" w:eastAsia="zh-CN" w:bidi="ar-SA"/>
              </w:rPr>
              <w:t>），则项目门诊用水量为12.33</w:t>
            </w:r>
            <w:r>
              <w:rPr>
                <w:rFonts w:hint="default" w:ascii="Times New Roman" w:hAnsi="Times New Roman" w:eastAsia="宋体" w:cs="Times New Roman"/>
                <w:color w:val="auto"/>
                <w:kern w:val="2"/>
                <w:sz w:val="24"/>
                <w:szCs w:val="20"/>
                <w:highlight w:val="none"/>
                <w:lang w:val="en-US" w:eastAsia="zh-CN" w:bidi="ar-SA"/>
              </w:rPr>
              <w:t>m³/d</w:t>
            </w:r>
            <w:r>
              <w:rPr>
                <w:rFonts w:hint="eastAsia" w:ascii="Times New Roman" w:hAnsi="Times New Roman" w:eastAsia="宋体" w:cs="Times New Roman"/>
                <w:color w:val="auto"/>
                <w:kern w:val="2"/>
                <w:sz w:val="24"/>
                <w:szCs w:val="20"/>
                <w:highlight w:val="none"/>
                <w:lang w:val="en-US" w:eastAsia="zh-CN" w:bidi="ar-SA"/>
              </w:rPr>
              <w:t>。排水系数取0.8。</w:t>
            </w:r>
          </w:p>
          <w:p w14:paraId="61F4335D">
            <w:pPr>
              <w:keepNext w:val="0"/>
              <w:keepLines w:val="0"/>
              <w:widowControl/>
              <w:suppressLineNumbers w:val="0"/>
              <w:spacing w:line="360" w:lineRule="auto"/>
              <w:ind w:firstLine="480" w:firstLineChars="200"/>
              <w:jc w:val="left"/>
              <w:rPr>
                <w:rFonts w:ascii="Times New Roman" w:hAnsi="Times New Roman" w:eastAsia="宋体" w:cs="Times New Roman"/>
                <w:color w:val="auto"/>
                <w:kern w:val="2"/>
                <w:sz w:val="24"/>
                <w:szCs w:val="20"/>
                <w:highlight w:val="none"/>
                <w:lang w:val="en-US" w:eastAsia="zh-CN" w:bidi="ar-SA"/>
              </w:rPr>
            </w:pPr>
            <w:r>
              <w:rPr>
                <w:rFonts w:ascii="Times New Roman" w:hAnsi="Times New Roman" w:eastAsia="宋体" w:cs="Times New Roman"/>
                <w:color w:val="auto"/>
                <w:kern w:val="2"/>
                <w:sz w:val="24"/>
                <w:szCs w:val="20"/>
                <w:highlight w:val="none"/>
                <w:lang w:val="en-US" w:eastAsia="zh-CN" w:bidi="ar-SA"/>
              </w:rPr>
              <w:t>②病房用水</w:t>
            </w:r>
            <w:r>
              <w:rPr>
                <w:rFonts w:hint="eastAsia" w:ascii="Times New Roman" w:hAnsi="Times New Roman" w:eastAsia="宋体" w:cs="Times New Roman"/>
                <w:color w:val="auto"/>
                <w:kern w:val="2"/>
                <w:sz w:val="24"/>
                <w:szCs w:val="20"/>
                <w:highlight w:val="none"/>
                <w:lang w:val="en-US" w:eastAsia="zh-CN" w:bidi="ar-SA"/>
              </w:rPr>
              <w:t>（现有工程+本次新建）</w:t>
            </w:r>
          </w:p>
          <w:p w14:paraId="203FAA99">
            <w:pPr>
              <w:keepNext w:val="0"/>
              <w:keepLines w:val="0"/>
              <w:widowControl/>
              <w:suppressLineNumbers w:val="0"/>
              <w:spacing w:line="360" w:lineRule="auto"/>
              <w:ind w:firstLine="480" w:firstLineChars="200"/>
              <w:jc w:val="left"/>
              <w:rPr>
                <w:rFonts w:ascii="Times New Roman" w:hAnsi="Times New Roman" w:eastAsia="宋体" w:cs="Times New Roman"/>
                <w:color w:val="auto"/>
                <w:kern w:val="2"/>
                <w:sz w:val="24"/>
                <w:szCs w:val="20"/>
                <w:highlight w:val="none"/>
                <w:lang w:val="en-US" w:eastAsia="zh-CN" w:bidi="ar-SA"/>
              </w:rPr>
            </w:pPr>
            <w:r>
              <w:rPr>
                <w:rFonts w:ascii="Times New Roman" w:hAnsi="Times New Roman" w:eastAsia="宋体" w:cs="Times New Roman"/>
                <w:color w:val="auto"/>
                <w:kern w:val="2"/>
                <w:sz w:val="24"/>
                <w:szCs w:val="20"/>
                <w:highlight w:val="none"/>
                <w:lang w:val="en-US" w:eastAsia="zh-CN" w:bidi="ar-SA"/>
              </w:rPr>
              <w:t>根据《建筑</w:t>
            </w:r>
            <w:r>
              <w:rPr>
                <w:rFonts w:hint="eastAsia" w:ascii="Times New Roman" w:hAnsi="Times New Roman" w:eastAsia="宋体" w:cs="Times New Roman"/>
                <w:color w:val="auto"/>
                <w:kern w:val="2"/>
                <w:sz w:val="24"/>
                <w:szCs w:val="20"/>
                <w:highlight w:val="none"/>
                <w:lang w:val="en-US" w:eastAsia="zh-CN" w:bidi="ar-SA"/>
              </w:rPr>
              <w:t>给水排水设计规范》（</w:t>
            </w:r>
            <w:r>
              <w:rPr>
                <w:rFonts w:ascii="Times New Roman" w:hAnsi="Times New Roman" w:eastAsia="宋体" w:cs="Times New Roman"/>
                <w:color w:val="auto"/>
                <w:kern w:val="2"/>
                <w:sz w:val="24"/>
                <w:szCs w:val="20"/>
                <w:highlight w:val="none"/>
                <w:lang w:val="en-US" w:eastAsia="zh-CN" w:bidi="ar-SA"/>
              </w:rPr>
              <w:t>GB50015-2019</w:t>
            </w:r>
            <w:r>
              <w:rPr>
                <w:rFonts w:hint="eastAsia" w:ascii="Times New Roman" w:hAnsi="Times New Roman" w:eastAsia="宋体" w:cs="Times New Roman"/>
                <w:color w:val="auto"/>
                <w:kern w:val="2"/>
                <w:sz w:val="24"/>
                <w:szCs w:val="20"/>
                <w:highlight w:val="none"/>
                <w:lang w:val="en-US" w:eastAsia="zh-CN" w:bidi="ar-SA"/>
              </w:rPr>
              <w:t>），项目病房设有单独卫生间，用水定额为</w:t>
            </w:r>
            <w:r>
              <w:rPr>
                <w:rFonts w:hint="default" w:ascii="Times New Roman" w:hAnsi="Times New Roman" w:eastAsia="宋体" w:cs="Times New Roman"/>
                <w:color w:val="auto"/>
                <w:kern w:val="2"/>
                <w:sz w:val="24"/>
                <w:szCs w:val="20"/>
                <w:highlight w:val="none"/>
                <w:lang w:val="en-US" w:eastAsia="zh-CN" w:bidi="ar-SA"/>
              </w:rPr>
              <w:t>250-400L/</w:t>
            </w:r>
            <w:r>
              <w:rPr>
                <w:rFonts w:hint="eastAsia" w:ascii="Times New Roman" w:hAnsi="Times New Roman" w:eastAsia="宋体" w:cs="Times New Roman"/>
                <w:color w:val="auto"/>
                <w:kern w:val="2"/>
                <w:sz w:val="24"/>
                <w:szCs w:val="20"/>
                <w:highlight w:val="none"/>
                <w:lang w:val="en-US" w:eastAsia="zh-CN" w:bidi="ar-SA"/>
              </w:rPr>
              <w:t>床位</w:t>
            </w:r>
            <w:r>
              <w:rPr>
                <w:rFonts w:hint="default" w:ascii="Times New Roman" w:hAnsi="Times New Roman" w:eastAsia="宋体" w:cs="Times New Roman"/>
                <w:color w:val="auto"/>
                <w:kern w:val="2"/>
                <w:sz w:val="24"/>
                <w:szCs w:val="20"/>
                <w:highlight w:val="none"/>
                <w:lang w:val="en-US" w:eastAsia="zh-CN" w:bidi="ar-SA"/>
              </w:rPr>
              <w:t>•d</w:t>
            </w:r>
            <w:r>
              <w:rPr>
                <w:rFonts w:hint="eastAsia" w:ascii="Times New Roman" w:hAnsi="Times New Roman" w:eastAsia="宋体" w:cs="Times New Roman"/>
                <w:color w:val="auto"/>
                <w:kern w:val="2"/>
                <w:sz w:val="24"/>
                <w:szCs w:val="20"/>
                <w:highlight w:val="none"/>
                <w:lang w:val="en-US" w:eastAsia="zh-CN" w:bidi="ar-SA"/>
              </w:rPr>
              <w:t>（本项目取</w:t>
            </w:r>
            <w:r>
              <w:rPr>
                <w:rFonts w:hint="default" w:ascii="Times New Roman" w:hAnsi="Times New Roman" w:eastAsia="宋体" w:cs="Times New Roman"/>
                <w:color w:val="auto"/>
                <w:kern w:val="2"/>
                <w:sz w:val="24"/>
                <w:szCs w:val="20"/>
                <w:highlight w:val="none"/>
                <w:lang w:val="en-US" w:eastAsia="zh-CN" w:bidi="ar-SA"/>
              </w:rPr>
              <w:t>350L/</w:t>
            </w:r>
            <w:r>
              <w:rPr>
                <w:rFonts w:hint="eastAsia" w:ascii="Times New Roman" w:hAnsi="Times New Roman" w:eastAsia="宋体" w:cs="Times New Roman"/>
                <w:color w:val="auto"/>
                <w:kern w:val="2"/>
                <w:sz w:val="24"/>
                <w:szCs w:val="20"/>
                <w:highlight w:val="none"/>
                <w:lang w:val="en-US" w:eastAsia="zh-CN" w:bidi="ar-SA"/>
              </w:rPr>
              <w:t>床位</w:t>
            </w:r>
            <w:r>
              <w:rPr>
                <w:rFonts w:hint="default" w:ascii="Times New Roman" w:hAnsi="Times New Roman" w:eastAsia="宋体" w:cs="Times New Roman"/>
                <w:color w:val="auto"/>
                <w:kern w:val="2"/>
                <w:sz w:val="24"/>
                <w:szCs w:val="20"/>
                <w:highlight w:val="none"/>
                <w:lang w:val="en-US" w:eastAsia="zh-CN" w:bidi="ar-SA"/>
              </w:rPr>
              <w:t>·d</w:t>
            </w:r>
            <w:r>
              <w:rPr>
                <w:rFonts w:hint="eastAsia" w:ascii="Times New Roman" w:hAnsi="Times New Roman" w:eastAsia="宋体" w:cs="Times New Roman"/>
                <w:color w:val="auto"/>
                <w:kern w:val="2"/>
                <w:sz w:val="24"/>
                <w:szCs w:val="20"/>
                <w:highlight w:val="none"/>
                <w:lang w:val="en-US" w:eastAsia="zh-CN" w:bidi="ar-SA"/>
              </w:rPr>
              <w:t>），项目共有病床350床，则项目病房用水量为122.5</w:t>
            </w:r>
            <w:r>
              <w:rPr>
                <w:rFonts w:hint="default" w:ascii="Times New Roman" w:hAnsi="Times New Roman" w:eastAsia="宋体" w:cs="Times New Roman"/>
                <w:color w:val="auto"/>
                <w:kern w:val="2"/>
                <w:sz w:val="24"/>
                <w:szCs w:val="20"/>
                <w:highlight w:val="none"/>
                <w:lang w:val="en-US" w:eastAsia="zh-CN" w:bidi="ar-SA"/>
              </w:rPr>
              <w:t>m³/d</w:t>
            </w:r>
            <w:r>
              <w:rPr>
                <w:rFonts w:hint="eastAsia" w:ascii="Times New Roman" w:hAnsi="Times New Roman" w:eastAsia="宋体" w:cs="Times New Roman"/>
                <w:color w:val="auto"/>
                <w:kern w:val="2"/>
                <w:sz w:val="24"/>
                <w:szCs w:val="20"/>
                <w:highlight w:val="none"/>
                <w:lang w:val="en-US" w:eastAsia="zh-CN" w:bidi="ar-SA"/>
              </w:rPr>
              <w:t>。排水系数取0.8。</w:t>
            </w:r>
          </w:p>
          <w:p w14:paraId="4DA2E20E">
            <w:pPr>
              <w:keepNext w:val="0"/>
              <w:keepLines w:val="0"/>
              <w:widowControl/>
              <w:suppressLineNumbers w:val="0"/>
              <w:spacing w:line="360" w:lineRule="auto"/>
              <w:ind w:firstLine="480" w:firstLineChars="200"/>
              <w:jc w:val="left"/>
              <w:rPr>
                <w:rFonts w:ascii="Times New Roman" w:hAnsi="Times New Roman" w:eastAsia="宋体" w:cs="Times New Roman"/>
                <w:color w:val="auto"/>
                <w:kern w:val="2"/>
                <w:sz w:val="24"/>
                <w:szCs w:val="20"/>
                <w:highlight w:val="none"/>
                <w:lang w:val="en-US" w:eastAsia="zh-CN" w:bidi="ar-SA"/>
              </w:rPr>
            </w:pPr>
            <w:r>
              <w:rPr>
                <w:rFonts w:ascii="Times New Roman" w:hAnsi="Times New Roman" w:eastAsia="宋体" w:cs="Times New Roman"/>
                <w:color w:val="auto"/>
                <w:kern w:val="2"/>
                <w:sz w:val="24"/>
                <w:szCs w:val="20"/>
                <w:highlight w:val="none"/>
                <w:lang w:val="en-US" w:eastAsia="zh-CN" w:bidi="ar-SA"/>
              </w:rPr>
              <w:t>③</w:t>
            </w:r>
            <w:r>
              <w:rPr>
                <w:rFonts w:hint="eastAsia" w:ascii="Times New Roman" w:hAnsi="Times New Roman" w:eastAsia="宋体" w:cs="Times New Roman"/>
                <w:color w:val="auto"/>
                <w:kern w:val="2"/>
                <w:sz w:val="24"/>
                <w:szCs w:val="20"/>
                <w:highlight w:val="none"/>
                <w:lang w:val="en-US" w:eastAsia="zh-CN" w:bidi="ar-SA"/>
              </w:rPr>
              <w:t>职</w:t>
            </w:r>
            <w:r>
              <w:rPr>
                <w:rFonts w:ascii="Times New Roman" w:hAnsi="Times New Roman" w:eastAsia="宋体" w:cs="Times New Roman"/>
                <w:color w:val="auto"/>
                <w:kern w:val="2"/>
                <w:sz w:val="24"/>
                <w:szCs w:val="20"/>
                <w:highlight w:val="none"/>
                <w:lang w:val="en-US" w:eastAsia="zh-CN" w:bidi="ar-SA"/>
              </w:rPr>
              <w:t>工生活用水</w:t>
            </w:r>
            <w:r>
              <w:rPr>
                <w:rFonts w:hint="eastAsia" w:ascii="Times New Roman" w:hAnsi="Times New Roman" w:eastAsia="宋体" w:cs="Times New Roman"/>
                <w:color w:val="auto"/>
                <w:kern w:val="2"/>
                <w:sz w:val="24"/>
                <w:szCs w:val="20"/>
                <w:highlight w:val="none"/>
                <w:lang w:val="en-US" w:eastAsia="zh-CN" w:bidi="ar-SA"/>
              </w:rPr>
              <w:t>（现有工程）</w:t>
            </w:r>
          </w:p>
          <w:p w14:paraId="3BF75191">
            <w:pPr>
              <w:pStyle w:val="33"/>
              <w:spacing w:line="360" w:lineRule="auto"/>
              <w:ind w:left="0" w:leftChars="0"/>
              <w:jc w:val="left"/>
              <w:rPr>
                <w:rFonts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医护人员</w:t>
            </w:r>
            <w:r>
              <w:rPr>
                <w:rFonts w:ascii="Times New Roman" w:hAnsi="Times New Roman" w:eastAsia="宋体" w:cs="Times New Roman"/>
                <w:color w:val="auto"/>
                <w:kern w:val="2"/>
                <w:sz w:val="24"/>
                <w:szCs w:val="20"/>
                <w:highlight w:val="none"/>
                <w:lang w:val="en-US" w:eastAsia="zh-CN" w:bidi="ar-SA"/>
              </w:rPr>
              <w:t>用水定额取</w:t>
            </w:r>
            <w:r>
              <w:rPr>
                <w:rFonts w:hint="eastAsia" w:ascii="Times New Roman" w:hAnsi="Times New Roman" w:eastAsia="宋体" w:cs="Times New Roman"/>
                <w:color w:val="auto"/>
                <w:kern w:val="2"/>
                <w:sz w:val="24"/>
                <w:szCs w:val="20"/>
                <w:highlight w:val="none"/>
                <w:lang w:val="en-US" w:eastAsia="zh-CN" w:bidi="ar-SA"/>
              </w:rPr>
              <w:t>200</w:t>
            </w:r>
            <w:r>
              <w:rPr>
                <w:rFonts w:ascii="Times New Roman" w:hAnsi="Times New Roman" w:eastAsia="宋体" w:cs="Times New Roman"/>
                <w:color w:val="auto"/>
                <w:kern w:val="2"/>
                <w:sz w:val="24"/>
                <w:szCs w:val="20"/>
                <w:highlight w:val="none"/>
                <w:lang w:val="en-US" w:eastAsia="zh-CN" w:bidi="ar-SA"/>
              </w:rPr>
              <w:t>L/</w:t>
            </w:r>
            <w:r>
              <w:rPr>
                <w:rFonts w:hint="eastAsia" w:ascii="Times New Roman" w:hAnsi="Times New Roman" w:eastAsia="宋体" w:cs="Times New Roman"/>
                <w:color w:val="auto"/>
                <w:kern w:val="2"/>
                <w:sz w:val="24"/>
                <w:szCs w:val="20"/>
                <w:highlight w:val="none"/>
                <w:lang w:val="en-US" w:eastAsia="zh-CN" w:bidi="ar-SA"/>
              </w:rPr>
              <w:t>人·</w:t>
            </w:r>
            <w:r>
              <w:rPr>
                <w:rFonts w:ascii="Times New Roman" w:hAnsi="Times New Roman" w:eastAsia="宋体" w:cs="Times New Roman"/>
                <w:color w:val="auto"/>
                <w:kern w:val="2"/>
                <w:sz w:val="24"/>
                <w:szCs w:val="20"/>
                <w:highlight w:val="none"/>
                <w:lang w:val="en-US" w:eastAsia="zh-CN" w:bidi="ar-SA"/>
              </w:rPr>
              <w:t>d人计</w:t>
            </w:r>
            <w:r>
              <w:rPr>
                <w:rFonts w:hint="eastAsia" w:ascii="Times New Roman" w:hAnsi="Times New Roman" w:eastAsia="宋体" w:cs="Times New Roman"/>
                <w:color w:val="auto"/>
                <w:kern w:val="2"/>
                <w:sz w:val="24"/>
                <w:szCs w:val="20"/>
                <w:highlight w:val="none"/>
                <w:lang w:val="en-US" w:eastAsia="zh-CN" w:bidi="ar-SA"/>
              </w:rPr>
              <w:t>，排水系数取0.8。</w:t>
            </w:r>
          </w:p>
          <w:p w14:paraId="68EFB7B8">
            <w:pPr>
              <w:pStyle w:val="33"/>
              <w:spacing w:line="360" w:lineRule="auto"/>
              <w:ind w:left="0" w:leftChars="0"/>
              <w:jc w:val="left"/>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④手术用水（现有工程+本次新建）</w:t>
            </w:r>
          </w:p>
          <w:p w14:paraId="6F83F716">
            <w:pPr>
              <w:pStyle w:val="33"/>
              <w:spacing w:line="360" w:lineRule="auto"/>
              <w:ind w:left="0" w:leftChars="0"/>
              <w:jc w:val="left"/>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住院区手术数量平均为2台/天，手术用水量按150L/台/d计，手术用水量</w:t>
            </w:r>
            <w:r>
              <w:rPr>
                <w:rFonts w:hint="eastAsia" w:ascii="Times New Roman" w:hAnsi="Times New Roman" w:cs="Times New Roman"/>
                <w:color w:val="auto"/>
                <w:kern w:val="2"/>
                <w:sz w:val="24"/>
                <w:szCs w:val="20"/>
                <w:highlight w:val="none"/>
                <w:lang w:val="en-US" w:eastAsia="zh-CN" w:bidi="ar-SA"/>
              </w:rPr>
              <w:t>约</w:t>
            </w:r>
            <w:r>
              <w:rPr>
                <w:rFonts w:hint="eastAsia" w:ascii="Times New Roman" w:hAnsi="Times New Roman" w:eastAsia="宋体" w:cs="Times New Roman"/>
                <w:color w:val="auto"/>
                <w:kern w:val="2"/>
                <w:sz w:val="24"/>
                <w:szCs w:val="20"/>
                <w:highlight w:val="none"/>
                <w:lang w:val="en-US" w:eastAsia="zh-CN" w:bidi="ar-SA"/>
              </w:rPr>
              <w:t>折算0.3m</w:t>
            </w:r>
            <w:r>
              <w:rPr>
                <w:rFonts w:hint="eastAsia" w:ascii="Times New Roman" w:hAnsi="Times New Roman" w:eastAsia="宋体" w:cs="Times New Roman"/>
                <w:color w:val="auto"/>
                <w:kern w:val="2"/>
                <w:sz w:val="24"/>
                <w:szCs w:val="20"/>
                <w:highlight w:val="none"/>
                <w:vertAlign w:val="superscript"/>
                <w:lang w:val="en-US" w:eastAsia="zh-CN" w:bidi="ar-SA"/>
              </w:rPr>
              <w:t>3</w:t>
            </w:r>
            <w:r>
              <w:rPr>
                <w:rFonts w:hint="eastAsia" w:ascii="Times New Roman" w:hAnsi="Times New Roman" w:eastAsia="宋体" w:cs="Times New Roman"/>
                <w:color w:val="auto"/>
                <w:kern w:val="2"/>
                <w:sz w:val="24"/>
                <w:szCs w:val="20"/>
                <w:highlight w:val="none"/>
                <w:lang w:val="en-US" w:eastAsia="zh-CN" w:bidi="ar-SA"/>
              </w:rPr>
              <w:t>/d。排水系数取0.8。</w:t>
            </w:r>
          </w:p>
          <w:p w14:paraId="0432F282">
            <w:pPr>
              <w:pStyle w:val="33"/>
              <w:spacing w:line="360" w:lineRule="auto"/>
              <w:ind w:left="0" w:leftChars="0"/>
              <w:jc w:val="left"/>
              <w:rPr>
                <w:rFonts w:hint="default"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⑤化验室用水（现有工程）</w:t>
            </w:r>
          </w:p>
          <w:p w14:paraId="78BE36F9">
            <w:pPr>
              <w:pStyle w:val="33"/>
              <w:spacing w:line="360" w:lineRule="auto"/>
              <w:ind w:left="0" w:leftChars="0"/>
              <w:jc w:val="left"/>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本项目产生的特殊性质用水主要为检化验室用水，包含器具清洗废水、检验废液等。根据业主提供资料，用水量约0.1m</w:t>
            </w:r>
            <w:r>
              <w:rPr>
                <w:rFonts w:hint="eastAsia" w:ascii="Times New Roman" w:hAnsi="Times New Roman" w:eastAsia="宋体" w:cs="Times New Roman"/>
                <w:color w:val="auto"/>
                <w:kern w:val="2"/>
                <w:sz w:val="24"/>
                <w:szCs w:val="20"/>
                <w:highlight w:val="none"/>
                <w:vertAlign w:val="superscript"/>
                <w:lang w:val="en-US" w:eastAsia="zh-CN" w:bidi="ar-SA"/>
              </w:rPr>
              <w:t>3</w:t>
            </w:r>
            <w:r>
              <w:rPr>
                <w:rFonts w:hint="eastAsia" w:ascii="Times New Roman" w:hAnsi="Times New Roman" w:eastAsia="宋体" w:cs="Times New Roman"/>
                <w:color w:val="auto"/>
                <w:kern w:val="2"/>
                <w:sz w:val="24"/>
                <w:szCs w:val="20"/>
                <w:highlight w:val="none"/>
                <w:lang w:val="en-US" w:eastAsia="zh-CN" w:bidi="ar-SA"/>
              </w:rPr>
              <w:t>/d，</w:t>
            </w:r>
          </w:p>
          <w:p w14:paraId="7DF2F508">
            <w:pPr>
              <w:pStyle w:val="33"/>
              <w:spacing w:line="360" w:lineRule="auto"/>
              <w:ind w:left="0" w:leftChars="0"/>
              <w:jc w:val="left"/>
              <w:rPr>
                <w:rFonts w:hint="default"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⑥口腔科用水（现有工程）</w:t>
            </w:r>
          </w:p>
          <w:p w14:paraId="245EAF43">
            <w:pPr>
              <w:pStyle w:val="33"/>
              <w:spacing w:line="360" w:lineRule="auto"/>
              <w:ind w:left="0" w:leftChars="0"/>
              <w:jc w:val="left"/>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根据业主提供资料，用水量约0.1m</w:t>
            </w:r>
            <w:r>
              <w:rPr>
                <w:rFonts w:hint="eastAsia" w:ascii="Times New Roman" w:hAnsi="Times New Roman" w:eastAsia="宋体" w:cs="Times New Roman"/>
                <w:color w:val="auto"/>
                <w:kern w:val="2"/>
                <w:sz w:val="24"/>
                <w:szCs w:val="20"/>
                <w:highlight w:val="none"/>
                <w:vertAlign w:val="superscript"/>
                <w:lang w:val="en-US" w:eastAsia="zh-CN" w:bidi="ar-SA"/>
              </w:rPr>
              <w:t>3</w:t>
            </w:r>
            <w:r>
              <w:rPr>
                <w:rFonts w:hint="eastAsia" w:ascii="Times New Roman" w:hAnsi="Times New Roman" w:eastAsia="宋体" w:cs="Times New Roman"/>
                <w:color w:val="auto"/>
                <w:kern w:val="2"/>
                <w:sz w:val="24"/>
                <w:szCs w:val="20"/>
                <w:highlight w:val="none"/>
                <w:lang w:val="en-US" w:eastAsia="zh-CN" w:bidi="ar-SA"/>
              </w:rPr>
              <w:t>/d</w:t>
            </w:r>
          </w:p>
          <w:p w14:paraId="1644E93D">
            <w:pPr>
              <w:pStyle w:val="33"/>
              <w:spacing w:line="360" w:lineRule="auto"/>
              <w:ind w:left="0" w:leftChars="0"/>
              <w:jc w:val="left"/>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⑦纯水制备用水（现有工程+本次新建）</w:t>
            </w:r>
          </w:p>
          <w:p w14:paraId="159338D1">
            <w:pPr>
              <w:pStyle w:val="33"/>
              <w:spacing w:line="360" w:lineRule="auto"/>
              <w:ind w:left="0" w:leftChars="0"/>
              <w:jc w:val="left"/>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医疗区用纯水采用医用纯水设备自制提供，水源为市政自来水，纯水制备率为50%。纯水机原水用水量约30m</w:t>
            </w:r>
            <w:r>
              <w:rPr>
                <w:rFonts w:hint="eastAsia" w:ascii="Times New Roman" w:hAnsi="Times New Roman" w:eastAsia="宋体" w:cs="Times New Roman"/>
                <w:color w:val="auto"/>
                <w:kern w:val="2"/>
                <w:sz w:val="24"/>
                <w:szCs w:val="20"/>
                <w:highlight w:val="none"/>
                <w:vertAlign w:val="superscript"/>
                <w:lang w:val="en-US" w:eastAsia="zh-CN" w:bidi="ar-SA"/>
              </w:rPr>
              <w:t>3</w:t>
            </w:r>
            <w:r>
              <w:rPr>
                <w:rFonts w:hint="eastAsia" w:ascii="Times New Roman" w:hAnsi="Times New Roman" w:eastAsia="宋体" w:cs="Times New Roman"/>
                <w:color w:val="auto"/>
                <w:kern w:val="2"/>
                <w:sz w:val="24"/>
                <w:szCs w:val="20"/>
                <w:highlight w:val="none"/>
                <w:lang w:val="en-US" w:eastAsia="zh-CN" w:bidi="ar-SA"/>
              </w:rPr>
              <w:t>/d，纯水制备量为15m</w:t>
            </w:r>
            <w:r>
              <w:rPr>
                <w:rFonts w:hint="eastAsia" w:ascii="Times New Roman" w:hAnsi="Times New Roman" w:eastAsia="宋体" w:cs="Times New Roman"/>
                <w:color w:val="auto"/>
                <w:kern w:val="2"/>
                <w:sz w:val="24"/>
                <w:szCs w:val="20"/>
                <w:highlight w:val="none"/>
                <w:vertAlign w:val="superscript"/>
                <w:lang w:val="en-US" w:eastAsia="zh-CN" w:bidi="ar-SA"/>
              </w:rPr>
              <w:t>3</w:t>
            </w:r>
            <w:r>
              <w:rPr>
                <w:rFonts w:hint="eastAsia" w:ascii="Times New Roman" w:hAnsi="Times New Roman" w:eastAsia="宋体" w:cs="Times New Roman"/>
                <w:color w:val="auto"/>
                <w:kern w:val="2"/>
                <w:sz w:val="24"/>
                <w:szCs w:val="20"/>
                <w:highlight w:val="none"/>
                <w:lang w:val="en-US" w:eastAsia="zh-CN" w:bidi="ar-SA"/>
              </w:rPr>
              <w:t>/d。排水系数取0.5。</w:t>
            </w:r>
          </w:p>
          <w:p w14:paraId="5761960E">
            <w:pPr>
              <w:pStyle w:val="33"/>
              <w:spacing w:line="360" w:lineRule="auto"/>
              <w:ind w:left="0" w:leftChars="0"/>
              <w:jc w:val="left"/>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⑧医疗废物间清洗用水（本次新建）</w:t>
            </w:r>
          </w:p>
          <w:p w14:paraId="0FBD1510">
            <w:pPr>
              <w:pStyle w:val="33"/>
              <w:spacing w:line="360" w:lineRule="auto"/>
              <w:ind w:left="0" w:leftChars="0"/>
              <w:jc w:val="left"/>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医疗废物间清洗用水主要包括地面冲洗水和危险废物转运工具、容器冲洗消毒水。 医疗废物间面积约190m</w:t>
            </w:r>
            <w:r>
              <w:rPr>
                <w:rFonts w:hint="eastAsia" w:ascii="Times New Roman" w:hAnsi="Times New Roman" w:eastAsia="宋体" w:cs="Times New Roman"/>
                <w:color w:val="auto"/>
                <w:kern w:val="2"/>
                <w:sz w:val="24"/>
                <w:szCs w:val="20"/>
                <w:highlight w:val="none"/>
                <w:vertAlign w:val="superscript"/>
                <w:lang w:val="en-US" w:eastAsia="zh-CN" w:bidi="ar-SA"/>
              </w:rPr>
              <w:t>2</w:t>
            </w:r>
            <w:r>
              <w:rPr>
                <w:rFonts w:hint="eastAsia" w:ascii="Times New Roman" w:hAnsi="Times New Roman" w:eastAsia="宋体" w:cs="Times New Roman"/>
                <w:color w:val="auto"/>
                <w:kern w:val="2"/>
                <w:sz w:val="24"/>
                <w:szCs w:val="20"/>
                <w:highlight w:val="none"/>
                <w:lang w:val="en-US" w:eastAsia="zh-CN" w:bidi="ar-SA"/>
              </w:rPr>
              <w:t>，用水量以 2L/m</w:t>
            </w:r>
            <w:r>
              <w:rPr>
                <w:rFonts w:hint="eastAsia" w:ascii="Times New Roman" w:hAnsi="Times New Roman" w:eastAsia="宋体" w:cs="Times New Roman"/>
                <w:color w:val="auto"/>
                <w:kern w:val="2"/>
                <w:sz w:val="24"/>
                <w:szCs w:val="20"/>
                <w:highlight w:val="none"/>
                <w:vertAlign w:val="superscript"/>
                <w:lang w:val="en-US" w:eastAsia="zh-CN" w:bidi="ar-SA"/>
              </w:rPr>
              <w:t>2</w:t>
            </w:r>
            <w:r>
              <w:rPr>
                <w:rFonts w:hint="eastAsia" w:ascii="Times New Roman" w:hAnsi="Times New Roman" w:eastAsia="宋体" w:cs="Times New Roman"/>
                <w:color w:val="auto"/>
                <w:kern w:val="2"/>
                <w:sz w:val="24"/>
                <w:szCs w:val="20"/>
                <w:highlight w:val="none"/>
                <w:lang w:val="en-US" w:eastAsia="zh-CN" w:bidi="ar-SA"/>
              </w:rPr>
              <w:t xml:space="preserve"> 计，则地面冲洗水约 0.38m</w:t>
            </w:r>
            <w:r>
              <w:rPr>
                <w:rFonts w:hint="eastAsia" w:ascii="Times New Roman" w:hAnsi="Times New Roman" w:eastAsia="宋体" w:cs="Times New Roman"/>
                <w:color w:val="auto"/>
                <w:kern w:val="2"/>
                <w:sz w:val="24"/>
                <w:szCs w:val="20"/>
                <w:highlight w:val="none"/>
                <w:vertAlign w:val="superscript"/>
                <w:lang w:val="en-US" w:eastAsia="zh-CN" w:bidi="ar-SA"/>
              </w:rPr>
              <w:t>3</w:t>
            </w:r>
            <w:r>
              <w:rPr>
                <w:rFonts w:hint="eastAsia" w:ascii="Times New Roman" w:hAnsi="Times New Roman" w:eastAsia="宋体" w:cs="Times New Roman"/>
                <w:color w:val="auto"/>
                <w:kern w:val="2"/>
                <w:sz w:val="24"/>
                <w:szCs w:val="20"/>
                <w:highlight w:val="none"/>
                <w:lang w:val="en-US" w:eastAsia="zh-CN" w:bidi="ar-SA"/>
              </w:rPr>
              <w:t>/d； 参照现有工程情况，医疗废物间清洗消毒消耗的水量共计为 1m</w:t>
            </w:r>
            <w:r>
              <w:rPr>
                <w:rFonts w:hint="eastAsia" w:ascii="Times New Roman" w:hAnsi="Times New Roman" w:eastAsia="宋体" w:cs="Times New Roman"/>
                <w:color w:val="auto"/>
                <w:kern w:val="2"/>
                <w:sz w:val="24"/>
                <w:szCs w:val="20"/>
                <w:highlight w:val="none"/>
                <w:vertAlign w:val="superscript"/>
                <w:lang w:val="en-US" w:eastAsia="zh-CN" w:bidi="ar-SA"/>
              </w:rPr>
              <w:t>3</w:t>
            </w:r>
            <w:r>
              <w:rPr>
                <w:rFonts w:hint="eastAsia" w:ascii="Times New Roman" w:hAnsi="Times New Roman" w:eastAsia="宋体" w:cs="Times New Roman"/>
                <w:color w:val="auto"/>
                <w:kern w:val="2"/>
                <w:sz w:val="24"/>
                <w:szCs w:val="20"/>
                <w:highlight w:val="none"/>
                <w:lang w:val="en-US" w:eastAsia="zh-CN" w:bidi="ar-SA"/>
              </w:rPr>
              <w:t>/d。则医疗废物间清洗用水1.38m</w:t>
            </w:r>
            <w:r>
              <w:rPr>
                <w:rFonts w:hint="eastAsia" w:ascii="Times New Roman" w:hAnsi="Times New Roman" w:eastAsia="宋体" w:cs="Times New Roman"/>
                <w:color w:val="auto"/>
                <w:kern w:val="2"/>
                <w:sz w:val="24"/>
                <w:szCs w:val="20"/>
                <w:highlight w:val="none"/>
                <w:vertAlign w:val="superscript"/>
                <w:lang w:val="en-US" w:eastAsia="zh-CN" w:bidi="ar-SA"/>
              </w:rPr>
              <w:t>3</w:t>
            </w:r>
            <w:r>
              <w:rPr>
                <w:rFonts w:hint="eastAsia" w:ascii="Times New Roman" w:hAnsi="Times New Roman" w:eastAsia="宋体" w:cs="Times New Roman"/>
                <w:color w:val="auto"/>
                <w:kern w:val="2"/>
                <w:sz w:val="24"/>
                <w:szCs w:val="20"/>
                <w:highlight w:val="none"/>
                <w:lang w:val="en-US" w:eastAsia="zh-CN" w:bidi="ar-SA"/>
              </w:rPr>
              <w:t>/d，污水排放量按用水量的90%计算。</w:t>
            </w:r>
          </w:p>
          <w:p w14:paraId="74DC2B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eastAsia="宋体" w:cs="宋体"/>
                <w:color w:val="auto"/>
                <w:sz w:val="24"/>
                <w:szCs w:val="24"/>
                <w:lang w:val="en-US" w:eastAsia="zh-CN"/>
              </w:rPr>
            </w:pPr>
            <w:r>
              <w:rPr>
                <w:rFonts w:hint="eastAsia" w:ascii="Times New Roman" w:hAnsi="Times New Roman" w:eastAsia="宋体" w:cs="Times New Roman"/>
                <w:color w:val="auto"/>
                <w:kern w:val="2"/>
                <w:sz w:val="24"/>
                <w:szCs w:val="20"/>
                <w:highlight w:val="none"/>
                <w:lang w:val="en-US" w:eastAsia="zh-CN" w:bidi="ar-SA"/>
              </w:rPr>
              <w:t>⑨</w:t>
            </w:r>
            <w:r>
              <w:rPr>
                <w:rFonts w:hint="eastAsia" w:ascii="宋体" w:hAnsi="宋体" w:eastAsia="宋体" w:cs="宋体"/>
                <w:color w:val="auto"/>
                <w:sz w:val="24"/>
                <w:szCs w:val="24"/>
                <w:lang w:val="en-US" w:eastAsia="zh-CN"/>
              </w:rPr>
              <w:t>蒸汽发生器</w:t>
            </w:r>
          </w:p>
          <w:p w14:paraId="3D5EEB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default" w:ascii="Times New Roman" w:hAnsi="Times New Roman" w:eastAsia="宋体" w:cs="Times New Roman"/>
                <w:b w:val="0"/>
                <w:bCs w:val="0"/>
                <w:color w:val="auto"/>
                <w:kern w:val="2"/>
                <w:sz w:val="24"/>
                <w:szCs w:val="20"/>
                <w:highlight w:val="none"/>
                <w:lang w:val="en-US" w:eastAsia="zh-CN" w:bidi="ar-SA"/>
              </w:rPr>
            </w:pPr>
            <w:r>
              <w:rPr>
                <w:rFonts w:hint="default" w:ascii="Times New Roman" w:hAnsi="Times New Roman" w:eastAsia="宋体" w:cs="Times New Roman"/>
                <w:b w:val="0"/>
                <w:bCs w:val="0"/>
                <w:color w:val="auto"/>
                <w:kern w:val="0"/>
                <w:sz w:val="24"/>
                <w:szCs w:val="24"/>
                <w:lang w:val="en-US" w:eastAsia="zh-CN" w:bidi="ar"/>
              </w:rPr>
              <w:t>拟配套设置 4 台额定蒸发量为 1t/h 的蒸汽发生器，根据锅炉运行水质控制要求，蒸汽发生器排污率按 2% 计，用以控制炉水含盐量，避免设备结垢与腐蚀。单台蒸汽发生器排污水量为 0.02t/h，4 台合计排污量 0.08t/h；项目蒸汽发生器</w:t>
            </w:r>
            <w:r>
              <w:rPr>
                <w:rStyle w:val="20"/>
                <w:rFonts w:hint="default" w:ascii="Times New Roman" w:hAnsi="Times New Roman" w:eastAsia="宋体" w:cs="Times New Roman"/>
                <w:b w:val="0"/>
                <w:bCs w:val="0"/>
                <w:color w:val="auto"/>
                <w:kern w:val="0"/>
                <w:sz w:val="24"/>
                <w:szCs w:val="24"/>
                <w:lang w:val="en-US" w:eastAsia="zh-CN" w:bidi="ar"/>
              </w:rPr>
              <w:t>每日运行 8h，</w:t>
            </w:r>
            <w:r>
              <w:rPr>
                <w:rFonts w:hint="default" w:ascii="Times New Roman" w:hAnsi="Times New Roman" w:eastAsia="宋体" w:cs="Times New Roman"/>
                <w:b w:val="0"/>
                <w:bCs w:val="0"/>
                <w:color w:val="auto"/>
                <w:kern w:val="2"/>
                <w:sz w:val="24"/>
                <w:szCs w:val="20"/>
                <w:highlight w:val="none"/>
                <w:lang w:val="en-US" w:eastAsia="zh-CN" w:bidi="ar-SA"/>
              </w:rPr>
              <w:t>消耗的水量共计为32m</w:t>
            </w:r>
            <w:r>
              <w:rPr>
                <w:rFonts w:hint="default" w:ascii="Times New Roman" w:hAnsi="Times New Roman" w:eastAsia="宋体" w:cs="Times New Roman"/>
                <w:b w:val="0"/>
                <w:bCs w:val="0"/>
                <w:color w:val="auto"/>
                <w:kern w:val="2"/>
                <w:sz w:val="24"/>
                <w:szCs w:val="20"/>
                <w:highlight w:val="none"/>
                <w:vertAlign w:val="superscript"/>
                <w:lang w:val="en-US" w:eastAsia="zh-CN" w:bidi="ar-SA"/>
              </w:rPr>
              <w:t>3</w:t>
            </w:r>
            <w:r>
              <w:rPr>
                <w:rFonts w:hint="default" w:ascii="Times New Roman" w:hAnsi="Times New Roman" w:eastAsia="宋体" w:cs="Times New Roman"/>
                <w:b w:val="0"/>
                <w:bCs w:val="0"/>
                <w:color w:val="auto"/>
                <w:kern w:val="2"/>
                <w:sz w:val="24"/>
                <w:szCs w:val="20"/>
                <w:highlight w:val="none"/>
                <w:lang w:val="en-US" w:eastAsia="zh-CN" w:bidi="ar-SA"/>
              </w:rPr>
              <w:t>/d，排水量</w:t>
            </w:r>
            <w:r>
              <w:rPr>
                <w:rFonts w:hint="default" w:ascii="Times New Roman" w:hAnsi="Times New Roman" w:eastAsia="宋体" w:cs="Times New Roman"/>
                <w:b w:val="0"/>
                <w:bCs w:val="0"/>
                <w:color w:val="auto"/>
                <w:sz w:val="24"/>
                <w:szCs w:val="24"/>
              </w:rPr>
              <w:t>0.64</w:t>
            </w:r>
            <w:r>
              <w:rPr>
                <w:rFonts w:hint="default" w:ascii="Times New Roman" w:hAnsi="Times New Roman" w:eastAsia="宋体" w:cs="Times New Roman"/>
                <w:b w:val="0"/>
                <w:bCs w:val="0"/>
                <w:color w:val="auto"/>
                <w:kern w:val="2"/>
                <w:sz w:val="24"/>
                <w:szCs w:val="20"/>
                <w:highlight w:val="none"/>
                <w:lang w:val="en-US" w:eastAsia="zh-CN" w:bidi="ar-SA"/>
              </w:rPr>
              <w:t>m</w:t>
            </w:r>
            <w:r>
              <w:rPr>
                <w:rFonts w:hint="default" w:ascii="Times New Roman" w:hAnsi="Times New Roman" w:eastAsia="宋体" w:cs="Times New Roman"/>
                <w:b w:val="0"/>
                <w:bCs w:val="0"/>
                <w:color w:val="auto"/>
                <w:kern w:val="2"/>
                <w:sz w:val="24"/>
                <w:szCs w:val="20"/>
                <w:highlight w:val="none"/>
                <w:vertAlign w:val="superscript"/>
                <w:lang w:val="en-US" w:eastAsia="zh-CN" w:bidi="ar-SA"/>
              </w:rPr>
              <w:t>3</w:t>
            </w:r>
            <w:r>
              <w:rPr>
                <w:rFonts w:hint="default" w:ascii="Times New Roman" w:hAnsi="Times New Roman" w:eastAsia="宋体" w:cs="Times New Roman"/>
                <w:b w:val="0"/>
                <w:bCs w:val="0"/>
                <w:color w:val="auto"/>
                <w:kern w:val="2"/>
                <w:sz w:val="24"/>
                <w:szCs w:val="20"/>
                <w:highlight w:val="none"/>
                <w:lang w:val="en-US" w:eastAsia="zh-CN" w:bidi="ar-SA"/>
              </w:rPr>
              <w:t>/d。</w:t>
            </w:r>
          </w:p>
          <w:p w14:paraId="3AC7345B">
            <w:pPr>
              <w:pStyle w:val="33"/>
              <w:spacing w:line="360" w:lineRule="auto"/>
              <w:ind w:left="0" w:leftChars="0"/>
              <w:jc w:val="left"/>
              <w:rPr>
                <w:rFonts w:hint="default" w:eastAsia="宋体"/>
                <w:color w:val="auto"/>
                <w:spacing w:val="-4"/>
                <w:highlight w:val="none"/>
                <w:lang w:val="en-US" w:eastAsia="zh-CN"/>
              </w:rPr>
            </w:pPr>
            <w:r>
              <w:rPr>
                <w:rFonts w:hint="eastAsia" w:ascii="Times New Roman" w:hAnsi="Times New Roman" w:eastAsia="宋体" w:cs="Times New Roman"/>
                <w:color w:val="auto"/>
                <w:kern w:val="2"/>
                <w:sz w:val="24"/>
                <w:szCs w:val="20"/>
                <w:highlight w:val="none"/>
                <w:lang w:val="en-US" w:eastAsia="zh-CN" w:bidi="ar-SA"/>
              </w:rPr>
              <w:t>⑩</w:t>
            </w:r>
            <w:r>
              <w:rPr>
                <w:rFonts w:hint="eastAsia"/>
                <w:color w:val="auto"/>
                <w:spacing w:val="-4"/>
                <w:highlight w:val="none"/>
                <w:lang w:val="en-US" w:eastAsia="zh-CN"/>
              </w:rPr>
              <w:t>食堂用水</w:t>
            </w:r>
            <w:r>
              <w:rPr>
                <w:rFonts w:hint="eastAsia" w:ascii="Times New Roman" w:hAnsi="Times New Roman" w:eastAsia="宋体" w:cs="Times New Roman"/>
                <w:color w:val="auto"/>
                <w:kern w:val="2"/>
                <w:sz w:val="24"/>
                <w:szCs w:val="20"/>
                <w:highlight w:val="none"/>
                <w:lang w:val="en-US" w:eastAsia="zh-CN" w:bidi="ar-SA"/>
              </w:rPr>
              <w:t>（本次新建）</w:t>
            </w:r>
          </w:p>
          <w:p w14:paraId="37D04F4E">
            <w:pPr>
              <w:pStyle w:val="33"/>
              <w:spacing w:line="360" w:lineRule="auto"/>
              <w:ind w:left="0" w:leftChars="0"/>
              <w:jc w:val="left"/>
              <w:rPr>
                <w:color w:val="auto"/>
                <w:spacing w:val="3"/>
              </w:rPr>
            </w:pPr>
            <w:r>
              <w:rPr>
                <w:color w:val="auto"/>
                <w:spacing w:val="-4"/>
                <w:highlight w:val="none"/>
              </w:rPr>
              <w:t>根据</w:t>
            </w:r>
            <w:r>
              <w:rPr>
                <w:rFonts w:ascii="Times New Roman" w:hAnsi="Times New Roman"/>
                <w:color w:val="auto"/>
                <w:highlight w:val="none"/>
              </w:rPr>
              <w:t>《建筑给水排水设计标准》（GB50015-2019）</w:t>
            </w:r>
            <w:r>
              <w:rPr>
                <w:color w:val="auto"/>
                <w:spacing w:val="-17"/>
                <w:highlight w:val="none"/>
              </w:rPr>
              <w:t>，</w:t>
            </w:r>
            <w:r>
              <w:rPr>
                <w:color w:val="auto"/>
                <w:spacing w:val="-4"/>
              </w:rPr>
              <w:t>用水定额</w:t>
            </w:r>
            <w:r>
              <w:rPr>
                <w:color w:val="auto"/>
              </w:rPr>
              <w:t>为</w:t>
            </w:r>
            <w:r>
              <w:rPr>
                <w:rFonts w:hint="eastAsia" w:ascii="Times New Roman" w:hAnsi="Times New Roman" w:cs="Times New Roman"/>
                <w:color w:val="auto"/>
                <w:lang w:val="en-US" w:eastAsia="zh-CN"/>
              </w:rPr>
              <w:t>20</w:t>
            </w:r>
            <w:r>
              <w:rPr>
                <w:rFonts w:ascii="Times New Roman" w:hAnsi="Times New Roman" w:eastAsia="Times New Roman" w:cs="Times New Roman"/>
                <w:color w:val="auto"/>
              </w:rPr>
              <w:t>L/</w:t>
            </w:r>
            <w:r>
              <w:rPr>
                <w:color w:val="auto"/>
              </w:rPr>
              <w:t>（人</w:t>
            </w:r>
            <w:r>
              <w:rPr>
                <w:rFonts w:hint="eastAsia"/>
                <w:b w:val="0"/>
                <w:bCs w:val="0"/>
                <w:color w:val="auto"/>
                <w:sz w:val="24"/>
                <w:szCs w:val="32"/>
                <w:lang w:val="en-US" w:eastAsia="zh-CN"/>
              </w:rPr>
              <w:t>·</w:t>
            </w:r>
            <w:r>
              <w:rPr>
                <w:rFonts w:ascii="Times New Roman" w:hAnsi="Times New Roman" w:eastAsia="Times New Roman" w:cs="Times New Roman"/>
                <w:color w:val="auto"/>
              </w:rPr>
              <w:t>d</w:t>
            </w:r>
            <w:r>
              <w:rPr>
                <w:color w:val="auto"/>
                <w:spacing w:val="-4"/>
              </w:rPr>
              <w:t>），</w:t>
            </w:r>
            <w:r>
              <w:rPr>
                <w:color w:val="auto"/>
              </w:rPr>
              <w:t>本项目</w:t>
            </w:r>
            <w:r>
              <w:rPr>
                <w:rFonts w:hint="eastAsia"/>
                <w:color w:val="auto"/>
                <w:lang w:val="en-US" w:eastAsia="zh-CN"/>
              </w:rPr>
              <w:t>职工</w:t>
            </w:r>
            <w:r>
              <w:rPr>
                <w:color w:val="auto"/>
              </w:rPr>
              <w:t>共计</w:t>
            </w:r>
            <w:r>
              <w:rPr>
                <w:rFonts w:hint="eastAsia" w:ascii="Times New Roman" w:hAnsi="Times New Roman" w:cs="Times New Roman"/>
                <w:color w:val="auto"/>
                <w:lang w:val="en-US" w:eastAsia="zh-CN"/>
              </w:rPr>
              <w:t>303</w:t>
            </w:r>
            <w:r>
              <w:rPr>
                <w:color w:val="auto"/>
              </w:rPr>
              <w:t>人，则</w:t>
            </w:r>
            <w:r>
              <w:rPr>
                <w:rFonts w:hint="eastAsia"/>
                <w:color w:val="auto"/>
              </w:rPr>
              <w:t>餐厨</w:t>
            </w:r>
            <w:r>
              <w:rPr>
                <w:color w:val="auto"/>
              </w:rPr>
              <w:t>用水量约</w:t>
            </w:r>
            <w:r>
              <w:rPr>
                <w:rFonts w:hint="eastAsia" w:ascii="Times New Roman" w:hAnsi="Times New Roman" w:cs="Times New Roman"/>
                <w:color w:val="auto"/>
                <w:lang w:val="en-US" w:eastAsia="zh-CN"/>
              </w:rPr>
              <w:t>6.06</w:t>
            </w:r>
            <w:r>
              <w:rPr>
                <w:rFonts w:ascii="Times New Roman" w:hAnsi="Times New Roman" w:eastAsia="Times New Roman" w:cs="Times New Roman"/>
                <w:color w:val="auto"/>
              </w:rPr>
              <w:t>m</w:t>
            </w:r>
            <w:r>
              <w:rPr>
                <w:rFonts w:ascii="Times New Roman" w:hAnsi="Times New Roman" w:eastAsia="Times New Roman" w:cs="Times New Roman"/>
                <w:color w:val="auto"/>
                <w:spacing w:val="-1"/>
                <w:position w:val="9"/>
                <w:sz w:val="16"/>
                <w:szCs w:val="16"/>
              </w:rPr>
              <w:t>3</w:t>
            </w:r>
            <w:r>
              <w:rPr>
                <w:rFonts w:ascii="Times New Roman" w:hAnsi="Times New Roman" w:eastAsia="Times New Roman" w:cs="Times New Roman"/>
                <w:color w:val="auto"/>
                <w:spacing w:val="-1"/>
              </w:rPr>
              <w:t>/d</w:t>
            </w:r>
            <w:r>
              <w:rPr>
                <w:color w:val="auto"/>
                <w:spacing w:val="3"/>
              </w:rPr>
              <w:t>。</w:t>
            </w:r>
            <w:r>
              <w:rPr>
                <w:rFonts w:hint="eastAsia" w:ascii="Times New Roman" w:hAnsi="Times New Roman" w:eastAsia="宋体" w:cs="Times New Roman"/>
                <w:color w:val="auto"/>
                <w:kern w:val="2"/>
                <w:sz w:val="24"/>
                <w:szCs w:val="20"/>
                <w:highlight w:val="none"/>
                <w:lang w:val="en-US" w:eastAsia="zh-CN" w:bidi="ar-SA"/>
              </w:rPr>
              <w:t>排水系数取0.8。</w:t>
            </w:r>
          </w:p>
          <w:p w14:paraId="467CFE4D">
            <w:pPr>
              <w:pStyle w:val="33"/>
              <w:spacing w:line="360" w:lineRule="auto"/>
              <w:ind w:left="0" w:leftChars="0"/>
              <w:jc w:val="left"/>
              <w:rPr>
                <w:rFonts w:hint="default" w:eastAsia="宋体"/>
                <w:color w:val="auto"/>
                <w:spacing w:val="-4"/>
                <w:highlight w:val="none"/>
                <w:lang w:val="en-US" w:eastAsia="zh-CN"/>
              </w:rPr>
            </w:pPr>
            <w:r>
              <w:rPr>
                <w:rFonts w:hint="eastAsia" w:ascii="Times New Roman" w:hAnsi="Times New Roman" w:eastAsia="宋体" w:cs="Times New Roman"/>
                <w:color w:val="auto"/>
                <w:kern w:val="2"/>
                <w:sz w:val="24"/>
                <w:szCs w:val="20"/>
                <w:highlight w:val="none"/>
                <w:lang w:val="en-US" w:eastAsia="zh-CN" w:bidi="ar-SA"/>
              </w:rPr>
              <w:t>⑪</w:t>
            </w:r>
            <w:r>
              <w:rPr>
                <w:rFonts w:hint="eastAsia"/>
                <w:color w:val="auto"/>
                <w:spacing w:val="-4"/>
                <w:highlight w:val="none"/>
                <w:lang w:val="en-US" w:eastAsia="zh-CN"/>
              </w:rPr>
              <w:t>绿化用水</w:t>
            </w:r>
            <w:r>
              <w:rPr>
                <w:rFonts w:hint="eastAsia" w:ascii="Times New Roman" w:hAnsi="Times New Roman" w:eastAsia="宋体" w:cs="Times New Roman"/>
                <w:color w:val="auto"/>
                <w:kern w:val="2"/>
                <w:sz w:val="24"/>
                <w:szCs w:val="20"/>
                <w:highlight w:val="none"/>
                <w:lang w:val="en-US" w:eastAsia="zh-CN" w:bidi="ar-SA"/>
              </w:rPr>
              <w:t>（现有工程+本次新建）</w:t>
            </w:r>
          </w:p>
          <w:p w14:paraId="2FFCBF47">
            <w:pPr>
              <w:pStyle w:val="33"/>
              <w:spacing w:line="360" w:lineRule="auto"/>
              <w:ind w:left="0" w:leftChars="0"/>
              <w:jc w:val="left"/>
              <w:rPr>
                <w:rFonts w:hint="eastAsia" w:eastAsia="宋体"/>
                <w:color w:val="auto"/>
                <w:spacing w:val="3"/>
                <w:lang w:val="en-US" w:eastAsia="zh-CN"/>
              </w:rPr>
            </w:pPr>
            <w:r>
              <w:rPr>
                <w:color w:val="auto"/>
                <w:spacing w:val="-4"/>
                <w:highlight w:val="none"/>
              </w:rPr>
              <w:t>根据</w:t>
            </w:r>
            <w:r>
              <w:rPr>
                <w:rFonts w:ascii="Times New Roman" w:hAnsi="Times New Roman"/>
                <w:color w:val="auto"/>
                <w:highlight w:val="none"/>
              </w:rPr>
              <w:t>《建筑给水排水设计标准》（GB50015-2019）</w:t>
            </w:r>
            <w:r>
              <w:rPr>
                <w:color w:val="auto"/>
                <w:spacing w:val="-17"/>
                <w:highlight w:val="none"/>
              </w:rPr>
              <w:t>，</w:t>
            </w:r>
            <w:r>
              <w:rPr>
                <w:color w:val="auto"/>
                <w:spacing w:val="-4"/>
              </w:rPr>
              <w:t>用水定额</w:t>
            </w:r>
            <w:r>
              <w:rPr>
                <w:color w:val="auto"/>
              </w:rPr>
              <w:t>为</w:t>
            </w:r>
            <w:r>
              <w:rPr>
                <w:rFonts w:hint="eastAsia" w:ascii="Times New Roman" w:hAnsi="Times New Roman" w:cs="Times New Roman"/>
                <w:color w:val="auto"/>
                <w:lang w:val="en-US" w:eastAsia="zh-CN"/>
              </w:rPr>
              <w:t>1</w:t>
            </w:r>
            <w:r>
              <w:rPr>
                <w:rFonts w:ascii="Times New Roman" w:hAnsi="Times New Roman" w:eastAsia="Times New Roman" w:cs="Times New Roman"/>
                <w:color w:val="auto"/>
              </w:rPr>
              <w:t>L/</w:t>
            </w:r>
            <w:r>
              <w:rPr>
                <w:color w:val="auto"/>
              </w:rPr>
              <w:t>（</w:t>
            </w:r>
            <w:r>
              <w:rPr>
                <w:rFonts w:hint="eastAsia"/>
                <w:color w:val="auto"/>
                <w:lang w:val="en-US" w:eastAsia="zh-CN"/>
              </w:rPr>
              <w:t>m</w:t>
            </w:r>
            <w:r>
              <w:rPr>
                <w:rFonts w:hint="eastAsia"/>
                <w:color w:val="auto"/>
                <w:vertAlign w:val="superscript"/>
                <w:lang w:val="en-US" w:eastAsia="zh-CN"/>
              </w:rPr>
              <w:t>2</w:t>
            </w:r>
            <w:r>
              <w:rPr>
                <w:rFonts w:hint="eastAsia"/>
                <w:b w:val="0"/>
                <w:bCs w:val="0"/>
                <w:color w:val="auto"/>
                <w:sz w:val="24"/>
                <w:szCs w:val="32"/>
                <w:lang w:val="en-US" w:eastAsia="zh-CN"/>
              </w:rPr>
              <w:t>·</w:t>
            </w:r>
            <w:r>
              <w:rPr>
                <w:rFonts w:ascii="Times New Roman" w:hAnsi="Times New Roman" w:eastAsia="Times New Roman" w:cs="Times New Roman"/>
                <w:color w:val="auto"/>
              </w:rPr>
              <w:t>d</w:t>
            </w:r>
            <w:r>
              <w:rPr>
                <w:color w:val="auto"/>
                <w:spacing w:val="-4"/>
              </w:rPr>
              <w:t>），</w:t>
            </w:r>
            <w:r>
              <w:rPr>
                <w:rFonts w:hint="eastAsia"/>
                <w:color w:val="auto"/>
                <w:spacing w:val="-4"/>
                <w:lang w:val="en-US" w:eastAsia="zh-CN"/>
              </w:rPr>
              <w:t>绿化面积为</w:t>
            </w:r>
            <w:r>
              <w:rPr>
                <w:rFonts w:hint="default" w:ascii="Times New Roman" w:hAnsi="Times New Roman" w:eastAsia="楷体" w:cs="Times New Roman"/>
                <w:color w:val="auto"/>
                <w:spacing w:val="-2"/>
                <w:position w:val="1"/>
                <w:sz w:val="24"/>
                <w:szCs w:val="24"/>
              </w:rPr>
              <w:t>6303.20</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2</w:t>
            </w:r>
            <w:r>
              <w:rPr>
                <w:rFonts w:hint="eastAsia" w:ascii="Times New Roman" w:hAnsi="Times New Roman" w:cs="Times New Roman"/>
                <w:color w:val="auto"/>
                <w:vertAlign w:val="superscript"/>
                <w:lang w:val="en-US" w:eastAsia="zh-CN"/>
              </w:rPr>
              <w:t>，</w:t>
            </w:r>
            <w:r>
              <w:rPr>
                <w:rFonts w:hint="eastAsia" w:ascii="Times New Roman" w:hAnsi="Times New Roman" w:cs="Times New Roman"/>
                <w:color w:val="auto"/>
                <w:vertAlign w:val="baseline"/>
                <w:lang w:val="en-US" w:eastAsia="zh-CN"/>
              </w:rPr>
              <w:t>需浇灌天数以220天计，</w:t>
            </w:r>
            <w:r>
              <w:rPr>
                <w:color w:val="auto"/>
              </w:rPr>
              <w:t>则</w:t>
            </w:r>
            <w:r>
              <w:rPr>
                <w:rFonts w:hint="eastAsia"/>
                <w:color w:val="auto"/>
                <w:lang w:val="en-US" w:eastAsia="zh-CN"/>
              </w:rPr>
              <w:t>平均每天绿化</w:t>
            </w:r>
            <w:r>
              <w:rPr>
                <w:color w:val="auto"/>
              </w:rPr>
              <w:t>用水量</w:t>
            </w:r>
            <w:r>
              <w:rPr>
                <w:rFonts w:hint="eastAsia" w:ascii="Times New Roman" w:hAnsi="Times New Roman" w:eastAsia="宋体" w:cs="Times New Roman"/>
                <w:color w:val="auto"/>
                <w:vertAlign w:val="baseline"/>
                <w:lang w:val="en-US" w:eastAsia="zh-CN"/>
              </w:rPr>
              <w:t>3.799m</w:t>
            </w:r>
            <w:r>
              <w:rPr>
                <w:rFonts w:ascii="Times New Roman" w:hAnsi="Times New Roman" w:eastAsia="Times New Roman" w:cs="Times New Roman"/>
                <w:color w:val="auto"/>
                <w:spacing w:val="-1"/>
                <w:position w:val="9"/>
                <w:sz w:val="16"/>
                <w:szCs w:val="16"/>
              </w:rPr>
              <w:t>3</w:t>
            </w:r>
            <w:r>
              <w:rPr>
                <w:rFonts w:ascii="Times New Roman" w:hAnsi="Times New Roman" w:eastAsia="Times New Roman" w:cs="Times New Roman"/>
                <w:color w:val="auto"/>
                <w:spacing w:val="-1"/>
              </w:rPr>
              <w:t>/d</w:t>
            </w:r>
          </w:p>
          <w:p w14:paraId="2E91CFD7">
            <w:pPr>
              <w:pStyle w:val="33"/>
              <w:ind w:left="0" w:leftChars="0"/>
              <w:jc w:val="left"/>
              <w:rPr>
                <w:rFonts w:ascii="Times New Roman" w:hAnsi="Times New Roman"/>
                <w:b/>
                <w:bCs/>
                <w:color w:val="auto"/>
                <w:highlight w:val="none"/>
              </w:rPr>
            </w:pPr>
            <w:r>
              <w:rPr>
                <w:rFonts w:ascii="Times New Roman" w:hAnsi="Times New Roman"/>
                <w:color w:val="auto"/>
                <w:highlight w:val="none"/>
              </w:rPr>
              <w:t>年</w:t>
            </w:r>
            <w:r>
              <w:rPr>
                <w:rFonts w:hint="eastAsia" w:ascii="Times New Roman" w:hAnsi="Times New Roman"/>
                <w:color w:val="auto"/>
                <w:highlight w:val="none"/>
              </w:rPr>
              <w:t>工作日</w:t>
            </w:r>
            <w:r>
              <w:rPr>
                <w:rFonts w:ascii="Times New Roman" w:hAnsi="Times New Roman"/>
                <w:color w:val="auto"/>
                <w:highlight w:val="none"/>
              </w:rPr>
              <w:t>按</w:t>
            </w:r>
            <w:r>
              <w:rPr>
                <w:rFonts w:hint="eastAsia" w:ascii="Times New Roman" w:hAnsi="Times New Roman"/>
                <w:color w:val="auto"/>
                <w:highlight w:val="none"/>
              </w:rPr>
              <w:t>365</w:t>
            </w:r>
            <w:r>
              <w:rPr>
                <w:rFonts w:ascii="Times New Roman" w:hAnsi="Times New Roman"/>
                <w:color w:val="auto"/>
                <w:highlight w:val="none"/>
              </w:rPr>
              <w:t>天计算，则</w:t>
            </w:r>
            <w:r>
              <w:rPr>
                <w:rFonts w:hint="eastAsia" w:ascii="Times New Roman" w:hAnsi="Times New Roman"/>
                <w:color w:val="auto"/>
                <w:highlight w:val="none"/>
              </w:rPr>
              <w:t>项目</w:t>
            </w:r>
            <w:r>
              <w:rPr>
                <w:rFonts w:ascii="Times New Roman" w:hAnsi="Times New Roman"/>
                <w:color w:val="auto"/>
                <w:highlight w:val="none"/>
              </w:rPr>
              <w:t>用水量约</w:t>
            </w:r>
            <w:r>
              <w:rPr>
                <w:rFonts w:hint="eastAsia" w:ascii="Times New Roman" w:hAnsi="Times New Roman"/>
                <w:color w:val="auto"/>
                <w:highlight w:val="none"/>
                <w:lang w:val="en-US" w:eastAsia="zh-CN"/>
              </w:rPr>
              <w:t>269.17</w:t>
            </w:r>
            <w:r>
              <w:rPr>
                <w:rFonts w:hint="eastAsia" w:ascii="Times New Roman" w:hAnsi="Times New Roman"/>
                <w:color w:val="auto"/>
                <w:highlight w:val="none"/>
              </w:rPr>
              <w:t>m</w:t>
            </w:r>
            <w:r>
              <w:rPr>
                <w:rFonts w:hint="eastAsia" w:ascii="Times New Roman" w:hAnsi="Times New Roman"/>
                <w:color w:val="auto"/>
                <w:highlight w:val="none"/>
                <w:vertAlign w:val="superscript"/>
              </w:rPr>
              <w:t>3</w:t>
            </w:r>
            <w:r>
              <w:rPr>
                <w:rFonts w:ascii="Times New Roman" w:hAnsi="Times New Roman"/>
                <w:color w:val="auto"/>
                <w:highlight w:val="none"/>
              </w:rPr>
              <w:t>/d</w:t>
            </w:r>
            <w:r>
              <w:rPr>
                <w:rFonts w:hint="eastAsia" w:ascii="Times New Roman" w:hAnsi="Times New Roman"/>
                <w:color w:val="auto"/>
                <w:highlight w:val="none"/>
                <w:lang w:eastAsia="zh-CN"/>
              </w:rPr>
              <w:t>，</w:t>
            </w:r>
            <w:r>
              <w:rPr>
                <w:rFonts w:ascii="Times New Roman" w:hAnsi="Times New Roman"/>
                <w:color w:val="auto"/>
                <w:highlight w:val="none"/>
              </w:rPr>
              <w:t>则</w:t>
            </w:r>
            <w:r>
              <w:rPr>
                <w:rFonts w:hint="eastAsia" w:ascii="Times New Roman" w:hAnsi="Times New Roman"/>
                <w:color w:val="auto"/>
                <w:highlight w:val="none"/>
              </w:rPr>
              <w:t>项目</w:t>
            </w:r>
            <w:r>
              <w:rPr>
                <w:rFonts w:hint="eastAsia" w:ascii="Times New Roman" w:hAnsi="Times New Roman"/>
                <w:color w:val="auto"/>
                <w:highlight w:val="none"/>
                <w:lang w:val="en-US" w:eastAsia="zh-CN"/>
              </w:rPr>
              <w:t>排水</w:t>
            </w:r>
            <w:r>
              <w:rPr>
                <w:rFonts w:ascii="Times New Roman" w:hAnsi="Times New Roman"/>
                <w:color w:val="auto"/>
                <w:highlight w:val="none"/>
              </w:rPr>
              <w:t>量约</w:t>
            </w:r>
            <w:r>
              <w:rPr>
                <w:rFonts w:hint="eastAsia" w:ascii="Times New Roman" w:hAnsi="Times New Roman"/>
                <w:color w:val="auto"/>
                <w:highlight w:val="none"/>
                <w:lang w:val="en-US" w:eastAsia="zh-CN"/>
              </w:rPr>
              <w:t>178.47</w:t>
            </w:r>
            <w:r>
              <w:rPr>
                <w:rFonts w:hint="eastAsia" w:ascii="Times New Roman" w:hAnsi="Times New Roman"/>
                <w:color w:val="auto"/>
                <w:highlight w:val="none"/>
              </w:rPr>
              <w:t>m</w:t>
            </w:r>
            <w:r>
              <w:rPr>
                <w:rFonts w:hint="eastAsia" w:ascii="Times New Roman" w:hAnsi="Times New Roman"/>
                <w:color w:val="auto"/>
                <w:highlight w:val="none"/>
                <w:vertAlign w:val="superscript"/>
              </w:rPr>
              <w:t>3</w:t>
            </w:r>
            <w:r>
              <w:rPr>
                <w:rFonts w:ascii="Times New Roman" w:hAnsi="Times New Roman"/>
                <w:color w:val="auto"/>
                <w:highlight w:val="none"/>
              </w:rPr>
              <w:t>/d</w:t>
            </w:r>
            <w:r>
              <w:rPr>
                <w:rFonts w:hint="eastAsia" w:ascii="Times New Roman" w:hAnsi="Times New Roman"/>
                <w:color w:val="auto"/>
                <w:highlight w:val="none"/>
              </w:rPr>
              <w:t>项目医院日常用水量</w:t>
            </w:r>
            <w:r>
              <w:rPr>
                <w:rFonts w:hint="eastAsia" w:ascii="Times New Roman" w:hAnsi="Times New Roman"/>
                <w:color w:val="auto"/>
                <w:highlight w:val="none"/>
                <w:lang w:eastAsia="zh-CN"/>
              </w:rPr>
              <w:t>、</w:t>
            </w:r>
            <w:r>
              <w:rPr>
                <w:rFonts w:hint="eastAsia" w:ascii="Times New Roman" w:hAnsi="Times New Roman"/>
                <w:color w:val="auto"/>
                <w:highlight w:val="none"/>
                <w:lang w:val="en-US" w:eastAsia="zh-CN"/>
              </w:rPr>
              <w:t>排水量</w:t>
            </w:r>
            <w:r>
              <w:rPr>
                <w:rFonts w:ascii="Times New Roman" w:hAnsi="Times New Roman"/>
                <w:color w:val="auto"/>
                <w:highlight w:val="none"/>
              </w:rPr>
              <w:t>计算详见表2.2-</w:t>
            </w:r>
            <w:r>
              <w:rPr>
                <w:rFonts w:hint="eastAsia" w:ascii="Times New Roman" w:hAnsi="Times New Roman"/>
                <w:color w:val="auto"/>
                <w:highlight w:val="none"/>
              </w:rPr>
              <w:t>4</w:t>
            </w:r>
            <w:r>
              <w:rPr>
                <w:rFonts w:hint="eastAsia"/>
                <w:color w:val="auto"/>
                <w:highlight w:val="none"/>
              </w:rPr>
              <w:t>。</w:t>
            </w:r>
          </w:p>
          <w:p w14:paraId="1D7ACCEB">
            <w:pPr>
              <w:pStyle w:val="14"/>
              <w:widowControl/>
              <w:spacing w:beforeAutospacing="0" w:after="0" w:afterAutospacing="0"/>
              <w:jc w:val="center"/>
              <w:rPr>
                <w:rFonts w:ascii="Times New Roman" w:hAnsi="Times New Roman"/>
                <w:b/>
                <w:bCs/>
                <w:color w:val="auto"/>
                <w:highlight w:val="none"/>
              </w:rPr>
            </w:pPr>
            <w:r>
              <w:rPr>
                <w:rFonts w:ascii="Times New Roman" w:hAnsi="Times New Roman"/>
                <w:b/>
                <w:bCs/>
                <w:color w:val="auto"/>
                <w:highlight w:val="none"/>
              </w:rPr>
              <w:t>表2.2-</w:t>
            </w:r>
            <w:r>
              <w:rPr>
                <w:rFonts w:hint="eastAsia" w:ascii="Times New Roman" w:hAnsi="Times New Roman"/>
                <w:b/>
                <w:bCs/>
                <w:color w:val="auto"/>
                <w:highlight w:val="none"/>
              </w:rPr>
              <w:t>4</w:t>
            </w:r>
            <w:r>
              <w:rPr>
                <w:rFonts w:hint="eastAsia" w:ascii="Times New Roman" w:hAnsi="Times New Roman"/>
                <w:b/>
                <w:bCs/>
                <w:color w:val="auto"/>
                <w:highlight w:val="none"/>
                <w:lang w:val="en-US" w:eastAsia="zh-CN"/>
              </w:rPr>
              <w:t>医院</w:t>
            </w:r>
            <w:r>
              <w:rPr>
                <w:rFonts w:ascii="Times New Roman" w:hAnsi="Times New Roman"/>
                <w:b/>
                <w:bCs/>
                <w:color w:val="auto"/>
                <w:highlight w:val="none"/>
              </w:rPr>
              <w:t>日常用</w:t>
            </w:r>
            <w:r>
              <w:rPr>
                <w:rFonts w:hint="eastAsia" w:ascii="Times New Roman" w:hAnsi="Times New Roman"/>
                <w:b/>
                <w:bCs/>
                <w:color w:val="auto"/>
                <w:highlight w:val="none"/>
                <w:lang w:val="en-US" w:eastAsia="zh-CN"/>
              </w:rPr>
              <w:t>排</w:t>
            </w:r>
            <w:r>
              <w:rPr>
                <w:rFonts w:ascii="Times New Roman" w:hAnsi="Times New Roman"/>
                <w:b/>
                <w:bCs/>
                <w:color w:val="auto"/>
                <w:highlight w:val="none"/>
              </w:rPr>
              <w:t>水量一览表</w:t>
            </w:r>
          </w:p>
          <w:tbl>
            <w:tblPr>
              <w:tblStyle w:val="17"/>
              <w:tblW w:w="8401"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108" w:type="dxa"/>
                <w:bottom w:w="0" w:type="dxa"/>
                <w:right w:w="108" w:type="dxa"/>
              </w:tblCellMar>
            </w:tblPr>
            <w:tblGrid>
              <w:gridCol w:w="1194"/>
              <w:gridCol w:w="901"/>
              <w:gridCol w:w="2284"/>
              <w:gridCol w:w="751"/>
              <w:gridCol w:w="1041"/>
              <w:gridCol w:w="556"/>
              <w:gridCol w:w="729"/>
              <w:gridCol w:w="945"/>
            </w:tblGrid>
            <w:tr w14:paraId="5499F9C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55" w:hRule="atLeast"/>
                <w:jc w:val="center"/>
              </w:trPr>
              <w:tc>
                <w:tcPr>
                  <w:tcW w:w="1194" w:type="dxa"/>
                  <w:tcBorders>
                    <w:tl2br w:val="nil"/>
                    <w:tr2bl w:val="nil"/>
                  </w:tcBorders>
                  <w:noWrap w:val="0"/>
                  <w:vAlign w:val="center"/>
                </w:tcPr>
                <w:p w14:paraId="07D24DF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用水项目</w:t>
                  </w:r>
                </w:p>
              </w:tc>
              <w:tc>
                <w:tcPr>
                  <w:tcW w:w="901" w:type="dxa"/>
                  <w:tcBorders>
                    <w:tl2br w:val="nil"/>
                    <w:tr2bl w:val="nil"/>
                  </w:tcBorders>
                  <w:noWrap w:val="0"/>
                  <w:vAlign w:val="center"/>
                </w:tcPr>
                <w:p w14:paraId="6FFF51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规模</w:t>
                  </w:r>
                </w:p>
              </w:tc>
              <w:tc>
                <w:tcPr>
                  <w:tcW w:w="2284" w:type="dxa"/>
                  <w:tcBorders>
                    <w:tl2br w:val="nil"/>
                    <w:tr2bl w:val="nil"/>
                  </w:tcBorders>
                  <w:noWrap w:val="0"/>
                  <w:vAlign w:val="center"/>
                </w:tcPr>
                <w:p w14:paraId="6FB3E25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用水标准</w:t>
                  </w:r>
                </w:p>
              </w:tc>
              <w:tc>
                <w:tcPr>
                  <w:tcW w:w="751" w:type="dxa"/>
                  <w:tcBorders>
                    <w:tl2br w:val="nil"/>
                    <w:tr2bl w:val="nil"/>
                  </w:tcBorders>
                  <w:noWrap w:val="0"/>
                  <w:vAlign w:val="center"/>
                </w:tcPr>
                <w:p w14:paraId="6AEA01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最大日用水量</w:t>
                  </w:r>
                  <w:r>
                    <w:rPr>
                      <w:rFonts w:hint="default" w:ascii="Times New Roman" w:hAnsi="Times New Roman" w:eastAsia="宋体" w:cs="Times New Roman"/>
                      <w:i w:val="0"/>
                      <w:iCs w:val="0"/>
                      <w:color w:val="auto"/>
                      <w:kern w:val="0"/>
                      <w:sz w:val="21"/>
                      <w:szCs w:val="21"/>
                      <w:u w:val="no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/d</w:t>
                  </w:r>
                </w:p>
              </w:tc>
              <w:tc>
                <w:tcPr>
                  <w:tcW w:w="1041" w:type="dxa"/>
                  <w:tcBorders>
                    <w:tl2br w:val="nil"/>
                    <w:tr2bl w:val="nil"/>
                  </w:tcBorders>
                  <w:noWrap w:val="0"/>
                  <w:vAlign w:val="center"/>
                </w:tcPr>
                <w:p w14:paraId="168833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最大年用水量</w:t>
                  </w:r>
                  <w:r>
                    <w:rPr>
                      <w:rFonts w:hint="default" w:ascii="Times New Roman" w:hAnsi="Times New Roman" w:eastAsia="宋体" w:cs="Times New Roman"/>
                      <w:i w:val="0"/>
                      <w:iCs w:val="0"/>
                      <w:color w:val="auto"/>
                      <w:kern w:val="0"/>
                      <w:sz w:val="21"/>
                      <w:szCs w:val="21"/>
                      <w:u w:val="no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/a</w:t>
                  </w:r>
                </w:p>
              </w:tc>
              <w:tc>
                <w:tcPr>
                  <w:tcW w:w="556" w:type="dxa"/>
                  <w:tcBorders>
                    <w:tl2br w:val="nil"/>
                    <w:tr2bl w:val="nil"/>
                  </w:tcBorders>
                  <w:noWrap w:val="0"/>
                  <w:vAlign w:val="center"/>
                </w:tcPr>
                <w:p w14:paraId="711DB15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废水系数</w:t>
                  </w:r>
                </w:p>
              </w:tc>
              <w:tc>
                <w:tcPr>
                  <w:tcW w:w="729" w:type="dxa"/>
                  <w:tcBorders>
                    <w:tl2br w:val="nil"/>
                    <w:tr2bl w:val="nil"/>
                  </w:tcBorders>
                  <w:noWrap w:val="0"/>
                  <w:vAlign w:val="center"/>
                </w:tcPr>
                <w:p w14:paraId="57E9F3D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废水产生量</w:t>
                  </w:r>
                  <w:r>
                    <w:rPr>
                      <w:rFonts w:hint="default" w:ascii="Times New Roman" w:hAnsi="Times New Roman" w:eastAsia="宋体" w:cs="Times New Roman"/>
                      <w:i w:val="0"/>
                      <w:iCs w:val="0"/>
                      <w:color w:val="auto"/>
                      <w:kern w:val="0"/>
                      <w:sz w:val="21"/>
                      <w:szCs w:val="21"/>
                      <w:u w:val="no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/d</w:t>
                  </w:r>
                </w:p>
              </w:tc>
              <w:tc>
                <w:tcPr>
                  <w:tcW w:w="945" w:type="dxa"/>
                  <w:tcBorders>
                    <w:tl2br w:val="nil"/>
                    <w:tr2bl w:val="nil"/>
                  </w:tcBorders>
                  <w:noWrap w:val="0"/>
                  <w:vAlign w:val="center"/>
                </w:tcPr>
                <w:p w14:paraId="296DFC9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最大年排水量</w:t>
                  </w:r>
                  <w:r>
                    <w:rPr>
                      <w:rFonts w:hint="default" w:ascii="Times New Roman" w:hAnsi="Times New Roman" w:eastAsia="宋体" w:cs="Times New Roman"/>
                      <w:i w:val="0"/>
                      <w:iCs w:val="0"/>
                      <w:color w:val="auto"/>
                      <w:kern w:val="0"/>
                      <w:sz w:val="21"/>
                      <w:szCs w:val="21"/>
                      <w:u w:val="no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a</w:t>
                  </w:r>
                </w:p>
              </w:tc>
            </w:tr>
            <w:tr w14:paraId="6CBD480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40" w:hRule="atLeast"/>
                <w:jc w:val="center"/>
              </w:trPr>
              <w:tc>
                <w:tcPr>
                  <w:tcW w:w="1194" w:type="dxa"/>
                  <w:tcBorders>
                    <w:tl2br w:val="nil"/>
                    <w:tr2bl w:val="nil"/>
                  </w:tcBorders>
                  <w:noWrap w:val="0"/>
                  <w:vAlign w:val="center"/>
                </w:tcPr>
                <w:p w14:paraId="49051AC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病床医疗用水</w:t>
                  </w:r>
                </w:p>
              </w:tc>
              <w:tc>
                <w:tcPr>
                  <w:tcW w:w="901" w:type="dxa"/>
                  <w:tcBorders>
                    <w:tl2br w:val="nil"/>
                    <w:tr2bl w:val="nil"/>
                  </w:tcBorders>
                  <w:noWrap w:val="0"/>
                  <w:vAlign w:val="center"/>
                </w:tcPr>
                <w:p w14:paraId="5A5E6CF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350床</w:t>
                  </w:r>
                </w:p>
              </w:tc>
              <w:tc>
                <w:tcPr>
                  <w:tcW w:w="2284" w:type="dxa"/>
                  <w:tcBorders>
                    <w:tl2br w:val="nil"/>
                    <w:tr2bl w:val="nil"/>
                  </w:tcBorders>
                  <w:noWrap w:val="0"/>
                  <w:vAlign w:val="center"/>
                </w:tcPr>
                <w:p w14:paraId="29F75F0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350L/</w:t>
                  </w:r>
                  <w:r>
                    <w:rPr>
                      <w:rFonts w:hint="eastAsia" w:ascii="宋体" w:hAnsi="宋体" w:eastAsia="宋体" w:cs="宋体"/>
                      <w:i w:val="0"/>
                      <w:iCs w:val="0"/>
                      <w:color w:val="auto"/>
                      <w:kern w:val="0"/>
                      <w:sz w:val="21"/>
                      <w:szCs w:val="21"/>
                      <w:u w:val="none"/>
                      <w:lang w:val="en-US" w:eastAsia="zh-CN" w:bidi="ar"/>
                    </w:rPr>
                    <w:t>床</w:t>
                  </w:r>
                  <w:r>
                    <w:rPr>
                      <w:rFonts w:hint="default" w:ascii="Times New Roman" w:hAnsi="Times New Roman" w:eastAsia="宋体" w:cs="Times New Roman"/>
                      <w:i w:val="0"/>
                      <w:iCs w:val="0"/>
                      <w:color w:val="auto"/>
                      <w:kern w:val="0"/>
                      <w:sz w:val="21"/>
                      <w:szCs w:val="21"/>
                      <w:u w:val="none"/>
                      <w:lang w:val="en-US" w:eastAsia="zh-CN" w:bidi="ar"/>
                    </w:rPr>
                    <w:t>·d</w:t>
                  </w:r>
                </w:p>
              </w:tc>
              <w:tc>
                <w:tcPr>
                  <w:tcW w:w="751" w:type="dxa"/>
                  <w:tcBorders>
                    <w:tl2br w:val="nil"/>
                    <w:tr2bl w:val="nil"/>
                  </w:tcBorders>
                  <w:noWrap w:val="0"/>
                  <w:vAlign w:val="center"/>
                </w:tcPr>
                <w:p w14:paraId="54352EC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122.50 </w:t>
                  </w:r>
                </w:p>
              </w:tc>
              <w:tc>
                <w:tcPr>
                  <w:tcW w:w="1041" w:type="dxa"/>
                  <w:tcBorders>
                    <w:tl2br w:val="nil"/>
                    <w:tr2bl w:val="nil"/>
                  </w:tcBorders>
                  <w:noWrap w:val="0"/>
                  <w:vAlign w:val="center"/>
                </w:tcPr>
                <w:p w14:paraId="0728F34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44712.50 </w:t>
                  </w:r>
                </w:p>
              </w:tc>
              <w:tc>
                <w:tcPr>
                  <w:tcW w:w="556" w:type="dxa"/>
                  <w:tcBorders>
                    <w:tl2br w:val="nil"/>
                    <w:tr2bl w:val="nil"/>
                  </w:tcBorders>
                  <w:noWrap w:val="0"/>
                  <w:vAlign w:val="center"/>
                </w:tcPr>
                <w:p w14:paraId="7037369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729" w:type="dxa"/>
                  <w:tcBorders>
                    <w:tl2br w:val="nil"/>
                    <w:tr2bl w:val="nil"/>
                  </w:tcBorders>
                  <w:noWrap w:val="0"/>
                  <w:vAlign w:val="center"/>
                </w:tcPr>
                <w:p w14:paraId="3CA759E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98.00 </w:t>
                  </w:r>
                </w:p>
              </w:tc>
              <w:tc>
                <w:tcPr>
                  <w:tcW w:w="945" w:type="dxa"/>
                  <w:tcBorders>
                    <w:tl2br w:val="nil"/>
                    <w:tr2bl w:val="nil"/>
                  </w:tcBorders>
                  <w:noWrap w:val="0"/>
                  <w:vAlign w:val="center"/>
                </w:tcPr>
                <w:p w14:paraId="3A3C045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35770.00 </w:t>
                  </w:r>
                </w:p>
              </w:tc>
            </w:tr>
            <w:tr w14:paraId="4A2F1D0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5" w:hRule="atLeast"/>
                <w:jc w:val="center"/>
              </w:trPr>
              <w:tc>
                <w:tcPr>
                  <w:tcW w:w="1194" w:type="dxa"/>
                  <w:tcBorders>
                    <w:tl2br w:val="nil"/>
                    <w:tr2bl w:val="nil"/>
                  </w:tcBorders>
                  <w:noWrap w:val="0"/>
                  <w:vAlign w:val="center"/>
                </w:tcPr>
                <w:p w14:paraId="63811EB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门诊医疗用水</w:t>
                  </w:r>
                </w:p>
              </w:tc>
              <w:tc>
                <w:tcPr>
                  <w:tcW w:w="901" w:type="dxa"/>
                  <w:tcBorders>
                    <w:tl2br w:val="nil"/>
                    <w:tr2bl w:val="nil"/>
                  </w:tcBorders>
                  <w:noWrap w:val="0"/>
                  <w:vAlign w:val="center"/>
                </w:tcPr>
                <w:p w14:paraId="5437FCE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822</w:t>
                  </w:r>
                  <w:r>
                    <w:rPr>
                      <w:rFonts w:hint="eastAsia" w:ascii="宋体" w:hAnsi="宋体" w:eastAsia="宋体" w:cs="宋体"/>
                      <w:i w:val="0"/>
                      <w:iCs w:val="0"/>
                      <w:color w:val="auto"/>
                      <w:kern w:val="0"/>
                      <w:sz w:val="21"/>
                      <w:szCs w:val="21"/>
                      <w:u w:val="none"/>
                      <w:lang w:val="en-US" w:eastAsia="zh-CN" w:bidi="ar"/>
                    </w:rPr>
                    <w:t>人</w:t>
                  </w:r>
                </w:p>
              </w:tc>
              <w:tc>
                <w:tcPr>
                  <w:tcW w:w="2284" w:type="dxa"/>
                  <w:tcBorders>
                    <w:tl2br w:val="nil"/>
                    <w:tr2bl w:val="nil"/>
                  </w:tcBorders>
                  <w:noWrap w:val="0"/>
                  <w:vAlign w:val="center"/>
                </w:tcPr>
                <w:p w14:paraId="0E66F06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15L人·次</w:t>
                  </w:r>
                </w:p>
              </w:tc>
              <w:tc>
                <w:tcPr>
                  <w:tcW w:w="751" w:type="dxa"/>
                  <w:tcBorders>
                    <w:tl2br w:val="nil"/>
                    <w:tr2bl w:val="nil"/>
                  </w:tcBorders>
                  <w:noWrap w:val="0"/>
                  <w:vAlign w:val="center"/>
                </w:tcPr>
                <w:p w14:paraId="2B8C301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12.33 </w:t>
                  </w:r>
                </w:p>
              </w:tc>
              <w:tc>
                <w:tcPr>
                  <w:tcW w:w="1041" w:type="dxa"/>
                  <w:tcBorders>
                    <w:tl2br w:val="nil"/>
                    <w:tr2bl w:val="nil"/>
                  </w:tcBorders>
                  <w:noWrap w:val="0"/>
                  <w:vAlign w:val="center"/>
                </w:tcPr>
                <w:p w14:paraId="72DA5F8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4500.45 </w:t>
                  </w:r>
                </w:p>
              </w:tc>
              <w:tc>
                <w:tcPr>
                  <w:tcW w:w="556" w:type="dxa"/>
                  <w:tcBorders>
                    <w:tl2br w:val="nil"/>
                    <w:tr2bl w:val="nil"/>
                  </w:tcBorders>
                  <w:noWrap w:val="0"/>
                  <w:vAlign w:val="center"/>
                </w:tcPr>
                <w:p w14:paraId="4A8F860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729" w:type="dxa"/>
                  <w:tcBorders>
                    <w:tl2br w:val="nil"/>
                    <w:tr2bl w:val="nil"/>
                  </w:tcBorders>
                  <w:noWrap w:val="0"/>
                  <w:vAlign w:val="center"/>
                </w:tcPr>
                <w:p w14:paraId="326806C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9.86 </w:t>
                  </w:r>
                </w:p>
              </w:tc>
              <w:tc>
                <w:tcPr>
                  <w:tcW w:w="945" w:type="dxa"/>
                  <w:tcBorders>
                    <w:tl2br w:val="nil"/>
                    <w:tr2bl w:val="nil"/>
                  </w:tcBorders>
                  <w:noWrap w:val="0"/>
                  <w:vAlign w:val="center"/>
                </w:tcPr>
                <w:p w14:paraId="21D7AE2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3600.36 </w:t>
                  </w:r>
                </w:p>
              </w:tc>
            </w:tr>
            <w:tr w14:paraId="181C23A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97" w:hRule="atLeast"/>
                <w:jc w:val="center"/>
              </w:trPr>
              <w:tc>
                <w:tcPr>
                  <w:tcW w:w="1194" w:type="dxa"/>
                  <w:tcBorders>
                    <w:tl2br w:val="nil"/>
                    <w:tr2bl w:val="nil"/>
                  </w:tcBorders>
                  <w:noWrap w:val="0"/>
                  <w:vAlign w:val="center"/>
                </w:tcPr>
                <w:p w14:paraId="6A53A1C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职工生活用水</w:t>
                  </w:r>
                </w:p>
              </w:tc>
              <w:tc>
                <w:tcPr>
                  <w:tcW w:w="901" w:type="dxa"/>
                  <w:tcBorders>
                    <w:tl2br w:val="nil"/>
                    <w:tr2bl w:val="nil"/>
                  </w:tcBorders>
                  <w:noWrap w:val="0"/>
                  <w:vAlign w:val="center"/>
                </w:tcPr>
                <w:p w14:paraId="2EA5AD0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303人</w:t>
                  </w:r>
                </w:p>
              </w:tc>
              <w:tc>
                <w:tcPr>
                  <w:tcW w:w="2284" w:type="dxa"/>
                  <w:tcBorders>
                    <w:tl2br w:val="nil"/>
                    <w:tr2bl w:val="nil"/>
                  </w:tcBorders>
                  <w:noWrap w:val="0"/>
                  <w:vAlign w:val="center"/>
                </w:tcPr>
                <w:p w14:paraId="6EB299D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200L/</w:t>
                  </w:r>
                  <w:r>
                    <w:rPr>
                      <w:rFonts w:hint="eastAsia" w:ascii="宋体" w:hAnsi="宋体" w:eastAsia="宋体" w:cs="宋体"/>
                      <w:i w:val="0"/>
                      <w:iCs w:val="0"/>
                      <w:color w:val="auto"/>
                      <w:kern w:val="0"/>
                      <w:sz w:val="21"/>
                      <w:szCs w:val="21"/>
                      <w:u w:val="none"/>
                      <w:lang w:val="en-US" w:eastAsia="zh-CN" w:bidi="ar"/>
                    </w:rPr>
                    <w:t>人</w:t>
                  </w:r>
                  <w:r>
                    <w:rPr>
                      <w:rFonts w:hint="default" w:ascii="Times New Roman" w:hAnsi="Times New Roman" w:eastAsia="宋体" w:cs="Times New Roman"/>
                      <w:i w:val="0"/>
                      <w:iCs w:val="0"/>
                      <w:color w:val="auto"/>
                      <w:kern w:val="0"/>
                      <w:sz w:val="21"/>
                      <w:szCs w:val="21"/>
                      <w:u w:val="none"/>
                      <w:lang w:val="en-US" w:eastAsia="zh-CN" w:bidi="ar"/>
                    </w:rPr>
                    <w:t>·d</w:t>
                  </w:r>
                </w:p>
              </w:tc>
              <w:tc>
                <w:tcPr>
                  <w:tcW w:w="751" w:type="dxa"/>
                  <w:tcBorders>
                    <w:tl2br w:val="nil"/>
                    <w:tr2bl w:val="nil"/>
                  </w:tcBorders>
                  <w:noWrap w:val="0"/>
                  <w:vAlign w:val="center"/>
                </w:tcPr>
                <w:p w14:paraId="0E45940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60.60 </w:t>
                  </w:r>
                </w:p>
              </w:tc>
              <w:tc>
                <w:tcPr>
                  <w:tcW w:w="1041" w:type="dxa"/>
                  <w:tcBorders>
                    <w:tl2br w:val="nil"/>
                    <w:tr2bl w:val="nil"/>
                  </w:tcBorders>
                  <w:noWrap w:val="0"/>
                  <w:vAlign w:val="center"/>
                </w:tcPr>
                <w:p w14:paraId="63C694F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22119.00 </w:t>
                  </w:r>
                </w:p>
              </w:tc>
              <w:tc>
                <w:tcPr>
                  <w:tcW w:w="556" w:type="dxa"/>
                  <w:tcBorders>
                    <w:tl2br w:val="nil"/>
                    <w:tr2bl w:val="nil"/>
                  </w:tcBorders>
                  <w:noWrap w:val="0"/>
                  <w:vAlign w:val="center"/>
                </w:tcPr>
                <w:p w14:paraId="01771DB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729" w:type="dxa"/>
                  <w:tcBorders>
                    <w:tl2br w:val="nil"/>
                    <w:tr2bl w:val="nil"/>
                  </w:tcBorders>
                  <w:noWrap w:val="0"/>
                  <w:vAlign w:val="center"/>
                </w:tcPr>
                <w:p w14:paraId="32AB0EF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48.48 </w:t>
                  </w:r>
                </w:p>
              </w:tc>
              <w:tc>
                <w:tcPr>
                  <w:tcW w:w="945" w:type="dxa"/>
                  <w:tcBorders>
                    <w:tl2br w:val="nil"/>
                    <w:tr2bl w:val="nil"/>
                  </w:tcBorders>
                  <w:noWrap w:val="0"/>
                  <w:vAlign w:val="center"/>
                </w:tcPr>
                <w:p w14:paraId="159D292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17695.20 </w:t>
                  </w:r>
                </w:p>
              </w:tc>
            </w:tr>
            <w:tr w14:paraId="48631E0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30" w:hRule="atLeast"/>
                <w:jc w:val="center"/>
              </w:trPr>
              <w:tc>
                <w:tcPr>
                  <w:tcW w:w="1194" w:type="dxa"/>
                  <w:tcBorders>
                    <w:tl2br w:val="nil"/>
                    <w:tr2bl w:val="nil"/>
                  </w:tcBorders>
                  <w:noWrap/>
                  <w:vAlign w:val="center"/>
                </w:tcPr>
                <w:p w14:paraId="7F1FEC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手术用水</w:t>
                  </w:r>
                </w:p>
              </w:tc>
              <w:tc>
                <w:tcPr>
                  <w:tcW w:w="901" w:type="dxa"/>
                  <w:tcBorders>
                    <w:tl2br w:val="nil"/>
                    <w:tr2bl w:val="nil"/>
                  </w:tcBorders>
                  <w:noWrap w:val="0"/>
                  <w:vAlign w:val="center"/>
                </w:tcPr>
                <w:p w14:paraId="6E62C52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台</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天</w:t>
                  </w:r>
                </w:p>
              </w:tc>
              <w:tc>
                <w:tcPr>
                  <w:tcW w:w="2284" w:type="dxa"/>
                  <w:tcBorders>
                    <w:tl2br w:val="nil"/>
                    <w:tr2bl w:val="nil"/>
                  </w:tcBorders>
                  <w:noWrap/>
                  <w:vAlign w:val="center"/>
                </w:tcPr>
                <w:p w14:paraId="5E59A87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150L/</w:t>
                  </w:r>
                  <w:r>
                    <w:rPr>
                      <w:rFonts w:hint="eastAsia" w:ascii="宋体" w:hAnsi="宋体" w:eastAsia="宋体" w:cs="宋体"/>
                      <w:i w:val="0"/>
                      <w:iCs w:val="0"/>
                      <w:color w:val="auto"/>
                      <w:kern w:val="0"/>
                      <w:sz w:val="21"/>
                      <w:szCs w:val="21"/>
                      <w:u w:val="none"/>
                      <w:lang w:val="en-US" w:eastAsia="zh-CN" w:bidi="ar"/>
                    </w:rPr>
                    <w:t>台</w:t>
                  </w:r>
                  <w:r>
                    <w:rPr>
                      <w:rFonts w:hint="default" w:ascii="Times New Roman" w:hAnsi="Times New Roman" w:eastAsia="宋体" w:cs="Times New Roman"/>
                      <w:i w:val="0"/>
                      <w:iCs w:val="0"/>
                      <w:color w:val="auto"/>
                      <w:kern w:val="0"/>
                      <w:sz w:val="21"/>
                      <w:szCs w:val="21"/>
                      <w:u w:val="none"/>
                      <w:lang w:val="en-US" w:eastAsia="zh-CN" w:bidi="ar"/>
                    </w:rPr>
                    <w:t>/d</w:t>
                  </w:r>
                </w:p>
              </w:tc>
              <w:tc>
                <w:tcPr>
                  <w:tcW w:w="751" w:type="dxa"/>
                  <w:tcBorders>
                    <w:tl2br w:val="nil"/>
                    <w:tr2bl w:val="nil"/>
                  </w:tcBorders>
                  <w:noWrap w:val="0"/>
                  <w:vAlign w:val="center"/>
                </w:tcPr>
                <w:p w14:paraId="53580B9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0.30 </w:t>
                  </w:r>
                </w:p>
              </w:tc>
              <w:tc>
                <w:tcPr>
                  <w:tcW w:w="1041" w:type="dxa"/>
                  <w:tcBorders>
                    <w:tl2br w:val="nil"/>
                    <w:tr2bl w:val="nil"/>
                  </w:tcBorders>
                  <w:noWrap w:val="0"/>
                  <w:vAlign w:val="center"/>
                </w:tcPr>
                <w:p w14:paraId="40EDBD3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109.50 </w:t>
                  </w:r>
                </w:p>
              </w:tc>
              <w:tc>
                <w:tcPr>
                  <w:tcW w:w="556" w:type="dxa"/>
                  <w:tcBorders>
                    <w:tl2br w:val="nil"/>
                    <w:tr2bl w:val="nil"/>
                  </w:tcBorders>
                  <w:noWrap w:val="0"/>
                  <w:vAlign w:val="center"/>
                </w:tcPr>
                <w:p w14:paraId="54E5115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729" w:type="dxa"/>
                  <w:tcBorders>
                    <w:tl2br w:val="nil"/>
                    <w:tr2bl w:val="nil"/>
                  </w:tcBorders>
                  <w:noWrap w:val="0"/>
                  <w:vAlign w:val="center"/>
                </w:tcPr>
                <w:p w14:paraId="5679F8D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0.24 </w:t>
                  </w:r>
                </w:p>
              </w:tc>
              <w:tc>
                <w:tcPr>
                  <w:tcW w:w="945" w:type="dxa"/>
                  <w:tcBorders>
                    <w:tl2br w:val="nil"/>
                    <w:tr2bl w:val="nil"/>
                  </w:tcBorders>
                  <w:noWrap w:val="0"/>
                  <w:vAlign w:val="center"/>
                </w:tcPr>
                <w:p w14:paraId="2AF6BF5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87.60 </w:t>
                  </w:r>
                </w:p>
              </w:tc>
            </w:tr>
            <w:tr w14:paraId="09C1A59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00" w:hRule="atLeast"/>
                <w:jc w:val="center"/>
              </w:trPr>
              <w:tc>
                <w:tcPr>
                  <w:tcW w:w="1194" w:type="dxa"/>
                  <w:tcBorders>
                    <w:tl2br w:val="nil"/>
                    <w:tr2bl w:val="nil"/>
                  </w:tcBorders>
                  <w:noWrap/>
                  <w:vAlign w:val="center"/>
                </w:tcPr>
                <w:p w14:paraId="781572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化验室用水</w:t>
                  </w:r>
                </w:p>
              </w:tc>
              <w:tc>
                <w:tcPr>
                  <w:tcW w:w="901" w:type="dxa"/>
                  <w:tcBorders>
                    <w:tl2br w:val="nil"/>
                    <w:tr2bl w:val="nil"/>
                  </w:tcBorders>
                  <w:noWrap w:val="0"/>
                  <w:vAlign w:val="center"/>
                </w:tcPr>
                <w:p w14:paraId="4C312A39">
                  <w:pPr>
                    <w:jc w:val="center"/>
                    <w:rPr>
                      <w:rFonts w:hint="eastAsia" w:ascii="Times New Roman" w:hAnsi="Times New Roman" w:eastAsia="宋体" w:cs="Times New Roman"/>
                      <w:i w:val="0"/>
                      <w:iCs w:val="0"/>
                      <w:color w:val="auto"/>
                      <w:sz w:val="21"/>
                      <w:szCs w:val="21"/>
                      <w:u w:val="none"/>
                      <w:lang w:val="en-US" w:eastAsia="zh-CN"/>
                    </w:rPr>
                  </w:pPr>
                  <w:r>
                    <w:rPr>
                      <w:rFonts w:hint="eastAsia" w:ascii="Times New Roman" w:hAnsi="Times New Roman" w:eastAsia="宋体" w:cs="Times New Roman"/>
                      <w:i w:val="0"/>
                      <w:iCs w:val="0"/>
                      <w:color w:val="auto"/>
                      <w:sz w:val="21"/>
                      <w:szCs w:val="21"/>
                      <w:u w:val="none"/>
                      <w:lang w:val="en-US" w:eastAsia="zh-CN"/>
                    </w:rPr>
                    <w:t>/</w:t>
                  </w:r>
                </w:p>
              </w:tc>
              <w:tc>
                <w:tcPr>
                  <w:tcW w:w="2284" w:type="dxa"/>
                  <w:tcBorders>
                    <w:tl2br w:val="nil"/>
                    <w:tr2bl w:val="nil"/>
                  </w:tcBorders>
                  <w:noWrap w:val="0"/>
                  <w:vAlign w:val="center"/>
                </w:tcPr>
                <w:p w14:paraId="53F4480C">
                  <w:pPr>
                    <w:jc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w:t>
                  </w:r>
                </w:p>
              </w:tc>
              <w:tc>
                <w:tcPr>
                  <w:tcW w:w="751" w:type="dxa"/>
                  <w:tcBorders>
                    <w:tl2br w:val="nil"/>
                    <w:tr2bl w:val="nil"/>
                  </w:tcBorders>
                  <w:noWrap w:val="0"/>
                  <w:vAlign w:val="center"/>
                </w:tcPr>
                <w:p w14:paraId="3CEA116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0.10 </w:t>
                  </w:r>
                </w:p>
              </w:tc>
              <w:tc>
                <w:tcPr>
                  <w:tcW w:w="1041" w:type="dxa"/>
                  <w:tcBorders>
                    <w:tl2br w:val="nil"/>
                    <w:tr2bl w:val="nil"/>
                  </w:tcBorders>
                  <w:noWrap w:val="0"/>
                  <w:vAlign w:val="center"/>
                </w:tcPr>
                <w:p w14:paraId="6CBA8F7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36.50 </w:t>
                  </w:r>
                </w:p>
              </w:tc>
              <w:tc>
                <w:tcPr>
                  <w:tcW w:w="556" w:type="dxa"/>
                  <w:tcBorders>
                    <w:tl2br w:val="nil"/>
                    <w:tr2bl w:val="nil"/>
                  </w:tcBorders>
                  <w:noWrap w:val="0"/>
                  <w:vAlign w:val="center"/>
                </w:tcPr>
                <w:p w14:paraId="6F0C28E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729" w:type="dxa"/>
                  <w:tcBorders>
                    <w:tl2br w:val="nil"/>
                    <w:tr2bl w:val="nil"/>
                  </w:tcBorders>
                  <w:noWrap w:val="0"/>
                  <w:vAlign w:val="center"/>
                </w:tcPr>
                <w:p w14:paraId="5273223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0.08 </w:t>
                  </w:r>
                </w:p>
              </w:tc>
              <w:tc>
                <w:tcPr>
                  <w:tcW w:w="945" w:type="dxa"/>
                  <w:tcBorders>
                    <w:tl2br w:val="nil"/>
                    <w:tr2bl w:val="nil"/>
                  </w:tcBorders>
                  <w:noWrap w:val="0"/>
                  <w:vAlign w:val="center"/>
                </w:tcPr>
                <w:p w14:paraId="05EB1EB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29.20 </w:t>
                  </w:r>
                </w:p>
              </w:tc>
            </w:tr>
            <w:tr w14:paraId="1ED0AC2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00" w:hRule="atLeast"/>
                <w:jc w:val="center"/>
              </w:trPr>
              <w:tc>
                <w:tcPr>
                  <w:tcW w:w="1194" w:type="dxa"/>
                  <w:tcBorders>
                    <w:tl2br w:val="nil"/>
                    <w:tr2bl w:val="nil"/>
                  </w:tcBorders>
                  <w:noWrap/>
                  <w:vAlign w:val="center"/>
                </w:tcPr>
                <w:p w14:paraId="1A9AC41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口腔科用水</w:t>
                  </w:r>
                </w:p>
              </w:tc>
              <w:tc>
                <w:tcPr>
                  <w:tcW w:w="901" w:type="dxa"/>
                  <w:tcBorders>
                    <w:tl2br w:val="nil"/>
                    <w:tr2bl w:val="nil"/>
                  </w:tcBorders>
                  <w:noWrap w:val="0"/>
                  <w:vAlign w:val="center"/>
                </w:tcPr>
                <w:p w14:paraId="249688FA">
                  <w:pPr>
                    <w:jc w:val="center"/>
                    <w:rPr>
                      <w:rFonts w:hint="eastAsia" w:ascii="Times New Roman" w:hAnsi="Times New Roman" w:eastAsia="宋体" w:cs="Times New Roman"/>
                      <w:i w:val="0"/>
                      <w:iCs w:val="0"/>
                      <w:color w:val="auto"/>
                      <w:sz w:val="21"/>
                      <w:szCs w:val="21"/>
                      <w:u w:val="none"/>
                      <w:lang w:val="en-US" w:eastAsia="zh-CN"/>
                    </w:rPr>
                  </w:pPr>
                  <w:r>
                    <w:rPr>
                      <w:rFonts w:hint="eastAsia" w:ascii="Times New Roman" w:hAnsi="Times New Roman" w:eastAsia="宋体" w:cs="Times New Roman"/>
                      <w:i w:val="0"/>
                      <w:iCs w:val="0"/>
                      <w:color w:val="auto"/>
                      <w:sz w:val="21"/>
                      <w:szCs w:val="21"/>
                      <w:u w:val="none"/>
                      <w:lang w:val="en-US" w:eastAsia="zh-CN"/>
                    </w:rPr>
                    <w:t>/</w:t>
                  </w:r>
                </w:p>
              </w:tc>
              <w:tc>
                <w:tcPr>
                  <w:tcW w:w="2284" w:type="dxa"/>
                  <w:tcBorders>
                    <w:tl2br w:val="nil"/>
                    <w:tr2bl w:val="nil"/>
                  </w:tcBorders>
                  <w:noWrap w:val="0"/>
                  <w:vAlign w:val="center"/>
                </w:tcPr>
                <w:p w14:paraId="7482851E">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w:t>
                  </w:r>
                </w:p>
              </w:tc>
              <w:tc>
                <w:tcPr>
                  <w:tcW w:w="751" w:type="dxa"/>
                  <w:tcBorders>
                    <w:tl2br w:val="nil"/>
                    <w:tr2bl w:val="nil"/>
                  </w:tcBorders>
                  <w:noWrap w:val="0"/>
                  <w:vAlign w:val="center"/>
                </w:tcPr>
                <w:p w14:paraId="168FC2D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0.10 </w:t>
                  </w:r>
                </w:p>
              </w:tc>
              <w:tc>
                <w:tcPr>
                  <w:tcW w:w="1041" w:type="dxa"/>
                  <w:tcBorders>
                    <w:tl2br w:val="nil"/>
                    <w:tr2bl w:val="nil"/>
                  </w:tcBorders>
                  <w:noWrap w:val="0"/>
                  <w:vAlign w:val="center"/>
                </w:tcPr>
                <w:p w14:paraId="44C6246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36.50 </w:t>
                  </w:r>
                </w:p>
              </w:tc>
              <w:tc>
                <w:tcPr>
                  <w:tcW w:w="556" w:type="dxa"/>
                  <w:tcBorders>
                    <w:tl2br w:val="nil"/>
                    <w:tr2bl w:val="nil"/>
                  </w:tcBorders>
                  <w:noWrap w:val="0"/>
                  <w:vAlign w:val="center"/>
                </w:tcPr>
                <w:p w14:paraId="1125674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729" w:type="dxa"/>
                  <w:tcBorders>
                    <w:tl2br w:val="nil"/>
                    <w:tr2bl w:val="nil"/>
                  </w:tcBorders>
                  <w:noWrap w:val="0"/>
                  <w:vAlign w:val="center"/>
                </w:tcPr>
                <w:p w14:paraId="0A1B0F1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0.08 </w:t>
                  </w:r>
                </w:p>
              </w:tc>
              <w:tc>
                <w:tcPr>
                  <w:tcW w:w="945" w:type="dxa"/>
                  <w:tcBorders>
                    <w:tl2br w:val="nil"/>
                    <w:tr2bl w:val="nil"/>
                  </w:tcBorders>
                  <w:noWrap w:val="0"/>
                  <w:vAlign w:val="center"/>
                </w:tcPr>
                <w:p w14:paraId="615F243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29.20 </w:t>
                  </w:r>
                </w:p>
              </w:tc>
            </w:tr>
            <w:tr w14:paraId="2D3D365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40" w:hRule="atLeast"/>
                <w:jc w:val="center"/>
              </w:trPr>
              <w:tc>
                <w:tcPr>
                  <w:tcW w:w="1194" w:type="dxa"/>
                  <w:tcBorders>
                    <w:tl2br w:val="nil"/>
                    <w:tr2bl w:val="nil"/>
                  </w:tcBorders>
                  <w:noWrap w:val="0"/>
                  <w:vAlign w:val="center"/>
                </w:tcPr>
                <w:p w14:paraId="2C2313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纯水制备用水</w:t>
                  </w:r>
                </w:p>
              </w:tc>
              <w:tc>
                <w:tcPr>
                  <w:tcW w:w="901" w:type="dxa"/>
                  <w:tcBorders>
                    <w:tl2br w:val="nil"/>
                    <w:tr2bl w:val="nil"/>
                  </w:tcBorders>
                  <w:noWrap w:val="0"/>
                  <w:vAlign w:val="center"/>
                </w:tcPr>
                <w:p w14:paraId="6036CFD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15</w:t>
                  </w:r>
                  <w:r>
                    <w:rPr>
                      <w:rFonts w:hint="default" w:ascii="Times New Roman" w:hAnsi="Times New Roman" w:eastAsia="宋体" w:cs="Times New Roman"/>
                      <w:i w:val="0"/>
                      <w:iCs w:val="0"/>
                      <w:color w:val="auto"/>
                      <w:kern w:val="0"/>
                      <w:sz w:val="21"/>
                      <w:szCs w:val="21"/>
                      <w:u w:val="no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/d</w:t>
                  </w:r>
                </w:p>
              </w:tc>
              <w:tc>
                <w:tcPr>
                  <w:tcW w:w="2284" w:type="dxa"/>
                  <w:tcBorders>
                    <w:tl2br w:val="nil"/>
                    <w:tr2bl w:val="nil"/>
                  </w:tcBorders>
                  <w:noWrap w:val="0"/>
                  <w:vAlign w:val="center"/>
                </w:tcPr>
                <w:p w14:paraId="595663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制水率5</w:t>
                  </w:r>
                  <w:r>
                    <w:rPr>
                      <w:rFonts w:hint="default" w:ascii="Times New Roman" w:hAnsi="Times New Roman" w:eastAsia="宋体" w:cs="Times New Roman"/>
                      <w:i w:val="0"/>
                      <w:iCs w:val="0"/>
                      <w:color w:val="auto"/>
                      <w:kern w:val="0"/>
                      <w:sz w:val="21"/>
                      <w:szCs w:val="21"/>
                      <w:u w:val="none"/>
                      <w:lang w:val="en-US" w:eastAsia="zh-CN" w:bidi="ar"/>
                    </w:rPr>
                    <w:t>0%</w:t>
                  </w:r>
                </w:p>
              </w:tc>
              <w:tc>
                <w:tcPr>
                  <w:tcW w:w="751" w:type="dxa"/>
                  <w:tcBorders>
                    <w:tl2br w:val="nil"/>
                    <w:tr2bl w:val="nil"/>
                  </w:tcBorders>
                  <w:noWrap w:val="0"/>
                  <w:vAlign w:val="center"/>
                </w:tcPr>
                <w:p w14:paraId="7B78F9A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30</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1041" w:type="dxa"/>
                  <w:tcBorders>
                    <w:tl2br w:val="nil"/>
                    <w:tr2bl w:val="nil"/>
                  </w:tcBorders>
                  <w:noWrap w:val="0"/>
                  <w:vAlign w:val="center"/>
                </w:tcPr>
                <w:p w14:paraId="25046E1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10950</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556" w:type="dxa"/>
                  <w:tcBorders>
                    <w:tl2br w:val="nil"/>
                    <w:tr2bl w:val="nil"/>
                  </w:tcBorders>
                  <w:noWrap w:val="0"/>
                  <w:vAlign w:val="center"/>
                </w:tcPr>
                <w:p w14:paraId="56D4266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w:t>
                  </w:r>
                </w:p>
              </w:tc>
              <w:tc>
                <w:tcPr>
                  <w:tcW w:w="729" w:type="dxa"/>
                  <w:tcBorders>
                    <w:tl2br w:val="nil"/>
                    <w:tr2bl w:val="nil"/>
                  </w:tcBorders>
                  <w:noWrap w:val="0"/>
                  <w:vAlign w:val="center"/>
                </w:tcPr>
                <w:p w14:paraId="5C89DCD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0.25 </w:t>
                  </w:r>
                </w:p>
              </w:tc>
              <w:tc>
                <w:tcPr>
                  <w:tcW w:w="945" w:type="dxa"/>
                  <w:tcBorders>
                    <w:tl2br w:val="nil"/>
                    <w:tr2bl w:val="nil"/>
                  </w:tcBorders>
                  <w:noWrap w:val="0"/>
                  <w:vAlign w:val="center"/>
                </w:tcPr>
                <w:p w14:paraId="4C3964B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5475</w:t>
                  </w:r>
                  <w:r>
                    <w:rPr>
                      <w:rFonts w:hint="default" w:ascii="Times New Roman" w:hAnsi="Times New Roman" w:eastAsia="宋体" w:cs="Times New Roman"/>
                      <w:i w:val="0"/>
                      <w:iCs w:val="0"/>
                      <w:color w:val="auto"/>
                      <w:kern w:val="0"/>
                      <w:sz w:val="21"/>
                      <w:szCs w:val="21"/>
                      <w:u w:val="none"/>
                      <w:lang w:val="en-US" w:eastAsia="zh-CN" w:bidi="ar"/>
                    </w:rPr>
                    <w:t xml:space="preserve"> </w:t>
                  </w:r>
                </w:p>
              </w:tc>
            </w:tr>
            <w:tr w14:paraId="37839B8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30" w:hRule="atLeast"/>
                <w:jc w:val="center"/>
              </w:trPr>
              <w:tc>
                <w:tcPr>
                  <w:tcW w:w="1194" w:type="dxa"/>
                  <w:tcBorders>
                    <w:tl2br w:val="nil"/>
                    <w:tr2bl w:val="nil"/>
                  </w:tcBorders>
                  <w:noWrap/>
                  <w:vAlign w:val="center"/>
                </w:tcPr>
                <w:p w14:paraId="58B1C20F">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清洗废水</w:t>
                  </w:r>
                </w:p>
              </w:tc>
              <w:tc>
                <w:tcPr>
                  <w:tcW w:w="901" w:type="dxa"/>
                  <w:tcBorders>
                    <w:tl2br w:val="nil"/>
                    <w:tr2bl w:val="nil"/>
                  </w:tcBorders>
                  <w:noWrap w:val="0"/>
                  <w:vAlign w:val="center"/>
                </w:tcPr>
                <w:p w14:paraId="30BBB3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w:t>
                  </w:r>
                </w:p>
              </w:tc>
              <w:tc>
                <w:tcPr>
                  <w:tcW w:w="2284" w:type="dxa"/>
                  <w:tcBorders>
                    <w:tl2br w:val="nil"/>
                    <w:tr2bl w:val="nil"/>
                  </w:tcBorders>
                  <w:noWrap/>
                  <w:vAlign w:val="center"/>
                </w:tcPr>
                <w:p w14:paraId="0D785674">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w:t>
                  </w:r>
                </w:p>
              </w:tc>
              <w:tc>
                <w:tcPr>
                  <w:tcW w:w="751" w:type="dxa"/>
                  <w:tcBorders>
                    <w:tl2br w:val="nil"/>
                    <w:tr2bl w:val="nil"/>
                  </w:tcBorders>
                  <w:noWrap w:val="0"/>
                  <w:vAlign w:val="center"/>
                </w:tcPr>
                <w:p w14:paraId="507345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1.38</w:t>
                  </w:r>
                </w:p>
              </w:tc>
              <w:tc>
                <w:tcPr>
                  <w:tcW w:w="1041" w:type="dxa"/>
                  <w:tcBorders>
                    <w:tl2br w:val="nil"/>
                    <w:tr2bl w:val="nil"/>
                  </w:tcBorders>
                  <w:noWrap w:val="0"/>
                  <w:vAlign w:val="center"/>
                </w:tcPr>
                <w:p w14:paraId="78B34E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503.7</w:t>
                  </w:r>
                </w:p>
              </w:tc>
              <w:tc>
                <w:tcPr>
                  <w:tcW w:w="556" w:type="dxa"/>
                  <w:tcBorders>
                    <w:tl2br w:val="nil"/>
                    <w:tr2bl w:val="nil"/>
                  </w:tcBorders>
                  <w:noWrap w:val="0"/>
                  <w:vAlign w:val="center"/>
                </w:tcPr>
                <w:p w14:paraId="020E9C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0.9</w:t>
                  </w:r>
                </w:p>
              </w:tc>
              <w:tc>
                <w:tcPr>
                  <w:tcW w:w="729" w:type="dxa"/>
                  <w:tcBorders>
                    <w:tl2br w:val="nil"/>
                    <w:tr2bl w:val="nil"/>
                  </w:tcBorders>
                  <w:noWrap w:val="0"/>
                  <w:vAlign w:val="center"/>
                </w:tcPr>
                <w:p w14:paraId="410ED2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1.24</w:t>
                  </w:r>
                </w:p>
              </w:tc>
              <w:tc>
                <w:tcPr>
                  <w:tcW w:w="945" w:type="dxa"/>
                  <w:tcBorders>
                    <w:tl2br w:val="nil"/>
                    <w:tr2bl w:val="nil"/>
                  </w:tcBorders>
                  <w:noWrap w:val="0"/>
                  <w:vAlign w:val="center"/>
                </w:tcPr>
                <w:p w14:paraId="333530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453.33</w:t>
                  </w:r>
                </w:p>
              </w:tc>
            </w:tr>
            <w:tr w14:paraId="7B945C0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55" w:hRule="atLeast"/>
                <w:jc w:val="center"/>
              </w:trPr>
              <w:tc>
                <w:tcPr>
                  <w:tcW w:w="1194" w:type="dxa"/>
                  <w:tcBorders>
                    <w:tl2br w:val="nil"/>
                    <w:tr2bl w:val="nil"/>
                  </w:tcBorders>
                  <w:noWrap w:val="0"/>
                  <w:vAlign w:val="center"/>
                </w:tcPr>
                <w:p w14:paraId="7CA0EE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蒸汽用水</w:t>
                  </w:r>
                </w:p>
              </w:tc>
              <w:tc>
                <w:tcPr>
                  <w:tcW w:w="901" w:type="dxa"/>
                  <w:tcBorders>
                    <w:tl2br w:val="nil"/>
                    <w:tr2bl w:val="nil"/>
                  </w:tcBorders>
                  <w:noWrap w:val="0"/>
                  <w:vAlign w:val="center"/>
                </w:tcPr>
                <w:p w14:paraId="11DBA8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1t</w:t>
                  </w:r>
                </w:p>
              </w:tc>
              <w:tc>
                <w:tcPr>
                  <w:tcW w:w="2284" w:type="dxa"/>
                  <w:tcBorders>
                    <w:tl2br w:val="nil"/>
                    <w:tr2bl w:val="nil"/>
                  </w:tcBorders>
                  <w:noWrap w:val="0"/>
                  <w:vAlign w:val="center"/>
                </w:tcPr>
                <w:p w14:paraId="45ED73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1t/h</w:t>
                  </w:r>
                </w:p>
              </w:tc>
              <w:tc>
                <w:tcPr>
                  <w:tcW w:w="751" w:type="dxa"/>
                  <w:tcBorders>
                    <w:tl2br w:val="nil"/>
                    <w:tr2bl w:val="nil"/>
                  </w:tcBorders>
                  <w:noWrap w:val="0"/>
                  <w:vAlign w:val="center"/>
                </w:tcPr>
                <w:p w14:paraId="307B86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32.00 </w:t>
                  </w:r>
                </w:p>
              </w:tc>
              <w:tc>
                <w:tcPr>
                  <w:tcW w:w="1041" w:type="dxa"/>
                  <w:tcBorders>
                    <w:tl2br w:val="nil"/>
                    <w:tr2bl w:val="nil"/>
                  </w:tcBorders>
                  <w:noWrap w:val="0"/>
                  <w:vAlign w:val="center"/>
                </w:tcPr>
                <w:p w14:paraId="4E93E1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11680.00 </w:t>
                  </w:r>
                </w:p>
              </w:tc>
              <w:tc>
                <w:tcPr>
                  <w:tcW w:w="556" w:type="dxa"/>
                  <w:tcBorders>
                    <w:tl2br w:val="nil"/>
                    <w:tr2bl w:val="nil"/>
                  </w:tcBorders>
                  <w:noWrap w:val="0"/>
                  <w:vAlign w:val="center"/>
                </w:tcPr>
                <w:p w14:paraId="0234AD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0.02 </w:t>
                  </w:r>
                </w:p>
              </w:tc>
              <w:tc>
                <w:tcPr>
                  <w:tcW w:w="729" w:type="dxa"/>
                  <w:tcBorders>
                    <w:tl2br w:val="nil"/>
                    <w:tr2bl w:val="nil"/>
                  </w:tcBorders>
                  <w:noWrap w:val="0"/>
                  <w:vAlign w:val="center"/>
                </w:tcPr>
                <w:p w14:paraId="1E86FEF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0.64 </w:t>
                  </w:r>
                </w:p>
              </w:tc>
              <w:tc>
                <w:tcPr>
                  <w:tcW w:w="945" w:type="dxa"/>
                  <w:tcBorders>
                    <w:tl2br w:val="nil"/>
                    <w:tr2bl w:val="nil"/>
                  </w:tcBorders>
                  <w:noWrap w:val="0"/>
                  <w:vAlign w:val="center"/>
                </w:tcPr>
                <w:p w14:paraId="736B75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233.60 </w:t>
                  </w:r>
                </w:p>
              </w:tc>
            </w:tr>
            <w:tr w14:paraId="5D165D5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55" w:hRule="atLeast"/>
                <w:jc w:val="center"/>
              </w:trPr>
              <w:tc>
                <w:tcPr>
                  <w:tcW w:w="1194" w:type="dxa"/>
                  <w:tcBorders>
                    <w:tl2br w:val="nil"/>
                    <w:tr2bl w:val="nil"/>
                  </w:tcBorders>
                  <w:noWrap w:val="0"/>
                  <w:vAlign w:val="center"/>
                </w:tcPr>
                <w:p w14:paraId="13A7A78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食堂用水</w:t>
                  </w:r>
                </w:p>
              </w:tc>
              <w:tc>
                <w:tcPr>
                  <w:tcW w:w="901" w:type="dxa"/>
                  <w:tcBorders>
                    <w:tl2br w:val="nil"/>
                    <w:tr2bl w:val="nil"/>
                  </w:tcBorders>
                  <w:noWrap w:val="0"/>
                  <w:vAlign w:val="center"/>
                </w:tcPr>
                <w:p w14:paraId="114713E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303</w:t>
                  </w:r>
                </w:p>
              </w:tc>
              <w:tc>
                <w:tcPr>
                  <w:tcW w:w="2284" w:type="dxa"/>
                  <w:tcBorders>
                    <w:tl2br w:val="nil"/>
                    <w:tr2bl w:val="nil"/>
                  </w:tcBorders>
                  <w:noWrap w:val="0"/>
                  <w:vAlign w:val="center"/>
                </w:tcPr>
                <w:p w14:paraId="5E26229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20L/</w:t>
                  </w:r>
                  <w:r>
                    <w:rPr>
                      <w:rFonts w:hint="eastAsia" w:ascii="宋体" w:hAnsi="宋体" w:eastAsia="宋体" w:cs="宋体"/>
                      <w:i w:val="0"/>
                      <w:iCs w:val="0"/>
                      <w:color w:val="auto"/>
                      <w:kern w:val="0"/>
                      <w:sz w:val="21"/>
                      <w:szCs w:val="21"/>
                      <w:u w:val="none"/>
                      <w:lang w:val="en-US" w:eastAsia="zh-CN" w:bidi="ar"/>
                    </w:rPr>
                    <w:t>（人</w:t>
                  </w:r>
                  <w:r>
                    <w:rPr>
                      <w:rFonts w:hint="default" w:ascii="Times New Roman" w:hAnsi="Times New Roman" w:eastAsia="宋体" w:cs="Times New Roman"/>
                      <w:i w:val="0"/>
                      <w:iCs w:val="0"/>
                      <w:color w:val="auto"/>
                      <w:kern w:val="0"/>
                      <w:sz w:val="21"/>
                      <w:szCs w:val="21"/>
                      <w:u w:val="none"/>
                      <w:lang w:val="en-US" w:eastAsia="zh-CN" w:bidi="ar"/>
                    </w:rPr>
                    <w:t>·d</w:t>
                  </w:r>
                  <w:r>
                    <w:rPr>
                      <w:rFonts w:hint="eastAsia" w:ascii="宋体" w:hAnsi="宋体" w:eastAsia="宋体" w:cs="宋体"/>
                      <w:i w:val="0"/>
                      <w:iCs w:val="0"/>
                      <w:color w:val="auto"/>
                      <w:kern w:val="0"/>
                      <w:sz w:val="21"/>
                      <w:szCs w:val="21"/>
                      <w:u w:val="none"/>
                      <w:lang w:val="en-US" w:eastAsia="zh-CN" w:bidi="ar"/>
                    </w:rPr>
                    <w:t>）</w:t>
                  </w:r>
                </w:p>
              </w:tc>
              <w:tc>
                <w:tcPr>
                  <w:tcW w:w="751" w:type="dxa"/>
                  <w:tcBorders>
                    <w:tl2br w:val="nil"/>
                    <w:tr2bl w:val="nil"/>
                  </w:tcBorders>
                  <w:noWrap w:val="0"/>
                  <w:vAlign w:val="center"/>
                </w:tcPr>
                <w:p w14:paraId="4392324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6.06 </w:t>
                  </w:r>
                </w:p>
              </w:tc>
              <w:tc>
                <w:tcPr>
                  <w:tcW w:w="1041" w:type="dxa"/>
                  <w:tcBorders>
                    <w:tl2br w:val="nil"/>
                    <w:tr2bl w:val="nil"/>
                  </w:tcBorders>
                  <w:noWrap w:val="0"/>
                  <w:vAlign w:val="center"/>
                </w:tcPr>
                <w:p w14:paraId="6291BA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2211.90 </w:t>
                  </w:r>
                </w:p>
              </w:tc>
              <w:tc>
                <w:tcPr>
                  <w:tcW w:w="556" w:type="dxa"/>
                  <w:tcBorders>
                    <w:tl2br w:val="nil"/>
                    <w:tr2bl w:val="nil"/>
                  </w:tcBorders>
                  <w:noWrap w:val="0"/>
                  <w:vAlign w:val="center"/>
                </w:tcPr>
                <w:p w14:paraId="2677CED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729" w:type="dxa"/>
                  <w:tcBorders>
                    <w:tl2br w:val="nil"/>
                    <w:tr2bl w:val="nil"/>
                  </w:tcBorders>
                  <w:noWrap w:val="0"/>
                  <w:vAlign w:val="center"/>
                </w:tcPr>
                <w:p w14:paraId="50FD005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4.85 </w:t>
                  </w:r>
                </w:p>
              </w:tc>
              <w:tc>
                <w:tcPr>
                  <w:tcW w:w="945" w:type="dxa"/>
                  <w:tcBorders>
                    <w:tl2br w:val="nil"/>
                    <w:tr2bl w:val="nil"/>
                  </w:tcBorders>
                  <w:noWrap w:val="0"/>
                  <w:vAlign w:val="center"/>
                </w:tcPr>
                <w:p w14:paraId="03C21B3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1769.52 </w:t>
                  </w:r>
                </w:p>
              </w:tc>
            </w:tr>
            <w:tr w14:paraId="1F96A05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PrEx>
              <w:trPr>
                <w:trHeight w:val="525" w:hRule="atLeast"/>
                <w:jc w:val="center"/>
              </w:trPr>
              <w:tc>
                <w:tcPr>
                  <w:tcW w:w="1194" w:type="dxa"/>
                  <w:tcBorders>
                    <w:tl2br w:val="nil"/>
                    <w:tr2bl w:val="nil"/>
                  </w:tcBorders>
                  <w:noWrap w:val="0"/>
                  <w:vAlign w:val="center"/>
                </w:tcPr>
                <w:p w14:paraId="61CFCD9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绿化用水</w:t>
                  </w:r>
                </w:p>
              </w:tc>
              <w:tc>
                <w:tcPr>
                  <w:tcW w:w="901" w:type="dxa"/>
                  <w:tcBorders>
                    <w:tl2br w:val="nil"/>
                    <w:tr2bl w:val="nil"/>
                  </w:tcBorders>
                  <w:noWrap/>
                  <w:vAlign w:val="center"/>
                </w:tcPr>
                <w:p w14:paraId="025CE272">
                  <w:pPr>
                    <w:keepNext w:val="0"/>
                    <w:keepLines w:val="0"/>
                    <w:widowControl/>
                    <w:suppressLineNumbers w:val="0"/>
                    <w:jc w:val="left"/>
                    <w:textAlignment w:val="center"/>
                    <w:rPr>
                      <w:rFonts w:ascii="楷体" w:hAnsi="楷体" w:eastAsia="楷体" w:cs="楷体"/>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6303.2</w:t>
                  </w:r>
                  <w:r>
                    <w:rPr>
                      <w:rFonts w:hint="eastAsia" w:ascii="楷体" w:hAnsi="楷体" w:eastAsia="楷体" w:cs="楷体"/>
                      <w:i w:val="0"/>
                      <w:iCs w:val="0"/>
                      <w:color w:val="auto"/>
                      <w:kern w:val="0"/>
                      <w:sz w:val="21"/>
                      <w:szCs w:val="21"/>
                      <w:u w:val="none"/>
                      <w:lang w:val="en-US" w:eastAsia="zh-CN" w:bidi="ar"/>
                    </w:rPr>
                    <w:t>m</w:t>
                  </w:r>
                  <w:r>
                    <w:rPr>
                      <w:rFonts w:hint="eastAsia" w:ascii="楷体" w:hAnsi="楷体" w:eastAsia="楷体" w:cs="楷体"/>
                      <w:i w:val="0"/>
                      <w:iCs w:val="0"/>
                      <w:color w:val="auto"/>
                      <w:kern w:val="0"/>
                      <w:sz w:val="21"/>
                      <w:szCs w:val="21"/>
                      <w:u w:val="none"/>
                      <w:vertAlign w:val="superscript"/>
                      <w:lang w:val="en-US" w:eastAsia="zh-CN" w:bidi="ar"/>
                    </w:rPr>
                    <w:t>2</w:t>
                  </w:r>
                </w:p>
              </w:tc>
              <w:tc>
                <w:tcPr>
                  <w:tcW w:w="2284" w:type="dxa"/>
                  <w:tcBorders>
                    <w:tl2br w:val="nil"/>
                    <w:tr2bl w:val="nil"/>
                  </w:tcBorders>
                  <w:noWrap w:val="0"/>
                  <w:vAlign w:val="center"/>
                </w:tcPr>
                <w:p w14:paraId="0D131DB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1.0L/m</w:t>
                  </w:r>
                  <w:r>
                    <w:rPr>
                      <w:rFonts w:hint="default" w:ascii="Times New Roman" w:hAnsi="Times New Roman" w:eastAsia="宋体" w:cs="Times New Roman"/>
                      <w:i w:val="0"/>
                      <w:iCs w:val="0"/>
                      <w:color w:val="auto"/>
                      <w:kern w:val="0"/>
                      <w:sz w:val="21"/>
                      <w:szCs w:val="21"/>
                      <w:u w:val="none"/>
                      <w:vertAlign w:val="superscript"/>
                      <w:lang w:val="en-US" w:eastAsia="zh-CN" w:bidi="ar"/>
                    </w:rPr>
                    <w:t>2</w:t>
                  </w:r>
                  <w:r>
                    <w:rPr>
                      <w:rFonts w:hint="default" w:ascii="Times New Roman" w:hAnsi="Times New Roman" w:eastAsia="宋体" w:cs="Times New Roman"/>
                      <w:i w:val="0"/>
                      <w:iCs w:val="0"/>
                      <w:color w:val="auto"/>
                      <w:kern w:val="0"/>
                      <w:sz w:val="21"/>
                      <w:szCs w:val="21"/>
                      <w:u w:val="none"/>
                      <w:lang w:val="en-US" w:eastAsia="zh-CN" w:bidi="ar"/>
                    </w:rPr>
                    <w:t>·d</w:t>
                  </w:r>
                </w:p>
              </w:tc>
              <w:tc>
                <w:tcPr>
                  <w:tcW w:w="751" w:type="dxa"/>
                  <w:tcBorders>
                    <w:tl2br w:val="nil"/>
                    <w:tr2bl w:val="nil"/>
                  </w:tcBorders>
                  <w:noWrap w:val="0"/>
                  <w:vAlign w:val="center"/>
                </w:tcPr>
                <w:p w14:paraId="2224AE0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3.799</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1041" w:type="dxa"/>
                  <w:tcBorders>
                    <w:tl2br w:val="nil"/>
                    <w:tr2bl w:val="nil"/>
                  </w:tcBorders>
                  <w:noWrap w:val="0"/>
                  <w:vAlign w:val="center"/>
                </w:tcPr>
                <w:p w14:paraId="46E01F8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eastAsia" w:ascii="Times New Roman" w:hAnsi="Times New Roman" w:eastAsia="宋体" w:cs="Times New Roman"/>
                      <w:i w:val="0"/>
                      <w:iCs w:val="0"/>
                      <w:color w:val="auto"/>
                      <w:kern w:val="0"/>
                      <w:sz w:val="21"/>
                      <w:szCs w:val="21"/>
                      <w:u w:val="none"/>
                      <w:lang w:val="en-US" w:eastAsia="zh-CN" w:bidi="ar"/>
                    </w:rPr>
                    <w:t>1386.64</w:t>
                  </w:r>
                </w:p>
              </w:tc>
              <w:tc>
                <w:tcPr>
                  <w:tcW w:w="556" w:type="dxa"/>
                  <w:tcBorders>
                    <w:tl2br w:val="nil"/>
                    <w:tr2bl w:val="nil"/>
                  </w:tcBorders>
                  <w:noWrap w:val="0"/>
                  <w:vAlign w:val="center"/>
                </w:tcPr>
                <w:p w14:paraId="1657046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729" w:type="dxa"/>
                  <w:tcBorders>
                    <w:tl2br w:val="nil"/>
                    <w:tr2bl w:val="nil"/>
                  </w:tcBorders>
                  <w:noWrap w:val="0"/>
                  <w:vAlign w:val="center"/>
                </w:tcPr>
                <w:p w14:paraId="0A79E5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蒸发、损耗</w:t>
                  </w:r>
                </w:p>
              </w:tc>
              <w:tc>
                <w:tcPr>
                  <w:tcW w:w="945" w:type="dxa"/>
                  <w:tcBorders>
                    <w:tl2br w:val="nil"/>
                    <w:tr2bl w:val="nil"/>
                  </w:tcBorders>
                  <w:noWrap w:val="0"/>
                  <w:vAlign w:val="center"/>
                </w:tcPr>
                <w:p w14:paraId="3D4412A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 xml:space="preserve"> </w:t>
                  </w:r>
                </w:p>
              </w:tc>
            </w:tr>
            <w:tr w14:paraId="3D12B72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00" w:hRule="atLeast"/>
                <w:jc w:val="center"/>
              </w:trPr>
              <w:tc>
                <w:tcPr>
                  <w:tcW w:w="1194" w:type="dxa"/>
                  <w:tcBorders>
                    <w:tl2br w:val="nil"/>
                    <w:tr2bl w:val="nil"/>
                  </w:tcBorders>
                  <w:noWrap w:val="0"/>
                  <w:vAlign w:val="center"/>
                </w:tcPr>
                <w:p w14:paraId="34535DBB">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合计</w:t>
                  </w:r>
                </w:p>
              </w:tc>
              <w:tc>
                <w:tcPr>
                  <w:tcW w:w="901" w:type="dxa"/>
                  <w:tcBorders>
                    <w:tl2br w:val="nil"/>
                    <w:tr2bl w:val="nil"/>
                  </w:tcBorders>
                  <w:noWrap w:val="0"/>
                  <w:vAlign w:val="center"/>
                </w:tcPr>
                <w:p w14:paraId="11D9C25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2284" w:type="dxa"/>
                  <w:tcBorders>
                    <w:tl2br w:val="nil"/>
                    <w:tr2bl w:val="nil"/>
                  </w:tcBorders>
                  <w:noWrap w:val="0"/>
                  <w:vAlign w:val="center"/>
                </w:tcPr>
                <w:p w14:paraId="4F72627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751" w:type="dxa"/>
                  <w:tcBorders>
                    <w:tl2br w:val="nil"/>
                    <w:tr2bl w:val="nil"/>
                  </w:tcBorders>
                  <w:noWrap w:val="0"/>
                  <w:vAlign w:val="center"/>
                </w:tcPr>
                <w:p w14:paraId="5E2A902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269.17 </w:t>
                  </w:r>
                </w:p>
              </w:tc>
              <w:tc>
                <w:tcPr>
                  <w:tcW w:w="1041" w:type="dxa"/>
                  <w:tcBorders>
                    <w:tl2br w:val="nil"/>
                    <w:tr2bl w:val="nil"/>
                  </w:tcBorders>
                  <w:noWrap w:val="0"/>
                  <w:vAlign w:val="center"/>
                </w:tcPr>
                <w:p w14:paraId="468B34C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98246.69 </w:t>
                  </w:r>
                </w:p>
              </w:tc>
              <w:tc>
                <w:tcPr>
                  <w:tcW w:w="556" w:type="dxa"/>
                  <w:tcBorders>
                    <w:tl2br w:val="nil"/>
                    <w:tr2bl w:val="nil"/>
                  </w:tcBorders>
                  <w:noWrap w:val="0"/>
                  <w:vAlign w:val="center"/>
                </w:tcPr>
                <w:p w14:paraId="440434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729" w:type="dxa"/>
                  <w:tcBorders>
                    <w:tl2br w:val="nil"/>
                    <w:tr2bl w:val="nil"/>
                  </w:tcBorders>
                  <w:noWrap/>
                  <w:vAlign w:val="center"/>
                </w:tcPr>
                <w:p w14:paraId="5917C5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178.47</w:t>
                  </w:r>
                </w:p>
              </w:tc>
              <w:tc>
                <w:tcPr>
                  <w:tcW w:w="945" w:type="dxa"/>
                  <w:tcBorders>
                    <w:tl2br w:val="nil"/>
                    <w:tr2bl w:val="nil"/>
                  </w:tcBorders>
                  <w:noWrap w:val="0"/>
                  <w:vAlign w:val="center"/>
                </w:tcPr>
                <w:p w14:paraId="5476B1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 xml:space="preserve">65143.01 </w:t>
                  </w:r>
                </w:p>
              </w:tc>
            </w:tr>
          </w:tbl>
          <w:p w14:paraId="2C8A2BF1">
            <w:pPr>
              <w:pStyle w:val="4"/>
              <w:spacing w:before="120"/>
              <w:jc w:val="center"/>
              <w:rPr>
                <w:bCs/>
                <w:color w:val="auto"/>
                <w:sz w:val="24"/>
                <w:highlight w:val="yellow"/>
              </w:rPr>
            </w:pPr>
            <w:r>
              <w:rPr>
                <w:color w:val="auto"/>
              </w:rPr>
              <w:drawing>
                <wp:inline distT="0" distB="0" distL="114300" distR="114300">
                  <wp:extent cx="4392295" cy="3449955"/>
                  <wp:effectExtent l="0" t="0" r="8255"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4392295" cy="3449955"/>
                          </a:xfrm>
                          <a:prstGeom prst="rect">
                            <a:avLst/>
                          </a:prstGeom>
                          <a:noFill/>
                          <a:ln>
                            <a:noFill/>
                          </a:ln>
                        </pic:spPr>
                      </pic:pic>
                    </a:graphicData>
                  </a:graphic>
                </wp:inline>
              </w:drawing>
            </w:r>
          </w:p>
          <w:p w14:paraId="1E66AB53">
            <w:pPr>
              <w:rPr>
                <w:color w:val="auto"/>
              </w:rPr>
            </w:pPr>
          </w:p>
          <w:p w14:paraId="158C4F0B">
            <w:pPr>
              <w:pStyle w:val="4"/>
              <w:spacing w:before="120"/>
              <w:jc w:val="center"/>
              <w:rPr>
                <w:bCs/>
                <w:color w:val="auto"/>
                <w:sz w:val="24"/>
                <w:highlight w:val="none"/>
              </w:rPr>
            </w:pPr>
            <w:r>
              <w:rPr>
                <w:bCs/>
                <w:color w:val="auto"/>
                <w:sz w:val="24"/>
                <w:highlight w:val="none"/>
              </w:rPr>
              <w:t>图2.2-</w:t>
            </w:r>
            <w:r>
              <w:rPr>
                <w:rFonts w:hint="eastAsia"/>
                <w:bCs/>
                <w:color w:val="auto"/>
                <w:sz w:val="24"/>
                <w:highlight w:val="none"/>
              </w:rPr>
              <w:t>1</w:t>
            </w:r>
            <w:r>
              <w:rPr>
                <w:bCs/>
                <w:color w:val="auto"/>
                <w:sz w:val="24"/>
                <w:highlight w:val="none"/>
              </w:rPr>
              <w:t>项目水平衡图（单位t/</w:t>
            </w:r>
            <w:r>
              <w:rPr>
                <w:rFonts w:hint="eastAsia"/>
                <w:bCs/>
                <w:color w:val="auto"/>
                <w:sz w:val="24"/>
                <w:highlight w:val="none"/>
              </w:rPr>
              <w:t>a</w:t>
            </w:r>
            <w:r>
              <w:rPr>
                <w:bCs/>
                <w:color w:val="auto"/>
                <w:sz w:val="24"/>
                <w:highlight w:val="none"/>
              </w:rPr>
              <w:t>）</w:t>
            </w:r>
          </w:p>
          <w:p w14:paraId="21A78A25">
            <w:pPr>
              <w:spacing w:line="360" w:lineRule="auto"/>
              <w:rPr>
                <w:b/>
                <w:color w:val="auto"/>
                <w:sz w:val="28"/>
                <w:szCs w:val="32"/>
              </w:rPr>
            </w:pPr>
            <w:r>
              <w:rPr>
                <w:rFonts w:hint="eastAsia"/>
                <w:b/>
                <w:color w:val="auto"/>
                <w:sz w:val="28"/>
                <w:szCs w:val="32"/>
              </w:rPr>
              <w:t>2.2.</w:t>
            </w:r>
            <w:r>
              <w:rPr>
                <w:rFonts w:hint="eastAsia"/>
                <w:b/>
                <w:color w:val="auto"/>
                <w:sz w:val="28"/>
                <w:szCs w:val="32"/>
                <w:lang w:val="en-US" w:eastAsia="zh-CN"/>
              </w:rPr>
              <w:t>5</w:t>
            </w:r>
            <w:r>
              <w:rPr>
                <w:b/>
                <w:color w:val="auto"/>
                <w:sz w:val="28"/>
                <w:szCs w:val="32"/>
              </w:rPr>
              <w:t>项目平面布置</w:t>
            </w:r>
          </w:p>
          <w:p w14:paraId="37FFED83">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项</w:t>
            </w:r>
            <w:r>
              <w:rPr>
                <w:rFonts w:ascii="Times New Roman" w:hAnsi="Times New Roman" w:eastAsia="宋体" w:cs="Times New Roman"/>
                <w:color w:val="auto"/>
                <w:sz w:val="24"/>
                <w:lang w:val="en-US" w:eastAsia="zh-CN"/>
              </w:rPr>
              <w:t>目</w:t>
            </w:r>
            <w:r>
              <w:rPr>
                <w:rFonts w:hint="eastAsia" w:ascii="Times New Roman" w:hAnsi="Times New Roman" w:eastAsia="宋体" w:cs="Times New Roman"/>
                <w:color w:val="auto"/>
                <w:sz w:val="24"/>
                <w:lang w:val="en-US" w:eastAsia="zh-CN"/>
              </w:rPr>
              <w:t>门诊和病房相对分开，互不影响，医疗区建筑集中于用地中部，周边设</w:t>
            </w:r>
          </w:p>
          <w:p w14:paraId="641FFC71">
            <w:pPr>
              <w:spacing w:line="360" w:lineRule="auto"/>
              <w:rPr>
                <w:rFonts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环形通道。项目用房布局从病人的诊治流程和部分功能需要出发，力求紧凑、合理、便捷，有利于室内外人流的聚散，布局合理可行。</w:t>
            </w:r>
            <w:r>
              <w:rPr>
                <w:color w:val="auto"/>
                <w:sz w:val="24"/>
              </w:rPr>
              <w:t>项目污水处理站位于</w:t>
            </w:r>
            <w:r>
              <w:rPr>
                <w:rFonts w:hint="eastAsia"/>
                <w:color w:val="auto"/>
                <w:sz w:val="24"/>
                <w:lang w:val="en-US" w:eastAsia="zh-CN"/>
              </w:rPr>
              <w:t>医院东北</w:t>
            </w:r>
            <w:r>
              <w:rPr>
                <w:color w:val="auto"/>
                <w:sz w:val="24"/>
              </w:rPr>
              <w:t>侧</w:t>
            </w:r>
            <w:r>
              <w:rPr>
                <w:rFonts w:hint="eastAsia"/>
                <w:color w:val="auto"/>
                <w:sz w:val="24"/>
              </w:rPr>
              <w:t>，</w:t>
            </w:r>
            <w:r>
              <w:rPr>
                <w:color w:val="auto"/>
                <w:sz w:val="24"/>
              </w:rPr>
              <w:t>医院污水处理站独立设置，</w:t>
            </w:r>
            <w:r>
              <w:rPr>
                <w:rFonts w:hint="eastAsia"/>
                <w:color w:val="auto"/>
                <w:sz w:val="24"/>
              </w:rPr>
              <w:t>医务楼</w:t>
            </w:r>
            <w:r>
              <w:rPr>
                <w:color w:val="auto"/>
                <w:sz w:val="24"/>
              </w:rPr>
              <w:t>距离</w:t>
            </w:r>
            <w:r>
              <w:rPr>
                <w:rFonts w:hint="eastAsia"/>
                <w:color w:val="auto"/>
                <w:sz w:val="24"/>
              </w:rPr>
              <w:t>均</w:t>
            </w:r>
            <w:r>
              <w:rPr>
                <w:rFonts w:hint="eastAsia"/>
                <w:color w:val="auto"/>
                <w:sz w:val="24"/>
                <w:lang w:val="en-US" w:eastAsia="zh-CN"/>
              </w:rPr>
              <w:t>大</w:t>
            </w:r>
            <w:r>
              <w:rPr>
                <w:color w:val="auto"/>
                <w:sz w:val="24"/>
              </w:rPr>
              <w:t>于10m，并设置</w:t>
            </w:r>
            <w:r>
              <w:rPr>
                <w:rFonts w:hint="eastAsia"/>
                <w:color w:val="auto"/>
                <w:sz w:val="24"/>
              </w:rPr>
              <w:t>绿化</w:t>
            </w:r>
            <w:r>
              <w:rPr>
                <w:color w:val="auto"/>
                <w:sz w:val="24"/>
              </w:rPr>
              <w:t>隔离带。</w:t>
            </w:r>
          </w:p>
          <w:p w14:paraId="2FE1F408">
            <w:pPr>
              <w:spacing w:line="360" w:lineRule="auto"/>
              <w:ind w:firstLine="420" w:firstLineChars="200"/>
              <w:rPr>
                <w:color w:val="auto"/>
              </w:rPr>
            </w:pPr>
          </w:p>
        </w:tc>
      </w:tr>
      <w:tr w14:paraId="5174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dxa"/>
            <w:noWrap w:val="0"/>
            <w:vAlign w:val="center"/>
          </w:tcPr>
          <w:p w14:paraId="685E220D">
            <w:pPr>
              <w:pStyle w:val="14"/>
              <w:adjustRightInd w:val="0"/>
              <w:snapToGrid w:val="0"/>
              <w:spacing w:beforeAutospacing="0" w:after="0" w:afterAutospacing="0"/>
              <w:jc w:val="center"/>
              <w:rPr>
                <w:rFonts w:ascii="Times New Roman" w:hAnsi="Times New Roman"/>
                <w:color w:val="auto"/>
                <w:sz w:val="21"/>
                <w:szCs w:val="21"/>
              </w:rPr>
            </w:pPr>
            <w:r>
              <w:rPr>
                <w:rFonts w:ascii="Times New Roman" w:hAnsi="Times New Roman"/>
                <w:color w:val="auto"/>
                <w:sz w:val="21"/>
                <w:szCs w:val="21"/>
              </w:rPr>
              <w:t>工艺流程和产排污环节</w:t>
            </w:r>
          </w:p>
        </w:tc>
        <w:tc>
          <w:tcPr>
            <w:tcW w:w="8609" w:type="dxa"/>
            <w:noWrap w:val="0"/>
            <w:vAlign w:val="top"/>
          </w:tcPr>
          <w:p w14:paraId="2E5AC4E8">
            <w:pPr>
              <w:pStyle w:val="30"/>
              <w:spacing w:before="199" w:line="220" w:lineRule="auto"/>
              <w:ind w:left="105"/>
              <w:rPr>
                <w:rFonts w:hint="eastAsia" w:ascii="Times New Roman" w:hAnsi="Times New Roman" w:cs="Times New Roman"/>
                <w:b/>
                <w:bCs/>
                <w:color w:val="auto"/>
                <w:spacing w:val="-4"/>
                <w:sz w:val="28"/>
                <w:szCs w:val="28"/>
                <w:lang w:eastAsia="zh-CN"/>
              </w:rPr>
            </w:pPr>
            <w:r>
              <w:rPr>
                <w:rFonts w:ascii="Times New Roman" w:hAnsi="Times New Roman" w:eastAsia="Times New Roman" w:cs="Times New Roman"/>
                <w:b/>
                <w:bCs/>
                <w:color w:val="auto"/>
                <w:spacing w:val="-4"/>
                <w:sz w:val="28"/>
                <w:szCs w:val="28"/>
                <w:lang w:eastAsia="zh-CN"/>
              </w:rPr>
              <w:t>2.</w:t>
            </w:r>
            <w:r>
              <w:rPr>
                <w:rFonts w:hint="eastAsia" w:ascii="Times New Roman" w:hAnsi="Times New Roman" w:cs="Times New Roman"/>
                <w:b/>
                <w:bCs/>
                <w:color w:val="auto"/>
                <w:spacing w:val="-4"/>
                <w:sz w:val="28"/>
                <w:szCs w:val="28"/>
                <w:lang w:eastAsia="zh-CN"/>
              </w:rPr>
              <w:t>3工艺流程和产排污环节</w:t>
            </w:r>
          </w:p>
          <w:p w14:paraId="69FED4EF">
            <w:pPr>
              <w:pStyle w:val="30"/>
              <w:spacing w:before="199" w:line="220" w:lineRule="auto"/>
              <w:ind w:left="105"/>
              <w:rPr>
                <w:color w:val="auto"/>
                <w:sz w:val="24"/>
              </w:rPr>
            </w:pPr>
            <w:r>
              <w:rPr>
                <w:color w:val="auto"/>
              </w:rPr>
              <w:drawing>
                <wp:inline distT="0" distB="0" distL="114300" distR="114300">
                  <wp:extent cx="4552950" cy="2019300"/>
                  <wp:effectExtent l="0" t="0" r="0" b="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9"/>
                          <a:stretch>
                            <a:fillRect/>
                          </a:stretch>
                        </pic:blipFill>
                        <pic:spPr>
                          <a:xfrm>
                            <a:off x="0" y="0"/>
                            <a:ext cx="4552950" cy="2019300"/>
                          </a:xfrm>
                          <a:prstGeom prst="rect">
                            <a:avLst/>
                          </a:prstGeom>
                          <a:noFill/>
                          <a:ln>
                            <a:noFill/>
                          </a:ln>
                        </pic:spPr>
                      </pic:pic>
                    </a:graphicData>
                  </a:graphic>
                </wp:inline>
              </w:drawing>
            </w:r>
          </w:p>
          <w:p w14:paraId="01FC1293">
            <w:pPr>
              <w:spacing w:line="360" w:lineRule="auto"/>
              <w:jc w:val="center"/>
              <w:rPr>
                <w:rFonts w:ascii="Times New Roman" w:hAnsi="Times New Roman" w:eastAsia="宋体" w:cs="Times New Roman"/>
                <w:b/>
                <w:color w:val="auto"/>
                <w:sz w:val="24"/>
              </w:rPr>
            </w:pPr>
            <w:r>
              <w:rPr>
                <w:rFonts w:ascii="Times New Roman" w:hAnsi="Times New Roman" w:eastAsia="宋体" w:cs="Times New Roman"/>
                <w:b/>
                <w:color w:val="auto"/>
                <w:sz w:val="24"/>
              </w:rPr>
              <w:t>图2</w:t>
            </w:r>
            <w:r>
              <w:rPr>
                <w:rFonts w:hint="eastAsia" w:ascii="Times New Roman" w:hAnsi="Times New Roman" w:eastAsia="宋体" w:cs="Times New Roman"/>
                <w:b/>
                <w:color w:val="auto"/>
                <w:sz w:val="24"/>
              </w:rPr>
              <w:t>.3</w:t>
            </w:r>
            <w:r>
              <w:rPr>
                <w:rFonts w:ascii="Times New Roman" w:hAnsi="Times New Roman" w:eastAsia="宋体" w:cs="Times New Roman"/>
                <w:b/>
                <w:color w:val="auto"/>
                <w:sz w:val="24"/>
              </w:rPr>
              <w:t>-</w:t>
            </w:r>
            <w:r>
              <w:rPr>
                <w:rFonts w:hint="eastAsia" w:ascii="Times New Roman" w:hAnsi="Times New Roman" w:eastAsia="宋体" w:cs="Times New Roman"/>
                <w:b/>
                <w:color w:val="auto"/>
                <w:sz w:val="24"/>
              </w:rPr>
              <w:t>1</w:t>
            </w:r>
            <w:r>
              <w:rPr>
                <w:rFonts w:ascii="Times New Roman" w:hAnsi="Times New Roman" w:eastAsia="宋体" w:cs="Times New Roman"/>
                <w:b/>
                <w:color w:val="auto"/>
                <w:sz w:val="24"/>
              </w:rPr>
              <w:t>项目</w:t>
            </w:r>
            <w:r>
              <w:rPr>
                <w:rFonts w:hint="eastAsia" w:ascii="Times New Roman" w:hAnsi="Times New Roman" w:eastAsia="宋体" w:cs="Times New Roman"/>
                <w:b/>
                <w:color w:val="auto"/>
                <w:sz w:val="24"/>
                <w:lang w:val="en-US" w:eastAsia="zh-CN"/>
              </w:rPr>
              <w:t>施工期</w:t>
            </w:r>
            <w:r>
              <w:rPr>
                <w:rFonts w:ascii="Times New Roman" w:hAnsi="Times New Roman" w:eastAsia="宋体" w:cs="Times New Roman"/>
                <w:b/>
                <w:color w:val="auto"/>
                <w:sz w:val="24"/>
              </w:rPr>
              <w:t>流程及产污图</w:t>
            </w:r>
          </w:p>
          <w:p w14:paraId="7E9CBD65">
            <w:pPr>
              <w:spacing w:line="360" w:lineRule="auto"/>
              <w:ind w:firstLine="480" w:firstLineChars="200"/>
              <w:jc w:val="left"/>
              <w:rPr>
                <w:rFonts w:ascii="宋体" w:hAnsi="宋体" w:eastAsia="宋体" w:cs="宋体"/>
                <w:color w:val="auto"/>
                <w:sz w:val="24"/>
                <w:szCs w:val="24"/>
              </w:rPr>
            </w:pPr>
            <w:r>
              <w:rPr>
                <w:rFonts w:ascii="宋体" w:hAnsi="宋体" w:eastAsia="宋体" w:cs="宋体"/>
                <w:color w:val="auto"/>
                <w:sz w:val="24"/>
                <w:szCs w:val="24"/>
              </w:rPr>
              <w:t>施工期主要产污环节：</w:t>
            </w:r>
          </w:p>
          <w:p w14:paraId="14C3B8D1">
            <w:pPr>
              <w:numPr>
                <w:ilvl w:val="0"/>
                <w:numId w:val="0"/>
              </w:numPr>
              <w:spacing w:line="360" w:lineRule="auto"/>
              <w:ind w:left="120" w:leftChars="0"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)废水：装修期间施工人员产生的生活污水，施工人员的生活污水依托现有化粪池处理后排放。</w:t>
            </w:r>
          </w:p>
          <w:p w14:paraId="21FF1D61">
            <w:pPr>
              <w:numPr>
                <w:ilvl w:val="0"/>
                <w:numId w:val="0"/>
              </w:numPr>
              <w:spacing w:line="360" w:lineRule="auto"/>
              <w:ind w:left="120" w:leftChars="0"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)废气：装修过</w:t>
            </w:r>
            <w:r>
              <w:rPr>
                <w:rFonts w:hint="eastAsia" w:cs="Times New Roman"/>
                <w:color w:val="auto"/>
                <w:sz w:val="24"/>
                <w:szCs w:val="24"/>
                <w:lang w:eastAsia="zh-CN"/>
              </w:rPr>
              <w:t>程中</w:t>
            </w:r>
            <w:r>
              <w:rPr>
                <w:rFonts w:hint="default" w:ascii="Times New Roman" w:hAnsi="Times New Roman" w:eastAsia="宋体" w:cs="Times New Roman"/>
                <w:color w:val="auto"/>
                <w:sz w:val="24"/>
                <w:szCs w:val="24"/>
              </w:rPr>
              <w:t>产生的粉尘通过采取喷水、喷雾等措施来降低对周边环境的影响。</w:t>
            </w:r>
          </w:p>
          <w:p w14:paraId="2A3CAA7B">
            <w:pPr>
              <w:numPr>
                <w:ilvl w:val="0"/>
                <w:numId w:val="0"/>
              </w:numPr>
              <w:spacing w:line="360" w:lineRule="auto"/>
              <w:ind w:left="120" w:leftChars="0"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)噪声：装修机械运行时产生机械噪声、设备安装与调试噪声。通过优先选用低噪声、振动小的先进施工机械和设备，定期对机械设备进行维护保养，确保其处于良好运行状态，从源头降低噪声。</w:t>
            </w:r>
          </w:p>
          <w:p w14:paraId="5A788975">
            <w:pPr>
              <w:numPr>
                <w:ilvl w:val="0"/>
                <w:numId w:val="0"/>
              </w:numPr>
              <w:spacing w:line="360" w:lineRule="auto"/>
              <w:ind w:left="120" w:leftChars="0" w:firstLine="480" w:firstLineChars="200"/>
              <w:jc w:val="left"/>
              <w:rPr>
                <w:rFonts w:hint="default" w:ascii="Times New Roman" w:hAnsi="Times New Roman" w:cs="Times New Roman"/>
                <w:color w:val="auto"/>
                <w:sz w:val="24"/>
                <w:lang w:eastAsia="zh-CN"/>
              </w:rPr>
            </w:pPr>
            <w:r>
              <w:rPr>
                <w:rFonts w:hint="default" w:ascii="Times New Roman" w:hAnsi="Times New Roman" w:eastAsia="宋体" w:cs="Times New Roman"/>
                <w:color w:val="auto"/>
                <w:sz w:val="24"/>
                <w:szCs w:val="24"/>
              </w:rPr>
              <w:t>(4)固体废物：施工过程中工作人员产生的生活垃圾、废包装材料以及建筑垃圾等。对生活垃圾、废包装材料以及建筑垃圾等进行分类收集与存放和资源化、无害化处置。</w:t>
            </w:r>
          </w:p>
          <w:p w14:paraId="600C1395">
            <w:pPr>
              <w:pStyle w:val="30"/>
              <w:spacing w:before="214" w:line="219" w:lineRule="auto"/>
              <w:ind w:left="590"/>
              <w:rPr>
                <w:color w:val="auto"/>
              </w:rPr>
            </w:pPr>
            <w:r>
              <w:rPr>
                <w:color w:val="auto"/>
              </w:rPr>
              <w:drawing>
                <wp:anchor distT="0" distB="0" distL="114300" distR="114300" simplePos="0" relativeHeight="251662336" behindDoc="0" locked="0" layoutInCell="1" allowOverlap="1">
                  <wp:simplePos x="0" y="0"/>
                  <wp:positionH relativeFrom="column">
                    <wp:posOffset>3969385</wp:posOffset>
                  </wp:positionH>
                  <wp:positionV relativeFrom="paragraph">
                    <wp:posOffset>1519555</wp:posOffset>
                  </wp:positionV>
                  <wp:extent cx="1397000" cy="904240"/>
                  <wp:effectExtent l="0" t="0" r="12700" b="10160"/>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0"/>
                          <a:stretch>
                            <a:fillRect/>
                          </a:stretch>
                        </pic:blipFill>
                        <pic:spPr>
                          <a:xfrm>
                            <a:off x="0" y="0"/>
                            <a:ext cx="1397000" cy="904240"/>
                          </a:xfrm>
                          <a:prstGeom prst="rect">
                            <a:avLst/>
                          </a:prstGeom>
                          <a:noFill/>
                          <a:ln>
                            <a:noFill/>
                          </a:ln>
                        </pic:spPr>
                      </pic:pic>
                    </a:graphicData>
                  </a:graphic>
                </wp:anchor>
              </w:drawing>
            </w:r>
            <w:r>
              <w:rPr>
                <w:color w:val="auto"/>
              </w:rPr>
              <w:drawing>
                <wp:inline distT="0" distB="0" distL="114300" distR="114300">
                  <wp:extent cx="4314825" cy="2314575"/>
                  <wp:effectExtent l="0" t="0" r="9525" b="952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1"/>
                          <a:stretch>
                            <a:fillRect/>
                          </a:stretch>
                        </pic:blipFill>
                        <pic:spPr>
                          <a:xfrm>
                            <a:off x="0" y="0"/>
                            <a:ext cx="4314825" cy="2314575"/>
                          </a:xfrm>
                          <a:prstGeom prst="rect">
                            <a:avLst/>
                          </a:prstGeom>
                          <a:noFill/>
                          <a:ln>
                            <a:noFill/>
                          </a:ln>
                        </pic:spPr>
                      </pic:pic>
                    </a:graphicData>
                  </a:graphic>
                </wp:inline>
              </w:drawing>
            </w:r>
          </w:p>
          <w:p w14:paraId="51799486">
            <w:pPr>
              <w:spacing w:line="360" w:lineRule="auto"/>
              <w:jc w:val="center"/>
              <w:rPr>
                <w:color w:val="auto"/>
                <w:szCs w:val="21"/>
              </w:rPr>
            </w:pPr>
            <w:r>
              <w:rPr>
                <w:rFonts w:ascii="Times New Roman" w:hAnsi="Times New Roman" w:eastAsia="宋体" w:cs="Times New Roman"/>
                <w:b/>
                <w:color w:val="auto"/>
                <w:sz w:val="24"/>
              </w:rPr>
              <w:t>图2</w:t>
            </w:r>
            <w:r>
              <w:rPr>
                <w:rFonts w:hint="eastAsia" w:ascii="Times New Roman" w:hAnsi="Times New Roman" w:eastAsia="宋体" w:cs="Times New Roman"/>
                <w:b/>
                <w:color w:val="auto"/>
                <w:sz w:val="24"/>
              </w:rPr>
              <w:t>.3</w:t>
            </w:r>
            <w:r>
              <w:rPr>
                <w:rFonts w:ascii="Times New Roman" w:hAnsi="Times New Roman" w:eastAsia="宋体" w:cs="Times New Roman"/>
                <w:b/>
                <w:color w:val="auto"/>
                <w:sz w:val="24"/>
              </w:rPr>
              <w:t>-</w:t>
            </w:r>
            <w:r>
              <w:rPr>
                <w:rFonts w:hint="eastAsia" w:ascii="Times New Roman" w:hAnsi="Times New Roman" w:eastAsia="宋体" w:cs="Times New Roman"/>
                <w:b/>
                <w:color w:val="auto"/>
                <w:sz w:val="24"/>
              </w:rPr>
              <w:t>1</w:t>
            </w:r>
            <w:r>
              <w:rPr>
                <w:rFonts w:ascii="Times New Roman" w:hAnsi="Times New Roman" w:eastAsia="宋体" w:cs="Times New Roman"/>
                <w:b/>
                <w:color w:val="auto"/>
                <w:sz w:val="24"/>
              </w:rPr>
              <w:t>项目</w:t>
            </w:r>
            <w:r>
              <w:rPr>
                <w:rFonts w:hint="eastAsia" w:ascii="Times New Roman" w:hAnsi="Times New Roman" w:eastAsia="宋体" w:cs="Times New Roman"/>
                <w:b/>
                <w:color w:val="auto"/>
                <w:sz w:val="24"/>
                <w:lang w:val="en-US" w:eastAsia="zh-CN"/>
              </w:rPr>
              <w:t>营运期</w:t>
            </w:r>
            <w:r>
              <w:rPr>
                <w:rFonts w:ascii="Times New Roman" w:hAnsi="Times New Roman" w:eastAsia="宋体" w:cs="Times New Roman"/>
                <w:b/>
                <w:color w:val="auto"/>
                <w:sz w:val="24"/>
              </w:rPr>
              <w:t>流程及产污图</w:t>
            </w:r>
          </w:p>
          <w:p w14:paraId="38CB2AD6">
            <w:pPr>
              <w:spacing w:line="360" w:lineRule="auto"/>
              <w:ind w:firstLine="480" w:firstLineChars="200"/>
              <w:rPr>
                <w:b/>
                <w:color w:val="auto"/>
                <w:sz w:val="24"/>
              </w:rPr>
            </w:pPr>
            <w:r>
              <w:rPr>
                <w:color w:val="auto"/>
                <w:sz w:val="24"/>
              </w:rPr>
              <w:t>项目营运期产生的污染物质主要有医疗废水、生活垃圾、医疗废物等。本项目污染物汇总</w:t>
            </w:r>
            <w:r>
              <w:rPr>
                <w:rFonts w:hint="eastAsia"/>
                <w:color w:val="auto"/>
                <w:sz w:val="24"/>
              </w:rPr>
              <w:t>详见表2.</w:t>
            </w:r>
            <w:r>
              <w:rPr>
                <w:rFonts w:hint="eastAsia"/>
                <w:color w:val="auto"/>
                <w:sz w:val="24"/>
                <w:lang w:val="en-US" w:eastAsia="zh-CN"/>
              </w:rPr>
              <w:t>3</w:t>
            </w:r>
            <w:r>
              <w:rPr>
                <w:rFonts w:hint="eastAsia"/>
                <w:color w:val="auto"/>
                <w:sz w:val="24"/>
              </w:rPr>
              <w:t>-</w:t>
            </w:r>
            <w:r>
              <w:rPr>
                <w:rFonts w:hint="eastAsia"/>
                <w:color w:val="auto"/>
                <w:sz w:val="24"/>
                <w:lang w:val="en-US" w:eastAsia="zh-CN"/>
              </w:rPr>
              <w:t>1</w:t>
            </w:r>
            <w:r>
              <w:rPr>
                <w:rFonts w:hint="eastAsia"/>
                <w:color w:val="auto"/>
                <w:sz w:val="24"/>
              </w:rPr>
              <w:t>。</w:t>
            </w:r>
          </w:p>
          <w:p w14:paraId="470C3F24">
            <w:pPr>
              <w:spacing w:line="360" w:lineRule="auto"/>
              <w:jc w:val="center"/>
              <w:rPr>
                <w:b/>
                <w:color w:val="auto"/>
                <w:sz w:val="24"/>
                <w:highlight w:val="none"/>
              </w:rPr>
            </w:pPr>
            <w:r>
              <w:rPr>
                <w:rFonts w:hint="eastAsia"/>
                <w:b/>
                <w:color w:val="auto"/>
                <w:sz w:val="24"/>
                <w:highlight w:val="none"/>
              </w:rPr>
              <w:t>表</w:t>
            </w:r>
            <w:r>
              <w:rPr>
                <w:b/>
                <w:color w:val="auto"/>
                <w:sz w:val="24"/>
                <w:highlight w:val="none"/>
              </w:rPr>
              <w:t>2</w:t>
            </w:r>
            <w:r>
              <w:rPr>
                <w:rFonts w:hint="eastAsia"/>
                <w:b/>
                <w:color w:val="auto"/>
                <w:sz w:val="24"/>
                <w:highlight w:val="none"/>
              </w:rPr>
              <w:t>.3-1</w:t>
            </w:r>
            <w:r>
              <w:rPr>
                <w:b/>
                <w:color w:val="auto"/>
                <w:sz w:val="24"/>
                <w:highlight w:val="none"/>
              </w:rPr>
              <w:t>本项目</w:t>
            </w:r>
            <w:r>
              <w:rPr>
                <w:rFonts w:hint="eastAsia"/>
                <w:b/>
                <w:color w:val="auto"/>
                <w:sz w:val="24"/>
                <w:highlight w:val="none"/>
                <w:lang w:val="en-US" w:eastAsia="zh-CN"/>
              </w:rPr>
              <w:t>扩建后</w:t>
            </w:r>
            <w:r>
              <w:rPr>
                <w:b/>
                <w:color w:val="auto"/>
                <w:sz w:val="24"/>
                <w:highlight w:val="none"/>
              </w:rPr>
              <w:t>污染物汇总表</w:t>
            </w:r>
          </w:p>
          <w:tbl>
            <w:tblPr>
              <w:tblStyle w:val="17"/>
              <w:tblW w:w="49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792"/>
              <w:gridCol w:w="1724"/>
              <w:gridCol w:w="2510"/>
              <w:gridCol w:w="2517"/>
            </w:tblGrid>
            <w:tr w14:paraId="1F81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73" w:type="pct"/>
                  <w:tcBorders>
                    <w:top w:val="single" w:color="000000" w:sz="12" w:space="0"/>
                    <w:left w:val="nil"/>
                    <w:bottom w:val="single" w:color="auto" w:sz="4" w:space="0"/>
                    <w:right w:val="single" w:color="auto" w:sz="4" w:space="0"/>
                  </w:tcBorders>
                  <w:shd w:val="clear" w:color="auto" w:fill="FFFFFF"/>
                  <w:noWrap w:val="0"/>
                  <w:vAlign w:val="center"/>
                </w:tcPr>
                <w:p w14:paraId="4EBF1167">
                  <w:pPr>
                    <w:pStyle w:val="30"/>
                    <w:spacing w:line="340" w:lineRule="exact"/>
                    <w:jc w:val="center"/>
                    <w:rPr>
                      <w:rFonts w:hint="default" w:ascii="Times New Roman" w:hAnsi="Times New Roman" w:eastAsia="宋体" w:cs="Times New Roman"/>
                      <w:color w:val="auto"/>
                      <w:spacing w:val="-3"/>
                      <w:sz w:val="21"/>
                      <w:szCs w:val="21"/>
                      <w:highlight w:val="none"/>
                      <w:lang w:val="en-US" w:eastAsia="zh-CN"/>
                    </w:rPr>
                  </w:pPr>
                  <w:r>
                    <w:rPr>
                      <w:rFonts w:hint="default" w:ascii="Times New Roman" w:hAnsi="Times New Roman" w:eastAsia="宋体" w:cs="Times New Roman"/>
                      <w:color w:val="auto"/>
                      <w:spacing w:val="-3"/>
                      <w:sz w:val="21"/>
                      <w:szCs w:val="21"/>
                      <w:highlight w:val="none"/>
                      <w:lang w:val="en-US" w:eastAsia="zh-CN"/>
                    </w:rPr>
                    <w:t>项目</w:t>
                  </w:r>
                </w:p>
              </w:tc>
              <w:tc>
                <w:tcPr>
                  <w:tcW w:w="474" w:type="pct"/>
                  <w:tcBorders>
                    <w:top w:val="single" w:color="000000" w:sz="12" w:space="0"/>
                    <w:left w:val="nil"/>
                    <w:bottom w:val="single" w:color="auto" w:sz="4" w:space="0"/>
                    <w:right w:val="single" w:color="auto" w:sz="4" w:space="0"/>
                  </w:tcBorders>
                  <w:shd w:val="clear" w:color="auto" w:fill="FFFFFF"/>
                  <w:noWrap w:val="0"/>
                  <w:vAlign w:val="center"/>
                </w:tcPr>
                <w:p w14:paraId="3F16ACF8">
                  <w:pPr>
                    <w:pStyle w:val="3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名称</w:t>
                  </w:r>
                </w:p>
              </w:tc>
              <w:tc>
                <w:tcPr>
                  <w:tcW w:w="1034"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33D62321">
                  <w:pPr>
                    <w:pStyle w:val="30"/>
                    <w:spacing w:line="340" w:lineRule="exact"/>
                    <w:jc w:val="center"/>
                    <w:rPr>
                      <w:rFonts w:hint="default" w:ascii="Times New Roman" w:hAnsi="Times New Roman" w:eastAsia="宋体" w:cs="Times New Roman"/>
                      <w:color w:val="auto"/>
                      <w:spacing w:val="-2"/>
                      <w:sz w:val="21"/>
                      <w:szCs w:val="21"/>
                      <w:highlight w:val="none"/>
                      <w:lang w:eastAsia="zh-CN"/>
                    </w:rPr>
                  </w:pPr>
                  <w:r>
                    <w:rPr>
                      <w:rFonts w:hint="default" w:ascii="Times New Roman" w:hAnsi="Times New Roman" w:eastAsia="宋体" w:cs="Times New Roman"/>
                      <w:color w:val="auto"/>
                      <w:spacing w:val="-2"/>
                      <w:sz w:val="21"/>
                      <w:szCs w:val="21"/>
                      <w:highlight w:val="none"/>
                      <w:lang w:eastAsia="zh-CN"/>
                    </w:rPr>
                    <w:t>污染源</w:t>
                  </w:r>
                </w:p>
              </w:tc>
              <w:tc>
                <w:tcPr>
                  <w:tcW w:w="1506"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5422E434">
                  <w:pPr>
                    <w:pStyle w:val="3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rPr>
                    <w:t>主要污染物因子</w:t>
                  </w:r>
                </w:p>
              </w:tc>
              <w:tc>
                <w:tcPr>
                  <w:tcW w:w="1510"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3D0E3BA2">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spacing w:val="-4"/>
                      <w:kern w:val="2"/>
                      <w:sz w:val="21"/>
                      <w:szCs w:val="21"/>
                      <w:highlight w:val="none"/>
                      <w:lang w:val="en-US" w:eastAsia="zh-CN" w:bidi="ar-SA"/>
                    </w:rPr>
                    <w:t>处置方式及去向</w:t>
                  </w:r>
                </w:p>
              </w:tc>
            </w:tr>
            <w:tr w14:paraId="4AC2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473" w:type="pct"/>
                  <w:vMerge w:val="restart"/>
                  <w:tcBorders>
                    <w:top w:val="single" w:color="auto" w:sz="4" w:space="0"/>
                    <w:left w:val="nil"/>
                    <w:right w:val="single" w:color="auto" w:sz="4" w:space="0"/>
                  </w:tcBorders>
                  <w:shd w:val="clear" w:color="auto" w:fill="FFFFFF"/>
                  <w:noWrap w:val="0"/>
                  <w:vAlign w:val="center"/>
                </w:tcPr>
                <w:p w14:paraId="4A1A77AD">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施工</w:t>
                  </w:r>
                </w:p>
                <w:p w14:paraId="18564A59">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期</w:t>
                  </w:r>
                </w:p>
                <w:p w14:paraId="19919F3B">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restart"/>
                  <w:tcBorders>
                    <w:top w:val="single" w:color="auto" w:sz="4" w:space="0"/>
                    <w:left w:val="nil"/>
                    <w:right w:val="single" w:color="auto" w:sz="4" w:space="0"/>
                  </w:tcBorders>
                  <w:shd w:val="clear" w:color="auto" w:fill="FFFFFF"/>
                  <w:noWrap w:val="0"/>
                  <w:vAlign w:val="center"/>
                </w:tcPr>
                <w:p w14:paraId="32182CA5">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废水</w:t>
                  </w:r>
                </w:p>
                <w:p w14:paraId="6EEB9775">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4A534D">
                  <w:pPr>
                    <w:keepNext w:val="0"/>
                    <w:keepLines w:val="0"/>
                    <w:widowControl/>
                    <w:suppressLineNumbers w:val="0"/>
                    <w:jc w:val="center"/>
                    <w:rPr>
                      <w:rFonts w:hint="default" w:ascii="Times New Roman" w:hAnsi="Times New Roman" w:eastAsia="宋体" w:cs="Times New Roman"/>
                      <w:color w:val="auto"/>
                      <w:spacing w:val="-2"/>
                      <w:sz w:val="21"/>
                      <w:szCs w:val="21"/>
                      <w:highlight w:val="none"/>
                      <w:lang w:eastAsia="zh-CN"/>
                    </w:rPr>
                  </w:pPr>
                  <w:r>
                    <w:rPr>
                      <w:rFonts w:hint="default" w:ascii="Times New Roman" w:hAnsi="Times New Roman" w:eastAsia="宋体" w:cs="Times New Roman"/>
                      <w:color w:val="auto"/>
                      <w:kern w:val="0"/>
                      <w:sz w:val="21"/>
                      <w:szCs w:val="21"/>
                      <w:lang w:val="en-US" w:eastAsia="zh-CN" w:bidi="ar"/>
                    </w:rPr>
                    <w:t>施工废水</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21ABD8">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SS</w:t>
                  </w:r>
                </w:p>
                <w:p w14:paraId="198E033E">
                  <w:pPr>
                    <w:pStyle w:val="30"/>
                    <w:spacing w:line="340" w:lineRule="exact"/>
                    <w:ind w:right="310"/>
                    <w:jc w:val="center"/>
                    <w:rPr>
                      <w:rFonts w:hint="default" w:ascii="Times New Roman" w:hAnsi="Times New Roman" w:eastAsia="宋体" w:cs="Times New Roman"/>
                      <w:color w:val="auto"/>
                      <w:spacing w:val="-6"/>
                      <w:sz w:val="21"/>
                      <w:szCs w:val="21"/>
                      <w:highlight w:val="none"/>
                    </w:rPr>
                  </w:pP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1F0D15">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bidi="ar"/>
                    </w:rPr>
                    <w:t>经隔油、沉淀处理后回用于场地冲洗、洒水抑尘，不外排</w:t>
                  </w:r>
                </w:p>
              </w:tc>
            </w:tr>
            <w:tr w14:paraId="583C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32879B1C">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continue"/>
                  <w:tcBorders>
                    <w:left w:val="nil"/>
                    <w:right w:val="single" w:color="auto" w:sz="4" w:space="0"/>
                  </w:tcBorders>
                  <w:shd w:val="clear" w:color="auto" w:fill="FFFFFF"/>
                  <w:noWrap w:val="0"/>
                  <w:vAlign w:val="center"/>
                </w:tcPr>
                <w:p w14:paraId="0137F216">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4ABDC5">
                  <w:pPr>
                    <w:keepNext w:val="0"/>
                    <w:keepLines w:val="0"/>
                    <w:widowControl/>
                    <w:suppressLineNumbers w:val="0"/>
                    <w:jc w:val="center"/>
                    <w:rPr>
                      <w:rFonts w:hint="default" w:ascii="Times New Roman" w:hAnsi="Times New Roman" w:eastAsia="宋体" w:cs="Times New Roman"/>
                      <w:color w:val="auto"/>
                      <w:spacing w:val="-2"/>
                      <w:sz w:val="21"/>
                      <w:szCs w:val="21"/>
                      <w:highlight w:val="none"/>
                      <w:lang w:eastAsia="zh-CN"/>
                    </w:rPr>
                  </w:pPr>
                  <w:r>
                    <w:rPr>
                      <w:rFonts w:hint="default" w:ascii="Times New Roman" w:hAnsi="Times New Roman" w:eastAsia="宋体" w:cs="Times New Roman"/>
                      <w:color w:val="auto"/>
                      <w:kern w:val="0"/>
                      <w:sz w:val="21"/>
                      <w:szCs w:val="21"/>
                      <w:lang w:val="en-US" w:eastAsia="zh-CN" w:bidi="ar"/>
                    </w:rPr>
                    <w:t>生活污水</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E937A5">
                  <w:pPr>
                    <w:keepNext w:val="0"/>
                    <w:keepLines w:val="0"/>
                    <w:widowControl/>
                    <w:suppressLineNumbers w:val="0"/>
                    <w:jc w:val="center"/>
                    <w:rPr>
                      <w:rFonts w:hint="default" w:ascii="Times New Roman" w:hAnsi="Times New Roman" w:eastAsia="宋体" w:cs="Times New Roman"/>
                      <w:color w:val="auto"/>
                      <w:spacing w:val="-6"/>
                      <w:sz w:val="21"/>
                      <w:szCs w:val="21"/>
                      <w:highlight w:val="none"/>
                    </w:rPr>
                  </w:pPr>
                  <w:r>
                    <w:rPr>
                      <w:rFonts w:hint="default" w:ascii="Times New Roman" w:hAnsi="Times New Roman" w:eastAsia="宋体" w:cs="Times New Roman"/>
                      <w:color w:val="auto"/>
                      <w:kern w:val="0"/>
                      <w:sz w:val="21"/>
                      <w:szCs w:val="21"/>
                      <w:lang w:val="en-US" w:eastAsia="zh-CN" w:bidi="ar"/>
                    </w:rPr>
                    <w:t>COD、BOD</w:t>
                  </w:r>
                  <w:r>
                    <w:rPr>
                      <w:rFonts w:hint="default" w:ascii="Times New Roman" w:hAnsi="Times New Roman" w:eastAsia="宋体" w:cs="Times New Roman"/>
                      <w:color w:val="auto"/>
                      <w:kern w:val="0"/>
                      <w:sz w:val="21"/>
                      <w:szCs w:val="21"/>
                      <w:vertAlign w:val="subscript"/>
                      <w:lang w:val="en-US" w:eastAsia="zh-CN" w:bidi="ar"/>
                    </w:rPr>
                    <w:t>5</w:t>
                  </w:r>
                  <w:r>
                    <w:rPr>
                      <w:rFonts w:hint="default" w:ascii="Times New Roman" w:hAnsi="Times New Roman" w:eastAsia="宋体" w:cs="Times New Roman"/>
                      <w:color w:val="auto"/>
                      <w:kern w:val="0"/>
                      <w:sz w:val="21"/>
                      <w:szCs w:val="21"/>
                      <w:lang w:val="en-US" w:eastAsia="zh-CN" w:bidi="ar"/>
                    </w:rPr>
                    <w:t>、氨氮、SS</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74EBFE">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bidi="ar"/>
                    </w:rPr>
                    <w:t>依托现有生活污水处理设施处理后排放</w:t>
                  </w:r>
                </w:p>
              </w:tc>
            </w:tr>
            <w:tr w14:paraId="7164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0046AD47">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restart"/>
                  <w:tcBorders>
                    <w:top w:val="single" w:color="auto" w:sz="4" w:space="0"/>
                    <w:left w:val="nil"/>
                    <w:right w:val="single" w:color="auto" w:sz="4" w:space="0"/>
                  </w:tcBorders>
                  <w:shd w:val="clear" w:color="auto" w:fill="FFFFFF"/>
                  <w:noWrap w:val="0"/>
                  <w:vAlign w:val="center"/>
                </w:tcPr>
                <w:p w14:paraId="64540128">
                  <w:pPr>
                    <w:keepNext w:val="0"/>
                    <w:keepLines w:val="0"/>
                    <w:widowControl/>
                    <w:suppressLineNumbers w:val="0"/>
                    <w:jc w:val="center"/>
                    <w:rPr>
                      <w:rFonts w:hint="default" w:ascii="Times New Roman" w:hAnsi="Times New Roman" w:eastAsia="宋体" w:cs="Times New Roman"/>
                      <w:color w:val="auto"/>
                      <w:spacing w:val="-2"/>
                      <w:sz w:val="21"/>
                      <w:szCs w:val="21"/>
                      <w:highlight w:val="none"/>
                      <w:lang w:val="en-US"/>
                    </w:rPr>
                  </w:pPr>
                  <w:r>
                    <w:rPr>
                      <w:rFonts w:hint="default" w:ascii="Times New Roman" w:hAnsi="Times New Roman" w:eastAsia="宋体" w:cs="Times New Roman"/>
                      <w:color w:val="auto"/>
                      <w:kern w:val="0"/>
                      <w:sz w:val="21"/>
                      <w:szCs w:val="21"/>
                      <w:lang w:val="en-US" w:eastAsia="zh-CN" w:bidi="ar"/>
                    </w:rPr>
                    <w:t>废气</w:t>
                  </w: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DF4003">
                  <w:pPr>
                    <w:keepNext w:val="0"/>
                    <w:keepLines w:val="0"/>
                    <w:widowControl/>
                    <w:suppressLineNumbers w:val="0"/>
                    <w:jc w:val="center"/>
                    <w:rPr>
                      <w:rFonts w:hint="default" w:ascii="Times New Roman" w:hAnsi="Times New Roman" w:eastAsia="宋体" w:cs="Times New Roman"/>
                      <w:color w:val="auto"/>
                      <w:spacing w:val="-2"/>
                      <w:sz w:val="21"/>
                      <w:szCs w:val="21"/>
                      <w:highlight w:val="none"/>
                      <w:lang w:eastAsia="zh-CN"/>
                    </w:rPr>
                  </w:pPr>
                  <w:r>
                    <w:rPr>
                      <w:rFonts w:hint="default" w:ascii="Times New Roman" w:hAnsi="Times New Roman" w:eastAsia="宋体" w:cs="Times New Roman"/>
                      <w:color w:val="auto"/>
                      <w:kern w:val="0"/>
                      <w:sz w:val="21"/>
                      <w:szCs w:val="21"/>
                      <w:lang w:val="en-US" w:eastAsia="zh-CN" w:bidi="ar"/>
                    </w:rPr>
                    <w:t>施工扬尘</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FEE841">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粉尘</w:t>
                  </w:r>
                </w:p>
                <w:p w14:paraId="0EFC2915">
                  <w:pPr>
                    <w:pStyle w:val="30"/>
                    <w:spacing w:line="340" w:lineRule="exact"/>
                    <w:ind w:right="310"/>
                    <w:jc w:val="center"/>
                    <w:rPr>
                      <w:rFonts w:hint="default" w:ascii="Times New Roman" w:hAnsi="Times New Roman" w:eastAsia="宋体" w:cs="Times New Roman"/>
                      <w:color w:val="auto"/>
                      <w:spacing w:val="-6"/>
                      <w:sz w:val="21"/>
                      <w:szCs w:val="21"/>
                      <w:highlight w:val="none"/>
                    </w:rPr>
                  </w:pP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BA10EFB">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bidi="ar"/>
                    </w:rPr>
                    <w:t>设置拦挡施工、及时清扫等</w:t>
                  </w:r>
                </w:p>
              </w:tc>
            </w:tr>
            <w:tr w14:paraId="007E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22CE44BC">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continue"/>
                  <w:tcBorders>
                    <w:left w:val="nil"/>
                    <w:right w:val="single" w:color="auto" w:sz="4" w:space="0"/>
                  </w:tcBorders>
                  <w:shd w:val="clear" w:color="auto" w:fill="FFFFFF"/>
                  <w:noWrap w:val="0"/>
                  <w:vAlign w:val="center"/>
                </w:tcPr>
                <w:p w14:paraId="37136C08">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A9007F">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施工车辆</w:t>
                  </w:r>
                </w:p>
                <w:p w14:paraId="0CE88AE3">
                  <w:pPr>
                    <w:pStyle w:val="30"/>
                    <w:spacing w:line="340" w:lineRule="exact"/>
                    <w:ind w:right="181"/>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lang w:val="en-US" w:eastAsia="zh-CN"/>
                    </w:rPr>
                    <w:t>尾气</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1C4657">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SO</w:t>
                  </w:r>
                  <w:r>
                    <w:rPr>
                      <w:rFonts w:hint="default" w:ascii="Times New Roman" w:hAnsi="Times New Roman" w:eastAsia="宋体" w:cs="Times New Roman"/>
                      <w:color w:val="auto"/>
                      <w:kern w:val="0"/>
                      <w:sz w:val="21"/>
                      <w:szCs w:val="21"/>
                      <w:vertAlign w:val="subscript"/>
                      <w:lang w:val="en-US" w:eastAsia="zh-CN" w:bidi="ar"/>
                    </w:rPr>
                    <w:t>2</w:t>
                  </w:r>
                  <w:r>
                    <w:rPr>
                      <w:rFonts w:hint="default" w:ascii="Times New Roman" w:hAnsi="Times New Roman" w:eastAsia="宋体" w:cs="Times New Roman"/>
                      <w:color w:val="auto"/>
                      <w:kern w:val="0"/>
                      <w:sz w:val="21"/>
                      <w:szCs w:val="21"/>
                      <w:lang w:val="en-US" w:eastAsia="zh-CN" w:bidi="ar"/>
                    </w:rPr>
                    <w:t>、NOx等</w:t>
                  </w:r>
                </w:p>
                <w:p w14:paraId="4EFF91B5">
                  <w:pPr>
                    <w:pStyle w:val="30"/>
                    <w:spacing w:line="340" w:lineRule="exact"/>
                    <w:ind w:right="310"/>
                    <w:jc w:val="center"/>
                    <w:rPr>
                      <w:rFonts w:hint="default" w:ascii="Times New Roman" w:hAnsi="Times New Roman" w:eastAsia="宋体" w:cs="Times New Roman"/>
                      <w:color w:val="auto"/>
                      <w:spacing w:val="-6"/>
                      <w:sz w:val="21"/>
                      <w:szCs w:val="21"/>
                      <w:highlight w:val="none"/>
                    </w:rPr>
                  </w:pP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2D0BD0">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bidi="ar"/>
                    </w:rPr>
                    <w:t>加强施工车辆管理</w:t>
                  </w:r>
                </w:p>
              </w:tc>
            </w:tr>
            <w:tr w14:paraId="3DF74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6096F031">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continue"/>
                  <w:tcBorders>
                    <w:left w:val="nil"/>
                    <w:right w:val="single" w:color="auto" w:sz="4" w:space="0"/>
                  </w:tcBorders>
                  <w:shd w:val="clear" w:color="auto" w:fill="FFFFFF"/>
                  <w:noWrap w:val="0"/>
                  <w:vAlign w:val="center"/>
                </w:tcPr>
                <w:p w14:paraId="48D802DA">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8A725E">
                  <w:pPr>
                    <w:keepNext w:val="0"/>
                    <w:keepLines w:val="0"/>
                    <w:widowControl/>
                    <w:suppressLineNumbers w:val="0"/>
                    <w:jc w:val="center"/>
                    <w:rPr>
                      <w:rFonts w:hint="default" w:ascii="Times New Roman" w:hAnsi="Times New Roman" w:eastAsia="宋体" w:cs="Times New Roman"/>
                      <w:color w:val="auto"/>
                      <w:spacing w:val="-2"/>
                      <w:sz w:val="21"/>
                      <w:szCs w:val="21"/>
                      <w:highlight w:val="none"/>
                      <w:lang w:eastAsia="zh-CN"/>
                    </w:rPr>
                  </w:pPr>
                  <w:r>
                    <w:rPr>
                      <w:rFonts w:hint="default" w:ascii="Times New Roman" w:hAnsi="Times New Roman" w:eastAsia="宋体" w:cs="Times New Roman"/>
                      <w:color w:val="auto"/>
                      <w:kern w:val="0"/>
                      <w:sz w:val="21"/>
                      <w:szCs w:val="21"/>
                      <w:lang w:val="en-US" w:eastAsia="zh-CN" w:bidi="ar"/>
                    </w:rPr>
                    <w:t>装修废气</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35916FD">
                  <w:pPr>
                    <w:keepNext w:val="0"/>
                    <w:keepLines w:val="0"/>
                    <w:widowControl/>
                    <w:suppressLineNumbers w:val="0"/>
                    <w:jc w:val="center"/>
                    <w:rPr>
                      <w:rFonts w:hint="default" w:ascii="Times New Roman" w:hAnsi="Times New Roman" w:eastAsia="宋体" w:cs="Times New Roman"/>
                      <w:color w:val="auto"/>
                      <w:spacing w:val="-6"/>
                      <w:sz w:val="21"/>
                      <w:szCs w:val="21"/>
                      <w:highlight w:val="none"/>
                    </w:rPr>
                  </w:pPr>
                  <w:r>
                    <w:rPr>
                      <w:rFonts w:hint="default" w:ascii="Times New Roman" w:hAnsi="Times New Roman" w:eastAsia="宋体" w:cs="Times New Roman"/>
                      <w:color w:val="auto"/>
                      <w:kern w:val="0"/>
                      <w:sz w:val="21"/>
                      <w:szCs w:val="21"/>
                      <w:lang w:val="en-US" w:eastAsia="zh-CN" w:bidi="ar"/>
                    </w:rPr>
                    <w:t>有机溶剂废气、粉尘等</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FA3781">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bidi="ar"/>
                    </w:rPr>
                    <w:t>采用环保材料等</w:t>
                  </w:r>
                </w:p>
              </w:tc>
            </w:tr>
            <w:tr w14:paraId="344C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6914AD78">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tcBorders>
                    <w:top w:val="single" w:color="auto" w:sz="4" w:space="0"/>
                    <w:left w:val="nil"/>
                    <w:right w:val="single" w:color="auto" w:sz="4" w:space="0"/>
                  </w:tcBorders>
                  <w:shd w:val="clear" w:color="auto" w:fill="FFFFFF"/>
                  <w:noWrap w:val="0"/>
                  <w:vAlign w:val="center"/>
                </w:tcPr>
                <w:p w14:paraId="00665641">
                  <w:pPr>
                    <w:pStyle w:val="30"/>
                    <w:spacing w:line="340" w:lineRule="exact"/>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lang w:val="en-US" w:eastAsia="zh-CN"/>
                    </w:rPr>
                    <w:t>噪声</w:t>
                  </w: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E17EFC">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施工设备</w:t>
                  </w:r>
                </w:p>
                <w:p w14:paraId="64122DF9">
                  <w:pPr>
                    <w:pStyle w:val="30"/>
                    <w:spacing w:line="340" w:lineRule="exact"/>
                    <w:ind w:right="181"/>
                    <w:jc w:val="center"/>
                    <w:rPr>
                      <w:rFonts w:hint="default" w:ascii="Times New Roman" w:hAnsi="Times New Roman" w:eastAsia="宋体" w:cs="Times New Roman"/>
                      <w:color w:val="auto"/>
                      <w:spacing w:val="-2"/>
                      <w:sz w:val="21"/>
                      <w:szCs w:val="21"/>
                      <w:highlight w:val="none"/>
                      <w:lang w:eastAsia="zh-CN"/>
                    </w:rPr>
                  </w:pP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56AFB9">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设备噪声</w:t>
                  </w:r>
                </w:p>
                <w:p w14:paraId="36D81F4C">
                  <w:pPr>
                    <w:pStyle w:val="30"/>
                    <w:spacing w:line="340" w:lineRule="exact"/>
                    <w:ind w:right="310"/>
                    <w:jc w:val="center"/>
                    <w:rPr>
                      <w:rFonts w:hint="default" w:ascii="Times New Roman" w:hAnsi="Times New Roman" w:eastAsia="宋体" w:cs="Times New Roman"/>
                      <w:color w:val="auto"/>
                      <w:spacing w:val="-6"/>
                      <w:sz w:val="21"/>
                      <w:szCs w:val="21"/>
                      <w:highlight w:val="none"/>
                    </w:rPr>
                  </w:pP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E7665F">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bidi="ar"/>
                    </w:rPr>
                    <w:t>采用低噪声设备，定期维护，设置拦挡施工等</w:t>
                  </w:r>
                </w:p>
              </w:tc>
            </w:tr>
            <w:tr w14:paraId="2885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69142BF9">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restart"/>
                  <w:tcBorders>
                    <w:top w:val="single" w:color="auto" w:sz="4" w:space="0"/>
                    <w:left w:val="nil"/>
                    <w:right w:val="single" w:color="auto" w:sz="4" w:space="0"/>
                  </w:tcBorders>
                  <w:shd w:val="clear" w:color="auto" w:fill="FFFFFF"/>
                  <w:noWrap w:val="0"/>
                  <w:vAlign w:val="center"/>
                </w:tcPr>
                <w:p w14:paraId="160D4F83">
                  <w:pPr>
                    <w:pStyle w:val="30"/>
                    <w:spacing w:line="340" w:lineRule="exact"/>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lang w:val="en-US" w:eastAsia="zh-CN"/>
                    </w:rPr>
                    <w:t>固废</w:t>
                  </w: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C1A152">
                  <w:pPr>
                    <w:keepNext w:val="0"/>
                    <w:keepLines w:val="0"/>
                    <w:widowControl/>
                    <w:suppressLineNumbers w:val="0"/>
                    <w:jc w:val="center"/>
                    <w:rPr>
                      <w:rFonts w:hint="default" w:ascii="Times New Roman" w:hAnsi="Times New Roman" w:eastAsia="宋体" w:cs="Times New Roman"/>
                      <w:color w:val="auto"/>
                      <w:spacing w:val="-2"/>
                      <w:sz w:val="21"/>
                      <w:szCs w:val="21"/>
                      <w:highlight w:val="none"/>
                      <w:lang w:eastAsia="zh-CN"/>
                    </w:rPr>
                  </w:pPr>
                  <w:r>
                    <w:rPr>
                      <w:rFonts w:hint="default" w:ascii="Times New Roman" w:hAnsi="Times New Roman" w:eastAsia="宋体" w:cs="Times New Roman"/>
                      <w:color w:val="auto"/>
                      <w:kern w:val="0"/>
                      <w:sz w:val="21"/>
                      <w:szCs w:val="21"/>
                      <w:lang w:val="en-US" w:eastAsia="zh-CN" w:bidi="ar"/>
                    </w:rPr>
                    <w:t>建筑垃圾</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6B9C76">
                  <w:pPr>
                    <w:keepNext w:val="0"/>
                    <w:keepLines w:val="0"/>
                    <w:widowControl/>
                    <w:suppressLineNumbers w:val="0"/>
                    <w:jc w:val="center"/>
                    <w:rPr>
                      <w:rFonts w:hint="default" w:ascii="Times New Roman" w:hAnsi="Times New Roman" w:eastAsia="宋体" w:cs="Times New Roman"/>
                      <w:color w:val="auto"/>
                      <w:spacing w:val="-6"/>
                      <w:sz w:val="21"/>
                      <w:szCs w:val="21"/>
                      <w:highlight w:val="none"/>
                    </w:rPr>
                  </w:pPr>
                  <w:r>
                    <w:rPr>
                      <w:rFonts w:hint="default" w:ascii="Times New Roman" w:hAnsi="Times New Roman" w:eastAsia="宋体" w:cs="Times New Roman"/>
                      <w:color w:val="auto"/>
                      <w:kern w:val="0"/>
                      <w:sz w:val="21"/>
                      <w:szCs w:val="21"/>
                      <w:lang w:val="en-US" w:eastAsia="zh-CN" w:bidi="ar"/>
                    </w:rPr>
                    <w:t>建筑垃圾</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A9EAA7">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bidi="ar"/>
                    </w:rPr>
                    <w:t>综合利用</w:t>
                  </w:r>
                </w:p>
              </w:tc>
            </w:tr>
            <w:tr w14:paraId="405A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73" w:type="pct"/>
                  <w:vMerge w:val="continue"/>
                  <w:tcBorders>
                    <w:left w:val="nil"/>
                    <w:right w:val="single" w:color="auto" w:sz="4" w:space="0"/>
                  </w:tcBorders>
                  <w:shd w:val="clear" w:color="auto" w:fill="FFFFFF"/>
                  <w:noWrap w:val="0"/>
                  <w:vAlign w:val="center"/>
                </w:tcPr>
                <w:p w14:paraId="53AAC175">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continue"/>
                  <w:tcBorders>
                    <w:left w:val="nil"/>
                    <w:right w:val="single" w:color="auto" w:sz="4" w:space="0"/>
                  </w:tcBorders>
                  <w:shd w:val="clear" w:color="auto" w:fill="FFFFFF"/>
                  <w:noWrap w:val="0"/>
                  <w:vAlign w:val="center"/>
                </w:tcPr>
                <w:p w14:paraId="647B1B86">
                  <w:pPr>
                    <w:pStyle w:val="30"/>
                    <w:spacing w:line="340" w:lineRule="exact"/>
                    <w:jc w:val="center"/>
                    <w:rPr>
                      <w:rFonts w:hint="default" w:ascii="Times New Roman" w:hAnsi="Times New Roman" w:eastAsia="宋体" w:cs="Times New Roman"/>
                      <w:color w:val="auto"/>
                      <w:spacing w:val="-2"/>
                      <w:sz w:val="21"/>
                      <w:szCs w:val="21"/>
                      <w:highlight w:val="none"/>
                      <w:lang w:val="en-US" w:eastAsia="zh-CN"/>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EBC90CB">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施工人员生活</w:t>
                  </w:r>
                </w:p>
                <w:p w14:paraId="4332B62A">
                  <w:pPr>
                    <w:pStyle w:val="30"/>
                    <w:spacing w:line="340" w:lineRule="exact"/>
                    <w:ind w:right="181"/>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垃圾</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469EE6">
                  <w:pPr>
                    <w:keepNext w:val="0"/>
                    <w:keepLines w:val="0"/>
                    <w:widowControl/>
                    <w:suppressLineNumbers w:val="0"/>
                    <w:jc w:val="center"/>
                    <w:rPr>
                      <w:rFonts w:hint="default" w:ascii="Times New Roman" w:hAnsi="Times New Roman" w:eastAsia="宋体" w:cs="Times New Roman"/>
                      <w:color w:val="auto"/>
                      <w:spacing w:val="-6"/>
                      <w:sz w:val="21"/>
                      <w:szCs w:val="21"/>
                      <w:highlight w:val="none"/>
                    </w:rPr>
                  </w:pPr>
                  <w:r>
                    <w:rPr>
                      <w:rFonts w:hint="default" w:ascii="Times New Roman" w:hAnsi="Times New Roman" w:eastAsia="宋体" w:cs="Times New Roman"/>
                      <w:color w:val="auto"/>
                      <w:kern w:val="0"/>
                      <w:sz w:val="21"/>
                      <w:szCs w:val="21"/>
                      <w:lang w:val="en-US" w:eastAsia="zh-CN" w:bidi="ar"/>
                    </w:rPr>
                    <w:t>生活垃圾</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BAC066">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bidi="ar"/>
                    </w:rPr>
                    <w:t>依托现有环卫系统清运</w:t>
                  </w:r>
                </w:p>
              </w:tc>
            </w:tr>
            <w:tr w14:paraId="3271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restart"/>
                  <w:tcBorders>
                    <w:top w:val="single" w:color="auto" w:sz="4" w:space="0"/>
                    <w:left w:val="nil"/>
                    <w:right w:val="single" w:color="auto" w:sz="4" w:space="0"/>
                  </w:tcBorders>
                  <w:shd w:val="clear" w:color="auto" w:fill="FFFFFF"/>
                  <w:noWrap w:val="0"/>
                  <w:vAlign w:val="center"/>
                </w:tcPr>
                <w:p w14:paraId="40771AC0">
                  <w:pPr>
                    <w:pStyle w:val="30"/>
                    <w:spacing w:line="340" w:lineRule="exact"/>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lang w:val="en-US" w:eastAsia="zh-CN"/>
                    </w:rPr>
                    <w:t>营运期</w:t>
                  </w:r>
                </w:p>
              </w:tc>
              <w:tc>
                <w:tcPr>
                  <w:tcW w:w="474" w:type="pct"/>
                  <w:vMerge w:val="restart"/>
                  <w:tcBorders>
                    <w:top w:val="single" w:color="auto" w:sz="4" w:space="0"/>
                    <w:left w:val="nil"/>
                    <w:right w:val="single" w:color="auto" w:sz="4" w:space="0"/>
                  </w:tcBorders>
                  <w:shd w:val="clear" w:color="auto" w:fill="FFFFFF"/>
                  <w:noWrap w:val="0"/>
                  <w:vAlign w:val="center"/>
                </w:tcPr>
                <w:p w14:paraId="20F1926E">
                  <w:pPr>
                    <w:pStyle w:val="3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2"/>
                      <w:sz w:val="21"/>
                      <w:szCs w:val="21"/>
                      <w:highlight w:val="none"/>
                    </w:rPr>
                    <w:t>废气</w:t>
                  </w: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F1EFD8">
                  <w:pPr>
                    <w:pStyle w:val="30"/>
                    <w:spacing w:line="340" w:lineRule="exact"/>
                    <w:ind w:right="181"/>
                    <w:jc w:val="center"/>
                    <w:rPr>
                      <w:rFonts w:hint="default" w:ascii="Times New Roman" w:hAnsi="Times New Roman" w:eastAsia="宋体" w:cs="Times New Roman"/>
                      <w:color w:val="auto"/>
                      <w:spacing w:val="-2"/>
                      <w:sz w:val="21"/>
                      <w:szCs w:val="21"/>
                      <w:highlight w:val="none"/>
                      <w:lang w:eastAsia="zh-CN"/>
                    </w:rPr>
                  </w:pPr>
                  <w:r>
                    <w:rPr>
                      <w:rFonts w:hint="default" w:ascii="Times New Roman" w:hAnsi="Times New Roman" w:eastAsia="宋体" w:cs="Times New Roman"/>
                      <w:color w:val="auto"/>
                      <w:spacing w:val="-2"/>
                      <w:sz w:val="21"/>
                      <w:szCs w:val="21"/>
                      <w:highlight w:val="none"/>
                      <w:lang w:eastAsia="zh-CN"/>
                    </w:rPr>
                    <w:t>污水处理站废气</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209400">
                  <w:pPr>
                    <w:pStyle w:val="30"/>
                    <w:spacing w:line="340" w:lineRule="exact"/>
                    <w:ind w:right="31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6"/>
                      <w:sz w:val="21"/>
                      <w:szCs w:val="21"/>
                      <w:highlight w:val="none"/>
                    </w:rPr>
                    <w:t>H</w:t>
                  </w:r>
                  <w:r>
                    <w:rPr>
                      <w:rFonts w:hint="default" w:ascii="Times New Roman" w:hAnsi="Times New Roman" w:eastAsia="宋体" w:cs="Times New Roman"/>
                      <w:color w:val="auto"/>
                      <w:spacing w:val="-6"/>
                      <w:position w:val="-2"/>
                      <w:sz w:val="21"/>
                      <w:szCs w:val="21"/>
                      <w:highlight w:val="none"/>
                      <w:vertAlign w:val="subscript"/>
                    </w:rPr>
                    <w:t>2</w:t>
                  </w:r>
                  <w:r>
                    <w:rPr>
                      <w:rFonts w:hint="default" w:ascii="Times New Roman" w:hAnsi="Times New Roman" w:eastAsia="宋体" w:cs="Times New Roman"/>
                      <w:color w:val="auto"/>
                      <w:spacing w:val="-6"/>
                      <w:sz w:val="21"/>
                      <w:szCs w:val="21"/>
                      <w:highlight w:val="none"/>
                    </w:rPr>
                    <w:t>S、NH</w:t>
                  </w:r>
                  <w:r>
                    <w:rPr>
                      <w:rFonts w:hint="default" w:ascii="Times New Roman" w:hAnsi="Times New Roman" w:eastAsia="宋体" w:cs="Times New Roman"/>
                      <w:color w:val="auto"/>
                      <w:spacing w:val="-6"/>
                      <w:position w:val="-2"/>
                      <w:sz w:val="21"/>
                      <w:szCs w:val="21"/>
                      <w:highlight w:val="none"/>
                      <w:vertAlign w:val="subscript"/>
                    </w:rPr>
                    <w:t>3</w:t>
                  </w:r>
                  <w:r>
                    <w:rPr>
                      <w:rFonts w:hint="default" w:ascii="Times New Roman" w:hAnsi="Times New Roman" w:eastAsia="宋体" w:cs="Times New Roman"/>
                      <w:color w:val="auto"/>
                      <w:spacing w:val="-6"/>
                      <w:position w:val="-2"/>
                      <w:sz w:val="21"/>
                      <w:szCs w:val="21"/>
                      <w:highlight w:val="none"/>
                      <w:lang w:eastAsia="zh-CN"/>
                    </w:rPr>
                    <w:t>、臭气浓度</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15EC8F">
                  <w:pPr>
                    <w:pStyle w:val="30"/>
                    <w:spacing w:line="340" w:lineRule="exact"/>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spacing w:val="-4"/>
                      <w:kern w:val="2"/>
                      <w:sz w:val="21"/>
                      <w:szCs w:val="21"/>
                      <w:highlight w:val="none"/>
                      <w:lang w:val="en-US" w:eastAsia="en-US" w:bidi="ar-SA"/>
                    </w:rPr>
                    <w:t>除臭装置（高能离子净化+活性炭吸附）</w:t>
                  </w:r>
                </w:p>
              </w:tc>
            </w:tr>
            <w:tr w14:paraId="2CF8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560DF24B">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continue"/>
                  <w:tcBorders>
                    <w:left w:val="nil"/>
                    <w:right w:val="single" w:color="auto" w:sz="4" w:space="0"/>
                  </w:tcBorders>
                  <w:shd w:val="clear" w:color="auto" w:fill="FFFFFF"/>
                  <w:noWrap w:val="0"/>
                  <w:vAlign w:val="center"/>
                </w:tcPr>
                <w:p w14:paraId="2E46E48F">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F5AF5E">
                  <w:pPr>
                    <w:widowControl/>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厨房油烟</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BC1432">
                  <w:pPr>
                    <w:pStyle w:val="30"/>
                    <w:spacing w:line="340" w:lineRule="exact"/>
                    <w:ind w:right="310"/>
                    <w:jc w:val="center"/>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油烟</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38E8EB">
                  <w:pPr>
                    <w:pStyle w:val="30"/>
                    <w:spacing w:line="340" w:lineRule="exact"/>
                    <w:jc w:val="center"/>
                    <w:rPr>
                      <w:rFonts w:hint="default" w:ascii="Times New Roman" w:hAnsi="Times New Roman" w:eastAsia="宋体" w:cs="Times New Roman"/>
                      <w:color w:val="auto"/>
                      <w:spacing w:val="-4"/>
                      <w:kern w:val="2"/>
                      <w:sz w:val="21"/>
                      <w:szCs w:val="21"/>
                      <w:highlight w:val="none"/>
                      <w:lang w:val="en-US" w:eastAsia="zh-CN" w:bidi="ar-SA"/>
                    </w:rPr>
                  </w:pPr>
                  <w:r>
                    <w:rPr>
                      <w:rFonts w:hint="eastAsia" w:ascii="Times New Roman" w:hAnsi="Times New Roman" w:cs="Times New Roman"/>
                      <w:color w:val="auto"/>
                      <w:spacing w:val="-4"/>
                      <w:kern w:val="2"/>
                      <w:sz w:val="21"/>
                      <w:szCs w:val="21"/>
                      <w:highlight w:val="none"/>
                      <w:lang w:val="en-US" w:eastAsia="zh-CN" w:bidi="ar-SA"/>
                    </w:rPr>
                    <w:t>油烟净化后屋顶排放</w:t>
                  </w:r>
                </w:p>
              </w:tc>
            </w:tr>
            <w:tr w14:paraId="79C9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6EEDA7EA">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continue"/>
                  <w:tcBorders>
                    <w:left w:val="nil"/>
                    <w:right w:val="single" w:color="auto" w:sz="4" w:space="0"/>
                  </w:tcBorders>
                  <w:shd w:val="clear" w:color="auto" w:fill="FFFFFF"/>
                  <w:noWrap w:val="0"/>
                  <w:vAlign w:val="center"/>
                </w:tcPr>
                <w:p w14:paraId="4523389C">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FC5DAE">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柴油发电</w:t>
                  </w:r>
                </w:p>
                <w:p w14:paraId="130B31B3">
                  <w:pPr>
                    <w:keepNext w:val="0"/>
                    <w:keepLines w:val="0"/>
                    <w:widowControl/>
                    <w:suppressLineNumbers w:val="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lang w:val="en-US" w:eastAsia="zh-CN" w:bidi="ar"/>
                    </w:rPr>
                    <w:t>机废气</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3AE568">
                  <w:pPr>
                    <w:keepNext w:val="0"/>
                    <w:keepLines w:val="0"/>
                    <w:widowControl/>
                    <w:suppressLineNumbers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SO</w:t>
                  </w:r>
                  <w:r>
                    <w:rPr>
                      <w:rFonts w:hint="default" w:ascii="Times New Roman" w:hAnsi="Times New Roman" w:eastAsia="宋体" w:cs="Times New Roman"/>
                      <w:color w:val="auto"/>
                      <w:kern w:val="0"/>
                      <w:sz w:val="21"/>
                      <w:szCs w:val="21"/>
                      <w:vertAlign w:val="subscript"/>
                      <w:lang w:val="en-US" w:eastAsia="zh-CN" w:bidi="ar"/>
                    </w:rPr>
                    <w:t>2</w:t>
                  </w:r>
                  <w:r>
                    <w:rPr>
                      <w:rFonts w:hint="default" w:ascii="Times New Roman" w:hAnsi="Times New Roman" w:eastAsia="宋体" w:cs="Times New Roman"/>
                      <w:color w:val="auto"/>
                      <w:kern w:val="0"/>
                      <w:sz w:val="21"/>
                      <w:szCs w:val="21"/>
                      <w:lang w:val="en-US" w:eastAsia="zh-CN" w:bidi="ar"/>
                    </w:rPr>
                    <w:t>、NOx、颗</w:t>
                  </w:r>
                </w:p>
                <w:p w14:paraId="6AC7E0C4">
                  <w:pPr>
                    <w:keepNext w:val="0"/>
                    <w:keepLines w:val="0"/>
                    <w:widowControl/>
                    <w:suppressLineNumbers w:val="0"/>
                    <w:jc w:val="center"/>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kern w:val="0"/>
                      <w:sz w:val="21"/>
                      <w:szCs w:val="21"/>
                      <w:lang w:val="en-US" w:eastAsia="zh-CN" w:bidi="ar"/>
                    </w:rPr>
                    <w:t>粒物</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3B4399">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zh-CN" w:bidi="ar-SA"/>
                    </w:rPr>
                  </w:pPr>
                  <w:r>
                    <w:rPr>
                      <w:rFonts w:hint="default" w:ascii="Times New Roman" w:hAnsi="Times New Roman" w:eastAsia="宋体" w:cs="Times New Roman"/>
                      <w:color w:val="auto"/>
                      <w:spacing w:val="-4"/>
                      <w:kern w:val="2"/>
                      <w:sz w:val="21"/>
                      <w:szCs w:val="21"/>
                      <w:highlight w:val="none"/>
                      <w:lang w:val="en-US" w:eastAsia="zh-CN" w:bidi="ar-SA"/>
                    </w:rPr>
                    <w:t>经收集后引至屋顶排放</w:t>
                  </w:r>
                </w:p>
              </w:tc>
            </w:tr>
            <w:tr w14:paraId="1E9D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570BE6D6">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continue"/>
                  <w:tcBorders>
                    <w:left w:val="nil"/>
                    <w:right w:val="single" w:color="auto" w:sz="4" w:space="0"/>
                  </w:tcBorders>
                  <w:shd w:val="clear" w:color="auto" w:fill="FFFFFF"/>
                  <w:noWrap w:val="0"/>
                  <w:vAlign w:val="center"/>
                </w:tcPr>
                <w:p w14:paraId="39610BEA">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89FA83">
                  <w:pPr>
                    <w:keepNext w:val="0"/>
                    <w:keepLines w:val="0"/>
                    <w:widowControl/>
                    <w:suppressLineNumbers w:val="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lang w:val="en-US" w:eastAsia="zh-CN" w:bidi="ar"/>
                    </w:rPr>
                    <w:t>汽车尾气</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B5F705">
                  <w:pPr>
                    <w:keepNext w:val="0"/>
                    <w:keepLines w:val="0"/>
                    <w:widowControl/>
                    <w:suppressLineNumbers w:val="0"/>
                    <w:jc w:val="center"/>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kern w:val="0"/>
                      <w:sz w:val="21"/>
                      <w:szCs w:val="21"/>
                      <w:lang w:val="en-US" w:eastAsia="zh-CN" w:bidi="ar"/>
                    </w:rPr>
                    <w:t>SO</w:t>
                  </w:r>
                  <w:r>
                    <w:rPr>
                      <w:rFonts w:hint="default" w:ascii="Times New Roman" w:hAnsi="Times New Roman" w:eastAsia="宋体" w:cs="Times New Roman"/>
                      <w:color w:val="auto"/>
                      <w:kern w:val="0"/>
                      <w:sz w:val="21"/>
                      <w:szCs w:val="21"/>
                      <w:vertAlign w:val="subscript"/>
                      <w:lang w:val="en-US" w:eastAsia="zh-CN" w:bidi="ar"/>
                    </w:rPr>
                    <w:t>2</w:t>
                  </w:r>
                  <w:r>
                    <w:rPr>
                      <w:rFonts w:hint="default" w:ascii="Times New Roman" w:hAnsi="Times New Roman" w:eastAsia="宋体" w:cs="Times New Roman"/>
                      <w:color w:val="auto"/>
                      <w:kern w:val="0"/>
                      <w:sz w:val="21"/>
                      <w:szCs w:val="21"/>
                      <w:lang w:val="en-US" w:eastAsia="zh-CN" w:bidi="ar"/>
                    </w:rPr>
                    <w:t>、NOx等</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86AA18">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zh-CN" w:bidi="ar-SA"/>
                    </w:rPr>
                  </w:pPr>
                  <w:r>
                    <w:rPr>
                      <w:rFonts w:hint="default" w:ascii="Times New Roman" w:hAnsi="Times New Roman" w:eastAsia="宋体" w:cs="Times New Roman"/>
                      <w:color w:val="auto"/>
                      <w:spacing w:val="-4"/>
                      <w:kern w:val="2"/>
                      <w:sz w:val="21"/>
                      <w:szCs w:val="21"/>
                      <w:highlight w:val="none"/>
                      <w:lang w:val="en-US" w:eastAsia="zh-CN" w:bidi="ar-SA"/>
                    </w:rPr>
                    <w:t>加强对进出车辆的管理</w:t>
                  </w:r>
                </w:p>
              </w:tc>
            </w:tr>
            <w:tr w14:paraId="7236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5DBF1F18">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continue"/>
                  <w:tcBorders>
                    <w:left w:val="nil"/>
                    <w:bottom w:val="single" w:color="auto" w:sz="4" w:space="0"/>
                    <w:right w:val="single" w:color="auto" w:sz="4" w:space="0"/>
                  </w:tcBorders>
                  <w:shd w:val="clear" w:color="auto" w:fill="FFFFFF"/>
                  <w:noWrap w:val="0"/>
                  <w:vAlign w:val="center"/>
                </w:tcPr>
                <w:p w14:paraId="1C4E9F41">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BD64CF1">
                  <w:pPr>
                    <w:pStyle w:val="6"/>
                    <w:jc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医疗废物暂存间废气</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253E1D">
                  <w:pPr>
                    <w:keepNext w:val="0"/>
                    <w:keepLines w:val="0"/>
                    <w:widowControl/>
                    <w:suppressLineNumbers w:val="0"/>
                    <w:jc w:val="center"/>
                    <w:rPr>
                      <w:rFonts w:hint="default" w:eastAsia="宋体"/>
                      <w:color w:val="auto"/>
                      <w:spacing w:val="1"/>
                      <w:lang w:val="en-US" w:eastAsia="zh-CN"/>
                    </w:rPr>
                  </w:pPr>
                  <w:r>
                    <w:rPr>
                      <w:rFonts w:hint="eastAsia"/>
                      <w:color w:val="auto"/>
                      <w:spacing w:val="1"/>
                      <w:lang w:val="en-US" w:eastAsia="zh-CN"/>
                    </w:rPr>
                    <w:t>臭气等</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E2DA8B">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zh-CN" w:bidi="ar-SA"/>
                    </w:rPr>
                  </w:pPr>
                  <w:r>
                    <w:rPr>
                      <w:rFonts w:hint="default" w:ascii="Times New Roman" w:hAnsi="Times New Roman" w:eastAsia="宋体" w:cs="Times New Roman"/>
                      <w:color w:val="auto"/>
                      <w:spacing w:val="-4"/>
                      <w:kern w:val="2"/>
                      <w:sz w:val="21"/>
                      <w:szCs w:val="21"/>
                      <w:highlight w:val="none"/>
                      <w:lang w:val="en-US" w:eastAsia="zh-CN" w:bidi="ar-SA"/>
                    </w:rPr>
                    <w:t>独立的排风系统，</w:t>
                  </w:r>
                  <w:r>
                    <w:rPr>
                      <w:rFonts w:hint="eastAsia" w:ascii="Times New Roman" w:hAnsi="Times New Roman" w:eastAsia="宋体" w:cs="Times New Roman"/>
                      <w:color w:val="auto"/>
                      <w:spacing w:val="-4"/>
                      <w:kern w:val="2"/>
                      <w:sz w:val="21"/>
                      <w:szCs w:val="21"/>
                      <w:highlight w:val="none"/>
                      <w:lang w:val="en-US" w:eastAsia="zh-CN" w:bidi="ar-SA"/>
                    </w:rPr>
                    <w:t>废气经紫外线消毒+活性炭</w:t>
                  </w:r>
                  <w:r>
                    <w:rPr>
                      <w:rFonts w:hint="default" w:ascii="Times New Roman" w:hAnsi="Times New Roman" w:eastAsia="宋体" w:cs="Times New Roman"/>
                      <w:color w:val="auto"/>
                      <w:spacing w:val="-4"/>
                      <w:kern w:val="2"/>
                      <w:sz w:val="21"/>
                      <w:szCs w:val="21"/>
                      <w:highlight w:val="none"/>
                      <w:lang w:val="en-US" w:eastAsia="zh-CN" w:bidi="ar-SA"/>
                    </w:rPr>
                    <w:t>处理后引至屋顶排放。</w:t>
                  </w:r>
                </w:p>
              </w:tc>
            </w:tr>
            <w:tr w14:paraId="1FEA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103B7883">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continue"/>
                  <w:tcBorders>
                    <w:left w:val="nil"/>
                    <w:bottom w:val="single" w:color="auto" w:sz="4" w:space="0"/>
                    <w:right w:val="single" w:color="auto" w:sz="4" w:space="0"/>
                  </w:tcBorders>
                  <w:shd w:val="clear" w:color="auto" w:fill="FFFFFF"/>
                  <w:noWrap w:val="0"/>
                  <w:vAlign w:val="center"/>
                </w:tcPr>
                <w:p w14:paraId="32A0AB19">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981498">
                  <w:pPr>
                    <w:pStyle w:val="6"/>
                    <w:jc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检验废气</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2D0D99">
                  <w:pPr>
                    <w:keepNext w:val="0"/>
                    <w:keepLines w:val="0"/>
                    <w:widowControl/>
                    <w:suppressLineNumbers w:val="0"/>
                    <w:jc w:val="center"/>
                    <w:rPr>
                      <w:rFonts w:hint="default" w:ascii="Times New Roman" w:hAnsi="Times New Roman" w:eastAsia="宋体" w:cs="Times New Roman"/>
                      <w:color w:val="auto"/>
                      <w:kern w:val="0"/>
                      <w:sz w:val="21"/>
                      <w:szCs w:val="21"/>
                      <w:lang w:val="en-US" w:eastAsia="zh-CN" w:bidi="ar"/>
                    </w:rPr>
                  </w:pPr>
                  <w:r>
                    <w:rPr>
                      <w:color w:val="auto"/>
                      <w:spacing w:val="1"/>
                    </w:rPr>
                    <w:t>酸性、碱</w:t>
                  </w:r>
                  <w:r>
                    <w:rPr>
                      <w:color w:val="auto"/>
                      <w:spacing w:val="-2"/>
                    </w:rPr>
                    <w:t>性、挥发性有机废气</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6686FE">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zh-CN" w:bidi="ar-SA"/>
                    </w:rPr>
                  </w:pPr>
                  <w:r>
                    <w:rPr>
                      <w:rFonts w:hint="default" w:ascii="Times New Roman" w:hAnsi="Times New Roman" w:eastAsia="宋体" w:cs="Times New Roman"/>
                      <w:color w:val="auto"/>
                      <w:spacing w:val="-4"/>
                      <w:kern w:val="2"/>
                      <w:sz w:val="21"/>
                      <w:szCs w:val="21"/>
                      <w:highlight w:val="none"/>
                      <w:lang w:val="en-US" w:eastAsia="zh-CN" w:bidi="ar-SA"/>
                    </w:rPr>
                    <w:t>依托现有</w:t>
                  </w:r>
                  <w:r>
                    <w:rPr>
                      <w:rFonts w:hint="eastAsia" w:ascii="Times New Roman" w:hAnsi="Times New Roman" w:eastAsia="宋体" w:cs="Times New Roman"/>
                      <w:color w:val="auto"/>
                      <w:spacing w:val="-4"/>
                      <w:kern w:val="2"/>
                      <w:sz w:val="21"/>
                      <w:szCs w:val="21"/>
                      <w:highlight w:val="none"/>
                      <w:lang w:val="en-US" w:eastAsia="zh-CN" w:bidi="ar-SA"/>
                    </w:rPr>
                    <w:t>：</w:t>
                  </w:r>
                  <w:r>
                    <w:rPr>
                      <w:rFonts w:hint="default" w:ascii="Times New Roman" w:hAnsi="Times New Roman" w:eastAsia="宋体" w:cs="Times New Roman"/>
                      <w:color w:val="auto"/>
                      <w:spacing w:val="-4"/>
                      <w:kern w:val="2"/>
                      <w:sz w:val="21"/>
                      <w:szCs w:val="21"/>
                      <w:highlight w:val="none"/>
                      <w:lang w:val="en-US" w:eastAsia="zh-CN" w:bidi="ar-SA"/>
                    </w:rPr>
                    <w:t>通风橱内进行，通风橱保持微负压状态</w:t>
                  </w:r>
                </w:p>
              </w:tc>
            </w:tr>
            <w:tr w14:paraId="27E0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473" w:type="pct"/>
                  <w:vMerge w:val="continue"/>
                  <w:tcBorders>
                    <w:left w:val="nil"/>
                    <w:right w:val="single" w:color="auto" w:sz="4" w:space="0"/>
                  </w:tcBorders>
                  <w:shd w:val="clear" w:color="auto" w:fill="FFFFFF"/>
                  <w:noWrap w:val="0"/>
                  <w:vAlign w:val="center"/>
                </w:tcPr>
                <w:p w14:paraId="7E6EF637">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restart"/>
                  <w:tcBorders>
                    <w:top w:val="single" w:color="auto" w:sz="4" w:space="0"/>
                    <w:left w:val="nil"/>
                    <w:right w:val="single" w:color="auto" w:sz="4" w:space="0"/>
                  </w:tcBorders>
                  <w:shd w:val="clear" w:color="auto" w:fill="FFFFFF"/>
                  <w:noWrap w:val="0"/>
                  <w:vAlign w:val="center"/>
                </w:tcPr>
                <w:p w14:paraId="159C2D4E">
                  <w:pPr>
                    <w:pStyle w:val="3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2"/>
                      <w:sz w:val="21"/>
                      <w:szCs w:val="21"/>
                      <w:highlight w:val="none"/>
                    </w:rPr>
                    <w:t>废水</w:t>
                  </w: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3C9945">
                  <w:pPr>
                    <w:widowControl/>
                    <w:jc w:val="center"/>
                    <w:rPr>
                      <w:rFonts w:hint="default" w:ascii="Times New Roman" w:hAnsi="Times New Roman" w:eastAsia="宋体" w:cs="Times New Roman"/>
                      <w:color w:val="auto"/>
                      <w:spacing w:val="-1"/>
                      <w:sz w:val="21"/>
                      <w:szCs w:val="21"/>
                      <w:highlight w:val="none"/>
                    </w:rPr>
                  </w:pPr>
                  <w:r>
                    <w:rPr>
                      <w:rFonts w:hint="default" w:ascii="Times New Roman" w:hAnsi="Times New Roman" w:eastAsia="宋体" w:cs="Times New Roman"/>
                      <w:color w:val="auto"/>
                      <w:kern w:val="0"/>
                      <w:sz w:val="21"/>
                      <w:szCs w:val="21"/>
                      <w:highlight w:val="none"/>
                      <w:lang w:bidi="ar"/>
                    </w:rPr>
                    <w:t>医疗废水</w:t>
                  </w:r>
                </w:p>
              </w:tc>
              <w:tc>
                <w:tcPr>
                  <w:tcW w:w="1506" w:type="pct"/>
                  <w:tcBorders>
                    <w:top w:val="single" w:color="auto" w:sz="4" w:space="0"/>
                    <w:left w:val="single" w:color="auto" w:sz="4" w:space="0"/>
                    <w:right w:val="single" w:color="auto" w:sz="4" w:space="0"/>
                  </w:tcBorders>
                  <w:shd w:val="clear" w:color="auto" w:fill="FFFFFF"/>
                  <w:noWrap w:val="0"/>
                  <w:vAlign w:val="center"/>
                </w:tcPr>
                <w:p w14:paraId="6766C755">
                  <w:pPr>
                    <w:pStyle w:val="3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2"/>
                      <w:sz w:val="21"/>
                      <w:szCs w:val="21"/>
                      <w:highlight w:val="none"/>
                    </w:rPr>
                    <w:t>COD</w:t>
                  </w:r>
                  <w:r>
                    <w:rPr>
                      <w:rFonts w:hint="default" w:ascii="Times New Roman" w:hAnsi="Times New Roman" w:eastAsia="宋体" w:cs="Times New Roman"/>
                      <w:color w:val="auto"/>
                      <w:spacing w:val="-2"/>
                      <w:position w:val="-2"/>
                      <w:sz w:val="21"/>
                      <w:szCs w:val="21"/>
                      <w:highlight w:val="none"/>
                      <w:vertAlign w:val="subscript"/>
                    </w:rPr>
                    <w:t>Cr</w:t>
                  </w:r>
                  <w:r>
                    <w:rPr>
                      <w:rFonts w:hint="default" w:ascii="Times New Roman" w:hAnsi="Times New Roman" w:eastAsia="宋体" w:cs="Times New Roman"/>
                      <w:color w:val="auto"/>
                      <w:spacing w:val="-2"/>
                      <w:sz w:val="21"/>
                      <w:szCs w:val="21"/>
                      <w:highlight w:val="none"/>
                    </w:rPr>
                    <w:t>、BOD</w:t>
                  </w:r>
                  <w:r>
                    <w:rPr>
                      <w:rFonts w:hint="default" w:ascii="Times New Roman" w:hAnsi="Times New Roman" w:eastAsia="宋体" w:cs="Times New Roman"/>
                      <w:color w:val="auto"/>
                      <w:spacing w:val="-2"/>
                      <w:position w:val="-2"/>
                      <w:sz w:val="21"/>
                      <w:szCs w:val="21"/>
                      <w:highlight w:val="none"/>
                      <w:vertAlign w:val="subscript"/>
                    </w:rPr>
                    <w:t>5</w:t>
                  </w:r>
                  <w:r>
                    <w:rPr>
                      <w:rFonts w:hint="default" w:ascii="Times New Roman" w:hAnsi="Times New Roman" w:eastAsia="宋体" w:cs="Times New Roman"/>
                      <w:color w:val="auto"/>
                      <w:spacing w:val="-2"/>
                      <w:sz w:val="21"/>
                      <w:szCs w:val="21"/>
                      <w:highlight w:val="none"/>
                    </w:rPr>
                    <w:t>、NH</w:t>
                  </w:r>
                  <w:r>
                    <w:rPr>
                      <w:rFonts w:hint="default" w:ascii="Times New Roman" w:hAnsi="Times New Roman" w:eastAsia="宋体" w:cs="Times New Roman"/>
                      <w:color w:val="auto"/>
                      <w:spacing w:val="-2"/>
                      <w:position w:val="-2"/>
                      <w:sz w:val="21"/>
                      <w:szCs w:val="21"/>
                      <w:highlight w:val="none"/>
                      <w:vertAlign w:val="subscript"/>
                    </w:rPr>
                    <w:t>3</w:t>
                  </w:r>
                  <w:r>
                    <w:rPr>
                      <w:rFonts w:hint="default" w:ascii="Times New Roman" w:hAnsi="Times New Roman" w:eastAsia="宋体" w:cs="Times New Roman"/>
                      <w:color w:val="auto"/>
                      <w:spacing w:val="-2"/>
                      <w:sz w:val="21"/>
                      <w:szCs w:val="21"/>
                      <w:highlight w:val="none"/>
                    </w:rPr>
                    <w:t>-N、SS、粪大肠菌群数</w:t>
                  </w:r>
                </w:p>
              </w:tc>
              <w:tc>
                <w:tcPr>
                  <w:tcW w:w="1510" w:type="pct"/>
                  <w:vMerge w:val="restart"/>
                  <w:tcBorders>
                    <w:top w:val="single" w:color="auto" w:sz="4" w:space="0"/>
                    <w:left w:val="single" w:color="auto" w:sz="4" w:space="0"/>
                    <w:right w:val="single" w:color="auto" w:sz="4" w:space="0"/>
                  </w:tcBorders>
                  <w:shd w:val="clear" w:color="auto" w:fill="FFFFFF"/>
                  <w:noWrap w:val="0"/>
                  <w:vAlign w:val="center"/>
                </w:tcPr>
                <w:p w14:paraId="7F6A8C0B">
                  <w:pPr>
                    <w:pStyle w:val="30"/>
                    <w:spacing w:line="340" w:lineRule="exact"/>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spacing w:val="-4"/>
                      <w:kern w:val="2"/>
                      <w:sz w:val="21"/>
                      <w:szCs w:val="21"/>
                      <w:highlight w:val="none"/>
                      <w:lang w:val="en-US" w:eastAsia="zh-CN" w:bidi="ar-SA"/>
                    </w:rPr>
                    <w:t>生活污水经化粪池预处理、</w:t>
                  </w:r>
                  <w:r>
                    <w:rPr>
                      <w:rFonts w:hint="eastAsia" w:ascii="Times New Roman" w:hAnsi="Times New Roman" w:cs="Times New Roman"/>
                      <w:color w:val="auto"/>
                      <w:spacing w:val="-4"/>
                      <w:kern w:val="2"/>
                      <w:sz w:val="21"/>
                      <w:szCs w:val="21"/>
                      <w:highlight w:val="none"/>
                      <w:lang w:val="en-US" w:eastAsia="zh-CN" w:bidi="ar-SA"/>
                    </w:rPr>
                    <w:t>医疗废水经化粪池预处理</w:t>
                  </w:r>
                  <w:r>
                    <w:rPr>
                      <w:rFonts w:hint="default" w:ascii="Times New Roman" w:hAnsi="Times New Roman" w:eastAsia="宋体" w:cs="Times New Roman"/>
                      <w:color w:val="auto"/>
                      <w:spacing w:val="-4"/>
                      <w:kern w:val="2"/>
                      <w:sz w:val="21"/>
                      <w:szCs w:val="21"/>
                      <w:highlight w:val="none"/>
                      <w:lang w:val="en-US" w:eastAsia="zh-CN" w:bidi="ar-SA"/>
                    </w:rPr>
                    <w:t>、餐厨废水经隔油池 + 化粪池预处理后，一并进入处理规模为500t/d的污水处理站处理，达标后</w:t>
                  </w:r>
                  <w:r>
                    <w:rPr>
                      <w:rFonts w:hint="eastAsia" w:ascii="Times New Roman" w:hAnsi="Times New Roman" w:cs="Times New Roman"/>
                      <w:color w:val="auto"/>
                      <w:spacing w:val="-4"/>
                      <w:kern w:val="2"/>
                      <w:sz w:val="21"/>
                      <w:szCs w:val="21"/>
                      <w:highlight w:val="none"/>
                      <w:lang w:val="en-US" w:eastAsia="zh-CN" w:bidi="ar-SA"/>
                    </w:rPr>
                    <w:t>近期</w:t>
                  </w:r>
                  <w:r>
                    <w:rPr>
                      <w:rFonts w:hint="default" w:ascii="Times New Roman" w:hAnsi="Times New Roman" w:eastAsia="宋体" w:cs="Times New Roman"/>
                      <w:color w:val="auto"/>
                      <w:spacing w:val="-4"/>
                      <w:kern w:val="2"/>
                      <w:sz w:val="21"/>
                      <w:szCs w:val="21"/>
                      <w:highlight w:val="none"/>
                      <w:lang w:val="en-US" w:eastAsia="zh-CN" w:bidi="ar-SA"/>
                    </w:rPr>
                    <w:t>由密闭污水槽车清运至青口汽车工业开发区污水处理厂集中处置。远期：待区域市政污水管网建成投用后，污水处理站出水纳入市政污水管网，最终排入青口新区污水处理厂统一处理。</w:t>
                  </w:r>
                </w:p>
              </w:tc>
            </w:tr>
            <w:tr w14:paraId="6D05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1D6D1CDE">
                  <w:pPr>
                    <w:pStyle w:val="30"/>
                    <w:spacing w:line="340" w:lineRule="exact"/>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lang w:val="en-US" w:eastAsia="zh-CN"/>
                    </w:rPr>
                    <w:t>7</w:t>
                  </w:r>
                </w:p>
              </w:tc>
              <w:tc>
                <w:tcPr>
                  <w:tcW w:w="474" w:type="pct"/>
                  <w:vMerge w:val="continue"/>
                  <w:tcBorders>
                    <w:left w:val="nil"/>
                    <w:right w:val="single" w:color="auto" w:sz="4" w:space="0"/>
                  </w:tcBorders>
                  <w:shd w:val="clear" w:color="auto" w:fill="FFFFFF"/>
                  <w:noWrap w:val="0"/>
                  <w:vAlign w:val="center"/>
                </w:tcPr>
                <w:p w14:paraId="5FD544B1">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904B27">
                  <w:pPr>
                    <w:pStyle w:val="6"/>
                    <w:jc w:val="center"/>
                    <w:rPr>
                      <w:rFonts w:hint="default" w:ascii="Times New Roman" w:hAnsi="Times New Roman" w:eastAsia="宋体" w:cs="Times New Roman"/>
                      <w:color w:val="auto"/>
                      <w:spacing w:val="-1"/>
                      <w:sz w:val="21"/>
                      <w:szCs w:val="21"/>
                      <w:highlight w:val="none"/>
                    </w:rPr>
                  </w:pPr>
                  <w:r>
                    <w:rPr>
                      <w:rFonts w:hint="default" w:ascii="Times New Roman" w:hAnsi="Times New Roman" w:eastAsia="宋体" w:cs="Times New Roman"/>
                      <w:color w:val="auto"/>
                      <w:sz w:val="21"/>
                      <w:szCs w:val="21"/>
                      <w:highlight w:val="none"/>
                    </w:rPr>
                    <w:t>生活污水</w:t>
                  </w:r>
                </w:p>
              </w:tc>
              <w:tc>
                <w:tcPr>
                  <w:tcW w:w="1506" w:type="pct"/>
                  <w:tcBorders>
                    <w:left w:val="single" w:color="auto" w:sz="4" w:space="0"/>
                    <w:bottom w:val="single" w:color="auto" w:sz="4" w:space="0"/>
                    <w:right w:val="single" w:color="auto" w:sz="4" w:space="0"/>
                  </w:tcBorders>
                  <w:shd w:val="clear" w:color="auto" w:fill="FFFFFF"/>
                  <w:noWrap w:val="0"/>
                  <w:vAlign w:val="center"/>
                </w:tcPr>
                <w:p w14:paraId="4A79086C">
                  <w:pPr>
                    <w:pStyle w:val="30"/>
                    <w:spacing w:line="340" w:lineRule="exact"/>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COD</w:t>
                  </w:r>
                  <w:r>
                    <w:rPr>
                      <w:rFonts w:hint="default" w:ascii="Times New Roman" w:hAnsi="Times New Roman" w:eastAsia="宋体" w:cs="Times New Roman"/>
                      <w:color w:val="auto"/>
                      <w:spacing w:val="-2"/>
                      <w:position w:val="-2"/>
                      <w:sz w:val="21"/>
                      <w:szCs w:val="21"/>
                      <w:highlight w:val="none"/>
                      <w:vertAlign w:val="subscript"/>
                    </w:rPr>
                    <w:t>Cr</w:t>
                  </w:r>
                  <w:r>
                    <w:rPr>
                      <w:rFonts w:hint="default" w:ascii="Times New Roman" w:hAnsi="Times New Roman" w:eastAsia="宋体" w:cs="Times New Roman"/>
                      <w:color w:val="auto"/>
                      <w:spacing w:val="-2"/>
                      <w:sz w:val="21"/>
                      <w:szCs w:val="21"/>
                      <w:highlight w:val="none"/>
                    </w:rPr>
                    <w:t>、BOD</w:t>
                  </w:r>
                  <w:r>
                    <w:rPr>
                      <w:rFonts w:hint="default" w:ascii="Times New Roman" w:hAnsi="Times New Roman" w:eastAsia="宋体" w:cs="Times New Roman"/>
                      <w:color w:val="auto"/>
                      <w:spacing w:val="-2"/>
                      <w:position w:val="-2"/>
                      <w:sz w:val="21"/>
                      <w:szCs w:val="21"/>
                      <w:highlight w:val="none"/>
                      <w:vertAlign w:val="subscript"/>
                    </w:rPr>
                    <w:t>5</w:t>
                  </w:r>
                  <w:r>
                    <w:rPr>
                      <w:rFonts w:hint="default" w:ascii="Times New Roman" w:hAnsi="Times New Roman" w:eastAsia="宋体" w:cs="Times New Roman"/>
                      <w:color w:val="auto"/>
                      <w:spacing w:val="-2"/>
                      <w:sz w:val="21"/>
                      <w:szCs w:val="21"/>
                      <w:highlight w:val="none"/>
                    </w:rPr>
                    <w:t>、NH</w:t>
                  </w:r>
                  <w:r>
                    <w:rPr>
                      <w:rFonts w:hint="default" w:ascii="Times New Roman" w:hAnsi="Times New Roman" w:eastAsia="宋体" w:cs="Times New Roman"/>
                      <w:color w:val="auto"/>
                      <w:spacing w:val="-2"/>
                      <w:position w:val="-2"/>
                      <w:sz w:val="21"/>
                      <w:szCs w:val="21"/>
                      <w:highlight w:val="none"/>
                      <w:vertAlign w:val="subscript"/>
                    </w:rPr>
                    <w:t>3</w:t>
                  </w:r>
                  <w:r>
                    <w:rPr>
                      <w:rFonts w:hint="default" w:ascii="Times New Roman" w:hAnsi="Times New Roman" w:eastAsia="宋体" w:cs="Times New Roman"/>
                      <w:color w:val="auto"/>
                      <w:spacing w:val="-2"/>
                      <w:sz w:val="21"/>
                      <w:szCs w:val="21"/>
                      <w:highlight w:val="none"/>
                    </w:rPr>
                    <w:t>-N、SS</w:t>
                  </w:r>
                </w:p>
              </w:tc>
              <w:tc>
                <w:tcPr>
                  <w:tcW w:w="1510" w:type="pct"/>
                  <w:vMerge w:val="continue"/>
                  <w:tcBorders>
                    <w:left w:val="single" w:color="auto" w:sz="4" w:space="0"/>
                    <w:right w:val="single" w:color="auto" w:sz="4" w:space="0"/>
                  </w:tcBorders>
                  <w:shd w:val="clear" w:color="auto" w:fill="FFFFFF"/>
                  <w:noWrap w:val="0"/>
                  <w:vAlign w:val="center"/>
                </w:tcPr>
                <w:p w14:paraId="12D8ACAB">
                  <w:pPr>
                    <w:pStyle w:val="30"/>
                    <w:spacing w:line="340" w:lineRule="exact"/>
                    <w:jc w:val="center"/>
                    <w:rPr>
                      <w:rFonts w:hint="default" w:ascii="Times New Roman" w:hAnsi="Times New Roman" w:eastAsia="宋体" w:cs="Times New Roman"/>
                      <w:color w:val="auto"/>
                      <w:spacing w:val="-4"/>
                      <w:kern w:val="2"/>
                      <w:sz w:val="21"/>
                      <w:szCs w:val="21"/>
                      <w:highlight w:val="none"/>
                      <w:lang w:val="en-US" w:eastAsia="en-US" w:bidi="ar-SA"/>
                    </w:rPr>
                  </w:pPr>
                </w:p>
              </w:tc>
            </w:tr>
            <w:tr w14:paraId="1E8C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71111453">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474" w:type="pct"/>
                  <w:vMerge w:val="continue"/>
                  <w:tcBorders>
                    <w:left w:val="nil"/>
                    <w:bottom w:val="single" w:color="auto" w:sz="4" w:space="0"/>
                    <w:right w:val="single" w:color="auto" w:sz="4" w:space="0"/>
                  </w:tcBorders>
                  <w:shd w:val="clear" w:color="auto" w:fill="FFFFFF"/>
                  <w:noWrap w:val="0"/>
                  <w:vAlign w:val="center"/>
                </w:tcPr>
                <w:p w14:paraId="09A6369A">
                  <w:pPr>
                    <w:pStyle w:val="30"/>
                    <w:spacing w:line="340" w:lineRule="exact"/>
                    <w:jc w:val="center"/>
                    <w:rPr>
                      <w:rFonts w:hint="default" w:ascii="Times New Roman" w:hAnsi="Times New Roman" w:eastAsia="宋体" w:cs="Times New Roman"/>
                      <w:color w:val="auto"/>
                      <w:spacing w:val="-2"/>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D5ADB9">
                  <w:pPr>
                    <w:pStyle w:val="6"/>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餐厨废水</w:t>
                  </w:r>
                </w:p>
              </w:tc>
              <w:tc>
                <w:tcPr>
                  <w:tcW w:w="1506" w:type="pct"/>
                  <w:tcBorders>
                    <w:left w:val="single" w:color="auto" w:sz="4" w:space="0"/>
                    <w:bottom w:val="single" w:color="auto" w:sz="4" w:space="0"/>
                    <w:right w:val="single" w:color="auto" w:sz="4" w:space="0"/>
                  </w:tcBorders>
                  <w:shd w:val="clear" w:color="auto" w:fill="FFFFFF"/>
                  <w:noWrap w:val="0"/>
                  <w:vAlign w:val="center"/>
                </w:tcPr>
                <w:p w14:paraId="444B99D1">
                  <w:pPr>
                    <w:pStyle w:val="30"/>
                    <w:spacing w:line="340" w:lineRule="exact"/>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COD</w:t>
                  </w:r>
                  <w:r>
                    <w:rPr>
                      <w:rFonts w:hint="default" w:ascii="Times New Roman" w:hAnsi="Times New Roman" w:eastAsia="宋体" w:cs="Times New Roman"/>
                      <w:color w:val="auto"/>
                      <w:spacing w:val="-2"/>
                      <w:position w:val="-2"/>
                      <w:sz w:val="21"/>
                      <w:szCs w:val="21"/>
                      <w:highlight w:val="none"/>
                      <w:vertAlign w:val="subscript"/>
                    </w:rPr>
                    <w:t>Cr</w:t>
                  </w:r>
                  <w:r>
                    <w:rPr>
                      <w:rFonts w:hint="default" w:ascii="Times New Roman" w:hAnsi="Times New Roman" w:eastAsia="宋体" w:cs="Times New Roman"/>
                      <w:color w:val="auto"/>
                      <w:spacing w:val="-2"/>
                      <w:sz w:val="21"/>
                      <w:szCs w:val="21"/>
                      <w:highlight w:val="none"/>
                    </w:rPr>
                    <w:t>、BOD</w:t>
                  </w:r>
                  <w:r>
                    <w:rPr>
                      <w:rFonts w:hint="default" w:ascii="Times New Roman" w:hAnsi="Times New Roman" w:eastAsia="宋体" w:cs="Times New Roman"/>
                      <w:color w:val="auto"/>
                      <w:spacing w:val="-2"/>
                      <w:position w:val="-2"/>
                      <w:sz w:val="21"/>
                      <w:szCs w:val="21"/>
                      <w:highlight w:val="none"/>
                      <w:vertAlign w:val="subscript"/>
                    </w:rPr>
                    <w:t>5</w:t>
                  </w:r>
                  <w:r>
                    <w:rPr>
                      <w:rFonts w:hint="default" w:ascii="Times New Roman" w:hAnsi="Times New Roman" w:eastAsia="宋体" w:cs="Times New Roman"/>
                      <w:color w:val="auto"/>
                      <w:spacing w:val="-2"/>
                      <w:sz w:val="21"/>
                      <w:szCs w:val="21"/>
                      <w:highlight w:val="none"/>
                    </w:rPr>
                    <w:t>、SS、NH</w:t>
                  </w:r>
                  <w:r>
                    <w:rPr>
                      <w:rFonts w:hint="default" w:ascii="Times New Roman" w:hAnsi="Times New Roman" w:eastAsia="宋体" w:cs="Times New Roman"/>
                      <w:color w:val="auto"/>
                      <w:spacing w:val="-2"/>
                      <w:position w:val="-2"/>
                      <w:sz w:val="21"/>
                      <w:szCs w:val="21"/>
                      <w:highlight w:val="none"/>
                      <w:vertAlign w:val="subscript"/>
                    </w:rPr>
                    <w:t>3</w:t>
                  </w:r>
                  <w:r>
                    <w:rPr>
                      <w:rFonts w:hint="default" w:ascii="Times New Roman" w:hAnsi="Times New Roman" w:eastAsia="宋体" w:cs="Times New Roman"/>
                      <w:color w:val="auto"/>
                      <w:spacing w:val="-2"/>
                      <w:sz w:val="21"/>
                      <w:szCs w:val="21"/>
                      <w:highlight w:val="none"/>
                    </w:rPr>
                    <w:t>-N、动植物油</w:t>
                  </w:r>
                </w:p>
              </w:tc>
              <w:tc>
                <w:tcPr>
                  <w:tcW w:w="1510" w:type="pct"/>
                  <w:vMerge w:val="continue"/>
                  <w:tcBorders>
                    <w:left w:val="single" w:color="auto" w:sz="4" w:space="0"/>
                    <w:bottom w:val="single" w:color="auto" w:sz="4" w:space="0"/>
                    <w:right w:val="single" w:color="auto" w:sz="4" w:space="0"/>
                  </w:tcBorders>
                  <w:shd w:val="clear" w:color="auto" w:fill="FFFFFF"/>
                  <w:noWrap w:val="0"/>
                  <w:vAlign w:val="center"/>
                </w:tcPr>
                <w:p w14:paraId="29DC0EF0">
                  <w:pPr>
                    <w:pStyle w:val="30"/>
                    <w:spacing w:line="340" w:lineRule="exact"/>
                    <w:jc w:val="center"/>
                    <w:rPr>
                      <w:rFonts w:hint="default" w:ascii="Times New Roman" w:hAnsi="Times New Roman" w:eastAsia="宋体" w:cs="Times New Roman"/>
                      <w:color w:val="auto"/>
                      <w:spacing w:val="-4"/>
                      <w:kern w:val="2"/>
                      <w:sz w:val="21"/>
                      <w:szCs w:val="21"/>
                      <w:highlight w:val="none"/>
                      <w:lang w:val="en-US" w:eastAsia="en-US" w:bidi="ar-SA"/>
                    </w:rPr>
                  </w:pPr>
                </w:p>
              </w:tc>
            </w:tr>
            <w:tr w14:paraId="644F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586192CD">
                  <w:pPr>
                    <w:pStyle w:val="30"/>
                    <w:spacing w:line="340" w:lineRule="exact"/>
                    <w:jc w:val="center"/>
                    <w:rPr>
                      <w:rFonts w:hint="default" w:ascii="Times New Roman" w:hAnsi="Times New Roman" w:eastAsia="宋体" w:cs="Times New Roman"/>
                      <w:color w:val="auto"/>
                      <w:spacing w:val="-4"/>
                      <w:sz w:val="21"/>
                      <w:szCs w:val="21"/>
                      <w:highlight w:val="none"/>
                    </w:rPr>
                  </w:pPr>
                </w:p>
              </w:tc>
              <w:tc>
                <w:tcPr>
                  <w:tcW w:w="474" w:type="pct"/>
                  <w:tcBorders>
                    <w:top w:val="single" w:color="auto" w:sz="4" w:space="0"/>
                    <w:left w:val="nil"/>
                    <w:bottom w:val="single" w:color="auto" w:sz="4" w:space="0"/>
                    <w:right w:val="single" w:color="auto" w:sz="4" w:space="0"/>
                  </w:tcBorders>
                  <w:shd w:val="clear" w:color="auto" w:fill="FFFFFF"/>
                  <w:noWrap w:val="0"/>
                  <w:vAlign w:val="center"/>
                </w:tcPr>
                <w:p w14:paraId="23B38CE1">
                  <w:pPr>
                    <w:pStyle w:val="3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噪声</w:t>
                  </w: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A939800">
                  <w:pPr>
                    <w:pStyle w:val="30"/>
                    <w:spacing w:line="340" w:lineRule="exact"/>
                    <w:jc w:val="center"/>
                    <w:rPr>
                      <w:rFonts w:hint="default" w:ascii="Times New Roman" w:hAnsi="Times New Roman" w:eastAsia="宋体" w:cs="Times New Roman"/>
                      <w:color w:val="auto"/>
                      <w:spacing w:val="-3"/>
                      <w:sz w:val="21"/>
                      <w:szCs w:val="21"/>
                      <w:highlight w:val="none"/>
                      <w:lang w:eastAsia="zh-CN"/>
                    </w:rPr>
                  </w:pPr>
                  <w:r>
                    <w:rPr>
                      <w:rFonts w:hint="default" w:ascii="Times New Roman" w:hAnsi="Times New Roman" w:eastAsia="宋体" w:cs="Times New Roman"/>
                      <w:color w:val="auto"/>
                      <w:spacing w:val="-3"/>
                      <w:sz w:val="21"/>
                      <w:szCs w:val="21"/>
                      <w:highlight w:val="none"/>
                      <w:lang w:eastAsia="zh-CN"/>
                    </w:rPr>
                    <w:t>机械噪声</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101EFC">
                  <w:pPr>
                    <w:pStyle w:val="3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rPr>
                    <w:t>Leq（A）</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F551B3">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spacing w:val="-4"/>
                      <w:kern w:val="2"/>
                      <w:sz w:val="21"/>
                      <w:szCs w:val="21"/>
                      <w:highlight w:val="none"/>
                      <w:lang w:val="en-US" w:eastAsia="zh-CN" w:bidi="ar-SA"/>
                    </w:rPr>
                    <w:t>隔声、减震、消声</w:t>
                  </w:r>
                </w:p>
                <w:p w14:paraId="106AA4C3">
                  <w:pPr>
                    <w:pStyle w:val="30"/>
                    <w:spacing w:line="340" w:lineRule="exact"/>
                    <w:jc w:val="center"/>
                    <w:rPr>
                      <w:rFonts w:hint="default" w:ascii="Times New Roman" w:hAnsi="Times New Roman" w:eastAsia="宋体" w:cs="Times New Roman"/>
                      <w:color w:val="auto"/>
                      <w:spacing w:val="-4"/>
                      <w:kern w:val="2"/>
                      <w:sz w:val="21"/>
                      <w:szCs w:val="21"/>
                      <w:highlight w:val="none"/>
                      <w:lang w:val="en-US" w:eastAsia="en-US" w:bidi="ar-SA"/>
                    </w:rPr>
                  </w:pPr>
                </w:p>
              </w:tc>
            </w:tr>
            <w:tr w14:paraId="48DC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58A8AF46">
                  <w:pPr>
                    <w:spacing w:line="340" w:lineRule="exact"/>
                    <w:jc w:val="center"/>
                    <w:rPr>
                      <w:rFonts w:hint="default" w:ascii="Times New Roman" w:hAnsi="Times New Roman" w:eastAsia="宋体" w:cs="Times New Roman"/>
                      <w:color w:val="auto"/>
                      <w:sz w:val="21"/>
                      <w:szCs w:val="21"/>
                      <w:highlight w:val="none"/>
                    </w:rPr>
                  </w:pPr>
                </w:p>
              </w:tc>
              <w:tc>
                <w:tcPr>
                  <w:tcW w:w="474" w:type="pct"/>
                  <w:vMerge w:val="restart"/>
                  <w:tcBorders>
                    <w:top w:val="single" w:color="auto" w:sz="4" w:space="0"/>
                    <w:left w:val="nil"/>
                    <w:right w:val="single" w:color="auto" w:sz="4" w:space="0"/>
                  </w:tcBorders>
                  <w:shd w:val="clear" w:color="auto" w:fill="FFFFFF"/>
                  <w:noWrap w:val="0"/>
                  <w:vAlign w:val="center"/>
                </w:tcPr>
                <w:p w14:paraId="24153713">
                  <w:pPr>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固体废物</w:t>
                  </w: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F2C8699">
                  <w:pPr>
                    <w:pStyle w:val="30"/>
                    <w:spacing w:line="340" w:lineRule="exact"/>
                    <w:jc w:val="center"/>
                    <w:rPr>
                      <w:rFonts w:hint="default" w:ascii="Times New Roman" w:hAnsi="Times New Roman" w:eastAsia="宋体" w:cs="Times New Roman"/>
                      <w:color w:val="auto"/>
                      <w:spacing w:val="-4"/>
                      <w:sz w:val="21"/>
                      <w:szCs w:val="21"/>
                      <w:highlight w:val="none"/>
                      <w:lang w:eastAsia="zh-CN"/>
                    </w:rPr>
                  </w:pPr>
                  <w:r>
                    <w:rPr>
                      <w:rFonts w:hint="default" w:ascii="Times New Roman" w:hAnsi="Times New Roman" w:eastAsia="宋体" w:cs="Times New Roman"/>
                      <w:color w:val="auto"/>
                      <w:spacing w:val="-4"/>
                      <w:sz w:val="21"/>
                      <w:szCs w:val="21"/>
                      <w:highlight w:val="none"/>
                      <w:lang w:eastAsia="zh-CN"/>
                    </w:rPr>
                    <w:t>医疗废物</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97D99C">
                  <w:pPr>
                    <w:pStyle w:val="3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医疗废物</w:t>
                  </w:r>
                </w:p>
              </w:tc>
              <w:tc>
                <w:tcPr>
                  <w:tcW w:w="1510" w:type="pct"/>
                  <w:vMerge w:val="restart"/>
                  <w:tcBorders>
                    <w:top w:val="single" w:color="auto" w:sz="4" w:space="0"/>
                    <w:left w:val="single" w:color="auto" w:sz="4" w:space="0"/>
                    <w:right w:val="single" w:color="auto" w:sz="4" w:space="0"/>
                  </w:tcBorders>
                  <w:shd w:val="clear" w:color="auto" w:fill="FFFFFF"/>
                  <w:noWrap w:val="0"/>
                  <w:vAlign w:val="center"/>
                </w:tcPr>
                <w:p w14:paraId="0DF2767F">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spacing w:val="-4"/>
                      <w:kern w:val="2"/>
                      <w:sz w:val="21"/>
                      <w:szCs w:val="21"/>
                      <w:highlight w:val="none"/>
                      <w:lang w:val="en-US" w:eastAsia="zh-CN" w:bidi="ar-SA"/>
                    </w:rPr>
                    <w:t>委托有资质单位处置</w:t>
                  </w:r>
                </w:p>
              </w:tc>
            </w:tr>
            <w:tr w14:paraId="36BA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6404E34F">
                  <w:pPr>
                    <w:spacing w:line="340" w:lineRule="exact"/>
                    <w:jc w:val="center"/>
                    <w:rPr>
                      <w:rFonts w:hint="default" w:ascii="Times New Roman" w:hAnsi="Times New Roman" w:eastAsia="宋体" w:cs="Times New Roman"/>
                      <w:color w:val="auto"/>
                      <w:sz w:val="21"/>
                      <w:szCs w:val="21"/>
                      <w:highlight w:val="none"/>
                    </w:rPr>
                  </w:pPr>
                </w:p>
              </w:tc>
              <w:tc>
                <w:tcPr>
                  <w:tcW w:w="474" w:type="pct"/>
                  <w:vMerge w:val="continue"/>
                  <w:tcBorders>
                    <w:left w:val="nil"/>
                    <w:right w:val="single" w:color="auto" w:sz="4" w:space="0"/>
                  </w:tcBorders>
                  <w:shd w:val="clear" w:color="auto" w:fill="FFFFFF"/>
                  <w:noWrap w:val="0"/>
                  <w:vAlign w:val="center"/>
                </w:tcPr>
                <w:p w14:paraId="5256EE9A">
                  <w:pPr>
                    <w:spacing w:line="340" w:lineRule="exact"/>
                    <w:jc w:val="center"/>
                    <w:rPr>
                      <w:rFonts w:hint="default" w:ascii="Times New Roman" w:hAnsi="Times New Roman" w:eastAsia="宋体" w:cs="Times New Roman"/>
                      <w:color w:val="auto"/>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7ABA26">
                  <w:pPr>
                    <w:pStyle w:val="30"/>
                    <w:spacing w:line="340" w:lineRule="exact"/>
                    <w:ind w:right="181"/>
                    <w:jc w:val="center"/>
                    <w:rPr>
                      <w:rFonts w:hint="default" w:ascii="Times New Roman" w:hAnsi="Times New Roman" w:eastAsia="宋体" w:cs="Times New Roman"/>
                      <w:color w:val="auto"/>
                      <w:spacing w:val="-2"/>
                      <w:sz w:val="21"/>
                      <w:szCs w:val="21"/>
                      <w:highlight w:val="none"/>
                      <w:lang w:eastAsia="zh-CN"/>
                    </w:rPr>
                  </w:pPr>
                  <w:r>
                    <w:rPr>
                      <w:rFonts w:hint="default" w:ascii="Times New Roman" w:hAnsi="Times New Roman" w:eastAsia="宋体" w:cs="Times New Roman"/>
                      <w:color w:val="auto"/>
                      <w:spacing w:val="-2"/>
                      <w:sz w:val="21"/>
                      <w:szCs w:val="21"/>
                      <w:highlight w:val="none"/>
                      <w:lang w:eastAsia="zh-CN"/>
                    </w:rPr>
                    <w:t>污水处理站</w:t>
                  </w:r>
                  <w:r>
                    <w:rPr>
                      <w:rFonts w:hint="default" w:ascii="Times New Roman" w:hAnsi="Times New Roman" w:eastAsia="宋体" w:cs="Times New Roman"/>
                      <w:color w:val="auto"/>
                      <w:spacing w:val="-2"/>
                      <w:sz w:val="21"/>
                      <w:szCs w:val="21"/>
                      <w:highlight w:val="none"/>
                      <w:lang w:val="en-US" w:eastAsia="zh-CN"/>
                    </w:rPr>
                    <w:t>污泥</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BA1949">
                  <w:pPr>
                    <w:pStyle w:val="30"/>
                    <w:spacing w:line="340" w:lineRule="exact"/>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2"/>
                      <w:sz w:val="21"/>
                      <w:szCs w:val="21"/>
                      <w:highlight w:val="none"/>
                      <w:lang w:eastAsia="zh-CN"/>
                    </w:rPr>
                    <w:t>消毒后污泥</w:t>
                  </w:r>
                </w:p>
              </w:tc>
              <w:tc>
                <w:tcPr>
                  <w:tcW w:w="1510" w:type="pct"/>
                  <w:vMerge w:val="continue"/>
                  <w:tcBorders>
                    <w:left w:val="single" w:color="auto" w:sz="4" w:space="0"/>
                    <w:right w:val="single" w:color="auto" w:sz="4" w:space="0"/>
                  </w:tcBorders>
                  <w:shd w:val="clear" w:color="auto" w:fill="FFFFFF"/>
                  <w:noWrap w:val="0"/>
                  <w:vAlign w:val="center"/>
                </w:tcPr>
                <w:p w14:paraId="5ECB1081">
                  <w:pPr>
                    <w:pStyle w:val="30"/>
                    <w:spacing w:line="340" w:lineRule="exact"/>
                    <w:jc w:val="center"/>
                    <w:rPr>
                      <w:rFonts w:hint="default" w:ascii="Times New Roman" w:hAnsi="Times New Roman" w:eastAsia="宋体" w:cs="Times New Roman"/>
                      <w:color w:val="auto"/>
                      <w:spacing w:val="-4"/>
                      <w:kern w:val="2"/>
                      <w:sz w:val="21"/>
                      <w:szCs w:val="21"/>
                      <w:highlight w:val="none"/>
                      <w:lang w:val="en-US" w:eastAsia="zh-CN" w:bidi="ar-SA"/>
                    </w:rPr>
                  </w:pPr>
                </w:p>
              </w:tc>
            </w:tr>
            <w:tr w14:paraId="1324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73" w:type="pct"/>
                  <w:vMerge w:val="continue"/>
                  <w:tcBorders>
                    <w:left w:val="nil"/>
                    <w:right w:val="single" w:color="auto" w:sz="4" w:space="0"/>
                  </w:tcBorders>
                  <w:shd w:val="clear" w:color="auto" w:fill="FFFFFF"/>
                  <w:noWrap w:val="0"/>
                  <w:vAlign w:val="center"/>
                </w:tcPr>
                <w:p w14:paraId="1895CE5B">
                  <w:pPr>
                    <w:spacing w:line="340" w:lineRule="exact"/>
                    <w:jc w:val="center"/>
                    <w:rPr>
                      <w:rFonts w:hint="default" w:ascii="Times New Roman" w:hAnsi="Times New Roman" w:eastAsia="宋体" w:cs="Times New Roman"/>
                      <w:color w:val="auto"/>
                      <w:sz w:val="21"/>
                      <w:szCs w:val="21"/>
                      <w:highlight w:val="none"/>
                    </w:rPr>
                  </w:pPr>
                </w:p>
              </w:tc>
              <w:tc>
                <w:tcPr>
                  <w:tcW w:w="474" w:type="pct"/>
                  <w:vMerge w:val="continue"/>
                  <w:tcBorders>
                    <w:left w:val="nil"/>
                    <w:right w:val="single" w:color="auto" w:sz="4" w:space="0"/>
                  </w:tcBorders>
                  <w:shd w:val="clear" w:color="auto" w:fill="FFFFFF"/>
                  <w:noWrap w:val="0"/>
                  <w:vAlign w:val="center"/>
                </w:tcPr>
                <w:p w14:paraId="54F4B053">
                  <w:pPr>
                    <w:spacing w:line="340" w:lineRule="exact"/>
                    <w:jc w:val="center"/>
                    <w:rPr>
                      <w:rFonts w:hint="default" w:ascii="Times New Roman" w:hAnsi="Times New Roman" w:eastAsia="宋体" w:cs="Times New Roman"/>
                      <w:color w:val="auto"/>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614EC2">
                  <w:pPr>
                    <w:pStyle w:val="30"/>
                    <w:spacing w:line="340" w:lineRule="exact"/>
                    <w:jc w:val="center"/>
                    <w:rPr>
                      <w:rFonts w:hint="default" w:ascii="Times New Roman" w:hAnsi="Times New Roman" w:eastAsia="宋体" w:cs="Times New Roman"/>
                      <w:color w:val="auto"/>
                      <w:spacing w:val="-2"/>
                      <w:sz w:val="21"/>
                      <w:szCs w:val="21"/>
                      <w:highlight w:val="none"/>
                      <w:lang w:eastAsia="zh-CN"/>
                    </w:rPr>
                  </w:pPr>
                  <w:r>
                    <w:rPr>
                      <w:rFonts w:hint="default" w:ascii="Times New Roman" w:hAnsi="Times New Roman" w:eastAsia="宋体" w:cs="Times New Roman"/>
                      <w:color w:val="auto"/>
                      <w:spacing w:val="-2"/>
                      <w:sz w:val="21"/>
                      <w:szCs w:val="21"/>
                      <w:highlight w:val="none"/>
                      <w:lang w:eastAsia="zh-CN"/>
                    </w:rPr>
                    <w:t>医护人员、病人生活垃圾</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40C29B">
                  <w:pPr>
                    <w:pStyle w:val="30"/>
                    <w:spacing w:line="3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2"/>
                      <w:sz w:val="21"/>
                      <w:szCs w:val="21"/>
                      <w:highlight w:val="none"/>
                    </w:rPr>
                    <w:t>生活垃圾</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37B83D">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en-US" w:bidi="ar-SA"/>
                    </w:rPr>
                  </w:pPr>
                  <w:r>
                    <w:rPr>
                      <w:rFonts w:hint="default" w:ascii="Times New Roman" w:hAnsi="Times New Roman" w:eastAsia="宋体" w:cs="Times New Roman"/>
                      <w:color w:val="auto"/>
                      <w:spacing w:val="-4"/>
                      <w:kern w:val="2"/>
                      <w:sz w:val="21"/>
                      <w:szCs w:val="21"/>
                      <w:highlight w:val="none"/>
                      <w:lang w:val="en-US" w:eastAsia="zh-CN" w:bidi="ar-SA"/>
                    </w:rPr>
                    <w:t>设置存放点，环卫部门清运</w:t>
                  </w:r>
                </w:p>
              </w:tc>
            </w:tr>
            <w:tr w14:paraId="11EA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restart"/>
                  <w:tcBorders>
                    <w:left w:val="nil"/>
                    <w:right w:val="single" w:color="auto" w:sz="4" w:space="0"/>
                  </w:tcBorders>
                  <w:shd w:val="clear" w:color="auto" w:fill="FFFFFF"/>
                  <w:noWrap w:val="0"/>
                  <w:vAlign w:val="center"/>
                </w:tcPr>
                <w:p w14:paraId="78C69B2E">
                  <w:pPr>
                    <w:spacing w:line="340" w:lineRule="exact"/>
                    <w:jc w:val="center"/>
                    <w:rPr>
                      <w:rFonts w:hint="default" w:ascii="Times New Roman" w:hAnsi="Times New Roman" w:eastAsia="宋体" w:cs="Times New Roman"/>
                      <w:color w:val="auto"/>
                      <w:sz w:val="21"/>
                      <w:szCs w:val="21"/>
                      <w:highlight w:val="none"/>
                    </w:rPr>
                  </w:pPr>
                </w:p>
              </w:tc>
              <w:tc>
                <w:tcPr>
                  <w:tcW w:w="474" w:type="pct"/>
                  <w:vMerge w:val="continue"/>
                  <w:tcBorders>
                    <w:left w:val="nil"/>
                    <w:right w:val="single" w:color="auto" w:sz="4" w:space="0"/>
                  </w:tcBorders>
                  <w:shd w:val="clear" w:color="auto" w:fill="FFFFFF"/>
                  <w:noWrap w:val="0"/>
                  <w:vAlign w:val="center"/>
                </w:tcPr>
                <w:p w14:paraId="73B8B0F4">
                  <w:pPr>
                    <w:spacing w:line="340" w:lineRule="exact"/>
                    <w:jc w:val="center"/>
                    <w:rPr>
                      <w:rFonts w:hint="default" w:ascii="Times New Roman" w:hAnsi="Times New Roman" w:eastAsia="宋体" w:cs="Times New Roman"/>
                      <w:color w:val="auto"/>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4DC03E3">
                  <w:pPr>
                    <w:pStyle w:val="30"/>
                    <w:spacing w:line="340" w:lineRule="exact"/>
                    <w:jc w:val="center"/>
                    <w:rPr>
                      <w:rFonts w:hint="default" w:ascii="Times New Roman" w:hAnsi="Times New Roman" w:eastAsia="宋体" w:cs="Times New Roman"/>
                      <w:color w:val="auto"/>
                      <w:spacing w:val="-4"/>
                      <w:kern w:val="2"/>
                      <w:sz w:val="21"/>
                      <w:szCs w:val="21"/>
                      <w:highlight w:val="none"/>
                      <w:lang w:val="en-US" w:eastAsia="zh-CN" w:bidi="ar-SA"/>
                    </w:rPr>
                  </w:pPr>
                  <w:r>
                    <w:rPr>
                      <w:rFonts w:hint="default" w:ascii="Times New Roman" w:hAnsi="Times New Roman" w:eastAsia="宋体" w:cs="Times New Roman"/>
                      <w:color w:val="auto"/>
                      <w:spacing w:val="-4"/>
                      <w:kern w:val="2"/>
                      <w:sz w:val="21"/>
                      <w:szCs w:val="21"/>
                      <w:highlight w:val="none"/>
                      <w:lang w:val="en-US" w:eastAsia="zh-CN" w:bidi="ar-SA"/>
                    </w:rPr>
                    <w:t>检验科产生的废液</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DF04F1">
                  <w:pPr>
                    <w:pStyle w:val="30"/>
                    <w:spacing w:line="340" w:lineRule="exact"/>
                    <w:jc w:val="center"/>
                    <w:rPr>
                      <w:rFonts w:hint="default" w:ascii="Times New Roman" w:hAnsi="Times New Roman" w:eastAsia="宋体" w:cs="Times New Roman"/>
                      <w:color w:val="auto"/>
                      <w:spacing w:val="-4"/>
                      <w:kern w:val="2"/>
                      <w:sz w:val="21"/>
                      <w:szCs w:val="21"/>
                      <w:highlight w:val="none"/>
                      <w:lang w:val="en-US" w:eastAsia="zh-CN" w:bidi="ar-SA"/>
                    </w:rPr>
                  </w:pPr>
                  <w:r>
                    <w:rPr>
                      <w:rFonts w:hint="eastAsia" w:ascii="Times New Roman" w:hAnsi="Times New Roman" w:eastAsia="宋体" w:cs="Times New Roman"/>
                      <w:color w:val="auto"/>
                      <w:spacing w:val="-4"/>
                      <w:kern w:val="2"/>
                      <w:sz w:val="21"/>
                      <w:szCs w:val="21"/>
                      <w:highlight w:val="none"/>
                      <w:lang w:val="en-US" w:eastAsia="zh-CN" w:bidi="ar-SA"/>
                    </w:rPr>
                    <w:t>危险废物</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56702F">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zh-CN" w:bidi="ar-SA"/>
                    </w:rPr>
                  </w:pPr>
                  <w:r>
                    <w:rPr>
                      <w:rFonts w:hint="default" w:ascii="Times New Roman" w:hAnsi="Times New Roman" w:eastAsia="宋体" w:cs="Times New Roman"/>
                      <w:color w:val="auto"/>
                      <w:spacing w:val="-4"/>
                      <w:kern w:val="2"/>
                      <w:sz w:val="21"/>
                      <w:szCs w:val="21"/>
                      <w:highlight w:val="none"/>
                      <w:lang w:val="en-US" w:eastAsia="zh-CN" w:bidi="ar-SA"/>
                    </w:rPr>
                    <w:t>委托有资质单位处置</w:t>
                  </w:r>
                </w:p>
              </w:tc>
            </w:tr>
            <w:tr w14:paraId="49B3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Merge w:val="continue"/>
                  <w:tcBorders>
                    <w:left w:val="nil"/>
                    <w:right w:val="single" w:color="auto" w:sz="4" w:space="0"/>
                  </w:tcBorders>
                  <w:shd w:val="clear" w:color="auto" w:fill="FFFFFF"/>
                  <w:noWrap w:val="0"/>
                  <w:vAlign w:val="center"/>
                </w:tcPr>
                <w:p w14:paraId="3742325D">
                  <w:pPr>
                    <w:spacing w:line="340" w:lineRule="exact"/>
                    <w:jc w:val="center"/>
                    <w:rPr>
                      <w:rFonts w:hint="default" w:ascii="Times New Roman" w:hAnsi="Times New Roman" w:eastAsia="宋体" w:cs="Times New Roman"/>
                      <w:color w:val="auto"/>
                      <w:sz w:val="21"/>
                      <w:szCs w:val="21"/>
                      <w:highlight w:val="none"/>
                    </w:rPr>
                  </w:pPr>
                </w:p>
              </w:tc>
              <w:tc>
                <w:tcPr>
                  <w:tcW w:w="474" w:type="pct"/>
                  <w:vMerge w:val="continue"/>
                  <w:tcBorders>
                    <w:left w:val="nil"/>
                    <w:right w:val="single" w:color="auto" w:sz="4" w:space="0"/>
                  </w:tcBorders>
                  <w:shd w:val="clear" w:color="auto" w:fill="FFFFFF"/>
                  <w:noWrap w:val="0"/>
                  <w:vAlign w:val="center"/>
                </w:tcPr>
                <w:p w14:paraId="5515BA22">
                  <w:pPr>
                    <w:spacing w:line="340" w:lineRule="exact"/>
                    <w:jc w:val="center"/>
                    <w:rPr>
                      <w:rFonts w:hint="default" w:ascii="Times New Roman" w:hAnsi="Times New Roman" w:eastAsia="宋体" w:cs="Times New Roman"/>
                      <w:color w:val="auto"/>
                      <w:sz w:val="21"/>
                      <w:szCs w:val="21"/>
                      <w:highlight w:val="none"/>
                    </w:rPr>
                  </w:pPr>
                </w:p>
              </w:tc>
              <w:tc>
                <w:tcPr>
                  <w:tcW w:w="103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8D513C">
                  <w:pPr>
                    <w:pStyle w:val="30"/>
                    <w:spacing w:line="340" w:lineRule="exact"/>
                    <w:jc w:val="center"/>
                    <w:rPr>
                      <w:rFonts w:hint="default" w:ascii="Times New Roman" w:hAnsi="Times New Roman" w:eastAsia="宋体" w:cs="Times New Roman"/>
                      <w:color w:val="auto"/>
                      <w:spacing w:val="-4"/>
                      <w:kern w:val="2"/>
                      <w:sz w:val="21"/>
                      <w:szCs w:val="21"/>
                      <w:highlight w:val="none"/>
                      <w:lang w:val="en-US" w:eastAsia="zh-CN" w:bidi="ar-SA"/>
                    </w:rPr>
                  </w:pPr>
                  <w:r>
                    <w:rPr>
                      <w:rFonts w:hint="default" w:ascii="Times New Roman" w:hAnsi="Times New Roman" w:eastAsia="宋体" w:cs="Times New Roman"/>
                      <w:color w:val="auto"/>
                      <w:spacing w:val="-4"/>
                      <w:kern w:val="2"/>
                      <w:sz w:val="21"/>
                      <w:szCs w:val="21"/>
                      <w:highlight w:val="none"/>
                      <w:lang w:val="en-US" w:eastAsia="zh-CN" w:bidi="ar-SA"/>
                    </w:rPr>
                    <w:t>废弃灯管</w:t>
                  </w:r>
                </w:p>
              </w:tc>
              <w:tc>
                <w:tcPr>
                  <w:tcW w:w="15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3C5C15">
                  <w:pPr>
                    <w:pStyle w:val="30"/>
                    <w:spacing w:line="340" w:lineRule="exact"/>
                    <w:jc w:val="center"/>
                    <w:rPr>
                      <w:rFonts w:hint="eastAsia" w:ascii="Times New Roman" w:hAnsi="Times New Roman" w:eastAsia="宋体" w:cs="Times New Roman"/>
                      <w:color w:val="auto"/>
                      <w:spacing w:val="-4"/>
                      <w:kern w:val="2"/>
                      <w:sz w:val="21"/>
                      <w:szCs w:val="21"/>
                      <w:highlight w:val="none"/>
                      <w:lang w:val="en-US" w:eastAsia="zh-CN" w:bidi="ar-SA"/>
                    </w:rPr>
                  </w:pPr>
                  <w:r>
                    <w:rPr>
                      <w:rFonts w:hint="default" w:ascii="Times New Roman" w:hAnsi="Times New Roman" w:eastAsia="宋体" w:cs="Times New Roman"/>
                      <w:color w:val="auto"/>
                      <w:spacing w:val="-4"/>
                      <w:kern w:val="2"/>
                      <w:sz w:val="21"/>
                      <w:szCs w:val="21"/>
                      <w:highlight w:val="none"/>
                      <w:lang w:val="en-US" w:eastAsia="zh-CN" w:bidi="ar-SA"/>
                    </w:rPr>
                    <w:t>医疗废物</w:t>
                  </w:r>
                </w:p>
              </w:tc>
              <w:tc>
                <w:tcPr>
                  <w:tcW w:w="151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2585A5">
                  <w:pPr>
                    <w:keepNext w:val="0"/>
                    <w:keepLines w:val="0"/>
                    <w:widowControl/>
                    <w:suppressLineNumbers w:val="0"/>
                    <w:jc w:val="center"/>
                    <w:rPr>
                      <w:rFonts w:hint="default" w:ascii="Times New Roman" w:hAnsi="Times New Roman" w:eastAsia="宋体" w:cs="Times New Roman"/>
                      <w:color w:val="auto"/>
                      <w:spacing w:val="-4"/>
                      <w:kern w:val="2"/>
                      <w:sz w:val="21"/>
                      <w:szCs w:val="21"/>
                      <w:highlight w:val="none"/>
                      <w:lang w:val="en-US" w:eastAsia="zh-CN" w:bidi="ar-SA"/>
                    </w:rPr>
                  </w:pPr>
                  <w:r>
                    <w:rPr>
                      <w:rFonts w:hint="default" w:ascii="Times New Roman" w:hAnsi="Times New Roman" w:eastAsia="宋体" w:cs="Times New Roman"/>
                      <w:color w:val="auto"/>
                      <w:spacing w:val="-4"/>
                      <w:kern w:val="2"/>
                      <w:sz w:val="21"/>
                      <w:szCs w:val="21"/>
                      <w:highlight w:val="none"/>
                      <w:lang w:val="en-US" w:eastAsia="zh-CN" w:bidi="ar-SA"/>
                    </w:rPr>
                    <w:t>委托有资质单位处置</w:t>
                  </w:r>
                </w:p>
              </w:tc>
            </w:tr>
          </w:tbl>
          <w:p w14:paraId="6B0D669C">
            <w:pPr>
              <w:spacing w:line="360" w:lineRule="auto"/>
              <w:jc w:val="center"/>
              <w:rPr>
                <w:rFonts w:hint="eastAsia"/>
                <w:color w:val="auto"/>
                <w:szCs w:val="21"/>
              </w:rPr>
            </w:pPr>
          </w:p>
        </w:tc>
      </w:tr>
      <w:tr w14:paraId="086C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1" w:hRule="atLeast"/>
          <w:jc w:val="center"/>
        </w:trPr>
        <w:tc>
          <w:tcPr>
            <w:tcW w:w="451" w:type="dxa"/>
            <w:noWrap w:val="0"/>
            <w:vAlign w:val="center"/>
          </w:tcPr>
          <w:p w14:paraId="7D228506">
            <w:pPr>
              <w:pStyle w:val="14"/>
              <w:adjustRightInd w:val="0"/>
              <w:snapToGrid w:val="0"/>
              <w:spacing w:beforeAutospacing="0" w:after="0" w:afterAutospacing="0"/>
              <w:jc w:val="center"/>
              <w:rPr>
                <w:rFonts w:ascii="Times New Roman" w:hAnsi="Times New Roman"/>
                <w:color w:val="auto"/>
                <w:sz w:val="21"/>
                <w:szCs w:val="21"/>
              </w:rPr>
            </w:pPr>
            <w:r>
              <w:rPr>
                <w:rFonts w:ascii="Times New Roman" w:hAnsi="Times New Roman"/>
                <w:bCs/>
                <w:color w:val="auto"/>
                <w:kern w:val="2"/>
                <w:sz w:val="21"/>
                <w:szCs w:val="21"/>
              </w:rPr>
              <w:t>与项目有关的原有环境污染问题</w:t>
            </w:r>
          </w:p>
        </w:tc>
        <w:tc>
          <w:tcPr>
            <w:tcW w:w="8609" w:type="dxa"/>
            <w:noWrap w:val="0"/>
            <w:vAlign w:val="top"/>
          </w:tcPr>
          <w:p w14:paraId="1CB0E8D7">
            <w:pPr>
              <w:pStyle w:val="30"/>
              <w:spacing w:before="199" w:line="360" w:lineRule="auto"/>
              <w:ind w:left="105"/>
              <w:rPr>
                <w:b/>
                <w:bCs/>
                <w:color w:val="auto"/>
                <w:sz w:val="28"/>
                <w:szCs w:val="28"/>
                <w:lang w:eastAsia="zh-CN"/>
              </w:rPr>
            </w:pPr>
            <w:r>
              <w:rPr>
                <w:rFonts w:hint="eastAsia" w:cs="Times New Roman"/>
                <w:b/>
                <w:bCs/>
                <w:color w:val="auto"/>
                <w:sz w:val="28"/>
                <w:szCs w:val="28"/>
                <w:lang w:eastAsia="zh-CN"/>
              </w:rPr>
              <w:t>2.4现有工程环保手续履行情况</w:t>
            </w:r>
          </w:p>
          <w:p w14:paraId="15CBA04B">
            <w:pPr>
              <w:pStyle w:val="23"/>
              <w:ind w:firstLine="480" w:firstLineChars="200"/>
              <w:rPr>
                <w:rFonts w:hint="eastAsia" w:eastAsia="宋体"/>
                <w:color w:val="auto"/>
                <w:sz w:val="24"/>
                <w:szCs w:val="24"/>
              </w:rPr>
            </w:pPr>
            <w:r>
              <w:rPr>
                <w:rFonts w:hint="eastAsia" w:eastAsia="宋体"/>
                <w:color w:val="auto"/>
                <w:sz w:val="24"/>
                <w:szCs w:val="24"/>
              </w:rPr>
              <w:t>闽侯县祥谦镇中心卫生院（县第二医院）现有工程始建于1980年代，主要包括门诊楼、住院楼、食堂和宿舍楼。配套建设了污水处理站和医疗废物临时贮存站。</w:t>
            </w:r>
          </w:p>
          <w:p w14:paraId="011C31D9">
            <w:pPr>
              <w:pStyle w:val="23"/>
              <w:ind w:firstLine="480" w:firstLineChars="200"/>
              <w:rPr>
                <w:rFonts w:hint="eastAsia" w:eastAsia="宋体"/>
                <w:color w:val="auto"/>
                <w:sz w:val="24"/>
                <w:szCs w:val="24"/>
              </w:rPr>
            </w:pPr>
            <w:r>
              <w:rPr>
                <w:rFonts w:hint="eastAsia" w:eastAsia="宋体"/>
                <w:color w:val="auto"/>
                <w:sz w:val="24"/>
                <w:szCs w:val="24"/>
              </w:rPr>
              <w:t>2006年9月，闽侯县第二医院委托福建省华厦建筑设计院编制了《闽侯县第二医院环境影响报告表》；2007年4月26日，闽侯县环境保护局批复了该报告表（侯环保（2007）建审第015号）</w:t>
            </w:r>
            <w:r>
              <w:rPr>
                <w:rFonts w:hint="eastAsia" w:eastAsia="宋体"/>
                <w:color w:val="auto"/>
                <w:lang w:eastAsia="zh-CN"/>
              </w:rPr>
              <w:t>，</w:t>
            </w:r>
            <w:r>
              <w:rPr>
                <w:rFonts w:hint="eastAsia" w:ascii="Times New Roman" w:hAnsi="Times New Roman" w:eastAsia="宋体" w:cs="宋体"/>
                <w:color w:val="auto"/>
                <w:sz w:val="24"/>
                <w:szCs w:val="24"/>
                <w:lang w:val="en-US" w:eastAsia="zh-CN"/>
              </w:rPr>
              <w:t>详见附件10</w:t>
            </w:r>
            <w:r>
              <w:rPr>
                <w:rFonts w:hint="eastAsia" w:ascii="Times New Roman" w:hAnsi="Times New Roman" w:eastAsia="宋体" w:cs="宋体"/>
                <w:color w:val="auto"/>
                <w:sz w:val="24"/>
                <w:szCs w:val="24"/>
              </w:rPr>
              <w:t>。</w:t>
            </w:r>
          </w:p>
          <w:p w14:paraId="13D45254">
            <w:pPr>
              <w:pStyle w:val="23"/>
              <w:ind w:firstLine="480" w:firstLineChars="200"/>
              <w:rPr>
                <w:rFonts w:hint="eastAsia" w:eastAsia="宋体"/>
                <w:color w:val="auto"/>
                <w:sz w:val="24"/>
                <w:szCs w:val="24"/>
              </w:rPr>
            </w:pPr>
            <w:r>
              <w:rPr>
                <w:rFonts w:hint="eastAsia" w:eastAsia="宋体"/>
                <w:color w:val="auto"/>
                <w:sz w:val="24"/>
                <w:szCs w:val="24"/>
              </w:rPr>
              <w:t>由于闽侯县第二医院病房等及其附属设施项目未实施建设，因此闽侯县第二医院未进行竣工环保验收工作。</w:t>
            </w:r>
          </w:p>
          <w:p w14:paraId="60E6E20B">
            <w:pPr>
              <w:pStyle w:val="23"/>
              <w:ind w:firstLine="480" w:firstLineChars="200"/>
              <w:rPr>
                <w:rFonts w:hint="eastAsia" w:eastAsia="宋体"/>
                <w:color w:val="auto"/>
                <w:sz w:val="24"/>
                <w:szCs w:val="24"/>
              </w:rPr>
            </w:pPr>
            <w:r>
              <w:rPr>
                <w:rFonts w:hint="eastAsia" w:eastAsia="宋体"/>
                <w:color w:val="auto"/>
                <w:sz w:val="24"/>
                <w:szCs w:val="24"/>
              </w:rPr>
              <w:t>由于该院业务用房始建于80年代，年代久远，存在诸多安全隐患。为满足群众基本医疗与公共卫生需求，提高就医环境，</w:t>
            </w:r>
            <w:r>
              <w:rPr>
                <w:rFonts w:ascii="Times New Roman" w:hAnsi="Times New Roman" w:cs="Times New Roman"/>
                <w:bCs w:val="0"/>
                <w:color w:val="auto"/>
                <w:sz w:val="24"/>
                <w:szCs w:val="22"/>
              </w:rPr>
              <w:t>2014年8月4日，闽侯县祥谦镇中心卫生院</w:t>
            </w:r>
            <w:r>
              <w:rPr>
                <w:rFonts w:hint="eastAsia" w:eastAsia="宋体"/>
                <w:color w:val="auto"/>
                <w:sz w:val="24"/>
                <w:szCs w:val="24"/>
              </w:rPr>
              <w:t>拟在医院东南方向邻沈海高速公路的一块地上建设一幢7层建筑面积12000m</w:t>
            </w:r>
            <w:r>
              <w:rPr>
                <w:rFonts w:hint="eastAsia" w:eastAsia="宋体"/>
                <w:color w:val="auto"/>
                <w:sz w:val="24"/>
                <w:szCs w:val="24"/>
                <w:vertAlign w:val="superscript"/>
              </w:rPr>
              <w:t>2</w:t>
            </w:r>
            <w:r>
              <w:rPr>
                <w:rFonts w:hint="eastAsia" w:eastAsia="宋体"/>
                <w:color w:val="auto"/>
                <w:sz w:val="24"/>
                <w:szCs w:val="24"/>
              </w:rPr>
              <w:t>的综合大楼，以新带老配套建设新污水处理设施、配电房、消防、绿化等附属设施工程。新门诊住院综合大楼及附属设施工程项目总投资4800万元，建设资金由县财政拨款。</w:t>
            </w:r>
          </w:p>
          <w:p w14:paraId="51723629">
            <w:pPr>
              <w:spacing w:line="360" w:lineRule="auto"/>
              <w:ind w:firstLine="435"/>
              <w:rPr>
                <w:rFonts w:hint="eastAsia" w:ascii="Times New Roman" w:hAnsi="Times New Roman" w:cs="Times New Roman"/>
                <w:bCs w:val="0"/>
                <w:color w:val="auto"/>
                <w:sz w:val="24"/>
                <w:szCs w:val="32"/>
                <w:lang w:val="en-US" w:eastAsia="zh-CN"/>
              </w:rPr>
            </w:pPr>
            <w:r>
              <w:rPr>
                <w:rFonts w:ascii="Times New Roman" w:hAnsi="Times New Roman" w:cs="Times New Roman"/>
                <w:bCs w:val="0"/>
                <w:color w:val="auto"/>
                <w:sz w:val="24"/>
                <w:szCs w:val="32"/>
              </w:rPr>
              <w:t>2014年8月4日，闽侯县祥谦镇中心卫生院委托福建省冶金工业研究所编制该项目环境影响评价报告表。</w:t>
            </w:r>
            <w:r>
              <w:rPr>
                <w:rFonts w:hint="eastAsia" w:ascii="Times New Roman" w:hAnsi="Times New Roman" w:cs="Times New Roman"/>
                <w:bCs w:val="0"/>
                <w:color w:val="auto"/>
                <w:sz w:val="24"/>
                <w:szCs w:val="32"/>
                <w:lang w:val="en-US" w:eastAsia="zh-CN"/>
              </w:rPr>
              <w:t>2014年10月13日取得闽侯生态环境局（原闽侯县环境保护局）批复。</w:t>
            </w:r>
          </w:p>
          <w:p w14:paraId="6905DB35">
            <w:pPr>
              <w:spacing w:line="360" w:lineRule="auto"/>
              <w:ind w:firstLine="435"/>
              <w:rPr>
                <w:rFonts w:hint="default" w:ascii="Times New Roman" w:hAnsi="Times New Roman" w:eastAsia="宋体" w:cs="Times New Roman"/>
                <w:bCs w:val="0"/>
                <w:color w:val="auto"/>
                <w:sz w:val="24"/>
                <w:szCs w:val="32"/>
                <w:lang w:val="en-US" w:eastAsia="zh-CN"/>
              </w:rPr>
            </w:pPr>
            <w:r>
              <w:rPr>
                <w:rFonts w:hint="eastAsia" w:ascii="Times New Roman" w:hAnsi="Times New Roman" w:eastAsia="宋体" w:cs="Times New Roman"/>
                <w:bCs w:val="0"/>
                <w:color w:val="auto"/>
                <w:sz w:val="24"/>
                <w:szCs w:val="32"/>
              </w:rPr>
              <w:t>2023 年 07 月 30 日</w:t>
            </w:r>
            <w:r>
              <w:rPr>
                <w:rFonts w:hint="eastAsia" w:ascii="Times New Roman" w:hAnsi="Times New Roman" w:eastAsia="宋体" w:cs="Times New Roman"/>
                <w:bCs w:val="0"/>
                <w:color w:val="auto"/>
                <w:sz w:val="24"/>
                <w:szCs w:val="32"/>
                <w:lang w:eastAsia="zh-CN"/>
              </w:rPr>
              <w:t>，</w:t>
            </w:r>
            <w:r>
              <w:rPr>
                <w:rFonts w:hint="eastAsia" w:ascii="Times New Roman" w:hAnsi="Times New Roman" w:eastAsia="宋体" w:cs="Times New Roman"/>
                <w:bCs w:val="0"/>
                <w:color w:val="auto"/>
                <w:sz w:val="24"/>
                <w:szCs w:val="32"/>
              </w:rPr>
              <w:t>闽侯县祥谦镇中心卫生院已依法取得由福州市生态环境局核发的《排污许可证》，证书编号：12350121488313173Y001U，行业类别为综合医院，有效期自 2023 年 07 月 30 日至 2028 年 07 月 29 日止，发证日期为 2023 年 07 月 21 日。</w:t>
            </w:r>
            <w:r>
              <w:rPr>
                <w:rFonts w:hint="eastAsia" w:ascii="Times New Roman" w:hAnsi="Times New Roman" w:eastAsia="宋体" w:cs="Times New Roman"/>
                <w:bCs w:val="0"/>
                <w:color w:val="auto"/>
                <w:sz w:val="24"/>
                <w:szCs w:val="32"/>
                <w:lang w:val="en-US" w:eastAsia="zh-CN"/>
              </w:rPr>
              <w:t>详见附件8。</w:t>
            </w:r>
          </w:p>
          <w:p w14:paraId="07C3B91C">
            <w:pPr>
              <w:pStyle w:val="30"/>
              <w:spacing w:before="199" w:line="360" w:lineRule="auto"/>
              <w:ind w:left="105"/>
              <w:rPr>
                <w:rFonts w:hint="default"/>
                <w:b/>
                <w:bCs/>
                <w:color w:val="auto"/>
                <w:sz w:val="28"/>
                <w:szCs w:val="28"/>
                <w:lang w:val="en-US" w:eastAsia="zh-CN"/>
              </w:rPr>
            </w:pPr>
            <w:r>
              <w:rPr>
                <w:rFonts w:hint="eastAsia" w:cs="Times New Roman"/>
                <w:b/>
                <w:bCs/>
                <w:color w:val="auto"/>
                <w:sz w:val="28"/>
                <w:szCs w:val="28"/>
                <w:lang w:eastAsia="zh-CN"/>
              </w:rPr>
              <w:t>2.</w:t>
            </w:r>
            <w:r>
              <w:rPr>
                <w:rFonts w:hint="eastAsia" w:cs="Times New Roman"/>
                <w:b/>
                <w:bCs/>
                <w:color w:val="auto"/>
                <w:sz w:val="28"/>
                <w:szCs w:val="28"/>
                <w:lang w:val="en-US" w:eastAsia="zh-CN"/>
              </w:rPr>
              <w:t>5</w:t>
            </w:r>
            <w:r>
              <w:rPr>
                <w:rFonts w:hint="eastAsia" w:cs="Times New Roman"/>
                <w:b/>
                <w:bCs/>
                <w:color w:val="auto"/>
                <w:sz w:val="28"/>
                <w:szCs w:val="28"/>
                <w:lang w:eastAsia="zh-CN"/>
              </w:rPr>
              <w:t>现有工程</w:t>
            </w:r>
            <w:r>
              <w:rPr>
                <w:rFonts w:hint="eastAsia" w:cs="Times New Roman"/>
                <w:b/>
                <w:bCs/>
                <w:color w:val="auto"/>
                <w:sz w:val="28"/>
                <w:szCs w:val="28"/>
                <w:lang w:val="en-US" w:eastAsia="zh-CN"/>
              </w:rPr>
              <w:t>建设内容</w:t>
            </w:r>
          </w:p>
          <w:p w14:paraId="13EA1D8A">
            <w:pPr>
              <w:rPr>
                <w:rFonts w:hint="eastAsia" w:ascii="宋体" w:hAnsi="宋体" w:eastAsia="宋体" w:cs="宋体"/>
                <w:color w:val="auto"/>
                <w:sz w:val="21"/>
                <w:szCs w:val="21"/>
                <w:lang w:val="en-US" w:eastAsia="zh-CN"/>
              </w:rPr>
            </w:pPr>
          </w:p>
          <w:p w14:paraId="03AA9FE6">
            <w:pPr>
              <w:jc w:val="center"/>
              <w:outlineLvl w:val="4"/>
              <w:rPr>
                <w:rFonts w:hint="eastAsia" w:ascii="宋体" w:hAnsi="宋体" w:eastAsia="宋体" w:cs="宋体"/>
                <w:b/>
                <w:bCs/>
                <w:color w:val="auto"/>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2.5-1</w:t>
            </w:r>
            <w:r>
              <w:rPr>
                <w:rFonts w:hint="default" w:ascii="Times New Roman" w:hAnsi="Times New Roman" w:eastAsia="宋体" w:cs="Times New Roman"/>
                <w:b/>
                <w:bCs/>
                <w:color w:val="auto"/>
                <w:sz w:val="24"/>
                <w:szCs w:val="24"/>
              </w:rPr>
              <w:t xml:space="preserve"> </w:t>
            </w:r>
            <w:r>
              <w:rPr>
                <w:rFonts w:hint="eastAsia" w:ascii="宋体" w:hAnsi="宋体" w:eastAsia="宋体" w:cs="宋体"/>
                <w:b/>
                <w:bCs/>
                <w:color w:val="auto"/>
                <w:sz w:val="24"/>
                <w:szCs w:val="24"/>
              </w:rPr>
              <w:t>项目建设内容一览表</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90"/>
              <w:gridCol w:w="1234"/>
              <w:gridCol w:w="6366"/>
            </w:tblGrid>
            <w:tr w14:paraId="36ED76F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1206" w:type="pct"/>
                  <w:gridSpan w:val="2"/>
                  <w:noWrap w:val="0"/>
                  <w:tcMar>
                    <w:left w:w="6" w:type="dxa"/>
                    <w:right w:w="6" w:type="dxa"/>
                  </w:tcMar>
                  <w:vAlign w:val="center"/>
                </w:tcPr>
                <w:p w14:paraId="3134CB90">
                  <w:pPr>
                    <w:widowControl/>
                    <w:spacing w:line="260" w:lineRule="exact"/>
                    <w:jc w:val="left"/>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项目</w:t>
                  </w:r>
                </w:p>
              </w:tc>
              <w:tc>
                <w:tcPr>
                  <w:tcW w:w="3793" w:type="pct"/>
                  <w:noWrap w:val="0"/>
                  <w:tcMar>
                    <w:left w:w="6" w:type="dxa"/>
                    <w:right w:w="6" w:type="dxa"/>
                  </w:tcMar>
                  <w:vAlign w:val="center"/>
                </w:tcPr>
                <w:p w14:paraId="2C1511B3">
                  <w:pPr>
                    <w:widowControl/>
                    <w:spacing w:line="260" w:lineRule="exact"/>
                    <w:jc w:val="center"/>
                    <w:rPr>
                      <w:rFonts w:hint="default" w:ascii="宋体" w:hAnsi="宋体" w:eastAsia="宋体" w:cs="宋体"/>
                      <w:bCs w:val="0"/>
                      <w:color w:val="auto"/>
                      <w:kern w:val="0"/>
                      <w:sz w:val="21"/>
                      <w:szCs w:val="21"/>
                      <w:lang w:val="en-US" w:eastAsia="zh-CN"/>
                    </w:rPr>
                  </w:pPr>
                  <w:r>
                    <w:rPr>
                      <w:rFonts w:hint="eastAsia" w:ascii="宋体" w:hAnsi="宋体" w:eastAsia="宋体" w:cs="宋体"/>
                      <w:bCs w:val="0"/>
                      <w:color w:val="auto"/>
                      <w:kern w:val="0"/>
                      <w:sz w:val="21"/>
                      <w:szCs w:val="21"/>
                      <w:lang w:val="en-US" w:eastAsia="zh-CN"/>
                    </w:rPr>
                    <w:t>建设情况</w:t>
                  </w:r>
                </w:p>
              </w:tc>
            </w:tr>
            <w:tr w14:paraId="4FDD0F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restart"/>
                  <w:noWrap w:val="0"/>
                  <w:tcMar>
                    <w:left w:w="6" w:type="dxa"/>
                    <w:right w:w="6" w:type="dxa"/>
                  </w:tcMar>
                  <w:vAlign w:val="center"/>
                </w:tcPr>
                <w:p w14:paraId="2F3282D8">
                  <w:pPr>
                    <w:widowControl/>
                    <w:spacing w:line="260" w:lineRule="exact"/>
                    <w:jc w:val="left"/>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主体工程</w:t>
                  </w:r>
                </w:p>
              </w:tc>
              <w:tc>
                <w:tcPr>
                  <w:tcW w:w="734" w:type="pct"/>
                  <w:noWrap w:val="0"/>
                  <w:tcMar>
                    <w:left w:w="6" w:type="dxa"/>
                    <w:right w:w="6" w:type="dxa"/>
                  </w:tcMar>
                  <w:vAlign w:val="center"/>
                </w:tcPr>
                <w:p w14:paraId="6BCA89D5">
                  <w:pPr>
                    <w:widowControl/>
                    <w:spacing w:line="260" w:lineRule="exact"/>
                    <w:jc w:val="center"/>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规模</w:t>
                  </w:r>
                </w:p>
              </w:tc>
              <w:tc>
                <w:tcPr>
                  <w:tcW w:w="3793" w:type="pct"/>
                  <w:noWrap w:val="0"/>
                  <w:tcMar>
                    <w:left w:w="6" w:type="dxa"/>
                    <w:right w:w="6" w:type="dxa"/>
                  </w:tcMar>
                  <w:vAlign w:val="center"/>
                </w:tcPr>
                <w:p w14:paraId="09B754F1">
                  <w:pPr>
                    <w:widowControl/>
                    <w:spacing w:line="260" w:lineRule="exact"/>
                    <w:jc w:val="left"/>
                    <w:rPr>
                      <w:rFonts w:hint="default" w:ascii="Times New Roman" w:hAnsi="Times New Roman" w:eastAsia="宋体" w:cs="Times New Roman"/>
                      <w:bCs w:val="0"/>
                      <w:color w:val="auto"/>
                      <w:kern w:val="0"/>
                      <w:sz w:val="21"/>
                      <w:szCs w:val="21"/>
                    </w:rPr>
                  </w:pPr>
                  <w:r>
                    <w:rPr>
                      <w:rFonts w:hint="default" w:ascii="Times New Roman" w:hAnsi="Times New Roman" w:eastAsia="宋体" w:cs="Times New Roman"/>
                      <w:bCs w:val="0"/>
                      <w:color w:val="auto"/>
                      <w:kern w:val="0"/>
                      <w:sz w:val="21"/>
                      <w:szCs w:val="21"/>
                    </w:rPr>
                    <w:t>闽侯县祥谦镇中心卫生院（县第二医院）属于一级医院，床位1</w:t>
                  </w:r>
                  <w:r>
                    <w:rPr>
                      <w:rFonts w:hint="default" w:ascii="Times New Roman" w:hAnsi="Times New Roman" w:eastAsia="宋体" w:cs="Times New Roman"/>
                      <w:bCs w:val="0"/>
                      <w:color w:val="auto"/>
                      <w:kern w:val="0"/>
                      <w:sz w:val="21"/>
                      <w:szCs w:val="21"/>
                      <w:lang w:val="en-US" w:eastAsia="zh-CN"/>
                    </w:rPr>
                    <w:t>8</w:t>
                  </w:r>
                  <w:r>
                    <w:rPr>
                      <w:rFonts w:hint="default" w:ascii="Times New Roman" w:hAnsi="Times New Roman" w:eastAsia="宋体" w:cs="Times New Roman"/>
                      <w:bCs w:val="0"/>
                      <w:color w:val="auto"/>
                      <w:kern w:val="0"/>
                      <w:sz w:val="21"/>
                      <w:szCs w:val="21"/>
                    </w:rPr>
                    <w:t>0张，年门诊量30万人次，住院量5000多人次。</w:t>
                  </w:r>
                </w:p>
              </w:tc>
            </w:tr>
            <w:tr w14:paraId="0299C2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continue"/>
                  <w:noWrap w:val="0"/>
                  <w:tcMar>
                    <w:left w:w="6" w:type="dxa"/>
                    <w:right w:w="6" w:type="dxa"/>
                  </w:tcMar>
                  <w:vAlign w:val="center"/>
                </w:tcPr>
                <w:p w14:paraId="5FB3DFAC">
                  <w:pPr>
                    <w:widowControl/>
                    <w:spacing w:line="260" w:lineRule="exact"/>
                    <w:jc w:val="left"/>
                    <w:rPr>
                      <w:rFonts w:hint="eastAsia" w:ascii="宋体" w:hAnsi="宋体" w:eastAsia="宋体" w:cs="宋体"/>
                      <w:bCs w:val="0"/>
                      <w:color w:val="auto"/>
                      <w:kern w:val="0"/>
                      <w:sz w:val="21"/>
                      <w:szCs w:val="21"/>
                    </w:rPr>
                  </w:pPr>
                </w:p>
              </w:tc>
              <w:tc>
                <w:tcPr>
                  <w:tcW w:w="734" w:type="pct"/>
                  <w:noWrap w:val="0"/>
                  <w:tcMar>
                    <w:left w:w="6" w:type="dxa"/>
                    <w:right w:w="6" w:type="dxa"/>
                  </w:tcMar>
                  <w:vAlign w:val="center"/>
                </w:tcPr>
                <w:p w14:paraId="724F6F24">
                  <w:pPr>
                    <w:widowControl/>
                    <w:spacing w:line="260" w:lineRule="exact"/>
                    <w:jc w:val="center"/>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门诊住院综合大楼</w:t>
                  </w:r>
                </w:p>
              </w:tc>
              <w:tc>
                <w:tcPr>
                  <w:tcW w:w="3793" w:type="pct"/>
                  <w:noWrap w:val="0"/>
                  <w:tcMar>
                    <w:left w:w="6" w:type="dxa"/>
                    <w:right w:w="6" w:type="dxa"/>
                  </w:tcMar>
                  <w:vAlign w:val="center"/>
                </w:tcPr>
                <w:p w14:paraId="44ED0BE3">
                  <w:pPr>
                    <w:spacing w:line="280" w:lineRule="exact"/>
                    <w:jc w:val="left"/>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门诊住院综合大楼1栋（主楼7层、裙楼3-4层），将现有门诊科室和住院系统搬至新楼内，旧楼停止使用。</w:t>
                  </w:r>
                </w:p>
              </w:tc>
            </w:tr>
            <w:tr w14:paraId="778DDB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restart"/>
                  <w:noWrap w:val="0"/>
                  <w:tcMar>
                    <w:left w:w="6" w:type="dxa"/>
                    <w:right w:w="6" w:type="dxa"/>
                  </w:tcMar>
                  <w:vAlign w:val="center"/>
                </w:tcPr>
                <w:p w14:paraId="66191BAB">
                  <w:pPr>
                    <w:widowControl/>
                    <w:spacing w:line="260" w:lineRule="exact"/>
                    <w:jc w:val="left"/>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公辅工程</w:t>
                  </w:r>
                </w:p>
              </w:tc>
              <w:tc>
                <w:tcPr>
                  <w:tcW w:w="734" w:type="pct"/>
                  <w:noWrap w:val="0"/>
                  <w:tcMar>
                    <w:left w:w="6" w:type="dxa"/>
                    <w:right w:w="6" w:type="dxa"/>
                  </w:tcMar>
                  <w:vAlign w:val="center"/>
                </w:tcPr>
                <w:p w14:paraId="6A724978">
                  <w:pPr>
                    <w:widowControl/>
                    <w:spacing w:line="260" w:lineRule="exact"/>
                    <w:jc w:val="center"/>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供水</w:t>
                  </w:r>
                </w:p>
              </w:tc>
              <w:tc>
                <w:tcPr>
                  <w:tcW w:w="3793" w:type="pct"/>
                  <w:noWrap w:val="0"/>
                  <w:tcMar>
                    <w:left w:w="6" w:type="dxa"/>
                    <w:right w:w="6" w:type="dxa"/>
                  </w:tcMar>
                  <w:vAlign w:val="center"/>
                </w:tcPr>
                <w:p w14:paraId="4710FB7D">
                  <w:pPr>
                    <w:widowControl/>
                    <w:spacing w:line="260" w:lineRule="exact"/>
                    <w:jc w:val="left"/>
                    <w:rPr>
                      <w:rFonts w:hint="default" w:ascii="Times New Roman" w:hAnsi="Times New Roman" w:eastAsia="宋体" w:cs="Times New Roman"/>
                      <w:bCs w:val="0"/>
                      <w:color w:val="auto"/>
                      <w:kern w:val="0"/>
                      <w:sz w:val="21"/>
                      <w:szCs w:val="21"/>
                    </w:rPr>
                  </w:pPr>
                  <w:r>
                    <w:rPr>
                      <w:rFonts w:hint="default" w:ascii="Times New Roman" w:hAnsi="Times New Roman" w:eastAsia="宋体" w:cs="Times New Roman"/>
                      <w:color w:val="auto"/>
                      <w:sz w:val="21"/>
                      <w:szCs w:val="21"/>
                      <w:u w:val="none" w:color="FF0000"/>
                    </w:rPr>
                    <w:t>由市政供水管网供给</w:t>
                  </w:r>
                </w:p>
              </w:tc>
            </w:tr>
            <w:tr w14:paraId="55E05D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continue"/>
                  <w:noWrap w:val="0"/>
                  <w:tcMar>
                    <w:left w:w="6" w:type="dxa"/>
                    <w:right w:w="6" w:type="dxa"/>
                  </w:tcMar>
                  <w:vAlign w:val="center"/>
                </w:tcPr>
                <w:p w14:paraId="0DAE7D5C">
                  <w:pPr>
                    <w:widowControl/>
                    <w:spacing w:line="260" w:lineRule="exact"/>
                    <w:jc w:val="left"/>
                    <w:rPr>
                      <w:rFonts w:hint="eastAsia" w:ascii="宋体" w:hAnsi="宋体" w:eastAsia="宋体" w:cs="宋体"/>
                      <w:bCs w:val="0"/>
                      <w:color w:val="auto"/>
                      <w:kern w:val="0"/>
                      <w:sz w:val="21"/>
                      <w:szCs w:val="21"/>
                    </w:rPr>
                  </w:pPr>
                </w:p>
              </w:tc>
              <w:tc>
                <w:tcPr>
                  <w:tcW w:w="734" w:type="pct"/>
                  <w:noWrap w:val="0"/>
                  <w:tcMar>
                    <w:left w:w="6" w:type="dxa"/>
                    <w:right w:w="6" w:type="dxa"/>
                  </w:tcMar>
                  <w:vAlign w:val="center"/>
                </w:tcPr>
                <w:p w14:paraId="146E34AD">
                  <w:pPr>
                    <w:widowControl/>
                    <w:spacing w:line="260" w:lineRule="exact"/>
                    <w:jc w:val="center"/>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排水</w:t>
                  </w:r>
                </w:p>
              </w:tc>
              <w:tc>
                <w:tcPr>
                  <w:tcW w:w="3793" w:type="pct"/>
                  <w:noWrap w:val="0"/>
                  <w:tcMar>
                    <w:left w:w="6" w:type="dxa"/>
                    <w:right w:w="6" w:type="dxa"/>
                  </w:tcMar>
                  <w:vAlign w:val="center"/>
                </w:tcPr>
                <w:p w14:paraId="21BF3A3B">
                  <w:pPr>
                    <w:widowControl/>
                    <w:spacing w:line="260" w:lineRule="exact"/>
                    <w:jc w:val="left"/>
                    <w:rPr>
                      <w:rFonts w:hint="default" w:ascii="Times New Roman" w:hAnsi="Times New Roman" w:eastAsia="宋体" w:cs="Times New Roman"/>
                      <w:color w:val="auto"/>
                      <w:sz w:val="21"/>
                      <w:szCs w:val="21"/>
                      <w:u w:val="none" w:color="FF0000"/>
                      <w:lang w:val="en-US"/>
                    </w:rPr>
                  </w:pPr>
                  <w:r>
                    <w:rPr>
                      <w:rFonts w:hint="default" w:ascii="Times New Roman" w:hAnsi="Times New Roman" w:eastAsia="宋体" w:cs="Times New Roman"/>
                      <w:color w:val="auto"/>
                      <w:sz w:val="21"/>
                      <w:szCs w:val="21"/>
                      <w:u w:val="none" w:color="FF0000"/>
                    </w:rPr>
                    <w:t>雨污分流，</w:t>
                  </w:r>
                  <w:r>
                    <w:rPr>
                      <w:rFonts w:hint="default" w:ascii="Times New Roman" w:hAnsi="Times New Roman" w:eastAsia="宋体" w:cs="Times New Roman"/>
                      <w:bCs w:val="0"/>
                      <w:color w:val="auto"/>
                      <w:kern w:val="0"/>
                      <w:sz w:val="21"/>
                      <w:szCs w:val="21"/>
                    </w:rPr>
                    <w:t>均排入卫生院</w:t>
                  </w:r>
                  <w:r>
                    <w:rPr>
                      <w:rFonts w:hint="eastAsia" w:ascii="Times New Roman" w:hAnsi="Times New Roman" w:eastAsia="宋体" w:cs="Times New Roman"/>
                      <w:bCs w:val="0"/>
                      <w:color w:val="auto"/>
                      <w:kern w:val="0"/>
                      <w:sz w:val="21"/>
                      <w:szCs w:val="21"/>
                      <w:lang w:val="en-US" w:eastAsia="zh-CN"/>
                    </w:rPr>
                    <w:t>西侧水渠</w:t>
                  </w:r>
                </w:p>
              </w:tc>
            </w:tr>
            <w:tr w14:paraId="4B2432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continue"/>
                  <w:noWrap w:val="0"/>
                  <w:tcMar>
                    <w:left w:w="6" w:type="dxa"/>
                    <w:right w:w="6" w:type="dxa"/>
                  </w:tcMar>
                  <w:vAlign w:val="center"/>
                </w:tcPr>
                <w:p w14:paraId="3AEEB389">
                  <w:pPr>
                    <w:widowControl/>
                    <w:spacing w:line="260" w:lineRule="exact"/>
                    <w:jc w:val="left"/>
                    <w:rPr>
                      <w:rFonts w:hint="eastAsia" w:ascii="宋体" w:hAnsi="宋体" w:eastAsia="宋体" w:cs="宋体"/>
                      <w:bCs w:val="0"/>
                      <w:color w:val="auto"/>
                      <w:kern w:val="0"/>
                      <w:sz w:val="21"/>
                      <w:szCs w:val="21"/>
                    </w:rPr>
                  </w:pPr>
                </w:p>
              </w:tc>
              <w:tc>
                <w:tcPr>
                  <w:tcW w:w="734" w:type="pct"/>
                  <w:noWrap w:val="0"/>
                  <w:tcMar>
                    <w:left w:w="6" w:type="dxa"/>
                    <w:right w:w="6" w:type="dxa"/>
                  </w:tcMar>
                  <w:vAlign w:val="center"/>
                </w:tcPr>
                <w:p w14:paraId="19E1DE96">
                  <w:pPr>
                    <w:widowControl/>
                    <w:spacing w:line="260" w:lineRule="exact"/>
                    <w:jc w:val="center"/>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供电</w:t>
                  </w:r>
                </w:p>
              </w:tc>
              <w:tc>
                <w:tcPr>
                  <w:tcW w:w="3793" w:type="pct"/>
                  <w:noWrap w:val="0"/>
                  <w:tcMar>
                    <w:left w:w="6" w:type="dxa"/>
                    <w:right w:w="6" w:type="dxa"/>
                  </w:tcMar>
                  <w:vAlign w:val="center"/>
                </w:tcPr>
                <w:p w14:paraId="5E7C8888">
                  <w:pPr>
                    <w:widowControl/>
                    <w:spacing w:line="260" w:lineRule="exact"/>
                    <w:jc w:val="left"/>
                    <w:rPr>
                      <w:rFonts w:hint="default" w:ascii="Times New Roman" w:hAnsi="Times New Roman" w:eastAsia="宋体" w:cs="Times New Roman"/>
                      <w:bCs w:val="0"/>
                      <w:color w:val="auto"/>
                      <w:kern w:val="0"/>
                      <w:sz w:val="21"/>
                      <w:szCs w:val="21"/>
                    </w:rPr>
                  </w:pPr>
                  <w:r>
                    <w:rPr>
                      <w:rFonts w:hint="default" w:ascii="Times New Roman" w:hAnsi="Times New Roman" w:eastAsia="宋体" w:cs="Times New Roman"/>
                      <w:bCs w:val="0"/>
                      <w:color w:val="auto"/>
                      <w:sz w:val="21"/>
                      <w:szCs w:val="21"/>
                      <w:u w:val="none" w:color="FF0000"/>
                    </w:rPr>
                    <w:t>130m</w:t>
                  </w:r>
                  <w:r>
                    <w:rPr>
                      <w:rFonts w:hint="default" w:ascii="Times New Roman" w:hAnsi="Times New Roman" w:eastAsia="宋体" w:cs="Times New Roman"/>
                      <w:bCs w:val="0"/>
                      <w:color w:val="auto"/>
                      <w:sz w:val="21"/>
                      <w:szCs w:val="21"/>
                      <w:u w:val="none" w:color="FF0000"/>
                      <w:vertAlign w:val="superscript"/>
                    </w:rPr>
                    <w:t>2</w:t>
                  </w:r>
                  <w:r>
                    <w:rPr>
                      <w:rFonts w:hint="default" w:ascii="Times New Roman" w:hAnsi="Times New Roman" w:eastAsia="宋体" w:cs="Times New Roman"/>
                      <w:bCs w:val="0"/>
                      <w:color w:val="auto"/>
                      <w:sz w:val="21"/>
                      <w:szCs w:val="21"/>
                      <w:u w:val="none" w:color="FF0000"/>
                    </w:rPr>
                    <w:t>的配电房，设置2台800kVA干式变压器</w:t>
                  </w:r>
                </w:p>
              </w:tc>
            </w:tr>
            <w:tr w14:paraId="50E016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continue"/>
                  <w:noWrap w:val="0"/>
                  <w:tcMar>
                    <w:left w:w="6" w:type="dxa"/>
                    <w:right w:w="6" w:type="dxa"/>
                  </w:tcMar>
                  <w:vAlign w:val="center"/>
                </w:tcPr>
                <w:p w14:paraId="5C0D4582">
                  <w:pPr>
                    <w:widowControl/>
                    <w:spacing w:line="260" w:lineRule="exact"/>
                    <w:jc w:val="left"/>
                    <w:rPr>
                      <w:rFonts w:hint="eastAsia" w:ascii="宋体" w:hAnsi="宋体" w:eastAsia="宋体" w:cs="宋体"/>
                      <w:bCs w:val="0"/>
                      <w:color w:val="auto"/>
                      <w:kern w:val="0"/>
                      <w:sz w:val="21"/>
                      <w:szCs w:val="21"/>
                    </w:rPr>
                  </w:pPr>
                </w:p>
              </w:tc>
              <w:tc>
                <w:tcPr>
                  <w:tcW w:w="734" w:type="pct"/>
                  <w:noWrap w:val="0"/>
                  <w:tcMar>
                    <w:left w:w="6" w:type="dxa"/>
                    <w:right w:w="6" w:type="dxa"/>
                  </w:tcMar>
                  <w:vAlign w:val="center"/>
                </w:tcPr>
                <w:p w14:paraId="0245867B">
                  <w:pPr>
                    <w:widowControl/>
                    <w:spacing w:line="260" w:lineRule="exact"/>
                    <w:jc w:val="center"/>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供热</w:t>
                  </w:r>
                </w:p>
              </w:tc>
              <w:tc>
                <w:tcPr>
                  <w:tcW w:w="3793" w:type="pct"/>
                  <w:noWrap w:val="0"/>
                  <w:tcMar>
                    <w:left w:w="6" w:type="dxa"/>
                    <w:right w:w="6" w:type="dxa"/>
                  </w:tcMar>
                  <w:vAlign w:val="center"/>
                </w:tcPr>
                <w:p w14:paraId="6A88E1E6">
                  <w:pPr>
                    <w:spacing w:line="280" w:lineRule="exact"/>
                    <w:jc w:val="left"/>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门诊住院综合大楼的供热系统、使用太阳能、电能</w:t>
                  </w:r>
                </w:p>
              </w:tc>
            </w:tr>
            <w:tr w14:paraId="298385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continue"/>
                  <w:noWrap w:val="0"/>
                  <w:tcMar>
                    <w:left w:w="6" w:type="dxa"/>
                    <w:right w:w="6" w:type="dxa"/>
                  </w:tcMar>
                  <w:vAlign w:val="center"/>
                </w:tcPr>
                <w:p w14:paraId="4E6746AF">
                  <w:pPr>
                    <w:widowControl/>
                    <w:spacing w:line="260" w:lineRule="exact"/>
                    <w:jc w:val="left"/>
                    <w:rPr>
                      <w:rFonts w:hint="eastAsia" w:ascii="宋体" w:hAnsi="宋体" w:eastAsia="宋体" w:cs="宋体"/>
                      <w:bCs w:val="0"/>
                      <w:color w:val="auto"/>
                      <w:kern w:val="0"/>
                      <w:sz w:val="21"/>
                      <w:szCs w:val="21"/>
                    </w:rPr>
                  </w:pPr>
                </w:p>
              </w:tc>
              <w:tc>
                <w:tcPr>
                  <w:tcW w:w="734" w:type="pct"/>
                  <w:noWrap w:val="0"/>
                  <w:tcMar>
                    <w:left w:w="6" w:type="dxa"/>
                    <w:right w:w="6" w:type="dxa"/>
                  </w:tcMar>
                  <w:vAlign w:val="center"/>
                </w:tcPr>
                <w:p w14:paraId="7CBCCF6B">
                  <w:pPr>
                    <w:widowControl/>
                    <w:spacing w:line="260" w:lineRule="exact"/>
                    <w:jc w:val="center"/>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停车位</w:t>
                  </w:r>
                </w:p>
              </w:tc>
              <w:tc>
                <w:tcPr>
                  <w:tcW w:w="3793" w:type="pct"/>
                  <w:noWrap w:val="0"/>
                  <w:tcMar>
                    <w:left w:w="6" w:type="dxa"/>
                    <w:right w:w="6" w:type="dxa"/>
                  </w:tcMar>
                  <w:vAlign w:val="center"/>
                </w:tcPr>
                <w:p w14:paraId="281AB8C3">
                  <w:pPr>
                    <w:widowControl/>
                    <w:spacing w:line="260" w:lineRule="exact"/>
                    <w:jc w:val="left"/>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kern w:val="0"/>
                      <w:sz w:val="21"/>
                      <w:szCs w:val="21"/>
                    </w:rPr>
                    <w:t>机动车车位数116辆，非机动车车位数928辆，停车指标整个院区平衡</w:t>
                  </w:r>
                </w:p>
              </w:tc>
            </w:tr>
            <w:tr w14:paraId="3C9ACB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continue"/>
                  <w:noWrap w:val="0"/>
                  <w:tcMar>
                    <w:left w:w="6" w:type="dxa"/>
                    <w:right w:w="6" w:type="dxa"/>
                  </w:tcMar>
                  <w:vAlign w:val="center"/>
                </w:tcPr>
                <w:p w14:paraId="483CF934">
                  <w:pPr>
                    <w:widowControl/>
                    <w:spacing w:line="260" w:lineRule="exact"/>
                    <w:jc w:val="left"/>
                    <w:rPr>
                      <w:rFonts w:hint="eastAsia" w:ascii="宋体" w:hAnsi="宋体" w:eastAsia="宋体" w:cs="宋体"/>
                      <w:bCs w:val="0"/>
                      <w:color w:val="auto"/>
                      <w:kern w:val="0"/>
                      <w:sz w:val="21"/>
                      <w:szCs w:val="21"/>
                    </w:rPr>
                  </w:pPr>
                </w:p>
              </w:tc>
              <w:tc>
                <w:tcPr>
                  <w:tcW w:w="734" w:type="pct"/>
                  <w:noWrap w:val="0"/>
                  <w:tcMar>
                    <w:left w:w="6" w:type="dxa"/>
                    <w:right w:w="6" w:type="dxa"/>
                  </w:tcMar>
                  <w:vAlign w:val="center"/>
                </w:tcPr>
                <w:p w14:paraId="434B3517">
                  <w:pPr>
                    <w:widowControl/>
                    <w:spacing w:line="260" w:lineRule="exact"/>
                    <w:jc w:val="center"/>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食堂</w:t>
                  </w:r>
                </w:p>
              </w:tc>
              <w:tc>
                <w:tcPr>
                  <w:tcW w:w="3793" w:type="pct"/>
                  <w:noWrap w:val="0"/>
                  <w:tcMar>
                    <w:left w:w="6" w:type="dxa"/>
                    <w:right w:w="6" w:type="dxa"/>
                  </w:tcMar>
                  <w:vAlign w:val="center"/>
                </w:tcPr>
                <w:p w14:paraId="484F8BCA">
                  <w:pPr>
                    <w:spacing w:line="280" w:lineRule="exact"/>
                    <w:jc w:val="left"/>
                    <w:rPr>
                      <w:rFonts w:hint="default" w:ascii="Times New Roman" w:hAnsi="Times New Roman" w:eastAsia="宋体" w:cs="Times New Roman"/>
                      <w:color w:val="auto"/>
                      <w:sz w:val="21"/>
                      <w:szCs w:val="21"/>
                      <w:u w:val="none" w:color="FF0000"/>
                    </w:rPr>
                  </w:pPr>
                  <w:r>
                    <w:rPr>
                      <w:rFonts w:hint="default" w:ascii="Times New Roman" w:hAnsi="Times New Roman" w:eastAsia="宋体" w:cs="Times New Roman"/>
                      <w:bCs w:val="0"/>
                      <w:color w:val="auto"/>
                      <w:kern w:val="0"/>
                      <w:sz w:val="21"/>
                      <w:szCs w:val="21"/>
                    </w:rPr>
                    <w:t>卫生院工程北部，食堂使用管道煤气作燃料</w:t>
                  </w:r>
                </w:p>
              </w:tc>
            </w:tr>
            <w:tr w14:paraId="01E3FA2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continue"/>
                  <w:noWrap w:val="0"/>
                  <w:tcMar>
                    <w:left w:w="6" w:type="dxa"/>
                    <w:right w:w="6" w:type="dxa"/>
                  </w:tcMar>
                  <w:vAlign w:val="center"/>
                </w:tcPr>
                <w:p w14:paraId="27486E19">
                  <w:pPr>
                    <w:widowControl/>
                    <w:spacing w:line="260" w:lineRule="exact"/>
                    <w:jc w:val="left"/>
                    <w:rPr>
                      <w:rFonts w:hint="eastAsia" w:ascii="宋体" w:hAnsi="宋体" w:eastAsia="宋体" w:cs="宋体"/>
                      <w:bCs w:val="0"/>
                      <w:color w:val="auto"/>
                      <w:kern w:val="0"/>
                      <w:sz w:val="21"/>
                      <w:szCs w:val="21"/>
                    </w:rPr>
                  </w:pPr>
                </w:p>
              </w:tc>
              <w:tc>
                <w:tcPr>
                  <w:tcW w:w="734" w:type="pct"/>
                  <w:noWrap w:val="0"/>
                  <w:tcMar>
                    <w:left w:w="6" w:type="dxa"/>
                    <w:right w:w="6" w:type="dxa"/>
                  </w:tcMar>
                  <w:vAlign w:val="center"/>
                </w:tcPr>
                <w:p w14:paraId="1DFDD169">
                  <w:pPr>
                    <w:widowControl/>
                    <w:spacing w:line="260" w:lineRule="exact"/>
                    <w:jc w:val="center"/>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宿舍</w:t>
                  </w:r>
                </w:p>
              </w:tc>
              <w:tc>
                <w:tcPr>
                  <w:tcW w:w="3793" w:type="pct"/>
                  <w:noWrap w:val="0"/>
                  <w:tcMar>
                    <w:left w:w="6" w:type="dxa"/>
                    <w:right w:w="6" w:type="dxa"/>
                  </w:tcMar>
                  <w:vAlign w:val="center"/>
                </w:tcPr>
                <w:p w14:paraId="09E1703B">
                  <w:pPr>
                    <w:widowControl/>
                    <w:spacing w:line="260" w:lineRule="exact"/>
                    <w:jc w:val="left"/>
                    <w:rPr>
                      <w:rFonts w:hint="default" w:ascii="Times New Roman" w:hAnsi="Times New Roman" w:eastAsia="宋体" w:cs="Times New Roman"/>
                      <w:bCs w:val="0"/>
                      <w:color w:val="auto"/>
                      <w:kern w:val="0"/>
                      <w:sz w:val="21"/>
                      <w:szCs w:val="21"/>
                    </w:rPr>
                  </w:pPr>
                  <w:r>
                    <w:rPr>
                      <w:rFonts w:hint="default" w:ascii="Times New Roman" w:hAnsi="Times New Roman" w:eastAsia="宋体" w:cs="Times New Roman"/>
                      <w:bCs w:val="0"/>
                      <w:color w:val="auto"/>
                      <w:kern w:val="0"/>
                      <w:sz w:val="21"/>
                      <w:szCs w:val="21"/>
                    </w:rPr>
                    <w:t>卫生院工程南部，6层宿舍楼</w:t>
                  </w:r>
                </w:p>
              </w:tc>
            </w:tr>
            <w:tr w14:paraId="180EE8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continue"/>
                  <w:noWrap w:val="0"/>
                  <w:tcMar>
                    <w:left w:w="6" w:type="dxa"/>
                    <w:right w:w="6" w:type="dxa"/>
                  </w:tcMar>
                  <w:vAlign w:val="center"/>
                </w:tcPr>
                <w:p w14:paraId="24562E3B">
                  <w:pPr>
                    <w:widowControl/>
                    <w:spacing w:line="260" w:lineRule="exact"/>
                    <w:jc w:val="left"/>
                    <w:rPr>
                      <w:rFonts w:hint="eastAsia" w:ascii="宋体" w:hAnsi="宋体" w:eastAsia="宋体" w:cs="宋体"/>
                      <w:bCs w:val="0"/>
                      <w:color w:val="auto"/>
                      <w:kern w:val="0"/>
                      <w:sz w:val="21"/>
                      <w:szCs w:val="21"/>
                    </w:rPr>
                  </w:pPr>
                </w:p>
              </w:tc>
              <w:tc>
                <w:tcPr>
                  <w:tcW w:w="734" w:type="pct"/>
                  <w:noWrap w:val="0"/>
                  <w:tcMar>
                    <w:left w:w="6" w:type="dxa"/>
                    <w:right w:w="6" w:type="dxa"/>
                  </w:tcMar>
                  <w:vAlign w:val="center"/>
                </w:tcPr>
                <w:p w14:paraId="474EBB10">
                  <w:pPr>
                    <w:widowControl/>
                    <w:spacing w:line="260" w:lineRule="exact"/>
                    <w:jc w:val="left"/>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办公场所</w:t>
                  </w:r>
                </w:p>
              </w:tc>
              <w:tc>
                <w:tcPr>
                  <w:tcW w:w="3793" w:type="pct"/>
                  <w:noWrap w:val="0"/>
                  <w:tcMar>
                    <w:left w:w="6" w:type="dxa"/>
                    <w:right w:w="6" w:type="dxa"/>
                  </w:tcMar>
                  <w:vAlign w:val="center"/>
                </w:tcPr>
                <w:p w14:paraId="7D9D7EF5">
                  <w:pPr>
                    <w:widowControl/>
                    <w:spacing w:line="260" w:lineRule="exact"/>
                    <w:jc w:val="left"/>
                    <w:rPr>
                      <w:rFonts w:hint="default" w:ascii="Times New Roman" w:hAnsi="Times New Roman" w:eastAsia="宋体" w:cs="Times New Roman"/>
                      <w:bCs w:val="0"/>
                      <w:color w:val="auto"/>
                      <w:kern w:val="0"/>
                      <w:sz w:val="21"/>
                      <w:szCs w:val="21"/>
                    </w:rPr>
                  </w:pPr>
                  <w:r>
                    <w:rPr>
                      <w:rFonts w:hint="default" w:ascii="Times New Roman" w:hAnsi="Times New Roman" w:eastAsia="宋体" w:cs="Times New Roman"/>
                      <w:bCs w:val="0"/>
                      <w:color w:val="auto"/>
                      <w:kern w:val="0"/>
                      <w:sz w:val="21"/>
                      <w:szCs w:val="21"/>
                    </w:rPr>
                    <w:t>医院行政办公系统设在门诊楼三楼。</w:t>
                  </w:r>
                </w:p>
              </w:tc>
            </w:tr>
            <w:tr w14:paraId="6E8CB9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restart"/>
                  <w:noWrap w:val="0"/>
                  <w:tcMar>
                    <w:left w:w="6" w:type="dxa"/>
                    <w:right w:w="6" w:type="dxa"/>
                  </w:tcMar>
                  <w:vAlign w:val="center"/>
                </w:tcPr>
                <w:p w14:paraId="140136F2">
                  <w:pPr>
                    <w:spacing w:line="260" w:lineRule="exact"/>
                    <w:jc w:val="left"/>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环保工程</w:t>
                  </w:r>
                </w:p>
              </w:tc>
              <w:tc>
                <w:tcPr>
                  <w:tcW w:w="734" w:type="pct"/>
                  <w:vMerge w:val="restart"/>
                  <w:noWrap w:val="0"/>
                  <w:tcMar>
                    <w:left w:w="6" w:type="dxa"/>
                    <w:right w:w="6" w:type="dxa"/>
                  </w:tcMar>
                  <w:vAlign w:val="center"/>
                </w:tcPr>
                <w:p w14:paraId="17806640">
                  <w:pPr>
                    <w:widowControl/>
                    <w:spacing w:line="260" w:lineRule="exact"/>
                    <w:jc w:val="left"/>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废气治理</w:t>
                  </w:r>
                </w:p>
              </w:tc>
              <w:tc>
                <w:tcPr>
                  <w:tcW w:w="3793" w:type="pct"/>
                  <w:noWrap w:val="0"/>
                  <w:tcMar>
                    <w:left w:w="6" w:type="dxa"/>
                    <w:right w:w="6" w:type="dxa"/>
                  </w:tcMar>
                  <w:vAlign w:val="center"/>
                </w:tcPr>
                <w:p w14:paraId="3A9A6CCC">
                  <w:pPr>
                    <w:widowControl/>
                    <w:spacing w:line="260" w:lineRule="exact"/>
                    <w:jc w:val="left"/>
                    <w:rPr>
                      <w:rFonts w:hint="default" w:ascii="Times New Roman" w:hAnsi="Times New Roman" w:eastAsia="宋体" w:cs="Times New Roman"/>
                      <w:bCs w:val="0"/>
                      <w:color w:val="auto"/>
                      <w:kern w:val="0"/>
                      <w:sz w:val="21"/>
                      <w:szCs w:val="21"/>
                    </w:rPr>
                  </w:pPr>
                  <w:r>
                    <w:rPr>
                      <w:rFonts w:hint="default" w:ascii="Times New Roman" w:hAnsi="Times New Roman" w:eastAsia="宋体" w:cs="Times New Roman"/>
                      <w:bCs w:val="0"/>
                      <w:color w:val="auto"/>
                      <w:kern w:val="0"/>
                      <w:sz w:val="21"/>
                      <w:szCs w:val="21"/>
                    </w:rPr>
                    <w:t>食堂设6000m</w:t>
                  </w:r>
                  <w:r>
                    <w:rPr>
                      <w:rFonts w:hint="default" w:ascii="Times New Roman" w:hAnsi="Times New Roman" w:eastAsia="宋体" w:cs="Times New Roman"/>
                      <w:bCs w:val="0"/>
                      <w:color w:val="auto"/>
                      <w:kern w:val="0"/>
                      <w:sz w:val="21"/>
                      <w:szCs w:val="21"/>
                      <w:vertAlign w:val="superscript"/>
                    </w:rPr>
                    <w:t>3</w:t>
                  </w:r>
                  <w:r>
                    <w:rPr>
                      <w:rFonts w:hint="default" w:ascii="Times New Roman" w:hAnsi="Times New Roman" w:eastAsia="宋体" w:cs="Times New Roman"/>
                      <w:bCs w:val="0"/>
                      <w:color w:val="auto"/>
                      <w:kern w:val="0"/>
                      <w:sz w:val="21"/>
                      <w:szCs w:val="21"/>
                    </w:rPr>
                    <w:t>/h的油烟净化器，油烟处理后引至屋顶排放。</w:t>
                  </w:r>
                </w:p>
              </w:tc>
            </w:tr>
            <w:tr w14:paraId="30C03B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continue"/>
                  <w:noWrap w:val="0"/>
                  <w:tcMar>
                    <w:left w:w="6" w:type="dxa"/>
                    <w:right w:w="6" w:type="dxa"/>
                  </w:tcMar>
                  <w:vAlign w:val="center"/>
                </w:tcPr>
                <w:p w14:paraId="62F18C25">
                  <w:pPr>
                    <w:spacing w:line="260" w:lineRule="exact"/>
                    <w:jc w:val="left"/>
                    <w:rPr>
                      <w:rFonts w:hint="eastAsia" w:ascii="宋体" w:hAnsi="宋体" w:eastAsia="宋体" w:cs="宋体"/>
                      <w:bCs w:val="0"/>
                      <w:color w:val="auto"/>
                      <w:kern w:val="0"/>
                      <w:sz w:val="21"/>
                      <w:szCs w:val="21"/>
                    </w:rPr>
                  </w:pPr>
                </w:p>
              </w:tc>
              <w:tc>
                <w:tcPr>
                  <w:tcW w:w="734" w:type="pct"/>
                  <w:vMerge w:val="continue"/>
                  <w:noWrap w:val="0"/>
                  <w:tcMar>
                    <w:left w:w="6" w:type="dxa"/>
                    <w:right w:w="6" w:type="dxa"/>
                  </w:tcMar>
                  <w:vAlign w:val="center"/>
                </w:tcPr>
                <w:p w14:paraId="264A2DE8">
                  <w:pPr>
                    <w:widowControl/>
                    <w:spacing w:line="260" w:lineRule="exact"/>
                    <w:jc w:val="left"/>
                    <w:rPr>
                      <w:rFonts w:hint="eastAsia" w:ascii="宋体" w:hAnsi="宋体" w:eastAsia="宋体" w:cs="宋体"/>
                      <w:bCs w:val="0"/>
                      <w:color w:val="auto"/>
                      <w:kern w:val="0"/>
                      <w:sz w:val="21"/>
                      <w:szCs w:val="21"/>
                    </w:rPr>
                  </w:pPr>
                </w:p>
              </w:tc>
              <w:tc>
                <w:tcPr>
                  <w:tcW w:w="3793" w:type="pct"/>
                  <w:noWrap w:val="0"/>
                  <w:tcMar>
                    <w:left w:w="6" w:type="dxa"/>
                    <w:right w:w="6" w:type="dxa"/>
                  </w:tcMar>
                  <w:vAlign w:val="center"/>
                </w:tcPr>
                <w:p w14:paraId="2B5B8E40">
                  <w:pPr>
                    <w:widowControl/>
                    <w:spacing w:line="260" w:lineRule="exact"/>
                    <w:jc w:val="left"/>
                    <w:rPr>
                      <w:rFonts w:hint="default" w:ascii="Times New Roman" w:hAnsi="Times New Roman" w:eastAsia="宋体" w:cs="Times New Roman"/>
                      <w:bCs w:val="0"/>
                      <w:color w:val="auto"/>
                      <w:kern w:val="0"/>
                      <w:sz w:val="21"/>
                      <w:szCs w:val="21"/>
                      <w:lang w:val="en-US" w:eastAsia="zh-CN"/>
                    </w:rPr>
                  </w:pPr>
                  <w:r>
                    <w:rPr>
                      <w:rFonts w:hint="default" w:ascii="Times New Roman" w:hAnsi="Times New Roman" w:eastAsia="宋体" w:cs="Times New Roman"/>
                      <w:color w:val="auto"/>
                      <w:sz w:val="21"/>
                      <w:szCs w:val="21"/>
                    </w:rPr>
                    <w:t>污水处理站周界外大气污染物</w:t>
                  </w:r>
                  <w:r>
                    <w:rPr>
                      <w:rFonts w:hint="default" w:ascii="Times New Roman" w:hAnsi="Times New Roman" w:eastAsia="宋体" w:cs="Times New Roman"/>
                      <w:bCs w:val="0"/>
                      <w:color w:val="auto"/>
                      <w:kern w:val="0"/>
                      <w:sz w:val="21"/>
                      <w:szCs w:val="21"/>
                      <w:lang w:val="en-US" w:eastAsia="zh-CN"/>
                    </w:rPr>
                    <w:t>无组织排放</w:t>
                  </w:r>
                </w:p>
              </w:tc>
            </w:tr>
            <w:tr w14:paraId="086F35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471" w:type="pct"/>
                  <w:vMerge w:val="continue"/>
                  <w:noWrap w:val="0"/>
                  <w:tcMar>
                    <w:left w:w="6" w:type="dxa"/>
                    <w:right w:w="6" w:type="dxa"/>
                  </w:tcMar>
                  <w:vAlign w:val="center"/>
                </w:tcPr>
                <w:p w14:paraId="3D67595D">
                  <w:pPr>
                    <w:widowControl/>
                    <w:spacing w:line="260" w:lineRule="exact"/>
                    <w:jc w:val="left"/>
                    <w:rPr>
                      <w:rFonts w:hint="eastAsia" w:ascii="宋体" w:hAnsi="宋体" w:eastAsia="宋体" w:cs="宋体"/>
                      <w:bCs w:val="0"/>
                      <w:color w:val="auto"/>
                      <w:kern w:val="0"/>
                      <w:sz w:val="21"/>
                      <w:szCs w:val="21"/>
                    </w:rPr>
                  </w:pPr>
                </w:p>
              </w:tc>
              <w:tc>
                <w:tcPr>
                  <w:tcW w:w="734" w:type="pct"/>
                  <w:vMerge w:val="restart"/>
                  <w:noWrap w:val="0"/>
                  <w:tcMar>
                    <w:left w:w="6" w:type="dxa"/>
                    <w:right w:w="6" w:type="dxa"/>
                  </w:tcMar>
                  <w:vAlign w:val="center"/>
                </w:tcPr>
                <w:p w14:paraId="6E5733CE">
                  <w:pPr>
                    <w:widowControl/>
                    <w:spacing w:line="260" w:lineRule="exact"/>
                    <w:jc w:val="center"/>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废水处理</w:t>
                  </w:r>
                </w:p>
              </w:tc>
              <w:tc>
                <w:tcPr>
                  <w:tcW w:w="3793" w:type="pct"/>
                  <w:noWrap w:val="0"/>
                  <w:tcMar>
                    <w:left w:w="6" w:type="dxa"/>
                    <w:right w:w="6" w:type="dxa"/>
                  </w:tcMar>
                  <w:vAlign w:val="center"/>
                </w:tcPr>
                <w:p w14:paraId="329EF609">
                  <w:pPr>
                    <w:widowControl/>
                    <w:spacing w:line="260" w:lineRule="exact"/>
                    <w:jc w:val="left"/>
                    <w:rPr>
                      <w:rFonts w:hint="default" w:ascii="Times New Roman" w:hAnsi="Times New Roman" w:eastAsia="宋体" w:cs="Times New Roman"/>
                      <w:bCs w:val="0"/>
                      <w:color w:val="auto"/>
                      <w:kern w:val="0"/>
                      <w:sz w:val="21"/>
                      <w:szCs w:val="21"/>
                      <w:lang w:eastAsia="zh-CN"/>
                    </w:rPr>
                  </w:pPr>
                  <w:r>
                    <w:rPr>
                      <w:rFonts w:hint="default" w:ascii="Times New Roman" w:hAnsi="Times New Roman" w:eastAsia="宋体" w:cs="Times New Roman"/>
                      <w:bCs w:val="0"/>
                      <w:color w:val="auto"/>
                      <w:kern w:val="0"/>
                      <w:sz w:val="21"/>
                      <w:szCs w:val="21"/>
                    </w:rPr>
                    <w:t>80m</w:t>
                  </w:r>
                  <w:r>
                    <w:rPr>
                      <w:rFonts w:hint="default" w:ascii="Times New Roman" w:hAnsi="Times New Roman" w:eastAsia="宋体" w:cs="Times New Roman"/>
                      <w:bCs w:val="0"/>
                      <w:color w:val="auto"/>
                      <w:kern w:val="0"/>
                      <w:sz w:val="21"/>
                      <w:szCs w:val="21"/>
                      <w:vertAlign w:val="superscript"/>
                    </w:rPr>
                    <w:t>3</w:t>
                  </w:r>
                  <w:r>
                    <w:rPr>
                      <w:rFonts w:hint="default" w:ascii="Times New Roman" w:hAnsi="Times New Roman" w:eastAsia="宋体" w:cs="Times New Roman"/>
                      <w:bCs w:val="0"/>
                      <w:color w:val="auto"/>
                      <w:kern w:val="0"/>
                      <w:sz w:val="21"/>
                      <w:szCs w:val="21"/>
                    </w:rPr>
                    <w:t>/d的污水处理站，生活污水和医疗废水</w:t>
                  </w:r>
                  <w:r>
                    <w:rPr>
                      <w:rFonts w:hint="eastAsia" w:cs="Times New Roman"/>
                      <w:bCs w:val="0"/>
                      <w:color w:val="auto"/>
                      <w:kern w:val="0"/>
                      <w:sz w:val="21"/>
                      <w:szCs w:val="21"/>
                      <w:lang w:eastAsia="zh-CN"/>
                    </w:rPr>
                    <w:t>经</w:t>
                  </w:r>
                  <w:r>
                    <w:rPr>
                      <w:rFonts w:hint="default" w:ascii="Times New Roman" w:hAnsi="Times New Roman" w:eastAsia="宋体" w:cs="Times New Roman"/>
                      <w:bCs w:val="0"/>
                      <w:color w:val="auto"/>
                      <w:kern w:val="0"/>
                      <w:sz w:val="21"/>
                      <w:szCs w:val="21"/>
                    </w:rPr>
                    <w:t>污水处理站处理后排入卫生院西侧水渠</w:t>
                  </w:r>
                  <w:r>
                    <w:rPr>
                      <w:rFonts w:hint="default" w:ascii="Times New Roman" w:hAnsi="Times New Roman" w:eastAsia="宋体" w:cs="Times New Roman"/>
                      <w:bCs w:val="0"/>
                      <w:color w:val="auto"/>
                      <w:kern w:val="0"/>
                      <w:sz w:val="21"/>
                      <w:szCs w:val="21"/>
                      <w:lang w:eastAsia="zh-CN"/>
                    </w:rPr>
                    <w:t>。</w:t>
                  </w:r>
                  <w:r>
                    <w:rPr>
                      <w:rFonts w:hint="eastAsia" w:eastAsia="宋体" w:cs="Times New Roman"/>
                      <w:bCs w:val="0"/>
                      <w:color w:val="auto"/>
                      <w:kern w:val="0"/>
                      <w:sz w:val="21"/>
                      <w:szCs w:val="21"/>
                      <w:lang w:val="en-US" w:eastAsia="zh-CN" w:bidi="ar-SA"/>
                    </w:rPr>
                    <w:t>最终排入芋蛋山溪</w:t>
                  </w:r>
                </w:p>
              </w:tc>
            </w:tr>
            <w:tr w14:paraId="1BC0C4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471" w:type="pct"/>
                  <w:vMerge w:val="continue"/>
                  <w:noWrap w:val="0"/>
                  <w:tcMar>
                    <w:left w:w="6" w:type="dxa"/>
                    <w:right w:w="6" w:type="dxa"/>
                  </w:tcMar>
                  <w:vAlign w:val="center"/>
                </w:tcPr>
                <w:p w14:paraId="20002CF2">
                  <w:pPr>
                    <w:widowControl/>
                    <w:spacing w:line="260" w:lineRule="exact"/>
                    <w:jc w:val="left"/>
                    <w:rPr>
                      <w:rFonts w:hint="eastAsia" w:ascii="宋体" w:hAnsi="宋体" w:eastAsia="宋体" w:cs="宋体"/>
                      <w:bCs w:val="0"/>
                      <w:color w:val="auto"/>
                      <w:kern w:val="0"/>
                      <w:sz w:val="21"/>
                      <w:szCs w:val="21"/>
                    </w:rPr>
                  </w:pPr>
                </w:p>
              </w:tc>
              <w:tc>
                <w:tcPr>
                  <w:tcW w:w="734" w:type="pct"/>
                  <w:vMerge w:val="continue"/>
                  <w:noWrap w:val="0"/>
                  <w:tcMar>
                    <w:left w:w="6" w:type="dxa"/>
                    <w:right w:w="6" w:type="dxa"/>
                  </w:tcMar>
                  <w:vAlign w:val="center"/>
                </w:tcPr>
                <w:p w14:paraId="0DF48665">
                  <w:pPr>
                    <w:widowControl/>
                    <w:spacing w:line="260" w:lineRule="exact"/>
                    <w:jc w:val="center"/>
                    <w:rPr>
                      <w:rFonts w:hint="eastAsia" w:ascii="宋体" w:hAnsi="宋体" w:eastAsia="宋体" w:cs="宋体"/>
                      <w:bCs w:val="0"/>
                      <w:color w:val="auto"/>
                      <w:kern w:val="0"/>
                      <w:sz w:val="21"/>
                      <w:szCs w:val="21"/>
                    </w:rPr>
                  </w:pPr>
                </w:p>
              </w:tc>
              <w:tc>
                <w:tcPr>
                  <w:tcW w:w="3793" w:type="pct"/>
                  <w:noWrap w:val="0"/>
                  <w:tcMar>
                    <w:left w:w="6" w:type="dxa"/>
                    <w:right w:w="6" w:type="dxa"/>
                  </w:tcMar>
                  <w:vAlign w:val="center"/>
                </w:tcPr>
                <w:p w14:paraId="026930B4">
                  <w:pPr>
                    <w:widowControl/>
                    <w:spacing w:line="260" w:lineRule="exact"/>
                    <w:jc w:val="left"/>
                    <w:rPr>
                      <w:rFonts w:hint="default" w:ascii="Times New Roman" w:hAnsi="Times New Roman" w:eastAsia="宋体" w:cs="Times New Roman"/>
                      <w:bCs w:val="0"/>
                      <w:color w:val="auto"/>
                      <w:kern w:val="0"/>
                      <w:sz w:val="21"/>
                      <w:szCs w:val="21"/>
                      <w:lang w:eastAsia="zh-CN"/>
                    </w:rPr>
                  </w:pPr>
                  <w:r>
                    <w:rPr>
                      <w:rFonts w:hint="default" w:ascii="Times New Roman" w:hAnsi="Times New Roman" w:eastAsia="宋体" w:cs="Times New Roman"/>
                      <w:bCs w:val="0"/>
                      <w:color w:val="auto"/>
                      <w:kern w:val="0"/>
                      <w:sz w:val="21"/>
                      <w:szCs w:val="21"/>
                    </w:rPr>
                    <w:t>医院化验室、口腔科废水排放量较少，但其中含有大量消毒剂，这部分废水采用化学沉淀法处理。项目建设2个2m</w:t>
                  </w:r>
                  <w:r>
                    <w:rPr>
                      <w:rFonts w:hint="default" w:ascii="Times New Roman" w:hAnsi="Times New Roman" w:eastAsia="宋体" w:cs="Times New Roman"/>
                      <w:bCs w:val="0"/>
                      <w:color w:val="auto"/>
                      <w:kern w:val="0"/>
                      <w:sz w:val="21"/>
                      <w:szCs w:val="21"/>
                      <w:vertAlign w:val="superscript"/>
                    </w:rPr>
                    <w:t>3</w:t>
                  </w:r>
                  <w:r>
                    <w:rPr>
                      <w:rFonts w:hint="default" w:ascii="Times New Roman" w:hAnsi="Times New Roman" w:eastAsia="宋体" w:cs="Times New Roman"/>
                      <w:bCs w:val="0"/>
                      <w:color w:val="auto"/>
                      <w:kern w:val="0"/>
                      <w:sz w:val="21"/>
                      <w:szCs w:val="21"/>
                    </w:rPr>
                    <w:t>的化学沉淀池，废水经预处理后排入污水处理站进行处理。</w:t>
                  </w:r>
                </w:p>
              </w:tc>
            </w:tr>
            <w:tr w14:paraId="4F49D0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continue"/>
                  <w:noWrap w:val="0"/>
                  <w:tcMar>
                    <w:left w:w="6" w:type="dxa"/>
                    <w:right w:w="6" w:type="dxa"/>
                  </w:tcMar>
                  <w:vAlign w:val="center"/>
                </w:tcPr>
                <w:p w14:paraId="37724703">
                  <w:pPr>
                    <w:widowControl/>
                    <w:spacing w:line="260" w:lineRule="exact"/>
                    <w:jc w:val="left"/>
                    <w:rPr>
                      <w:rFonts w:hint="eastAsia" w:ascii="宋体" w:hAnsi="宋体" w:eastAsia="宋体" w:cs="宋体"/>
                      <w:bCs w:val="0"/>
                      <w:color w:val="auto"/>
                      <w:kern w:val="0"/>
                      <w:sz w:val="21"/>
                      <w:szCs w:val="21"/>
                    </w:rPr>
                  </w:pPr>
                </w:p>
              </w:tc>
              <w:tc>
                <w:tcPr>
                  <w:tcW w:w="734" w:type="pct"/>
                  <w:vMerge w:val="restart"/>
                  <w:noWrap w:val="0"/>
                  <w:tcMar>
                    <w:left w:w="6" w:type="dxa"/>
                    <w:right w:w="6" w:type="dxa"/>
                  </w:tcMar>
                  <w:vAlign w:val="center"/>
                </w:tcPr>
                <w:p w14:paraId="283AB9A4">
                  <w:pPr>
                    <w:widowControl/>
                    <w:spacing w:line="260" w:lineRule="exact"/>
                    <w:jc w:val="center"/>
                    <w:rPr>
                      <w:rFonts w:hint="eastAsia" w:ascii="宋体" w:hAnsi="宋体" w:eastAsia="宋体" w:cs="宋体"/>
                      <w:bCs w:val="0"/>
                      <w:color w:val="auto"/>
                      <w:kern w:val="0"/>
                      <w:sz w:val="21"/>
                      <w:szCs w:val="21"/>
                    </w:rPr>
                  </w:pPr>
                  <w:r>
                    <w:rPr>
                      <w:rFonts w:hint="eastAsia" w:ascii="宋体" w:hAnsi="宋体" w:eastAsia="宋体" w:cs="宋体"/>
                      <w:bCs w:val="0"/>
                      <w:color w:val="auto"/>
                      <w:kern w:val="0"/>
                      <w:sz w:val="21"/>
                      <w:szCs w:val="21"/>
                    </w:rPr>
                    <w:t>固废处置</w:t>
                  </w:r>
                </w:p>
              </w:tc>
              <w:tc>
                <w:tcPr>
                  <w:tcW w:w="3793" w:type="pct"/>
                  <w:noWrap w:val="0"/>
                  <w:tcMar>
                    <w:left w:w="6" w:type="dxa"/>
                    <w:right w:w="6" w:type="dxa"/>
                  </w:tcMar>
                  <w:vAlign w:val="center"/>
                </w:tcPr>
                <w:p w14:paraId="67A7AD38">
                  <w:pPr>
                    <w:widowControl/>
                    <w:spacing w:line="260" w:lineRule="exact"/>
                    <w:jc w:val="left"/>
                    <w:rPr>
                      <w:rFonts w:hint="default" w:ascii="Times New Roman" w:hAnsi="Times New Roman" w:eastAsia="宋体" w:cs="Times New Roman"/>
                      <w:bCs w:val="0"/>
                      <w:color w:val="auto"/>
                      <w:kern w:val="0"/>
                      <w:sz w:val="21"/>
                      <w:szCs w:val="21"/>
                    </w:rPr>
                  </w:pPr>
                  <w:r>
                    <w:rPr>
                      <w:rFonts w:hint="default" w:ascii="Times New Roman" w:hAnsi="Times New Roman" w:eastAsia="宋体" w:cs="Times New Roman"/>
                      <w:bCs w:val="0"/>
                      <w:color w:val="auto"/>
                      <w:kern w:val="0"/>
                      <w:sz w:val="21"/>
                      <w:szCs w:val="21"/>
                    </w:rPr>
                    <w:t>生活垃圾：收集后，由当地环卫部门定期清运</w:t>
                  </w:r>
                </w:p>
              </w:tc>
            </w:tr>
            <w:tr w14:paraId="487680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continue"/>
                  <w:noWrap w:val="0"/>
                  <w:tcMar>
                    <w:left w:w="6" w:type="dxa"/>
                    <w:right w:w="6" w:type="dxa"/>
                  </w:tcMar>
                  <w:vAlign w:val="center"/>
                </w:tcPr>
                <w:p w14:paraId="52ED48E1">
                  <w:pPr>
                    <w:widowControl/>
                    <w:spacing w:line="260" w:lineRule="exact"/>
                    <w:jc w:val="left"/>
                    <w:rPr>
                      <w:rFonts w:hint="eastAsia" w:ascii="宋体" w:hAnsi="宋体" w:eastAsia="宋体" w:cs="宋体"/>
                      <w:bCs w:val="0"/>
                      <w:color w:val="auto"/>
                      <w:kern w:val="0"/>
                      <w:sz w:val="21"/>
                      <w:szCs w:val="21"/>
                    </w:rPr>
                  </w:pPr>
                </w:p>
              </w:tc>
              <w:tc>
                <w:tcPr>
                  <w:tcW w:w="734" w:type="pct"/>
                  <w:vMerge w:val="continue"/>
                  <w:noWrap w:val="0"/>
                  <w:tcMar>
                    <w:left w:w="6" w:type="dxa"/>
                    <w:right w:w="6" w:type="dxa"/>
                  </w:tcMar>
                  <w:vAlign w:val="center"/>
                </w:tcPr>
                <w:p w14:paraId="2C70BD89">
                  <w:pPr>
                    <w:widowControl/>
                    <w:spacing w:line="260" w:lineRule="exact"/>
                    <w:jc w:val="center"/>
                    <w:rPr>
                      <w:rFonts w:hint="eastAsia" w:ascii="宋体" w:hAnsi="宋体" w:eastAsia="宋体" w:cs="宋体"/>
                      <w:bCs w:val="0"/>
                      <w:color w:val="auto"/>
                      <w:kern w:val="0"/>
                      <w:sz w:val="21"/>
                      <w:szCs w:val="21"/>
                    </w:rPr>
                  </w:pPr>
                </w:p>
              </w:tc>
              <w:tc>
                <w:tcPr>
                  <w:tcW w:w="3793" w:type="pct"/>
                  <w:noWrap w:val="0"/>
                  <w:tcMar>
                    <w:left w:w="6" w:type="dxa"/>
                    <w:right w:w="6" w:type="dxa"/>
                  </w:tcMar>
                  <w:vAlign w:val="center"/>
                </w:tcPr>
                <w:p w14:paraId="1750543C">
                  <w:pPr>
                    <w:widowControl/>
                    <w:spacing w:line="260" w:lineRule="exact"/>
                    <w:jc w:val="left"/>
                    <w:rPr>
                      <w:rFonts w:hint="default" w:ascii="Times New Roman" w:hAnsi="Times New Roman" w:eastAsia="宋体" w:cs="Times New Roman"/>
                      <w:bCs w:val="0"/>
                      <w:color w:val="auto"/>
                      <w:kern w:val="0"/>
                      <w:sz w:val="21"/>
                      <w:szCs w:val="21"/>
                    </w:rPr>
                  </w:pPr>
                  <w:r>
                    <w:rPr>
                      <w:rFonts w:hint="default" w:ascii="Times New Roman" w:hAnsi="Times New Roman" w:eastAsia="宋体" w:cs="Times New Roman"/>
                      <w:bCs w:val="0"/>
                      <w:color w:val="auto"/>
                      <w:kern w:val="0"/>
                      <w:sz w:val="21"/>
                      <w:szCs w:val="21"/>
                    </w:rPr>
                    <w:t>医院污泥：加石灰消毒后，由福建省固体废物处置有限公司青口处理厂进行无害化处置，每个季度清理一次。</w:t>
                  </w:r>
                </w:p>
              </w:tc>
            </w:tr>
            <w:tr w14:paraId="0C6E70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471" w:type="pct"/>
                  <w:vMerge w:val="continue"/>
                  <w:noWrap w:val="0"/>
                  <w:tcMar>
                    <w:left w:w="6" w:type="dxa"/>
                    <w:right w:w="6" w:type="dxa"/>
                  </w:tcMar>
                  <w:vAlign w:val="center"/>
                </w:tcPr>
                <w:p w14:paraId="6555D4A6">
                  <w:pPr>
                    <w:widowControl/>
                    <w:spacing w:line="260" w:lineRule="exact"/>
                    <w:jc w:val="left"/>
                    <w:rPr>
                      <w:rFonts w:hint="eastAsia" w:ascii="宋体" w:hAnsi="宋体" w:eastAsia="宋体" w:cs="宋体"/>
                      <w:bCs w:val="0"/>
                      <w:color w:val="auto"/>
                      <w:kern w:val="0"/>
                      <w:sz w:val="21"/>
                      <w:szCs w:val="21"/>
                    </w:rPr>
                  </w:pPr>
                </w:p>
              </w:tc>
              <w:tc>
                <w:tcPr>
                  <w:tcW w:w="734" w:type="pct"/>
                  <w:vMerge w:val="continue"/>
                  <w:noWrap w:val="0"/>
                  <w:tcMar>
                    <w:left w:w="6" w:type="dxa"/>
                    <w:right w:w="6" w:type="dxa"/>
                  </w:tcMar>
                  <w:vAlign w:val="center"/>
                </w:tcPr>
                <w:p w14:paraId="158DE298">
                  <w:pPr>
                    <w:widowControl/>
                    <w:spacing w:line="260" w:lineRule="exact"/>
                    <w:jc w:val="center"/>
                    <w:rPr>
                      <w:rFonts w:hint="eastAsia" w:ascii="宋体" w:hAnsi="宋体" w:eastAsia="宋体" w:cs="宋体"/>
                      <w:bCs w:val="0"/>
                      <w:color w:val="auto"/>
                      <w:kern w:val="0"/>
                      <w:sz w:val="21"/>
                      <w:szCs w:val="21"/>
                    </w:rPr>
                  </w:pPr>
                </w:p>
              </w:tc>
              <w:tc>
                <w:tcPr>
                  <w:tcW w:w="3793" w:type="pct"/>
                  <w:noWrap w:val="0"/>
                  <w:tcMar>
                    <w:left w:w="6" w:type="dxa"/>
                    <w:right w:w="6" w:type="dxa"/>
                  </w:tcMar>
                  <w:vAlign w:val="center"/>
                </w:tcPr>
                <w:p w14:paraId="01318B39">
                  <w:pPr>
                    <w:widowControl/>
                    <w:spacing w:line="260" w:lineRule="exact"/>
                    <w:jc w:val="left"/>
                    <w:rPr>
                      <w:rFonts w:hint="default" w:ascii="Times New Roman" w:hAnsi="Times New Roman" w:eastAsia="宋体" w:cs="Times New Roman"/>
                      <w:bCs w:val="0"/>
                      <w:color w:val="auto"/>
                      <w:kern w:val="0"/>
                      <w:sz w:val="21"/>
                      <w:szCs w:val="21"/>
                    </w:rPr>
                  </w:pPr>
                  <w:r>
                    <w:rPr>
                      <w:rFonts w:hint="default" w:ascii="Times New Roman" w:hAnsi="Times New Roman" w:eastAsia="宋体" w:cs="Times New Roman"/>
                      <w:bCs w:val="0"/>
                      <w:color w:val="auto"/>
                      <w:kern w:val="0"/>
                      <w:sz w:val="21"/>
                      <w:szCs w:val="21"/>
                    </w:rPr>
                    <w:t>医疗垃圾：临时储存间设在卫生院西北角，由福建省固体废物处置有限公司青口处理厂进行无害化处置，每两天清理一次。</w:t>
                  </w:r>
                </w:p>
              </w:tc>
            </w:tr>
          </w:tbl>
          <w:p w14:paraId="25AFD83E">
            <w:pPr>
              <w:adjustRightInd w:val="0"/>
              <w:jc w:val="center"/>
              <w:outlineLvl w:val="4"/>
              <w:rPr>
                <w:rFonts w:hint="eastAsia" w:ascii="宋体" w:hAnsi="宋体" w:eastAsia="宋体" w:cs="宋体"/>
                <w:bCs w:val="0"/>
                <w:snapToGrid w:val="0"/>
                <w:color w:val="auto"/>
                <w:kern w:val="0"/>
                <w:sz w:val="21"/>
                <w:szCs w:val="21"/>
              </w:rPr>
            </w:pPr>
          </w:p>
          <w:p w14:paraId="29D4DFC0">
            <w:pPr>
              <w:pStyle w:val="30"/>
              <w:spacing w:before="199" w:line="360" w:lineRule="auto"/>
              <w:rPr>
                <w:rFonts w:hint="eastAsia" w:ascii="宋体" w:hAnsi="宋体" w:eastAsia="宋体" w:cs="宋体"/>
                <w:color w:val="auto"/>
                <w:spacing w:val="2"/>
                <w:sz w:val="28"/>
                <w:szCs w:val="28"/>
              </w:rPr>
            </w:pPr>
            <w:r>
              <w:rPr>
                <w:rFonts w:hint="eastAsia" w:cs="Times New Roman"/>
                <w:b/>
                <w:bCs/>
                <w:color w:val="auto"/>
                <w:sz w:val="28"/>
                <w:szCs w:val="28"/>
                <w:lang w:eastAsia="zh-CN"/>
              </w:rPr>
              <w:t>2.</w:t>
            </w:r>
            <w:r>
              <w:rPr>
                <w:rFonts w:hint="eastAsia" w:cs="Times New Roman"/>
                <w:b/>
                <w:bCs/>
                <w:color w:val="auto"/>
                <w:sz w:val="28"/>
                <w:szCs w:val="28"/>
                <w:lang w:val="en-US" w:eastAsia="zh-CN"/>
              </w:rPr>
              <w:t>5</w:t>
            </w:r>
            <w:r>
              <w:rPr>
                <w:rFonts w:hint="eastAsia" w:cs="Times New Roman"/>
                <w:b/>
                <w:bCs/>
                <w:color w:val="auto"/>
                <w:sz w:val="28"/>
                <w:szCs w:val="28"/>
                <w:lang w:eastAsia="zh-CN"/>
              </w:rPr>
              <w:t>现有工程环保</w:t>
            </w:r>
            <w:r>
              <w:rPr>
                <w:rFonts w:hint="eastAsia" w:cs="Times New Roman"/>
                <w:b/>
                <w:bCs/>
                <w:color w:val="auto"/>
                <w:sz w:val="28"/>
                <w:szCs w:val="28"/>
                <w:lang w:val="en-US" w:eastAsia="zh-CN"/>
              </w:rPr>
              <w:t>设施建设</w:t>
            </w:r>
            <w:r>
              <w:rPr>
                <w:rFonts w:hint="eastAsia" w:cs="Times New Roman"/>
                <w:b/>
                <w:bCs/>
                <w:color w:val="auto"/>
                <w:sz w:val="28"/>
                <w:szCs w:val="28"/>
                <w:lang w:eastAsia="zh-CN"/>
              </w:rPr>
              <w:t>情况</w:t>
            </w:r>
          </w:p>
          <w:p w14:paraId="25A64BEF">
            <w:pPr>
              <w:pStyle w:val="23"/>
              <w:ind w:firstLine="480" w:firstLineChars="200"/>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废气：污水处理站周界外大气污染物无组织排放。</w:t>
            </w:r>
          </w:p>
          <w:p w14:paraId="5B8AFE62">
            <w:pPr>
              <w:pStyle w:val="23"/>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废水：80m</w:t>
            </w:r>
            <w:r>
              <w:rPr>
                <w:rFonts w:hint="eastAsia" w:ascii="Times New Roman" w:hAnsi="Times New Roman" w:eastAsia="宋体" w:cs="Times New Roman"/>
                <w:color w:val="auto"/>
                <w:kern w:val="2"/>
                <w:sz w:val="24"/>
                <w:szCs w:val="24"/>
                <w:vertAlign w:val="superscript"/>
                <w:lang w:val="en-US" w:eastAsia="zh-CN" w:bidi="ar-SA"/>
              </w:rPr>
              <w:t>3</w:t>
            </w:r>
            <w:r>
              <w:rPr>
                <w:rFonts w:hint="eastAsia" w:ascii="Times New Roman" w:hAnsi="Times New Roman" w:eastAsia="宋体" w:cs="Times New Roman"/>
                <w:color w:val="auto"/>
                <w:kern w:val="2"/>
                <w:sz w:val="24"/>
                <w:szCs w:val="24"/>
                <w:lang w:val="en-US" w:eastAsia="zh-CN" w:bidi="ar-SA"/>
              </w:rPr>
              <w:t>/d的污水处理站，生活污水和医疗废水</w:t>
            </w:r>
            <w:r>
              <w:rPr>
                <w:rFonts w:hint="eastAsia" w:eastAsia="宋体" w:cs="Times New Roman"/>
                <w:color w:val="auto"/>
                <w:kern w:val="2"/>
                <w:sz w:val="24"/>
                <w:szCs w:val="24"/>
                <w:lang w:val="en-US" w:eastAsia="zh-CN" w:bidi="ar-SA"/>
              </w:rPr>
              <w:t>经</w:t>
            </w:r>
            <w:r>
              <w:rPr>
                <w:rFonts w:hint="eastAsia" w:ascii="Times New Roman" w:hAnsi="Times New Roman" w:eastAsia="宋体" w:cs="Times New Roman"/>
                <w:color w:val="auto"/>
                <w:kern w:val="2"/>
                <w:sz w:val="24"/>
                <w:szCs w:val="24"/>
                <w:lang w:val="en-US" w:eastAsia="zh-CN" w:bidi="ar-SA"/>
              </w:rPr>
              <w:t>污水处理站处理后排入卫生院西侧水渠，</w:t>
            </w:r>
            <w:r>
              <w:rPr>
                <w:rFonts w:hint="eastAsia" w:eastAsia="宋体" w:cs="Times New Roman"/>
                <w:bCs w:val="0"/>
                <w:color w:val="auto"/>
                <w:kern w:val="0"/>
                <w:sz w:val="24"/>
                <w:szCs w:val="24"/>
                <w:lang w:val="en-US" w:eastAsia="zh-CN" w:bidi="ar-SA"/>
              </w:rPr>
              <w:t>最终排入芋蛋山溪</w:t>
            </w:r>
            <w:r>
              <w:rPr>
                <w:rFonts w:hint="eastAsia" w:ascii="Times New Roman" w:hAnsi="Times New Roman" w:eastAsia="宋体" w:cs="Times New Roman"/>
                <w:color w:val="auto"/>
                <w:kern w:val="2"/>
                <w:sz w:val="24"/>
                <w:szCs w:val="24"/>
                <w:lang w:val="en-US" w:eastAsia="zh-CN" w:bidi="ar-SA"/>
              </w:rPr>
              <w:t>。</w:t>
            </w:r>
          </w:p>
          <w:p w14:paraId="050DDC87">
            <w:pPr>
              <w:pStyle w:val="23"/>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医院化验室、口腔科废水排放量较少，废水采用化学沉淀法处理。项目建设2个2m</w:t>
            </w:r>
            <w:r>
              <w:rPr>
                <w:rFonts w:hint="eastAsia" w:ascii="Times New Roman" w:hAnsi="Times New Roman" w:eastAsia="宋体" w:cs="Times New Roman"/>
                <w:color w:val="auto"/>
                <w:kern w:val="2"/>
                <w:sz w:val="24"/>
                <w:szCs w:val="24"/>
                <w:vertAlign w:val="superscript"/>
                <w:lang w:val="en-US" w:eastAsia="zh-CN" w:bidi="ar-SA"/>
              </w:rPr>
              <w:t>3</w:t>
            </w:r>
            <w:r>
              <w:rPr>
                <w:rFonts w:hint="eastAsia" w:ascii="Times New Roman" w:hAnsi="Times New Roman" w:eastAsia="宋体" w:cs="Times New Roman"/>
                <w:color w:val="auto"/>
                <w:kern w:val="2"/>
                <w:sz w:val="24"/>
                <w:szCs w:val="24"/>
                <w:lang w:val="en-US" w:eastAsia="zh-CN" w:bidi="ar-SA"/>
              </w:rPr>
              <w:t>的化学沉淀池，废水经预处理后排入污水处理站进行处理。</w:t>
            </w:r>
          </w:p>
          <w:p w14:paraId="0DED0402">
            <w:pPr>
              <w:pStyle w:val="23"/>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固体废物：</w:t>
            </w:r>
          </w:p>
          <w:p w14:paraId="40EE732D">
            <w:pPr>
              <w:pStyle w:val="23"/>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①生活垃圾：收集后，由当地环卫部门定期清运</w:t>
            </w:r>
          </w:p>
          <w:p w14:paraId="4F16E76C">
            <w:pPr>
              <w:pStyle w:val="23"/>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②医院污泥：加石灰消毒后，由福建省固体废物处置有限公司青口处理厂进行无害化处置，每个季度清理一次。</w:t>
            </w:r>
          </w:p>
          <w:p w14:paraId="0E230F7F">
            <w:pPr>
              <w:pStyle w:val="23"/>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③医疗垃圾：临时储存间设在卫生院西北角，由福建省固体废物处置有限公司青口处理厂进行无害化处置，每两天清理一次。</w:t>
            </w:r>
          </w:p>
          <w:p w14:paraId="7968BCB9">
            <w:pPr>
              <w:pStyle w:val="30"/>
              <w:spacing w:before="199" w:line="360" w:lineRule="auto"/>
              <w:ind w:left="105"/>
              <w:rPr>
                <w:rFonts w:hint="eastAsia" w:cs="Times New Roman"/>
                <w:b/>
                <w:bCs/>
                <w:color w:val="auto"/>
                <w:sz w:val="28"/>
                <w:szCs w:val="28"/>
                <w:lang w:eastAsia="zh-CN"/>
              </w:rPr>
            </w:pPr>
            <w:r>
              <w:rPr>
                <w:rFonts w:hint="eastAsia" w:cs="Times New Roman"/>
                <w:b/>
                <w:bCs/>
                <w:color w:val="auto"/>
                <w:sz w:val="28"/>
                <w:szCs w:val="28"/>
                <w:lang w:eastAsia="zh-CN"/>
              </w:rPr>
              <w:t>2.</w:t>
            </w:r>
            <w:r>
              <w:rPr>
                <w:rFonts w:hint="eastAsia" w:cs="Times New Roman"/>
                <w:b/>
                <w:bCs/>
                <w:color w:val="auto"/>
                <w:sz w:val="28"/>
                <w:szCs w:val="28"/>
                <w:lang w:val="en-US" w:eastAsia="zh-CN"/>
              </w:rPr>
              <w:t>6</w:t>
            </w:r>
            <w:r>
              <w:rPr>
                <w:rFonts w:hint="eastAsia" w:cs="Times New Roman"/>
                <w:b/>
                <w:bCs/>
                <w:color w:val="auto"/>
                <w:sz w:val="28"/>
                <w:szCs w:val="28"/>
                <w:lang w:eastAsia="zh-CN"/>
              </w:rPr>
              <w:t>现有工程</w:t>
            </w:r>
            <w:r>
              <w:rPr>
                <w:rFonts w:hint="eastAsia" w:cs="Times New Roman"/>
                <w:b/>
                <w:bCs/>
                <w:color w:val="auto"/>
                <w:sz w:val="28"/>
                <w:szCs w:val="28"/>
                <w:lang w:val="en-US" w:eastAsia="zh-CN"/>
              </w:rPr>
              <w:t>达标排放</w:t>
            </w:r>
            <w:r>
              <w:rPr>
                <w:rFonts w:hint="eastAsia" w:cs="Times New Roman"/>
                <w:b/>
                <w:bCs/>
                <w:color w:val="auto"/>
                <w:sz w:val="28"/>
                <w:szCs w:val="28"/>
                <w:lang w:eastAsia="zh-CN"/>
              </w:rPr>
              <w:t>情况</w:t>
            </w:r>
          </w:p>
          <w:p w14:paraId="0B71FE83">
            <w:pPr>
              <w:pStyle w:val="30"/>
              <w:spacing w:before="199" w:line="360" w:lineRule="auto"/>
              <w:ind w:left="105" w:firstLine="480" w:firstLineChars="200"/>
              <w:rPr>
                <w:rFonts w:hint="default" w:cs="Times New Roman"/>
                <w:b w:val="0"/>
                <w:bCs w:val="0"/>
                <w:color w:val="auto"/>
                <w:sz w:val="28"/>
                <w:szCs w:val="28"/>
                <w:lang w:val="en-US" w:eastAsia="zh-CN"/>
              </w:rPr>
            </w:pPr>
            <w:r>
              <w:rPr>
                <w:rFonts w:hint="eastAsia" w:ascii="Times New Roman" w:hAnsi="Times New Roman" w:eastAsia="宋体" w:cs="Times New Roman"/>
                <w:b w:val="0"/>
                <w:bCs w:val="0"/>
                <w:color w:val="auto"/>
                <w:sz w:val="24"/>
                <w:szCs w:val="24"/>
                <w:lang w:val="en-US" w:eastAsia="zh-CN"/>
              </w:rPr>
              <w:t>根据《2026年排污许可证执行报告》，各项污染物均符合排放限制要求。</w:t>
            </w:r>
          </w:p>
          <w:p w14:paraId="04FEB020">
            <w:pPr>
              <w:pStyle w:val="30"/>
              <w:spacing w:before="199" w:line="360" w:lineRule="auto"/>
              <w:ind w:left="105"/>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2.6.1废水</w:t>
            </w:r>
          </w:p>
          <w:p w14:paraId="11C628D5">
            <w:pPr>
              <w:pStyle w:val="30"/>
              <w:spacing w:before="199" w:line="360" w:lineRule="auto"/>
              <w:ind w:left="105" w:firstLine="720" w:firstLineChars="300"/>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Cs/>
                <w:color w:val="auto"/>
                <w:kern w:val="2"/>
                <w:sz w:val="24"/>
                <w:szCs w:val="24"/>
                <w:lang w:val="en-US" w:eastAsia="zh-CN" w:bidi="ar-SA"/>
              </w:rPr>
              <w:t>根据监测结果，各污染因子</w:t>
            </w:r>
            <w:r>
              <w:rPr>
                <w:rFonts w:hint="default" w:ascii="Times New Roman" w:hAnsi="Times New Roman" w:eastAsia="宋体" w:cs="Times New Roman"/>
                <w:bCs/>
                <w:color w:val="auto"/>
                <w:kern w:val="2"/>
                <w:sz w:val="24"/>
                <w:szCs w:val="24"/>
                <w:lang w:val="en-US" w:eastAsia="zh-CN" w:bidi="ar-SA"/>
              </w:rPr>
              <w:t>达到《医疗机构水污染物排放标准》（GB18466-2005）表2预处理标准</w:t>
            </w:r>
            <w:r>
              <w:rPr>
                <w:rFonts w:hint="eastAsia" w:ascii="Times New Roman" w:hAnsi="Times New Roman" w:eastAsia="宋体" w:cs="Times New Roman"/>
                <w:bCs/>
                <w:color w:val="auto"/>
                <w:kern w:val="2"/>
                <w:sz w:val="24"/>
                <w:szCs w:val="24"/>
                <w:lang w:val="en-US" w:eastAsia="zh-CN" w:bidi="ar-SA"/>
              </w:rPr>
              <w:t>。</w:t>
            </w:r>
          </w:p>
          <w:p w14:paraId="05C3E27A">
            <w:pPr>
              <w:pStyle w:val="30"/>
              <w:spacing w:before="199" w:line="360" w:lineRule="auto"/>
              <w:ind w:left="105"/>
              <w:jc w:val="center"/>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表2.6-1废水排放数据</w:t>
            </w:r>
          </w:p>
          <w:tbl>
            <w:tblPr>
              <w:tblStyle w:val="17"/>
              <w:tblW w:w="8389" w:type="dxa"/>
              <w:tblInd w:w="5"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108" w:type="dxa"/>
                <w:bottom w:w="0" w:type="dxa"/>
                <w:right w:w="108" w:type="dxa"/>
              </w:tblCellMar>
            </w:tblPr>
            <w:tblGrid>
              <w:gridCol w:w="562"/>
              <w:gridCol w:w="1004"/>
              <w:gridCol w:w="822"/>
              <w:gridCol w:w="1353"/>
              <w:gridCol w:w="903"/>
              <w:gridCol w:w="1284"/>
              <w:gridCol w:w="1252"/>
              <w:gridCol w:w="1209"/>
            </w:tblGrid>
            <w:tr w14:paraId="52F11BE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708" w:hRule="atLeast"/>
              </w:trPr>
              <w:tc>
                <w:tcPr>
                  <w:tcW w:w="334" w:type="pct"/>
                  <w:vMerge w:val="restart"/>
                  <w:tcBorders>
                    <w:tl2br w:val="nil"/>
                    <w:tr2bl w:val="nil"/>
                  </w:tcBorders>
                  <w:noWrap w:val="0"/>
                  <w:vAlign w:val="center"/>
                </w:tcPr>
                <w:p w14:paraId="202C255C">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排放口</w:t>
                  </w:r>
                  <w:r>
                    <w:rPr>
                      <w:rFonts w:hint="default" w:ascii="Times New Roman" w:hAnsi="Times New Roman" w:eastAsia="宋体" w:cs="Times New Roman"/>
                      <w:b w:val="0"/>
                      <w:bCs w:val="0"/>
                      <w:i w:val="0"/>
                      <w:iCs w:val="0"/>
                      <w:color w:val="auto"/>
                      <w:kern w:val="0"/>
                      <w:sz w:val="21"/>
                      <w:szCs w:val="21"/>
                      <w:u w:val="none"/>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lang w:val="en-US" w:eastAsia="zh-CN" w:bidi="ar"/>
                    </w:rPr>
                    <w:t>编号</w:t>
                  </w:r>
                </w:p>
              </w:tc>
              <w:tc>
                <w:tcPr>
                  <w:tcW w:w="598" w:type="pct"/>
                  <w:vMerge w:val="restart"/>
                  <w:tcBorders>
                    <w:tl2br w:val="nil"/>
                    <w:tr2bl w:val="nil"/>
                  </w:tcBorders>
                  <w:noWrap w:val="0"/>
                  <w:vAlign w:val="center"/>
                </w:tcPr>
                <w:p w14:paraId="065512E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污染物</w:t>
                  </w:r>
                  <w:r>
                    <w:rPr>
                      <w:rFonts w:hint="default" w:ascii="Times New Roman" w:hAnsi="Times New Roman" w:eastAsia="宋体" w:cs="Times New Roman"/>
                      <w:b w:val="0"/>
                      <w:bCs w:val="0"/>
                      <w:i w:val="0"/>
                      <w:iCs w:val="0"/>
                      <w:color w:val="auto"/>
                      <w:kern w:val="0"/>
                      <w:sz w:val="21"/>
                      <w:szCs w:val="21"/>
                      <w:u w:val="none"/>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lang w:val="en-US" w:eastAsia="zh-CN" w:bidi="ar"/>
                    </w:rPr>
                    <w:t>种类</w:t>
                  </w:r>
                </w:p>
              </w:tc>
              <w:tc>
                <w:tcPr>
                  <w:tcW w:w="489" w:type="pct"/>
                  <w:vMerge w:val="restart"/>
                  <w:tcBorders>
                    <w:tl2br w:val="nil"/>
                    <w:tr2bl w:val="nil"/>
                  </w:tcBorders>
                  <w:noWrap w:val="0"/>
                  <w:vAlign w:val="center"/>
                </w:tcPr>
                <w:p w14:paraId="7A64B82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监测设施</w:t>
                  </w:r>
                </w:p>
              </w:tc>
              <w:tc>
                <w:tcPr>
                  <w:tcW w:w="806" w:type="pct"/>
                  <w:vMerge w:val="restart"/>
                  <w:tcBorders>
                    <w:tl2br w:val="nil"/>
                    <w:tr2bl w:val="nil"/>
                  </w:tcBorders>
                  <w:noWrap w:val="0"/>
                  <w:vAlign w:val="center"/>
                </w:tcPr>
                <w:p w14:paraId="00FF2DF5">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许可排放浓度限值</w:t>
                  </w:r>
                  <w:r>
                    <w:rPr>
                      <w:rFonts w:hint="default" w:ascii="Times New Roman" w:hAnsi="Times New Roman" w:eastAsia="宋体" w:cs="Times New Roman"/>
                      <w:b w:val="0"/>
                      <w:bCs w:val="0"/>
                      <w:i w:val="0"/>
                      <w:iCs w:val="0"/>
                      <w:color w:val="auto"/>
                      <w:kern w:val="0"/>
                      <w:sz w:val="21"/>
                      <w:szCs w:val="21"/>
                      <w:u w:val="none"/>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lang w:val="en-US" w:eastAsia="zh-CN" w:bidi="ar"/>
                    </w:rPr>
                    <w:t>（mg/L）</w:t>
                  </w:r>
                </w:p>
              </w:tc>
              <w:tc>
                <w:tcPr>
                  <w:tcW w:w="538" w:type="pct"/>
                  <w:vMerge w:val="restart"/>
                  <w:tcBorders>
                    <w:tl2br w:val="nil"/>
                    <w:tr2bl w:val="nil"/>
                  </w:tcBorders>
                  <w:noWrap w:val="0"/>
                  <w:vAlign w:val="center"/>
                </w:tcPr>
                <w:p w14:paraId="3BAC652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有效监测数据</w:t>
                  </w:r>
                  <w:r>
                    <w:rPr>
                      <w:rFonts w:hint="default" w:ascii="Times New Roman" w:hAnsi="Times New Roman" w:eastAsia="宋体" w:cs="Times New Roman"/>
                      <w:b w:val="0"/>
                      <w:bCs w:val="0"/>
                      <w:i w:val="0"/>
                      <w:iCs w:val="0"/>
                      <w:color w:val="auto"/>
                      <w:kern w:val="0"/>
                      <w:sz w:val="21"/>
                      <w:szCs w:val="21"/>
                      <w:u w:val="none"/>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lang w:val="en-US" w:eastAsia="zh-CN" w:bidi="ar"/>
                    </w:rPr>
                    <w:t>（日均值）数</w:t>
                  </w:r>
                  <w:r>
                    <w:rPr>
                      <w:rFonts w:hint="default" w:ascii="Times New Roman" w:hAnsi="Times New Roman" w:eastAsia="宋体" w:cs="Times New Roman"/>
                      <w:b w:val="0"/>
                      <w:bCs w:val="0"/>
                      <w:i w:val="0"/>
                      <w:iCs w:val="0"/>
                      <w:color w:val="auto"/>
                      <w:kern w:val="0"/>
                      <w:sz w:val="21"/>
                      <w:szCs w:val="21"/>
                      <w:u w:val="none"/>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lang w:val="en-US" w:eastAsia="zh-CN" w:bidi="ar"/>
                    </w:rPr>
                    <w:t>量</w:t>
                  </w:r>
                </w:p>
              </w:tc>
              <w:tc>
                <w:tcPr>
                  <w:tcW w:w="2232" w:type="pct"/>
                  <w:gridSpan w:val="3"/>
                  <w:tcBorders>
                    <w:tl2br w:val="nil"/>
                    <w:tr2bl w:val="nil"/>
                  </w:tcBorders>
                  <w:noWrap w:val="0"/>
                  <w:vAlign w:val="center"/>
                </w:tcPr>
                <w:p w14:paraId="2240C55D">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浓度监测结果（日均浓度,mg/L）</w:t>
                  </w:r>
                </w:p>
              </w:tc>
            </w:tr>
            <w:tr w14:paraId="5A48867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32" w:hRule="atLeast"/>
              </w:trPr>
              <w:tc>
                <w:tcPr>
                  <w:tcW w:w="334" w:type="pct"/>
                  <w:vMerge w:val="continue"/>
                  <w:tcBorders>
                    <w:tl2br w:val="nil"/>
                    <w:tr2bl w:val="nil"/>
                  </w:tcBorders>
                  <w:noWrap w:val="0"/>
                  <w:vAlign w:val="center"/>
                </w:tcPr>
                <w:p w14:paraId="49B1F6DC">
                  <w:pPr>
                    <w:jc w:val="center"/>
                    <w:rPr>
                      <w:rFonts w:hint="default" w:ascii="Times New Roman" w:hAnsi="Times New Roman" w:eastAsia="宋体" w:cs="Times New Roman"/>
                      <w:b w:val="0"/>
                      <w:bCs w:val="0"/>
                      <w:i w:val="0"/>
                      <w:iCs w:val="0"/>
                      <w:color w:val="auto"/>
                      <w:sz w:val="21"/>
                      <w:szCs w:val="21"/>
                      <w:u w:val="none"/>
                    </w:rPr>
                  </w:pPr>
                </w:p>
              </w:tc>
              <w:tc>
                <w:tcPr>
                  <w:tcW w:w="598" w:type="pct"/>
                  <w:vMerge w:val="continue"/>
                  <w:tcBorders>
                    <w:tl2br w:val="nil"/>
                    <w:tr2bl w:val="nil"/>
                  </w:tcBorders>
                  <w:noWrap w:val="0"/>
                  <w:vAlign w:val="center"/>
                </w:tcPr>
                <w:p w14:paraId="17DCF393">
                  <w:pPr>
                    <w:jc w:val="center"/>
                    <w:rPr>
                      <w:rFonts w:hint="default" w:ascii="Times New Roman" w:hAnsi="Times New Roman" w:eastAsia="宋体" w:cs="Times New Roman"/>
                      <w:b w:val="0"/>
                      <w:bCs w:val="0"/>
                      <w:i w:val="0"/>
                      <w:iCs w:val="0"/>
                      <w:color w:val="auto"/>
                      <w:sz w:val="21"/>
                      <w:szCs w:val="21"/>
                      <w:u w:val="none"/>
                    </w:rPr>
                  </w:pPr>
                </w:p>
              </w:tc>
              <w:tc>
                <w:tcPr>
                  <w:tcW w:w="489" w:type="pct"/>
                  <w:vMerge w:val="continue"/>
                  <w:tcBorders>
                    <w:tl2br w:val="nil"/>
                    <w:tr2bl w:val="nil"/>
                  </w:tcBorders>
                  <w:noWrap w:val="0"/>
                  <w:vAlign w:val="center"/>
                </w:tcPr>
                <w:p w14:paraId="61A9EE35">
                  <w:pPr>
                    <w:jc w:val="center"/>
                    <w:rPr>
                      <w:rFonts w:hint="default" w:ascii="Times New Roman" w:hAnsi="Times New Roman" w:eastAsia="宋体" w:cs="Times New Roman"/>
                      <w:b w:val="0"/>
                      <w:bCs w:val="0"/>
                      <w:i w:val="0"/>
                      <w:iCs w:val="0"/>
                      <w:color w:val="auto"/>
                      <w:sz w:val="21"/>
                      <w:szCs w:val="21"/>
                      <w:u w:val="none"/>
                    </w:rPr>
                  </w:pPr>
                </w:p>
              </w:tc>
              <w:tc>
                <w:tcPr>
                  <w:tcW w:w="806" w:type="pct"/>
                  <w:vMerge w:val="continue"/>
                  <w:tcBorders>
                    <w:tl2br w:val="nil"/>
                    <w:tr2bl w:val="nil"/>
                  </w:tcBorders>
                  <w:noWrap w:val="0"/>
                  <w:vAlign w:val="center"/>
                </w:tcPr>
                <w:p w14:paraId="48F43ADA">
                  <w:pPr>
                    <w:jc w:val="center"/>
                    <w:rPr>
                      <w:rFonts w:hint="default" w:ascii="Times New Roman" w:hAnsi="Times New Roman" w:eastAsia="宋体" w:cs="Times New Roman"/>
                      <w:b w:val="0"/>
                      <w:bCs w:val="0"/>
                      <w:i w:val="0"/>
                      <w:iCs w:val="0"/>
                      <w:color w:val="auto"/>
                      <w:sz w:val="21"/>
                      <w:szCs w:val="21"/>
                      <w:u w:val="none"/>
                    </w:rPr>
                  </w:pPr>
                </w:p>
              </w:tc>
              <w:tc>
                <w:tcPr>
                  <w:tcW w:w="538" w:type="pct"/>
                  <w:vMerge w:val="continue"/>
                  <w:tcBorders>
                    <w:tl2br w:val="nil"/>
                    <w:tr2bl w:val="nil"/>
                  </w:tcBorders>
                  <w:noWrap w:val="0"/>
                  <w:vAlign w:val="center"/>
                </w:tcPr>
                <w:p w14:paraId="52DF296E">
                  <w:pPr>
                    <w:jc w:val="center"/>
                    <w:rPr>
                      <w:rFonts w:hint="default" w:ascii="Times New Roman" w:hAnsi="Times New Roman" w:eastAsia="宋体" w:cs="Times New Roman"/>
                      <w:b w:val="0"/>
                      <w:bCs w:val="0"/>
                      <w:i w:val="0"/>
                      <w:iCs w:val="0"/>
                      <w:color w:val="auto"/>
                      <w:sz w:val="21"/>
                      <w:szCs w:val="21"/>
                      <w:u w:val="none"/>
                    </w:rPr>
                  </w:pPr>
                </w:p>
              </w:tc>
              <w:tc>
                <w:tcPr>
                  <w:tcW w:w="765" w:type="pct"/>
                  <w:tcBorders>
                    <w:tl2br w:val="nil"/>
                    <w:tr2bl w:val="nil"/>
                  </w:tcBorders>
                  <w:noWrap w:val="0"/>
                  <w:vAlign w:val="center"/>
                </w:tcPr>
                <w:p w14:paraId="2DD26333">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最小值</w:t>
                  </w:r>
                </w:p>
              </w:tc>
              <w:tc>
                <w:tcPr>
                  <w:tcW w:w="746" w:type="pct"/>
                  <w:tcBorders>
                    <w:tl2br w:val="nil"/>
                    <w:tr2bl w:val="nil"/>
                  </w:tcBorders>
                  <w:noWrap w:val="0"/>
                  <w:vAlign w:val="center"/>
                </w:tcPr>
                <w:p w14:paraId="36588506">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最大值</w:t>
                  </w:r>
                </w:p>
              </w:tc>
              <w:tc>
                <w:tcPr>
                  <w:tcW w:w="720" w:type="pct"/>
                  <w:tcBorders>
                    <w:tl2br w:val="nil"/>
                    <w:tr2bl w:val="nil"/>
                  </w:tcBorders>
                  <w:noWrap w:val="0"/>
                  <w:vAlign w:val="center"/>
                </w:tcPr>
                <w:p w14:paraId="4345C59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平均值</w:t>
                  </w:r>
                </w:p>
              </w:tc>
            </w:tr>
            <w:tr w14:paraId="71517D2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334" w:type="pct"/>
                  <w:vMerge w:val="restart"/>
                  <w:tcBorders>
                    <w:tl2br w:val="nil"/>
                    <w:tr2bl w:val="nil"/>
                  </w:tcBorders>
                  <w:noWrap w:val="0"/>
                  <w:vAlign w:val="center"/>
                </w:tcPr>
                <w:p w14:paraId="4E0700A9">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DW00</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1</w:t>
                  </w:r>
                </w:p>
              </w:tc>
              <w:tc>
                <w:tcPr>
                  <w:tcW w:w="598" w:type="pct"/>
                  <w:tcBorders>
                    <w:tl2br w:val="nil"/>
                    <w:tr2bl w:val="nil"/>
                  </w:tcBorders>
                  <w:noWrap w:val="0"/>
                  <w:vAlign w:val="center"/>
                </w:tcPr>
                <w:p w14:paraId="17BBEA8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pH 值</w:t>
                  </w:r>
                </w:p>
              </w:tc>
              <w:tc>
                <w:tcPr>
                  <w:tcW w:w="489" w:type="pct"/>
                  <w:tcBorders>
                    <w:tl2br w:val="nil"/>
                    <w:tr2bl w:val="nil"/>
                  </w:tcBorders>
                  <w:noWrap w:val="0"/>
                  <w:vAlign w:val="center"/>
                </w:tcPr>
                <w:p w14:paraId="02A03DA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35350AFC">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6-9</w:t>
                  </w:r>
                </w:p>
              </w:tc>
              <w:tc>
                <w:tcPr>
                  <w:tcW w:w="538" w:type="pct"/>
                  <w:tcBorders>
                    <w:tl2br w:val="nil"/>
                    <w:tr2bl w:val="nil"/>
                  </w:tcBorders>
                  <w:noWrap w:val="0"/>
                  <w:vAlign w:val="center"/>
                </w:tcPr>
                <w:p w14:paraId="189A0F39">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765" w:type="pct"/>
                  <w:tcBorders>
                    <w:tl2br w:val="nil"/>
                    <w:tr2bl w:val="nil"/>
                  </w:tcBorders>
                  <w:noWrap w:val="0"/>
                  <w:vAlign w:val="center"/>
                </w:tcPr>
                <w:p w14:paraId="0094CAC2">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746" w:type="pct"/>
                  <w:tcBorders>
                    <w:tl2br w:val="nil"/>
                    <w:tr2bl w:val="nil"/>
                  </w:tcBorders>
                  <w:noWrap w:val="0"/>
                  <w:vAlign w:val="center"/>
                </w:tcPr>
                <w:p w14:paraId="6D1E33F4">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720" w:type="pct"/>
                  <w:tcBorders>
                    <w:tl2br w:val="nil"/>
                    <w:tr2bl w:val="nil"/>
                  </w:tcBorders>
                  <w:noWrap w:val="0"/>
                  <w:vAlign w:val="center"/>
                </w:tcPr>
                <w:p w14:paraId="6360056B">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42FA519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952" w:hRule="atLeast"/>
              </w:trPr>
              <w:tc>
                <w:tcPr>
                  <w:tcW w:w="334" w:type="pct"/>
                  <w:vMerge w:val="continue"/>
                  <w:tcBorders>
                    <w:tl2br w:val="nil"/>
                    <w:tr2bl w:val="nil"/>
                  </w:tcBorders>
                  <w:noWrap w:val="0"/>
                  <w:vAlign w:val="center"/>
                </w:tcPr>
                <w:p w14:paraId="31ED4D05">
                  <w:pPr>
                    <w:jc w:val="center"/>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401606F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五日生</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化需氧</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量</w:t>
                  </w:r>
                </w:p>
              </w:tc>
              <w:tc>
                <w:tcPr>
                  <w:tcW w:w="489" w:type="pct"/>
                  <w:tcBorders>
                    <w:tl2br w:val="nil"/>
                    <w:tr2bl w:val="nil"/>
                  </w:tcBorders>
                  <w:noWrap w:val="0"/>
                  <w:vAlign w:val="center"/>
                </w:tcPr>
                <w:p w14:paraId="1767EB6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7363FE5E">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20 </w:t>
                  </w:r>
                </w:p>
              </w:tc>
              <w:tc>
                <w:tcPr>
                  <w:tcW w:w="538" w:type="pct"/>
                  <w:tcBorders>
                    <w:tl2br w:val="nil"/>
                    <w:tr2bl w:val="nil"/>
                  </w:tcBorders>
                  <w:noWrap w:val="0"/>
                  <w:vAlign w:val="center"/>
                </w:tcPr>
                <w:p w14:paraId="10E0FA2A">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765" w:type="pct"/>
                  <w:tcBorders>
                    <w:tl2br w:val="nil"/>
                    <w:tr2bl w:val="nil"/>
                  </w:tcBorders>
                  <w:noWrap w:val="0"/>
                  <w:vAlign w:val="center"/>
                </w:tcPr>
                <w:p w14:paraId="0D6977AD">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2.3 </w:t>
                  </w:r>
                </w:p>
              </w:tc>
              <w:tc>
                <w:tcPr>
                  <w:tcW w:w="746" w:type="pct"/>
                  <w:tcBorders>
                    <w:tl2br w:val="nil"/>
                    <w:tr2bl w:val="nil"/>
                  </w:tcBorders>
                  <w:noWrap w:val="0"/>
                  <w:vAlign w:val="center"/>
                </w:tcPr>
                <w:p w14:paraId="375CB6D8">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3.4 </w:t>
                  </w:r>
                </w:p>
              </w:tc>
              <w:tc>
                <w:tcPr>
                  <w:tcW w:w="720" w:type="pct"/>
                  <w:tcBorders>
                    <w:tl2br w:val="nil"/>
                    <w:tr2bl w:val="nil"/>
                  </w:tcBorders>
                  <w:noWrap w:val="0"/>
                  <w:vAlign w:val="center"/>
                </w:tcPr>
                <w:p w14:paraId="685BDB40">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3.075 </w:t>
                  </w:r>
                </w:p>
              </w:tc>
            </w:tr>
            <w:tr w14:paraId="4222DE3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80" w:hRule="atLeast"/>
              </w:trPr>
              <w:tc>
                <w:tcPr>
                  <w:tcW w:w="334" w:type="pct"/>
                  <w:vMerge w:val="continue"/>
                  <w:tcBorders>
                    <w:tl2br w:val="nil"/>
                    <w:tr2bl w:val="nil"/>
                  </w:tcBorders>
                  <w:noWrap w:val="0"/>
                  <w:vAlign w:val="center"/>
                </w:tcPr>
                <w:p w14:paraId="32107667">
                  <w:pPr>
                    <w:jc w:val="center"/>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6FE60A9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动植物</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油</w:t>
                  </w:r>
                </w:p>
              </w:tc>
              <w:tc>
                <w:tcPr>
                  <w:tcW w:w="489" w:type="pct"/>
                  <w:tcBorders>
                    <w:tl2br w:val="nil"/>
                    <w:tr2bl w:val="nil"/>
                  </w:tcBorders>
                  <w:noWrap w:val="0"/>
                  <w:vAlign w:val="center"/>
                </w:tcPr>
                <w:p w14:paraId="498C2BA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33774ACA">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5 </w:t>
                  </w:r>
                </w:p>
              </w:tc>
              <w:tc>
                <w:tcPr>
                  <w:tcW w:w="538" w:type="pct"/>
                  <w:tcBorders>
                    <w:tl2br w:val="nil"/>
                    <w:tr2bl w:val="nil"/>
                  </w:tcBorders>
                  <w:noWrap w:val="0"/>
                  <w:vAlign w:val="center"/>
                </w:tcPr>
                <w:p w14:paraId="2B3C40B0">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765" w:type="pct"/>
                  <w:tcBorders>
                    <w:tl2br w:val="nil"/>
                    <w:tr2bl w:val="nil"/>
                  </w:tcBorders>
                  <w:noWrap w:val="0"/>
                  <w:vAlign w:val="center"/>
                </w:tcPr>
                <w:p w14:paraId="36BD4FB6">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0.06 </w:t>
                  </w:r>
                </w:p>
              </w:tc>
              <w:tc>
                <w:tcPr>
                  <w:tcW w:w="746" w:type="pct"/>
                  <w:tcBorders>
                    <w:tl2br w:val="nil"/>
                    <w:tr2bl w:val="nil"/>
                  </w:tcBorders>
                  <w:noWrap w:val="0"/>
                  <w:vAlign w:val="center"/>
                </w:tcPr>
                <w:p w14:paraId="0C5CF8D4">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0.38 </w:t>
                  </w:r>
                </w:p>
              </w:tc>
              <w:tc>
                <w:tcPr>
                  <w:tcW w:w="720" w:type="pct"/>
                  <w:tcBorders>
                    <w:tl2br w:val="nil"/>
                    <w:tr2bl w:val="nil"/>
                  </w:tcBorders>
                  <w:noWrap w:val="0"/>
                  <w:vAlign w:val="center"/>
                </w:tcPr>
                <w:p w14:paraId="722F2D10">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0.165 </w:t>
                  </w:r>
                </w:p>
              </w:tc>
            </w:tr>
            <w:tr w14:paraId="26E4B99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87" w:hRule="atLeast"/>
              </w:trPr>
              <w:tc>
                <w:tcPr>
                  <w:tcW w:w="334" w:type="pct"/>
                  <w:vMerge w:val="continue"/>
                  <w:tcBorders>
                    <w:tl2br w:val="nil"/>
                    <w:tr2bl w:val="nil"/>
                  </w:tcBorders>
                  <w:noWrap w:val="0"/>
                  <w:vAlign w:val="center"/>
                </w:tcPr>
                <w:p w14:paraId="50BF1BAE">
                  <w:pPr>
                    <w:jc w:val="center"/>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0DDC0D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化学需</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氧量</w:t>
                  </w:r>
                </w:p>
              </w:tc>
              <w:tc>
                <w:tcPr>
                  <w:tcW w:w="489" w:type="pct"/>
                  <w:tcBorders>
                    <w:tl2br w:val="nil"/>
                    <w:tr2bl w:val="nil"/>
                  </w:tcBorders>
                  <w:noWrap w:val="0"/>
                  <w:vAlign w:val="center"/>
                </w:tcPr>
                <w:p w14:paraId="5052922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1F43D8AC">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60 </w:t>
                  </w:r>
                </w:p>
              </w:tc>
              <w:tc>
                <w:tcPr>
                  <w:tcW w:w="538" w:type="pct"/>
                  <w:tcBorders>
                    <w:tl2br w:val="nil"/>
                    <w:tr2bl w:val="nil"/>
                  </w:tcBorders>
                  <w:noWrap w:val="0"/>
                  <w:vAlign w:val="center"/>
                </w:tcPr>
                <w:p w14:paraId="774B95AD">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52 </w:t>
                  </w:r>
                </w:p>
              </w:tc>
              <w:tc>
                <w:tcPr>
                  <w:tcW w:w="765" w:type="pct"/>
                  <w:tcBorders>
                    <w:tl2br w:val="nil"/>
                    <w:tr2bl w:val="nil"/>
                  </w:tcBorders>
                  <w:noWrap w:val="0"/>
                  <w:vAlign w:val="center"/>
                </w:tcPr>
                <w:p w14:paraId="415B1C19">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22.75 </w:t>
                  </w:r>
                </w:p>
              </w:tc>
              <w:tc>
                <w:tcPr>
                  <w:tcW w:w="746" w:type="pct"/>
                  <w:tcBorders>
                    <w:tl2br w:val="nil"/>
                    <w:tr2bl w:val="nil"/>
                  </w:tcBorders>
                  <w:noWrap w:val="0"/>
                  <w:vAlign w:val="center"/>
                </w:tcPr>
                <w:p w14:paraId="46256B68">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39.75 </w:t>
                  </w:r>
                </w:p>
              </w:tc>
              <w:tc>
                <w:tcPr>
                  <w:tcW w:w="720" w:type="pct"/>
                  <w:tcBorders>
                    <w:tl2br w:val="nil"/>
                    <w:tr2bl w:val="nil"/>
                  </w:tcBorders>
                  <w:noWrap w:val="0"/>
                  <w:vAlign w:val="center"/>
                </w:tcPr>
                <w:p w14:paraId="1B41DD04">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30.958333 </w:t>
                  </w:r>
                </w:p>
              </w:tc>
            </w:tr>
            <w:tr w14:paraId="3591BB9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960" w:hRule="atLeast"/>
              </w:trPr>
              <w:tc>
                <w:tcPr>
                  <w:tcW w:w="334" w:type="pct"/>
                  <w:vMerge w:val="continue"/>
                  <w:tcBorders>
                    <w:tl2br w:val="nil"/>
                    <w:tr2bl w:val="nil"/>
                  </w:tcBorders>
                  <w:noWrap w:val="0"/>
                  <w:vAlign w:val="top"/>
                </w:tcPr>
                <w:p w14:paraId="1CB6D5EA">
                  <w:pPr>
                    <w:jc w:val="left"/>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44D3701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总余氯</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（以 Cl</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计）</w:t>
                  </w:r>
                </w:p>
              </w:tc>
              <w:tc>
                <w:tcPr>
                  <w:tcW w:w="489" w:type="pct"/>
                  <w:tcBorders>
                    <w:tl2br w:val="nil"/>
                    <w:tr2bl w:val="nil"/>
                  </w:tcBorders>
                  <w:noWrap w:val="0"/>
                  <w:vAlign w:val="center"/>
                </w:tcPr>
                <w:p w14:paraId="3BCEAB0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5C44EB2A">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0.5 </w:t>
                  </w:r>
                </w:p>
              </w:tc>
              <w:tc>
                <w:tcPr>
                  <w:tcW w:w="538" w:type="pct"/>
                  <w:tcBorders>
                    <w:tl2br w:val="nil"/>
                    <w:tr2bl w:val="nil"/>
                  </w:tcBorders>
                  <w:noWrap w:val="0"/>
                  <w:vAlign w:val="center"/>
                </w:tcPr>
                <w:p w14:paraId="719DC2DA">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765" w:type="pct"/>
                  <w:tcBorders>
                    <w:tl2br w:val="nil"/>
                    <w:tr2bl w:val="nil"/>
                  </w:tcBorders>
                  <w:noWrap w:val="0"/>
                  <w:vAlign w:val="center"/>
                </w:tcPr>
                <w:p w14:paraId="1F636A3D">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0.004 </w:t>
                  </w:r>
                </w:p>
              </w:tc>
              <w:tc>
                <w:tcPr>
                  <w:tcW w:w="746" w:type="pct"/>
                  <w:tcBorders>
                    <w:tl2br w:val="nil"/>
                    <w:tr2bl w:val="nil"/>
                  </w:tcBorders>
                  <w:noWrap w:val="0"/>
                  <w:vAlign w:val="center"/>
                </w:tcPr>
                <w:p w14:paraId="2828DB19">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0.44 </w:t>
                  </w:r>
                </w:p>
              </w:tc>
              <w:tc>
                <w:tcPr>
                  <w:tcW w:w="720" w:type="pct"/>
                  <w:tcBorders>
                    <w:tl2br w:val="nil"/>
                    <w:tr2bl w:val="nil"/>
                  </w:tcBorders>
                  <w:noWrap w:val="0"/>
                  <w:vAlign w:val="center"/>
                </w:tcPr>
                <w:p w14:paraId="56A5E151">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0.294666 </w:t>
                  </w:r>
                </w:p>
              </w:tc>
            </w:tr>
            <w:tr w14:paraId="477C4E4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1" w:hRule="atLeast"/>
              </w:trPr>
              <w:tc>
                <w:tcPr>
                  <w:tcW w:w="334" w:type="pct"/>
                  <w:vMerge w:val="continue"/>
                  <w:tcBorders>
                    <w:tl2br w:val="nil"/>
                    <w:tr2bl w:val="nil"/>
                  </w:tcBorders>
                  <w:noWrap w:val="0"/>
                  <w:vAlign w:val="top"/>
                </w:tcPr>
                <w:p w14:paraId="090228CC">
                  <w:pPr>
                    <w:jc w:val="left"/>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1C5E58B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总氰化物</w:t>
                  </w:r>
                </w:p>
              </w:tc>
              <w:tc>
                <w:tcPr>
                  <w:tcW w:w="489" w:type="pct"/>
                  <w:tcBorders>
                    <w:tl2br w:val="nil"/>
                    <w:tr2bl w:val="nil"/>
                  </w:tcBorders>
                  <w:noWrap w:val="0"/>
                  <w:vAlign w:val="center"/>
                </w:tcPr>
                <w:p w14:paraId="12C1F33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67DC6721">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0.5 </w:t>
                  </w:r>
                </w:p>
              </w:tc>
              <w:tc>
                <w:tcPr>
                  <w:tcW w:w="538" w:type="pct"/>
                  <w:tcBorders>
                    <w:tl2br w:val="nil"/>
                    <w:tr2bl w:val="nil"/>
                  </w:tcBorders>
                  <w:noWrap w:val="0"/>
                  <w:vAlign w:val="center"/>
                </w:tcPr>
                <w:p w14:paraId="63925A49">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765" w:type="pct"/>
                  <w:tcBorders>
                    <w:tl2br w:val="nil"/>
                    <w:tr2bl w:val="nil"/>
                  </w:tcBorders>
                  <w:noWrap w:val="0"/>
                  <w:vAlign w:val="center"/>
                </w:tcPr>
                <w:p w14:paraId="43CA01A1">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0.004 </w:t>
                  </w:r>
                </w:p>
              </w:tc>
              <w:tc>
                <w:tcPr>
                  <w:tcW w:w="746" w:type="pct"/>
                  <w:tcBorders>
                    <w:tl2br w:val="nil"/>
                    <w:tr2bl w:val="nil"/>
                  </w:tcBorders>
                  <w:noWrap w:val="0"/>
                  <w:vAlign w:val="center"/>
                </w:tcPr>
                <w:p w14:paraId="5A8973F6">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0.004 </w:t>
                  </w:r>
                </w:p>
              </w:tc>
              <w:tc>
                <w:tcPr>
                  <w:tcW w:w="720" w:type="pct"/>
                  <w:tcBorders>
                    <w:tl2br w:val="nil"/>
                    <w:tr2bl w:val="nil"/>
                  </w:tcBorders>
                  <w:noWrap w:val="0"/>
                  <w:vAlign w:val="center"/>
                </w:tcPr>
                <w:p w14:paraId="445A2951">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0.004 </w:t>
                  </w:r>
                </w:p>
              </w:tc>
            </w:tr>
            <w:tr w14:paraId="140D42E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90" w:hRule="atLeast"/>
              </w:trPr>
              <w:tc>
                <w:tcPr>
                  <w:tcW w:w="334" w:type="pct"/>
                  <w:vMerge w:val="continue"/>
                  <w:tcBorders>
                    <w:tl2br w:val="nil"/>
                    <w:tr2bl w:val="nil"/>
                  </w:tcBorders>
                  <w:noWrap w:val="0"/>
                  <w:vAlign w:val="top"/>
                </w:tcPr>
                <w:p w14:paraId="72047B3A">
                  <w:pPr>
                    <w:jc w:val="left"/>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76E45D5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悬浮物</w:t>
                  </w:r>
                </w:p>
              </w:tc>
              <w:tc>
                <w:tcPr>
                  <w:tcW w:w="489" w:type="pct"/>
                  <w:tcBorders>
                    <w:tl2br w:val="nil"/>
                    <w:tr2bl w:val="nil"/>
                  </w:tcBorders>
                  <w:noWrap w:val="0"/>
                  <w:vAlign w:val="center"/>
                </w:tcPr>
                <w:p w14:paraId="092D705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5D9DE06C">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20 </w:t>
                  </w:r>
                </w:p>
              </w:tc>
              <w:tc>
                <w:tcPr>
                  <w:tcW w:w="538" w:type="pct"/>
                  <w:tcBorders>
                    <w:tl2br w:val="nil"/>
                    <w:tr2bl w:val="nil"/>
                  </w:tcBorders>
                  <w:noWrap w:val="0"/>
                  <w:vAlign w:val="center"/>
                </w:tcPr>
                <w:p w14:paraId="144FD162">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52 </w:t>
                  </w:r>
                </w:p>
              </w:tc>
              <w:tc>
                <w:tcPr>
                  <w:tcW w:w="765" w:type="pct"/>
                  <w:tcBorders>
                    <w:tl2br w:val="nil"/>
                    <w:tr2bl w:val="nil"/>
                  </w:tcBorders>
                  <w:noWrap w:val="0"/>
                  <w:vAlign w:val="center"/>
                </w:tcPr>
                <w:p w14:paraId="61851B71">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7 </w:t>
                  </w:r>
                </w:p>
              </w:tc>
              <w:tc>
                <w:tcPr>
                  <w:tcW w:w="746" w:type="pct"/>
                  <w:tcBorders>
                    <w:tl2br w:val="nil"/>
                    <w:tr2bl w:val="nil"/>
                  </w:tcBorders>
                  <w:noWrap w:val="0"/>
                  <w:vAlign w:val="center"/>
                </w:tcPr>
                <w:p w14:paraId="0E5855BA">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13.75 </w:t>
                  </w:r>
                </w:p>
              </w:tc>
              <w:tc>
                <w:tcPr>
                  <w:tcW w:w="720" w:type="pct"/>
                  <w:tcBorders>
                    <w:tl2br w:val="nil"/>
                    <w:tr2bl w:val="nil"/>
                  </w:tcBorders>
                  <w:noWrap w:val="0"/>
                  <w:vAlign w:val="center"/>
                </w:tcPr>
                <w:p w14:paraId="4F5B576D">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11.53</w:t>
                  </w:r>
                </w:p>
              </w:tc>
            </w:tr>
            <w:tr w14:paraId="06A38AC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334" w:type="pct"/>
                  <w:vMerge w:val="continue"/>
                  <w:tcBorders>
                    <w:tl2br w:val="nil"/>
                    <w:tr2bl w:val="nil"/>
                  </w:tcBorders>
                  <w:noWrap w:val="0"/>
                  <w:vAlign w:val="top"/>
                </w:tcPr>
                <w:p w14:paraId="4F66C7E1">
                  <w:pPr>
                    <w:jc w:val="left"/>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0BAB99C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挥发酚</w:t>
                  </w:r>
                </w:p>
              </w:tc>
              <w:tc>
                <w:tcPr>
                  <w:tcW w:w="489" w:type="pct"/>
                  <w:tcBorders>
                    <w:tl2br w:val="nil"/>
                    <w:tr2bl w:val="nil"/>
                  </w:tcBorders>
                  <w:noWrap w:val="0"/>
                  <w:vAlign w:val="center"/>
                </w:tcPr>
                <w:p w14:paraId="15CF1D4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783F2C49">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0.5 </w:t>
                  </w:r>
                </w:p>
              </w:tc>
              <w:tc>
                <w:tcPr>
                  <w:tcW w:w="538" w:type="pct"/>
                  <w:tcBorders>
                    <w:tl2br w:val="nil"/>
                    <w:tr2bl w:val="nil"/>
                  </w:tcBorders>
                  <w:noWrap w:val="0"/>
                  <w:vAlign w:val="center"/>
                </w:tcPr>
                <w:p w14:paraId="513832BF">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765" w:type="pct"/>
                  <w:tcBorders>
                    <w:tl2br w:val="nil"/>
                    <w:tr2bl w:val="nil"/>
                  </w:tcBorders>
                  <w:noWrap w:val="0"/>
                  <w:vAlign w:val="center"/>
                </w:tcPr>
                <w:p w14:paraId="772E1FC9">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0.01 </w:t>
                  </w:r>
                </w:p>
              </w:tc>
              <w:tc>
                <w:tcPr>
                  <w:tcW w:w="746" w:type="pct"/>
                  <w:tcBorders>
                    <w:tl2br w:val="nil"/>
                    <w:tr2bl w:val="nil"/>
                  </w:tcBorders>
                  <w:noWrap w:val="0"/>
                  <w:vAlign w:val="center"/>
                </w:tcPr>
                <w:p w14:paraId="6DFE76D9">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0.01 </w:t>
                  </w:r>
                </w:p>
              </w:tc>
              <w:tc>
                <w:tcPr>
                  <w:tcW w:w="720" w:type="pct"/>
                  <w:tcBorders>
                    <w:tl2br w:val="nil"/>
                    <w:tr2bl w:val="nil"/>
                  </w:tcBorders>
                  <w:noWrap w:val="0"/>
                  <w:vAlign w:val="center"/>
                </w:tcPr>
                <w:p w14:paraId="4F524333">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0.01 </w:t>
                  </w:r>
                </w:p>
              </w:tc>
            </w:tr>
            <w:tr w14:paraId="5AD962C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952" w:hRule="atLeast"/>
              </w:trPr>
              <w:tc>
                <w:tcPr>
                  <w:tcW w:w="334" w:type="pct"/>
                  <w:vMerge w:val="continue"/>
                  <w:tcBorders>
                    <w:tl2br w:val="nil"/>
                    <w:tr2bl w:val="nil"/>
                  </w:tcBorders>
                  <w:noWrap w:val="0"/>
                  <w:vAlign w:val="top"/>
                </w:tcPr>
                <w:p w14:paraId="51981F8D">
                  <w:pPr>
                    <w:jc w:val="left"/>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1272A0B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氨氮</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（NH3-</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N）</w:t>
                  </w:r>
                </w:p>
              </w:tc>
              <w:tc>
                <w:tcPr>
                  <w:tcW w:w="489" w:type="pct"/>
                  <w:tcBorders>
                    <w:tl2br w:val="nil"/>
                    <w:tr2bl w:val="nil"/>
                  </w:tcBorders>
                  <w:noWrap w:val="0"/>
                  <w:vAlign w:val="center"/>
                </w:tcPr>
                <w:p w14:paraId="0D86826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0024C2CC">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15 </w:t>
                  </w:r>
                </w:p>
              </w:tc>
              <w:tc>
                <w:tcPr>
                  <w:tcW w:w="538" w:type="pct"/>
                  <w:tcBorders>
                    <w:tl2br w:val="nil"/>
                    <w:tr2bl w:val="nil"/>
                  </w:tcBorders>
                  <w:noWrap w:val="0"/>
                  <w:vAlign w:val="center"/>
                </w:tcPr>
                <w:p w14:paraId="03F09748">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765" w:type="pct"/>
                  <w:tcBorders>
                    <w:tl2br w:val="nil"/>
                    <w:tr2bl w:val="nil"/>
                  </w:tcBorders>
                  <w:noWrap w:val="0"/>
                  <w:vAlign w:val="center"/>
                </w:tcPr>
                <w:p w14:paraId="77447040">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8.9 </w:t>
                  </w:r>
                </w:p>
              </w:tc>
              <w:tc>
                <w:tcPr>
                  <w:tcW w:w="746" w:type="pct"/>
                  <w:tcBorders>
                    <w:tl2br w:val="nil"/>
                    <w:tr2bl w:val="nil"/>
                  </w:tcBorders>
                  <w:noWrap w:val="0"/>
                  <w:vAlign w:val="center"/>
                </w:tcPr>
                <w:p w14:paraId="3AEFA803">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14.4 </w:t>
                  </w:r>
                </w:p>
              </w:tc>
              <w:tc>
                <w:tcPr>
                  <w:tcW w:w="720" w:type="pct"/>
                  <w:tcBorders>
                    <w:tl2br w:val="nil"/>
                    <w:tr2bl w:val="nil"/>
                  </w:tcBorders>
                  <w:noWrap w:val="0"/>
                  <w:vAlign w:val="center"/>
                </w:tcPr>
                <w:p w14:paraId="687134C7">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12.566666 </w:t>
                  </w:r>
                </w:p>
              </w:tc>
            </w:tr>
            <w:tr w14:paraId="7859874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PrEx>
              <w:trPr>
                <w:trHeight w:val="407" w:hRule="atLeast"/>
              </w:trPr>
              <w:tc>
                <w:tcPr>
                  <w:tcW w:w="334" w:type="pct"/>
                  <w:vMerge w:val="continue"/>
                  <w:tcBorders>
                    <w:tl2br w:val="nil"/>
                    <w:tr2bl w:val="nil"/>
                  </w:tcBorders>
                  <w:noWrap w:val="0"/>
                  <w:vAlign w:val="top"/>
                </w:tcPr>
                <w:p w14:paraId="79C118F6">
                  <w:pPr>
                    <w:jc w:val="left"/>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7106286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流量</w:t>
                  </w:r>
                </w:p>
              </w:tc>
              <w:tc>
                <w:tcPr>
                  <w:tcW w:w="489" w:type="pct"/>
                  <w:tcBorders>
                    <w:tl2br w:val="nil"/>
                    <w:tr2bl w:val="nil"/>
                  </w:tcBorders>
                  <w:noWrap w:val="0"/>
                  <w:vAlign w:val="center"/>
                </w:tcPr>
                <w:p w14:paraId="24547E4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自动</w:t>
                  </w:r>
                </w:p>
              </w:tc>
              <w:tc>
                <w:tcPr>
                  <w:tcW w:w="806" w:type="pct"/>
                  <w:tcBorders>
                    <w:tl2br w:val="nil"/>
                    <w:tr2bl w:val="nil"/>
                  </w:tcBorders>
                  <w:noWrap w:val="0"/>
                  <w:vAlign w:val="top"/>
                </w:tcPr>
                <w:p w14:paraId="4AF30404">
                  <w:pPr>
                    <w:jc w:val="left"/>
                    <w:rPr>
                      <w:rFonts w:hint="default" w:ascii="Times New Roman" w:hAnsi="Times New Roman" w:cs="Times New Roman"/>
                      <w:i w:val="0"/>
                      <w:iCs w:val="0"/>
                      <w:color w:val="auto"/>
                      <w:sz w:val="21"/>
                      <w:szCs w:val="21"/>
                      <w:u w:val="none"/>
                    </w:rPr>
                  </w:pPr>
                </w:p>
              </w:tc>
              <w:tc>
                <w:tcPr>
                  <w:tcW w:w="538" w:type="pct"/>
                  <w:tcBorders>
                    <w:tl2br w:val="nil"/>
                    <w:tr2bl w:val="nil"/>
                  </w:tcBorders>
                  <w:noWrap w:val="0"/>
                  <w:vAlign w:val="center"/>
                </w:tcPr>
                <w:p w14:paraId="1C28837C">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765" w:type="pct"/>
                  <w:tcBorders>
                    <w:tl2br w:val="nil"/>
                    <w:tr2bl w:val="nil"/>
                  </w:tcBorders>
                  <w:noWrap w:val="0"/>
                  <w:vAlign w:val="center"/>
                </w:tcPr>
                <w:p w14:paraId="5D591246">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746" w:type="pct"/>
                  <w:tcBorders>
                    <w:tl2br w:val="nil"/>
                    <w:tr2bl w:val="nil"/>
                  </w:tcBorders>
                  <w:noWrap w:val="0"/>
                  <w:vAlign w:val="center"/>
                </w:tcPr>
                <w:p w14:paraId="498EB0FC">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720" w:type="pct"/>
                  <w:tcBorders>
                    <w:tl2br w:val="nil"/>
                    <w:tr2bl w:val="nil"/>
                  </w:tcBorders>
                  <w:noWrap w:val="0"/>
                  <w:vAlign w:val="center"/>
                </w:tcPr>
                <w:p w14:paraId="6D8F0E3C">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22A9AAB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334" w:type="pct"/>
                  <w:vMerge w:val="continue"/>
                  <w:tcBorders>
                    <w:tl2br w:val="nil"/>
                    <w:tr2bl w:val="nil"/>
                  </w:tcBorders>
                  <w:noWrap w:val="0"/>
                  <w:vAlign w:val="top"/>
                </w:tcPr>
                <w:p w14:paraId="11149533">
                  <w:pPr>
                    <w:jc w:val="left"/>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512B5B7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石油类</w:t>
                  </w:r>
                </w:p>
              </w:tc>
              <w:tc>
                <w:tcPr>
                  <w:tcW w:w="489" w:type="pct"/>
                  <w:tcBorders>
                    <w:tl2br w:val="nil"/>
                    <w:tr2bl w:val="nil"/>
                  </w:tcBorders>
                  <w:noWrap w:val="0"/>
                  <w:vAlign w:val="center"/>
                </w:tcPr>
                <w:p w14:paraId="670C008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2733A5E4">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5 </w:t>
                  </w:r>
                </w:p>
              </w:tc>
              <w:tc>
                <w:tcPr>
                  <w:tcW w:w="538" w:type="pct"/>
                  <w:tcBorders>
                    <w:tl2br w:val="nil"/>
                    <w:tr2bl w:val="nil"/>
                  </w:tcBorders>
                  <w:noWrap w:val="0"/>
                  <w:vAlign w:val="center"/>
                </w:tcPr>
                <w:p w14:paraId="492D82F2">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765" w:type="pct"/>
                  <w:tcBorders>
                    <w:tl2br w:val="nil"/>
                    <w:tr2bl w:val="nil"/>
                  </w:tcBorders>
                  <w:noWrap w:val="0"/>
                  <w:vAlign w:val="center"/>
                </w:tcPr>
                <w:p w14:paraId="6C0EEEEC">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0.06 </w:t>
                  </w:r>
                </w:p>
              </w:tc>
              <w:tc>
                <w:tcPr>
                  <w:tcW w:w="746" w:type="pct"/>
                  <w:tcBorders>
                    <w:tl2br w:val="nil"/>
                    <w:tr2bl w:val="nil"/>
                  </w:tcBorders>
                  <w:noWrap w:val="0"/>
                  <w:vAlign w:val="center"/>
                </w:tcPr>
                <w:p w14:paraId="73FA15D3">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0.22 </w:t>
                  </w:r>
                </w:p>
              </w:tc>
              <w:tc>
                <w:tcPr>
                  <w:tcW w:w="720" w:type="pct"/>
                  <w:tcBorders>
                    <w:tl2br w:val="nil"/>
                    <w:tr2bl w:val="nil"/>
                  </w:tcBorders>
                  <w:noWrap w:val="0"/>
                  <w:vAlign w:val="center"/>
                </w:tcPr>
                <w:p w14:paraId="4C882D2B">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0.1175 </w:t>
                  </w:r>
                </w:p>
              </w:tc>
            </w:tr>
            <w:tr w14:paraId="2708D15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497" w:hRule="atLeast"/>
              </w:trPr>
              <w:tc>
                <w:tcPr>
                  <w:tcW w:w="334" w:type="pct"/>
                  <w:vMerge w:val="continue"/>
                  <w:tcBorders>
                    <w:tl2br w:val="nil"/>
                    <w:tr2bl w:val="nil"/>
                  </w:tcBorders>
                  <w:noWrap w:val="0"/>
                  <w:vAlign w:val="top"/>
                </w:tcPr>
                <w:p w14:paraId="43557587">
                  <w:pPr>
                    <w:jc w:val="left"/>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235CBCE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粪大肠</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菌群数</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（MPN/</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L）</w:t>
                  </w:r>
                </w:p>
              </w:tc>
              <w:tc>
                <w:tcPr>
                  <w:tcW w:w="489" w:type="pct"/>
                  <w:tcBorders>
                    <w:tl2br w:val="nil"/>
                    <w:tr2bl w:val="nil"/>
                  </w:tcBorders>
                  <w:noWrap w:val="0"/>
                  <w:vAlign w:val="center"/>
                </w:tcPr>
                <w:p w14:paraId="52D4B5D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53C2F3D7">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500 </w:t>
                  </w:r>
                </w:p>
              </w:tc>
              <w:tc>
                <w:tcPr>
                  <w:tcW w:w="538" w:type="pct"/>
                  <w:tcBorders>
                    <w:tl2br w:val="nil"/>
                    <w:tr2bl w:val="nil"/>
                  </w:tcBorders>
                  <w:noWrap w:val="0"/>
                  <w:vAlign w:val="center"/>
                </w:tcPr>
                <w:p w14:paraId="43B2E6D0">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765" w:type="pct"/>
                  <w:tcBorders>
                    <w:tl2br w:val="nil"/>
                    <w:tr2bl w:val="nil"/>
                  </w:tcBorders>
                  <w:noWrap w:val="0"/>
                  <w:vAlign w:val="center"/>
                </w:tcPr>
                <w:p w14:paraId="74BD3C75">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20 </w:t>
                  </w:r>
                </w:p>
              </w:tc>
              <w:tc>
                <w:tcPr>
                  <w:tcW w:w="746" w:type="pct"/>
                  <w:tcBorders>
                    <w:tl2br w:val="nil"/>
                    <w:tr2bl w:val="nil"/>
                  </w:tcBorders>
                  <w:noWrap w:val="0"/>
                  <w:vAlign w:val="center"/>
                </w:tcPr>
                <w:p w14:paraId="3EC6C65E">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470 </w:t>
                  </w:r>
                </w:p>
              </w:tc>
              <w:tc>
                <w:tcPr>
                  <w:tcW w:w="720" w:type="pct"/>
                  <w:tcBorders>
                    <w:tl2br w:val="nil"/>
                    <w:tr2bl w:val="nil"/>
                  </w:tcBorders>
                  <w:noWrap w:val="0"/>
                  <w:vAlign w:val="center"/>
                </w:tcPr>
                <w:p w14:paraId="386CB1E3">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326.66 </w:t>
                  </w:r>
                </w:p>
              </w:tc>
            </w:tr>
            <w:tr w14:paraId="79EF07C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1" w:hRule="atLeast"/>
              </w:trPr>
              <w:tc>
                <w:tcPr>
                  <w:tcW w:w="334" w:type="pct"/>
                  <w:vMerge w:val="continue"/>
                  <w:tcBorders>
                    <w:tl2br w:val="nil"/>
                    <w:tr2bl w:val="nil"/>
                  </w:tcBorders>
                  <w:noWrap w:val="0"/>
                  <w:vAlign w:val="top"/>
                </w:tcPr>
                <w:p w14:paraId="53B0A8F9">
                  <w:pPr>
                    <w:jc w:val="left"/>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410E3B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肠道病毒</w:t>
                  </w:r>
                </w:p>
              </w:tc>
              <w:tc>
                <w:tcPr>
                  <w:tcW w:w="489" w:type="pct"/>
                  <w:tcBorders>
                    <w:tl2br w:val="nil"/>
                    <w:tr2bl w:val="nil"/>
                  </w:tcBorders>
                  <w:noWrap w:val="0"/>
                  <w:vAlign w:val="center"/>
                </w:tcPr>
                <w:p w14:paraId="28C3B01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6936845F">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538" w:type="pct"/>
                  <w:tcBorders>
                    <w:tl2br w:val="nil"/>
                    <w:tr2bl w:val="nil"/>
                  </w:tcBorders>
                  <w:noWrap w:val="0"/>
                  <w:vAlign w:val="center"/>
                </w:tcPr>
                <w:p w14:paraId="64BF7275">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765" w:type="pct"/>
                  <w:tcBorders>
                    <w:tl2br w:val="nil"/>
                    <w:tr2bl w:val="nil"/>
                  </w:tcBorders>
                  <w:noWrap w:val="0"/>
                  <w:vAlign w:val="center"/>
                </w:tcPr>
                <w:p w14:paraId="18E25A1A">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 </w:t>
                  </w:r>
                </w:p>
              </w:tc>
              <w:tc>
                <w:tcPr>
                  <w:tcW w:w="746" w:type="pct"/>
                  <w:tcBorders>
                    <w:tl2br w:val="nil"/>
                    <w:tr2bl w:val="nil"/>
                  </w:tcBorders>
                  <w:noWrap w:val="0"/>
                  <w:vAlign w:val="center"/>
                </w:tcPr>
                <w:p w14:paraId="4D4C7C04">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 </w:t>
                  </w:r>
                </w:p>
              </w:tc>
              <w:tc>
                <w:tcPr>
                  <w:tcW w:w="720" w:type="pct"/>
                  <w:tcBorders>
                    <w:tl2br w:val="nil"/>
                    <w:tr2bl w:val="nil"/>
                  </w:tcBorders>
                  <w:noWrap w:val="0"/>
                  <w:vAlign w:val="center"/>
                </w:tcPr>
                <w:p w14:paraId="459803A3">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 </w:t>
                  </w:r>
                </w:p>
              </w:tc>
            </w:tr>
            <w:tr w14:paraId="0AC775D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80" w:hRule="atLeast"/>
              </w:trPr>
              <w:tc>
                <w:tcPr>
                  <w:tcW w:w="334" w:type="pct"/>
                  <w:vMerge w:val="continue"/>
                  <w:tcBorders>
                    <w:tl2br w:val="nil"/>
                    <w:tr2bl w:val="nil"/>
                  </w:tcBorders>
                  <w:noWrap w:val="0"/>
                  <w:vAlign w:val="top"/>
                </w:tcPr>
                <w:p w14:paraId="237D397E">
                  <w:pPr>
                    <w:jc w:val="left"/>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472F20E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肠道致</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病菌</w:t>
                  </w:r>
                </w:p>
              </w:tc>
              <w:tc>
                <w:tcPr>
                  <w:tcW w:w="489" w:type="pct"/>
                  <w:tcBorders>
                    <w:tl2br w:val="nil"/>
                    <w:tr2bl w:val="nil"/>
                  </w:tcBorders>
                  <w:noWrap w:val="0"/>
                  <w:vAlign w:val="center"/>
                </w:tcPr>
                <w:p w14:paraId="5C1E017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698910EA">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538" w:type="pct"/>
                  <w:tcBorders>
                    <w:tl2br w:val="nil"/>
                    <w:tr2bl w:val="nil"/>
                  </w:tcBorders>
                  <w:noWrap w:val="0"/>
                  <w:vAlign w:val="center"/>
                </w:tcPr>
                <w:p w14:paraId="13FCF4BA">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765" w:type="pct"/>
                  <w:tcBorders>
                    <w:tl2br w:val="nil"/>
                    <w:tr2bl w:val="nil"/>
                  </w:tcBorders>
                  <w:noWrap w:val="0"/>
                  <w:vAlign w:val="center"/>
                </w:tcPr>
                <w:p w14:paraId="5EB79DB4">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 </w:t>
                  </w:r>
                </w:p>
              </w:tc>
              <w:tc>
                <w:tcPr>
                  <w:tcW w:w="746" w:type="pct"/>
                  <w:tcBorders>
                    <w:tl2br w:val="nil"/>
                    <w:tr2bl w:val="nil"/>
                  </w:tcBorders>
                  <w:noWrap w:val="0"/>
                  <w:vAlign w:val="center"/>
                </w:tcPr>
                <w:p w14:paraId="6050ED50">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 </w:t>
                  </w:r>
                </w:p>
              </w:tc>
              <w:tc>
                <w:tcPr>
                  <w:tcW w:w="720" w:type="pct"/>
                  <w:tcBorders>
                    <w:tl2br w:val="nil"/>
                    <w:tr2bl w:val="nil"/>
                  </w:tcBorders>
                  <w:noWrap w:val="0"/>
                  <w:vAlign w:val="center"/>
                </w:tcPr>
                <w:p w14:paraId="6F1444D7">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 </w:t>
                  </w:r>
                </w:p>
              </w:tc>
            </w:tr>
            <w:tr w14:paraId="1303A21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334" w:type="pct"/>
                  <w:vMerge w:val="continue"/>
                  <w:tcBorders>
                    <w:tl2br w:val="nil"/>
                    <w:tr2bl w:val="nil"/>
                  </w:tcBorders>
                  <w:noWrap w:val="0"/>
                  <w:vAlign w:val="top"/>
                </w:tcPr>
                <w:p w14:paraId="29616C98">
                  <w:pPr>
                    <w:jc w:val="left"/>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0F0E6D4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色度</w:t>
                  </w:r>
                </w:p>
              </w:tc>
              <w:tc>
                <w:tcPr>
                  <w:tcW w:w="489" w:type="pct"/>
                  <w:tcBorders>
                    <w:tl2br w:val="nil"/>
                    <w:tr2bl w:val="nil"/>
                  </w:tcBorders>
                  <w:noWrap w:val="0"/>
                  <w:vAlign w:val="center"/>
                </w:tcPr>
                <w:p w14:paraId="6709B53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1294247E">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30 </w:t>
                  </w:r>
                </w:p>
              </w:tc>
              <w:tc>
                <w:tcPr>
                  <w:tcW w:w="538" w:type="pct"/>
                  <w:tcBorders>
                    <w:tl2br w:val="nil"/>
                    <w:tr2bl w:val="nil"/>
                  </w:tcBorders>
                  <w:noWrap w:val="0"/>
                  <w:vAlign w:val="center"/>
                </w:tcPr>
                <w:p w14:paraId="13F46B23">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765" w:type="pct"/>
                  <w:tcBorders>
                    <w:tl2br w:val="nil"/>
                    <w:tr2bl w:val="nil"/>
                  </w:tcBorders>
                  <w:noWrap w:val="0"/>
                  <w:vAlign w:val="center"/>
                </w:tcPr>
                <w:p w14:paraId="20691C52">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0.44 </w:t>
                  </w:r>
                </w:p>
              </w:tc>
              <w:tc>
                <w:tcPr>
                  <w:tcW w:w="746" w:type="pct"/>
                  <w:tcBorders>
                    <w:tl2br w:val="nil"/>
                    <w:tr2bl w:val="nil"/>
                  </w:tcBorders>
                  <w:noWrap w:val="0"/>
                  <w:vAlign w:val="center"/>
                </w:tcPr>
                <w:p w14:paraId="238F9F58">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0.44 </w:t>
                  </w:r>
                </w:p>
              </w:tc>
              <w:tc>
                <w:tcPr>
                  <w:tcW w:w="720" w:type="pct"/>
                  <w:tcBorders>
                    <w:tl2br w:val="nil"/>
                    <w:tr2bl w:val="nil"/>
                  </w:tcBorders>
                  <w:noWrap w:val="0"/>
                  <w:vAlign w:val="center"/>
                </w:tcPr>
                <w:p w14:paraId="03A33D18">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0.44 </w:t>
                  </w:r>
                </w:p>
              </w:tc>
            </w:tr>
            <w:tr w14:paraId="539BD5C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960" w:hRule="atLeast"/>
              </w:trPr>
              <w:tc>
                <w:tcPr>
                  <w:tcW w:w="334" w:type="pct"/>
                  <w:vMerge w:val="continue"/>
                  <w:tcBorders>
                    <w:tl2br w:val="nil"/>
                    <w:tr2bl w:val="nil"/>
                  </w:tcBorders>
                  <w:noWrap w:val="0"/>
                  <w:vAlign w:val="top"/>
                </w:tcPr>
                <w:p w14:paraId="277C7F2C">
                  <w:pPr>
                    <w:jc w:val="left"/>
                    <w:rPr>
                      <w:rFonts w:hint="default" w:ascii="Times New Roman" w:hAnsi="Times New Roman" w:cs="Times New Roman"/>
                      <w:i w:val="0"/>
                      <w:iCs w:val="0"/>
                      <w:color w:val="auto"/>
                      <w:sz w:val="21"/>
                      <w:szCs w:val="21"/>
                      <w:u w:val="none"/>
                    </w:rPr>
                  </w:pPr>
                </w:p>
              </w:tc>
              <w:tc>
                <w:tcPr>
                  <w:tcW w:w="598" w:type="pct"/>
                  <w:tcBorders>
                    <w:tl2br w:val="nil"/>
                    <w:tr2bl w:val="nil"/>
                  </w:tcBorders>
                  <w:noWrap w:val="0"/>
                  <w:vAlign w:val="center"/>
                </w:tcPr>
                <w:p w14:paraId="13FE549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阴离子</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表面活</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性剂</w:t>
                  </w:r>
                </w:p>
              </w:tc>
              <w:tc>
                <w:tcPr>
                  <w:tcW w:w="489" w:type="pct"/>
                  <w:tcBorders>
                    <w:tl2br w:val="nil"/>
                    <w:tr2bl w:val="nil"/>
                  </w:tcBorders>
                  <w:noWrap w:val="0"/>
                  <w:vAlign w:val="center"/>
                </w:tcPr>
                <w:p w14:paraId="61FE8DA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手工</w:t>
                  </w:r>
                </w:p>
              </w:tc>
              <w:tc>
                <w:tcPr>
                  <w:tcW w:w="806" w:type="pct"/>
                  <w:tcBorders>
                    <w:tl2br w:val="nil"/>
                    <w:tr2bl w:val="nil"/>
                  </w:tcBorders>
                  <w:noWrap w:val="0"/>
                  <w:vAlign w:val="center"/>
                </w:tcPr>
                <w:p w14:paraId="7B72CA46">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5 </w:t>
                  </w:r>
                </w:p>
              </w:tc>
              <w:tc>
                <w:tcPr>
                  <w:tcW w:w="538" w:type="pct"/>
                  <w:tcBorders>
                    <w:tl2br w:val="nil"/>
                    <w:tr2bl w:val="nil"/>
                  </w:tcBorders>
                  <w:noWrap w:val="0"/>
                  <w:vAlign w:val="center"/>
                </w:tcPr>
                <w:p w14:paraId="7CF770EE">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 </w:t>
                  </w:r>
                </w:p>
              </w:tc>
              <w:tc>
                <w:tcPr>
                  <w:tcW w:w="765" w:type="pct"/>
                  <w:tcBorders>
                    <w:tl2br w:val="nil"/>
                    <w:tr2bl w:val="nil"/>
                  </w:tcBorders>
                  <w:noWrap w:val="0"/>
                  <w:vAlign w:val="center"/>
                </w:tcPr>
                <w:p w14:paraId="672E002C">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0.05 </w:t>
                  </w:r>
                </w:p>
              </w:tc>
              <w:tc>
                <w:tcPr>
                  <w:tcW w:w="746" w:type="pct"/>
                  <w:tcBorders>
                    <w:tl2br w:val="nil"/>
                    <w:tr2bl w:val="nil"/>
                  </w:tcBorders>
                  <w:noWrap w:val="0"/>
                  <w:vAlign w:val="center"/>
                </w:tcPr>
                <w:p w14:paraId="39600BB4">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0.18 </w:t>
                  </w:r>
                </w:p>
              </w:tc>
              <w:tc>
                <w:tcPr>
                  <w:tcW w:w="720" w:type="pct"/>
                  <w:tcBorders>
                    <w:tl2br w:val="nil"/>
                    <w:tr2bl w:val="nil"/>
                  </w:tcBorders>
                  <w:noWrap w:val="0"/>
                  <w:vAlign w:val="center"/>
                </w:tcPr>
                <w:p w14:paraId="720DBEAE">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0.12 </w:t>
                  </w:r>
                </w:p>
              </w:tc>
            </w:tr>
          </w:tbl>
          <w:p w14:paraId="688B0C46">
            <w:pPr>
              <w:pStyle w:val="30"/>
              <w:spacing w:before="199" w:line="360" w:lineRule="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2.6.2废气</w:t>
            </w:r>
          </w:p>
          <w:p w14:paraId="2BDBF946">
            <w:pPr>
              <w:pStyle w:val="30"/>
              <w:spacing w:before="199" w:line="360" w:lineRule="auto"/>
              <w:ind w:left="105" w:firstLine="720" w:firstLineChars="300"/>
              <w:rPr>
                <w:rFonts w:hint="default"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Cs/>
                <w:color w:val="auto"/>
                <w:kern w:val="2"/>
                <w:sz w:val="24"/>
                <w:szCs w:val="24"/>
                <w:lang w:val="en-US" w:eastAsia="zh-CN" w:bidi="ar-SA"/>
              </w:rPr>
              <w:t>根据监测结果，各污染因子</w:t>
            </w:r>
            <w:r>
              <w:rPr>
                <w:rFonts w:hint="default" w:ascii="Times New Roman" w:hAnsi="Times New Roman" w:eastAsia="宋体" w:cs="Times New Roman"/>
                <w:bCs/>
                <w:color w:val="auto"/>
                <w:kern w:val="2"/>
                <w:sz w:val="24"/>
                <w:szCs w:val="24"/>
                <w:lang w:val="en-US" w:eastAsia="zh-CN" w:bidi="ar-SA"/>
              </w:rPr>
              <w:t>达到《医疗机构水污染物排放标准》（GB18466-2005）表3污水处理站周边大气污染物最高允许浓度</w:t>
            </w:r>
          </w:p>
          <w:p w14:paraId="50BCAF82">
            <w:pPr>
              <w:pStyle w:val="30"/>
              <w:spacing w:before="199" w:line="360" w:lineRule="auto"/>
              <w:ind w:left="105"/>
              <w:jc w:val="center"/>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表2.6-2废气排放数据</w:t>
            </w:r>
          </w:p>
          <w:tbl>
            <w:tblPr>
              <w:tblStyle w:val="17"/>
              <w:tblW w:w="8389" w:type="dxa"/>
              <w:tblInd w:w="5"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108" w:type="dxa"/>
                <w:bottom w:w="0" w:type="dxa"/>
                <w:right w:w="108" w:type="dxa"/>
              </w:tblCellMar>
            </w:tblPr>
            <w:tblGrid>
              <w:gridCol w:w="814"/>
              <w:gridCol w:w="1413"/>
              <w:gridCol w:w="1423"/>
              <w:gridCol w:w="1798"/>
              <w:gridCol w:w="1294"/>
              <w:gridCol w:w="1647"/>
            </w:tblGrid>
            <w:tr w14:paraId="7FB62CD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388" w:hRule="atLeast"/>
              </w:trPr>
              <w:tc>
                <w:tcPr>
                  <w:tcW w:w="485" w:type="pct"/>
                  <w:tcBorders>
                    <w:tl2br w:val="nil"/>
                    <w:tr2bl w:val="nil"/>
                  </w:tcBorders>
                  <w:noWrap w:val="0"/>
                  <w:vAlign w:val="center"/>
                </w:tcPr>
                <w:p w14:paraId="31D30FA6">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点位</w:t>
                  </w:r>
                </w:p>
              </w:tc>
              <w:tc>
                <w:tcPr>
                  <w:tcW w:w="842" w:type="pct"/>
                  <w:tcBorders>
                    <w:tl2br w:val="nil"/>
                    <w:tr2bl w:val="nil"/>
                  </w:tcBorders>
                  <w:noWrap w:val="0"/>
                  <w:vAlign w:val="center"/>
                </w:tcPr>
                <w:p w14:paraId="3109D50B">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污染物种类</w:t>
                  </w:r>
                </w:p>
              </w:tc>
              <w:tc>
                <w:tcPr>
                  <w:tcW w:w="848" w:type="pct"/>
                  <w:tcBorders>
                    <w:tl2br w:val="nil"/>
                    <w:tr2bl w:val="nil"/>
                  </w:tcBorders>
                  <w:noWrap w:val="0"/>
                  <w:vAlign w:val="center"/>
                </w:tcPr>
                <w:p w14:paraId="474A97B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许可排放浓度限值（mg/m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3</w:t>
                  </w:r>
                  <w:r>
                    <w:rPr>
                      <w:rFonts w:hint="default" w:ascii="Times New Roman" w:hAnsi="Times New Roman" w:eastAsia="宋体" w:cs="Times New Roman"/>
                      <w:b w:val="0"/>
                      <w:bCs w:val="0"/>
                      <w:i w:val="0"/>
                      <w:iCs w:val="0"/>
                      <w:color w:val="auto"/>
                      <w:kern w:val="0"/>
                      <w:sz w:val="21"/>
                      <w:szCs w:val="21"/>
                      <w:u w:val="none"/>
                      <w:lang w:val="en-US" w:eastAsia="zh-CN" w:bidi="ar"/>
                    </w:rPr>
                    <w:t>）</w:t>
                  </w:r>
                </w:p>
              </w:tc>
              <w:tc>
                <w:tcPr>
                  <w:tcW w:w="1071" w:type="pct"/>
                  <w:tcBorders>
                    <w:tl2br w:val="nil"/>
                    <w:tr2bl w:val="nil"/>
                  </w:tcBorders>
                  <w:noWrap w:val="0"/>
                  <w:vAlign w:val="center"/>
                </w:tcPr>
                <w:p w14:paraId="7BEF6B37">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监测点位/设施</w:t>
                  </w:r>
                </w:p>
              </w:tc>
              <w:tc>
                <w:tcPr>
                  <w:tcW w:w="771" w:type="pct"/>
                  <w:tcBorders>
                    <w:tl2br w:val="nil"/>
                    <w:tr2bl w:val="nil"/>
                  </w:tcBorders>
                  <w:noWrap w:val="0"/>
                  <w:vAlign w:val="center"/>
                </w:tcPr>
                <w:p w14:paraId="212F9CDD">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监测</w:t>
                  </w:r>
                  <w:r>
                    <w:rPr>
                      <w:rFonts w:hint="default" w:ascii="Times New Roman" w:hAnsi="Times New Roman" w:eastAsia="宋体" w:cs="Times New Roman"/>
                      <w:b w:val="0"/>
                      <w:bCs w:val="0"/>
                      <w:i w:val="0"/>
                      <w:iCs w:val="0"/>
                      <w:color w:val="auto"/>
                      <w:kern w:val="0"/>
                      <w:sz w:val="21"/>
                      <w:szCs w:val="21"/>
                      <w:u w:val="none"/>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lang w:val="en-US" w:eastAsia="zh-CN" w:bidi="ar"/>
                    </w:rPr>
                    <w:t>时间</w:t>
                  </w:r>
                </w:p>
              </w:tc>
              <w:tc>
                <w:tcPr>
                  <w:tcW w:w="981" w:type="pct"/>
                  <w:tcBorders>
                    <w:tl2br w:val="nil"/>
                    <w:tr2bl w:val="nil"/>
                  </w:tcBorders>
                  <w:noWrap w:val="0"/>
                  <w:vAlign w:val="center"/>
                </w:tcPr>
                <w:p w14:paraId="1613D5F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浓度监测结果（折标，小</w:t>
                  </w:r>
                  <w:r>
                    <w:rPr>
                      <w:rFonts w:hint="default" w:ascii="Times New Roman" w:hAnsi="Times New Roman" w:eastAsia="宋体" w:cs="Times New Roman"/>
                      <w:b w:val="0"/>
                      <w:bCs w:val="0"/>
                      <w:i w:val="0"/>
                      <w:iCs w:val="0"/>
                      <w:color w:val="auto"/>
                      <w:kern w:val="0"/>
                      <w:sz w:val="21"/>
                      <w:szCs w:val="21"/>
                      <w:u w:val="none"/>
                      <w:lang w:val="en-US" w:eastAsia="zh-CN" w:bidi="ar"/>
                    </w:rPr>
                    <w:br w:type="textWrapping"/>
                  </w:r>
                  <w:r>
                    <w:rPr>
                      <w:rFonts w:hint="default" w:ascii="Times New Roman" w:hAnsi="Times New Roman" w:eastAsia="宋体" w:cs="Times New Roman"/>
                      <w:b w:val="0"/>
                      <w:bCs w:val="0"/>
                      <w:i w:val="0"/>
                      <w:iCs w:val="0"/>
                      <w:color w:val="auto"/>
                      <w:kern w:val="0"/>
                      <w:sz w:val="21"/>
                      <w:szCs w:val="21"/>
                      <w:u w:val="none"/>
                      <w:lang w:val="en-US" w:eastAsia="zh-CN" w:bidi="ar"/>
                    </w:rPr>
                    <w:t>时浓度，mg/m3）</w:t>
                  </w:r>
                </w:p>
              </w:tc>
            </w:tr>
            <w:tr w14:paraId="5AC084F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80" w:hRule="atLeast"/>
              </w:trPr>
              <w:tc>
                <w:tcPr>
                  <w:tcW w:w="485" w:type="pct"/>
                  <w:vMerge w:val="restart"/>
                  <w:tcBorders>
                    <w:tl2br w:val="nil"/>
                    <w:tr2bl w:val="nil"/>
                  </w:tcBorders>
                  <w:noWrap w:val="0"/>
                  <w:vAlign w:val="center"/>
                </w:tcPr>
                <w:p w14:paraId="316D17F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842" w:type="pct"/>
                  <w:tcBorders>
                    <w:tl2br w:val="nil"/>
                    <w:tr2bl w:val="nil"/>
                  </w:tcBorders>
                  <w:noWrap w:val="0"/>
                  <w:vAlign w:val="center"/>
                </w:tcPr>
                <w:p w14:paraId="5A3C387F">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氨（氨气）</w:t>
                  </w:r>
                </w:p>
              </w:tc>
              <w:tc>
                <w:tcPr>
                  <w:tcW w:w="848" w:type="pct"/>
                  <w:tcBorders>
                    <w:tl2br w:val="nil"/>
                    <w:tr2bl w:val="nil"/>
                  </w:tcBorders>
                  <w:noWrap w:val="0"/>
                  <w:vAlign w:val="center"/>
                </w:tcPr>
                <w:p w14:paraId="550677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71" w:type="pct"/>
                  <w:tcBorders>
                    <w:tl2br w:val="nil"/>
                    <w:tr2bl w:val="nil"/>
                  </w:tcBorders>
                  <w:noWrap w:val="0"/>
                  <w:vAlign w:val="center"/>
                </w:tcPr>
                <w:p w14:paraId="751D588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43642D07">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2025-03-10</w:t>
                  </w:r>
                </w:p>
              </w:tc>
              <w:tc>
                <w:tcPr>
                  <w:tcW w:w="981" w:type="pct"/>
                  <w:tcBorders>
                    <w:tl2br w:val="nil"/>
                    <w:tr2bl w:val="nil"/>
                  </w:tcBorders>
                  <w:noWrap w:val="0"/>
                  <w:vAlign w:val="center"/>
                </w:tcPr>
                <w:p w14:paraId="26C50138">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6047275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80" w:hRule="atLeast"/>
              </w:trPr>
              <w:tc>
                <w:tcPr>
                  <w:tcW w:w="485" w:type="pct"/>
                  <w:vMerge w:val="continue"/>
                  <w:tcBorders>
                    <w:tl2br w:val="nil"/>
                    <w:tr2bl w:val="nil"/>
                  </w:tcBorders>
                  <w:noWrap w:val="0"/>
                  <w:vAlign w:val="center"/>
                </w:tcPr>
                <w:p w14:paraId="50FE8D82">
                  <w:pPr>
                    <w:jc w:val="center"/>
                    <w:rPr>
                      <w:rFonts w:hint="default" w:ascii="Times New Roman" w:hAnsi="Times New Roman" w:eastAsia="宋体" w:cs="Times New Roman"/>
                      <w:i w:val="0"/>
                      <w:iCs w:val="0"/>
                      <w:color w:val="auto"/>
                      <w:sz w:val="21"/>
                      <w:szCs w:val="21"/>
                      <w:u w:val="none"/>
                    </w:rPr>
                  </w:pPr>
                </w:p>
              </w:tc>
              <w:tc>
                <w:tcPr>
                  <w:tcW w:w="842" w:type="pct"/>
                  <w:tcBorders>
                    <w:tl2br w:val="nil"/>
                    <w:tr2bl w:val="nil"/>
                  </w:tcBorders>
                  <w:noWrap w:val="0"/>
                  <w:vAlign w:val="center"/>
                </w:tcPr>
                <w:p w14:paraId="2DC39C26">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氨（氨气）</w:t>
                  </w:r>
                </w:p>
              </w:tc>
              <w:tc>
                <w:tcPr>
                  <w:tcW w:w="848" w:type="pct"/>
                  <w:tcBorders>
                    <w:tl2br w:val="nil"/>
                    <w:tr2bl w:val="nil"/>
                  </w:tcBorders>
                  <w:noWrap w:val="0"/>
                  <w:vAlign w:val="center"/>
                </w:tcPr>
                <w:p w14:paraId="74CF07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71" w:type="pct"/>
                  <w:tcBorders>
                    <w:tl2br w:val="nil"/>
                    <w:tr2bl w:val="nil"/>
                  </w:tcBorders>
                  <w:noWrap w:val="0"/>
                  <w:vAlign w:val="center"/>
                </w:tcPr>
                <w:p w14:paraId="2BDC956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2E5B4716">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2025-04-02</w:t>
                  </w:r>
                </w:p>
              </w:tc>
              <w:tc>
                <w:tcPr>
                  <w:tcW w:w="981" w:type="pct"/>
                  <w:tcBorders>
                    <w:tl2br w:val="nil"/>
                    <w:tr2bl w:val="nil"/>
                  </w:tcBorders>
                  <w:noWrap w:val="0"/>
                  <w:vAlign w:val="center"/>
                </w:tcPr>
                <w:p w14:paraId="523839CD">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0.03</w:t>
                  </w:r>
                </w:p>
              </w:tc>
            </w:tr>
            <w:tr w14:paraId="6B05E4A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80" w:hRule="atLeast"/>
              </w:trPr>
              <w:tc>
                <w:tcPr>
                  <w:tcW w:w="485" w:type="pct"/>
                  <w:vMerge w:val="continue"/>
                  <w:tcBorders>
                    <w:tl2br w:val="nil"/>
                    <w:tr2bl w:val="nil"/>
                  </w:tcBorders>
                  <w:noWrap w:val="0"/>
                  <w:vAlign w:val="center"/>
                </w:tcPr>
                <w:p w14:paraId="063DFB91">
                  <w:pPr>
                    <w:jc w:val="center"/>
                    <w:rPr>
                      <w:rFonts w:hint="default" w:ascii="Times New Roman" w:hAnsi="Times New Roman" w:eastAsia="宋体" w:cs="Times New Roman"/>
                      <w:i w:val="0"/>
                      <w:iCs w:val="0"/>
                      <w:color w:val="auto"/>
                      <w:sz w:val="21"/>
                      <w:szCs w:val="21"/>
                      <w:u w:val="none"/>
                    </w:rPr>
                  </w:pPr>
                </w:p>
              </w:tc>
              <w:tc>
                <w:tcPr>
                  <w:tcW w:w="842" w:type="pct"/>
                  <w:tcBorders>
                    <w:tl2br w:val="nil"/>
                    <w:tr2bl w:val="nil"/>
                  </w:tcBorders>
                  <w:noWrap w:val="0"/>
                  <w:vAlign w:val="center"/>
                </w:tcPr>
                <w:p w14:paraId="7FDC260A">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氨（氨气）</w:t>
                  </w:r>
                </w:p>
              </w:tc>
              <w:tc>
                <w:tcPr>
                  <w:tcW w:w="848" w:type="pct"/>
                  <w:tcBorders>
                    <w:tl2br w:val="nil"/>
                    <w:tr2bl w:val="nil"/>
                  </w:tcBorders>
                  <w:noWrap w:val="0"/>
                  <w:vAlign w:val="center"/>
                </w:tcPr>
                <w:p w14:paraId="585233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71" w:type="pct"/>
                  <w:tcBorders>
                    <w:tl2br w:val="nil"/>
                    <w:tr2bl w:val="nil"/>
                  </w:tcBorders>
                  <w:noWrap w:val="0"/>
                  <w:vAlign w:val="center"/>
                </w:tcPr>
                <w:p w14:paraId="2D7CC95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230C8139">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2025-09-04</w:t>
                  </w:r>
                </w:p>
              </w:tc>
              <w:tc>
                <w:tcPr>
                  <w:tcW w:w="981" w:type="pct"/>
                  <w:tcBorders>
                    <w:tl2br w:val="nil"/>
                    <w:tr2bl w:val="nil"/>
                  </w:tcBorders>
                  <w:noWrap w:val="0"/>
                  <w:vAlign w:val="center"/>
                </w:tcPr>
                <w:p w14:paraId="3F1A7EA7">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0.06</w:t>
                  </w:r>
                </w:p>
              </w:tc>
            </w:tr>
            <w:tr w14:paraId="7282880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80" w:hRule="atLeast"/>
              </w:trPr>
              <w:tc>
                <w:tcPr>
                  <w:tcW w:w="485" w:type="pct"/>
                  <w:vMerge w:val="continue"/>
                  <w:tcBorders>
                    <w:tl2br w:val="nil"/>
                    <w:tr2bl w:val="nil"/>
                  </w:tcBorders>
                  <w:noWrap w:val="0"/>
                  <w:vAlign w:val="center"/>
                </w:tcPr>
                <w:p w14:paraId="78CDBCE9">
                  <w:pPr>
                    <w:jc w:val="center"/>
                    <w:rPr>
                      <w:rFonts w:hint="default" w:ascii="Times New Roman" w:hAnsi="Times New Roman" w:eastAsia="宋体" w:cs="Times New Roman"/>
                      <w:i w:val="0"/>
                      <w:iCs w:val="0"/>
                      <w:color w:val="auto"/>
                      <w:sz w:val="21"/>
                      <w:szCs w:val="21"/>
                      <w:u w:val="none"/>
                    </w:rPr>
                  </w:pPr>
                </w:p>
              </w:tc>
              <w:tc>
                <w:tcPr>
                  <w:tcW w:w="842" w:type="pct"/>
                  <w:tcBorders>
                    <w:tl2br w:val="nil"/>
                    <w:tr2bl w:val="nil"/>
                  </w:tcBorders>
                  <w:noWrap w:val="0"/>
                  <w:vAlign w:val="center"/>
                </w:tcPr>
                <w:p w14:paraId="6D484188">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氨（氨气）</w:t>
                  </w:r>
                </w:p>
              </w:tc>
              <w:tc>
                <w:tcPr>
                  <w:tcW w:w="848" w:type="pct"/>
                  <w:tcBorders>
                    <w:tl2br w:val="nil"/>
                    <w:tr2bl w:val="nil"/>
                  </w:tcBorders>
                  <w:noWrap w:val="0"/>
                  <w:vAlign w:val="center"/>
                </w:tcPr>
                <w:p w14:paraId="579520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71" w:type="pct"/>
                  <w:tcBorders>
                    <w:tl2br w:val="nil"/>
                    <w:tr2bl w:val="nil"/>
                  </w:tcBorders>
                  <w:noWrap w:val="0"/>
                  <w:vAlign w:val="center"/>
                </w:tcPr>
                <w:p w14:paraId="2AE491A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46E3D892">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2025-10-08</w:t>
                  </w:r>
                </w:p>
              </w:tc>
              <w:tc>
                <w:tcPr>
                  <w:tcW w:w="981" w:type="pct"/>
                  <w:tcBorders>
                    <w:tl2br w:val="nil"/>
                    <w:tr2bl w:val="nil"/>
                  </w:tcBorders>
                  <w:noWrap w:val="0"/>
                  <w:vAlign w:val="center"/>
                </w:tcPr>
                <w:p w14:paraId="21ABABA5">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0.07</w:t>
                  </w:r>
                </w:p>
              </w:tc>
            </w:tr>
            <w:tr w14:paraId="1FEBFA9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485" w:type="pct"/>
                  <w:vMerge w:val="continue"/>
                  <w:tcBorders>
                    <w:tl2br w:val="nil"/>
                    <w:tr2bl w:val="nil"/>
                  </w:tcBorders>
                  <w:noWrap w:val="0"/>
                  <w:vAlign w:val="center"/>
                </w:tcPr>
                <w:p w14:paraId="349BF6F6">
                  <w:pPr>
                    <w:jc w:val="center"/>
                    <w:rPr>
                      <w:rFonts w:hint="default" w:ascii="Times New Roman" w:hAnsi="Times New Roman" w:eastAsia="宋体" w:cs="Times New Roman"/>
                      <w:i w:val="0"/>
                      <w:iCs w:val="0"/>
                      <w:color w:val="auto"/>
                      <w:sz w:val="21"/>
                      <w:szCs w:val="21"/>
                      <w:u w:val="none"/>
                    </w:rPr>
                  </w:pPr>
                </w:p>
              </w:tc>
              <w:tc>
                <w:tcPr>
                  <w:tcW w:w="842" w:type="pct"/>
                  <w:tcBorders>
                    <w:tl2br w:val="nil"/>
                    <w:tr2bl w:val="nil"/>
                  </w:tcBorders>
                  <w:noWrap w:val="0"/>
                  <w:vAlign w:val="center"/>
                </w:tcPr>
                <w:p w14:paraId="304DF43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氯</w:t>
                  </w:r>
                </w:p>
              </w:tc>
              <w:tc>
                <w:tcPr>
                  <w:tcW w:w="848" w:type="pct"/>
                  <w:tcBorders>
                    <w:tl2br w:val="nil"/>
                    <w:tr2bl w:val="nil"/>
                  </w:tcBorders>
                  <w:noWrap w:val="0"/>
                  <w:vAlign w:val="top"/>
                </w:tcPr>
                <w:p w14:paraId="3A15DA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w:t>
                  </w:r>
                </w:p>
              </w:tc>
              <w:tc>
                <w:tcPr>
                  <w:tcW w:w="1071" w:type="pct"/>
                  <w:tcBorders>
                    <w:tl2br w:val="nil"/>
                    <w:tr2bl w:val="nil"/>
                  </w:tcBorders>
                  <w:noWrap w:val="0"/>
                  <w:vAlign w:val="center"/>
                </w:tcPr>
                <w:p w14:paraId="2A24756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6D1ADF6E">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2025-03-10</w:t>
                  </w:r>
                </w:p>
              </w:tc>
              <w:tc>
                <w:tcPr>
                  <w:tcW w:w="981" w:type="pct"/>
                  <w:tcBorders>
                    <w:tl2br w:val="nil"/>
                    <w:tr2bl w:val="nil"/>
                  </w:tcBorders>
                  <w:noWrap w:val="0"/>
                  <w:vAlign w:val="center"/>
                </w:tcPr>
                <w:p w14:paraId="3D2ECCE6">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&lt;0.03</w:t>
                  </w:r>
                </w:p>
              </w:tc>
            </w:tr>
            <w:tr w14:paraId="002221A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485" w:type="pct"/>
                  <w:vMerge w:val="continue"/>
                  <w:tcBorders>
                    <w:tl2br w:val="nil"/>
                    <w:tr2bl w:val="nil"/>
                  </w:tcBorders>
                  <w:noWrap w:val="0"/>
                  <w:vAlign w:val="center"/>
                </w:tcPr>
                <w:p w14:paraId="4595F9BC">
                  <w:pPr>
                    <w:jc w:val="center"/>
                    <w:rPr>
                      <w:rFonts w:hint="default" w:ascii="Times New Roman" w:hAnsi="Times New Roman" w:eastAsia="宋体" w:cs="Times New Roman"/>
                      <w:i w:val="0"/>
                      <w:iCs w:val="0"/>
                      <w:color w:val="auto"/>
                      <w:sz w:val="21"/>
                      <w:szCs w:val="21"/>
                      <w:u w:val="none"/>
                    </w:rPr>
                  </w:pPr>
                </w:p>
              </w:tc>
              <w:tc>
                <w:tcPr>
                  <w:tcW w:w="842" w:type="pct"/>
                  <w:tcBorders>
                    <w:tl2br w:val="nil"/>
                    <w:tr2bl w:val="nil"/>
                  </w:tcBorders>
                  <w:noWrap w:val="0"/>
                  <w:vAlign w:val="center"/>
                </w:tcPr>
                <w:p w14:paraId="60B360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氯</w:t>
                  </w:r>
                </w:p>
              </w:tc>
              <w:tc>
                <w:tcPr>
                  <w:tcW w:w="848" w:type="pct"/>
                  <w:tcBorders>
                    <w:tl2br w:val="nil"/>
                    <w:tr2bl w:val="nil"/>
                  </w:tcBorders>
                  <w:noWrap w:val="0"/>
                  <w:vAlign w:val="top"/>
                </w:tcPr>
                <w:p w14:paraId="055070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w:t>
                  </w:r>
                </w:p>
              </w:tc>
              <w:tc>
                <w:tcPr>
                  <w:tcW w:w="1071" w:type="pct"/>
                  <w:tcBorders>
                    <w:tl2br w:val="nil"/>
                    <w:tr2bl w:val="nil"/>
                  </w:tcBorders>
                  <w:noWrap w:val="0"/>
                  <w:vAlign w:val="center"/>
                </w:tcPr>
                <w:p w14:paraId="42AF92D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113A5560">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2025-04-02</w:t>
                  </w:r>
                </w:p>
              </w:tc>
              <w:tc>
                <w:tcPr>
                  <w:tcW w:w="981" w:type="pct"/>
                  <w:tcBorders>
                    <w:tl2br w:val="nil"/>
                    <w:tr2bl w:val="nil"/>
                  </w:tcBorders>
                  <w:noWrap w:val="0"/>
                  <w:vAlign w:val="center"/>
                </w:tcPr>
                <w:p w14:paraId="209B178E">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&lt;0.03</w:t>
                  </w:r>
                </w:p>
              </w:tc>
            </w:tr>
            <w:tr w14:paraId="339F2B6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485" w:type="pct"/>
                  <w:vMerge w:val="continue"/>
                  <w:tcBorders>
                    <w:tl2br w:val="nil"/>
                    <w:tr2bl w:val="nil"/>
                  </w:tcBorders>
                  <w:noWrap w:val="0"/>
                  <w:vAlign w:val="center"/>
                </w:tcPr>
                <w:p w14:paraId="5B29CAAF">
                  <w:pPr>
                    <w:jc w:val="center"/>
                    <w:rPr>
                      <w:rFonts w:hint="default" w:ascii="Times New Roman" w:hAnsi="Times New Roman" w:eastAsia="宋体" w:cs="Times New Roman"/>
                      <w:i w:val="0"/>
                      <w:iCs w:val="0"/>
                      <w:color w:val="auto"/>
                      <w:sz w:val="21"/>
                      <w:szCs w:val="21"/>
                      <w:u w:val="none"/>
                    </w:rPr>
                  </w:pPr>
                </w:p>
              </w:tc>
              <w:tc>
                <w:tcPr>
                  <w:tcW w:w="842" w:type="pct"/>
                  <w:tcBorders>
                    <w:tl2br w:val="nil"/>
                    <w:tr2bl w:val="nil"/>
                  </w:tcBorders>
                  <w:noWrap w:val="0"/>
                  <w:vAlign w:val="center"/>
                </w:tcPr>
                <w:p w14:paraId="4EC92FD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氯</w:t>
                  </w:r>
                </w:p>
              </w:tc>
              <w:tc>
                <w:tcPr>
                  <w:tcW w:w="848" w:type="pct"/>
                  <w:tcBorders>
                    <w:tl2br w:val="nil"/>
                    <w:tr2bl w:val="nil"/>
                  </w:tcBorders>
                  <w:noWrap w:val="0"/>
                  <w:vAlign w:val="top"/>
                </w:tcPr>
                <w:p w14:paraId="49B9E3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w:t>
                  </w:r>
                </w:p>
              </w:tc>
              <w:tc>
                <w:tcPr>
                  <w:tcW w:w="1071" w:type="pct"/>
                  <w:tcBorders>
                    <w:tl2br w:val="nil"/>
                    <w:tr2bl w:val="nil"/>
                  </w:tcBorders>
                  <w:noWrap w:val="0"/>
                  <w:vAlign w:val="center"/>
                </w:tcPr>
                <w:p w14:paraId="68ECFE0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370EE086">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2025-09-04</w:t>
                  </w:r>
                </w:p>
              </w:tc>
              <w:tc>
                <w:tcPr>
                  <w:tcW w:w="981" w:type="pct"/>
                  <w:tcBorders>
                    <w:tl2br w:val="nil"/>
                    <w:tr2bl w:val="nil"/>
                  </w:tcBorders>
                  <w:noWrap w:val="0"/>
                  <w:vAlign w:val="center"/>
                </w:tcPr>
                <w:p w14:paraId="31C66CA7">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&lt;0.03</w:t>
                  </w:r>
                </w:p>
              </w:tc>
            </w:tr>
            <w:tr w14:paraId="68EB4D2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485" w:type="pct"/>
                  <w:vMerge w:val="continue"/>
                  <w:tcBorders>
                    <w:tl2br w:val="nil"/>
                    <w:tr2bl w:val="nil"/>
                  </w:tcBorders>
                  <w:noWrap w:val="0"/>
                  <w:vAlign w:val="center"/>
                </w:tcPr>
                <w:p w14:paraId="3236B359">
                  <w:pPr>
                    <w:jc w:val="center"/>
                    <w:rPr>
                      <w:rFonts w:hint="default" w:ascii="Times New Roman" w:hAnsi="Times New Roman" w:eastAsia="宋体" w:cs="Times New Roman"/>
                      <w:i w:val="0"/>
                      <w:iCs w:val="0"/>
                      <w:color w:val="auto"/>
                      <w:sz w:val="21"/>
                      <w:szCs w:val="21"/>
                      <w:u w:val="none"/>
                    </w:rPr>
                  </w:pPr>
                </w:p>
              </w:tc>
              <w:tc>
                <w:tcPr>
                  <w:tcW w:w="842" w:type="pct"/>
                  <w:tcBorders>
                    <w:tl2br w:val="nil"/>
                    <w:tr2bl w:val="nil"/>
                  </w:tcBorders>
                  <w:noWrap w:val="0"/>
                  <w:vAlign w:val="center"/>
                </w:tcPr>
                <w:p w14:paraId="5B39CF5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氯</w:t>
                  </w:r>
                </w:p>
              </w:tc>
              <w:tc>
                <w:tcPr>
                  <w:tcW w:w="848" w:type="pct"/>
                  <w:tcBorders>
                    <w:tl2br w:val="nil"/>
                    <w:tr2bl w:val="nil"/>
                  </w:tcBorders>
                  <w:noWrap w:val="0"/>
                  <w:vAlign w:val="top"/>
                </w:tcPr>
                <w:p w14:paraId="4275F0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w:t>
                  </w:r>
                </w:p>
              </w:tc>
              <w:tc>
                <w:tcPr>
                  <w:tcW w:w="1071" w:type="pct"/>
                  <w:tcBorders>
                    <w:tl2br w:val="nil"/>
                    <w:tr2bl w:val="nil"/>
                  </w:tcBorders>
                  <w:noWrap w:val="0"/>
                  <w:vAlign w:val="center"/>
                </w:tcPr>
                <w:p w14:paraId="5B4926A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0E32D07D">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2025-10-08</w:t>
                  </w:r>
                </w:p>
              </w:tc>
              <w:tc>
                <w:tcPr>
                  <w:tcW w:w="981" w:type="pct"/>
                  <w:tcBorders>
                    <w:tl2br w:val="nil"/>
                    <w:tr2bl w:val="nil"/>
                  </w:tcBorders>
                  <w:noWrap w:val="0"/>
                  <w:vAlign w:val="center"/>
                </w:tcPr>
                <w:p w14:paraId="3878BB9A">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&lt;0.03</w:t>
                  </w:r>
                </w:p>
              </w:tc>
            </w:tr>
            <w:tr w14:paraId="5BC6B88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485" w:type="pct"/>
                  <w:vMerge w:val="continue"/>
                  <w:tcBorders>
                    <w:tl2br w:val="nil"/>
                    <w:tr2bl w:val="nil"/>
                  </w:tcBorders>
                  <w:noWrap w:val="0"/>
                  <w:vAlign w:val="center"/>
                </w:tcPr>
                <w:p w14:paraId="20A4A2A7">
                  <w:pPr>
                    <w:jc w:val="center"/>
                    <w:rPr>
                      <w:rFonts w:hint="default" w:ascii="Times New Roman" w:hAnsi="Times New Roman" w:eastAsia="宋体" w:cs="Times New Roman"/>
                      <w:i w:val="0"/>
                      <w:iCs w:val="0"/>
                      <w:color w:val="auto"/>
                      <w:sz w:val="21"/>
                      <w:szCs w:val="21"/>
                      <w:u w:val="none"/>
                    </w:rPr>
                  </w:pPr>
                </w:p>
              </w:tc>
              <w:tc>
                <w:tcPr>
                  <w:tcW w:w="842" w:type="pct"/>
                  <w:tcBorders>
                    <w:tl2br w:val="nil"/>
                    <w:tr2bl w:val="nil"/>
                  </w:tcBorders>
                  <w:noWrap w:val="0"/>
                  <w:vAlign w:val="center"/>
                </w:tcPr>
                <w:p w14:paraId="62CDA77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甲烷</w:t>
                  </w:r>
                </w:p>
              </w:tc>
              <w:tc>
                <w:tcPr>
                  <w:tcW w:w="848" w:type="pct"/>
                  <w:tcBorders>
                    <w:tl2br w:val="nil"/>
                    <w:tr2bl w:val="nil"/>
                  </w:tcBorders>
                  <w:noWrap w:val="0"/>
                  <w:vAlign w:val="top"/>
                </w:tcPr>
                <w:p w14:paraId="0D9824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71" w:type="pct"/>
                  <w:tcBorders>
                    <w:tl2br w:val="nil"/>
                    <w:tr2bl w:val="nil"/>
                  </w:tcBorders>
                  <w:noWrap w:val="0"/>
                  <w:vAlign w:val="center"/>
                </w:tcPr>
                <w:p w14:paraId="60B4C8E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122B18BE">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2025-03-10</w:t>
                  </w:r>
                </w:p>
              </w:tc>
              <w:tc>
                <w:tcPr>
                  <w:tcW w:w="981" w:type="pct"/>
                  <w:tcBorders>
                    <w:tl2br w:val="nil"/>
                    <w:tr2bl w:val="nil"/>
                  </w:tcBorders>
                  <w:noWrap w:val="0"/>
                  <w:vAlign w:val="center"/>
                </w:tcPr>
                <w:p w14:paraId="530C1837">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0.000195 </w:t>
                  </w:r>
                </w:p>
              </w:tc>
            </w:tr>
            <w:tr w14:paraId="2B5C8AC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485" w:type="pct"/>
                  <w:vMerge w:val="continue"/>
                  <w:tcBorders>
                    <w:tl2br w:val="nil"/>
                    <w:tr2bl w:val="nil"/>
                  </w:tcBorders>
                  <w:noWrap w:val="0"/>
                  <w:vAlign w:val="center"/>
                </w:tcPr>
                <w:p w14:paraId="36131390">
                  <w:pPr>
                    <w:jc w:val="center"/>
                    <w:rPr>
                      <w:rFonts w:hint="default" w:ascii="Times New Roman" w:hAnsi="Times New Roman" w:eastAsia="宋体" w:cs="Times New Roman"/>
                      <w:i w:val="0"/>
                      <w:iCs w:val="0"/>
                      <w:color w:val="auto"/>
                      <w:sz w:val="21"/>
                      <w:szCs w:val="21"/>
                      <w:u w:val="none"/>
                    </w:rPr>
                  </w:pPr>
                </w:p>
              </w:tc>
              <w:tc>
                <w:tcPr>
                  <w:tcW w:w="842" w:type="pct"/>
                  <w:tcBorders>
                    <w:tl2br w:val="nil"/>
                    <w:tr2bl w:val="nil"/>
                  </w:tcBorders>
                  <w:noWrap w:val="0"/>
                  <w:vAlign w:val="center"/>
                </w:tcPr>
                <w:p w14:paraId="72B7C1E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甲烷</w:t>
                  </w:r>
                </w:p>
              </w:tc>
              <w:tc>
                <w:tcPr>
                  <w:tcW w:w="848" w:type="pct"/>
                  <w:tcBorders>
                    <w:tl2br w:val="nil"/>
                    <w:tr2bl w:val="nil"/>
                  </w:tcBorders>
                  <w:noWrap w:val="0"/>
                  <w:vAlign w:val="top"/>
                </w:tcPr>
                <w:p w14:paraId="08EF30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71" w:type="pct"/>
                  <w:tcBorders>
                    <w:tl2br w:val="nil"/>
                    <w:tr2bl w:val="nil"/>
                  </w:tcBorders>
                  <w:noWrap w:val="0"/>
                  <w:vAlign w:val="center"/>
                </w:tcPr>
                <w:p w14:paraId="6098BA2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2A2790DB">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2025-04-02</w:t>
                  </w:r>
                </w:p>
              </w:tc>
              <w:tc>
                <w:tcPr>
                  <w:tcW w:w="981" w:type="pct"/>
                  <w:tcBorders>
                    <w:tl2br w:val="nil"/>
                    <w:tr2bl w:val="nil"/>
                  </w:tcBorders>
                  <w:noWrap w:val="0"/>
                  <w:vAlign w:val="center"/>
                </w:tcPr>
                <w:p w14:paraId="2B80FA22">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0.000248 </w:t>
                  </w:r>
                </w:p>
              </w:tc>
            </w:tr>
            <w:tr w14:paraId="2C4645D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15" w:hRule="atLeast"/>
              </w:trPr>
              <w:tc>
                <w:tcPr>
                  <w:tcW w:w="485" w:type="pct"/>
                  <w:vMerge w:val="continue"/>
                  <w:tcBorders>
                    <w:tl2br w:val="nil"/>
                    <w:tr2bl w:val="nil"/>
                  </w:tcBorders>
                  <w:noWrap w:val="0"/>
                  <w:vAlign w:val="center"/>
                </w:tcPr>
                <w:p w14:paraId="03C26A00">
                  <w:pPr>
                    <w:jc w:val="center"/>
                    <w:rPr>
                      <w:rFonts w:hint="default" w:ascii="Times New Roman" w:hAnsi="Times New Roman" w:eastAsia="宋体" w:cs="Times New Roman"/>
                      <w:i w:val="0"/>
                      <w:iCs w:val="0"/>
                      <w:color w:val="auto"/>
                      <w:sz w:val="21"/>
                      <w:szCs w:val="21"/>
                      <w:u w:val="none"/>
                    </w:rPr>
                  </w:pPr>
                </w:p>
              </w:tc>
              <w:tc>
                <w:tcPr>
                  <w:tcW w:w="842" w:type="pct"/>
                  <w:tcBorders>
                    <w:tl2br w:val="nil"/>
                    <w:tr2bl w:val="nil"/>
                  </w:tcBorders>
                  <w:noWrap w:val="0"/>
                  <w:vAlign w:val="center"/>
                </w:tcPr>
                <w:p w14:paraId="2E22271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甲烷</w:t>
                  </w:r>
                </w:p>
              </w:tc>
              <w:tc>
                <w:tcPr>
                  <w:tcW w:w="848" w:type="pct"/>
                  <w:tcBorders>
                    <w:tl2br w:val="nil"/>
                    <w:tr2bl w:val="nil"/>
                  </w:tcBorders>
                  <w:noWrap w:val="0"/>
                  <w:vAlign w:val="top"/>
                </w:tcPr>
                <w:p w14:paraId="1BBE20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71" w:type="pct"/>
                  <w:tcBorders>
                    <w:tl2br w:val="nil"/>
                    <w:tr2bl w:val="nil"/>
                  </w:tcBorders>
                  <w:noWrap w:val="0"/>
                  <w:vAlign w:val="center"/>
                </w:tcPr>
                <w:p w14:paraId="18627A8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2802D74E">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2025-09-04</w:t>
                  </w:r>
                </w:p>
              </w:tc>
              <w:tc>
                <w:tcPr>
                  <w:tcW w:w="981" w:type="pct"/>
                  <w:tcBorders>
                    <w:tl2br w:val="nil"/>
                    <w:tr2bl w:val="nil"/>
                  </w:tcBorders>
                  <w:noWrap w:val="0"/>
                  <w:vAlign w:val="center"/>
                </w:tcPr>
                <w:p w14:paraId="6750E222">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0.000127 </w:t>
                  </w:r>
                </w:p>
              </w:tc>
            </w:tr>
            <w:tr w14:paraId="73F2ED8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15" w:hRule="atLeast"/>
              </w:trPr>
              <w:tc>
                <w:tcPr>
                  <w:tcW w:w="485" w:type="pct"/>
                  <w:vMerge w:val="continue"/>
                  <w:tcBorders>
                    <w:tl2br w:val="nil"/>
                    <w:tr2bl w:val="nil"/>
                  </w:tcBorders>
                  <w:noWrap w:val="0"/>
                  <w:vAlign w:val="top"/>
                </w:tcPr>
                <w:p w14:paraId="78222DF1">
                  <w:pPr>
                    <w:jc w:val="left"/>
                    <w:rPr>
                      <w:rFonts w:hint="default" w:ascii="Times New Roman" w:hAnsi="Times New Roman" w:cs="Times New Roman"/>
                      <w:i w:val="0"/>
                      <w:iCs w:val="0"/>
                      <w:color w:val="auto"/>
                      <w:sz w:val="21"/>
                      <w:szCs w:val="21"/>
                      <w:u w:val="none"/>
                    </w:rPr>
                  </w:pPr>
                </w:p>
              </w:tc>
              <w:tc>
                <w:tcPr>
                  <w:tcW w:w="842" w:type="pct"/>
                  <w:tcBorders>
                    <w:tl2br w:val="nil"/>
                    <w:tr2bl w:val="nil"/>
                  </w:tcBorders>
                  <w:noWrap w:val="0"/>
                  <w:vAlign w:val="center"/>
                </w:tcPr>
                <w:p w14:paraId="419A963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甲烷</w:t>
                  </w:r>
                </w:p>
              </w:tc>
              <w:tc>
                <w:tcPr>
                  <w:tcW w:w="848" w:type="pct"/>
                  <w:tcBorders>
                    <w:tl2br w:val="nil"/>
                    <w:tr2bl w:val="nil"/>
                  </w:tcBorders>
                  <w:noWrap w:val="0"/>
                  <w:vAlign w:val="top"/>
                </w:tcPr>
                <w:p w14:paraId="62B5E5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71" w:type="pct"/>
                  <w:tcBorders>
                    <w:tl2br w:val="nil"/>
                    <w:tr2bl w:val="nil"/>
                  </w:tcBorders>
                  <w:noWrap w:val="0"/>
                  <w:vAlign w:val="center"/>
                </w:tcPr>
                <w:p w14:paraId="1AD16F4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49DDFE71">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2025-10-08</w:t>
                  </w:r>
                </w:p>
              </w:tc>
              <w:tc>
                <w:tcPr>
                  <w:tcW w:w="981" w:type="pct"/>
                  <w:tcBorders>
                    <w:tl2br w:val="nil"/>
                    <w:tr2bl w:val="nil"/>
                  </w:tcBorders>
                  <w:noWrap w:val="0"/>
                  <w:vAlign w:val="center"/>
                </w:tcPr>
                <w:p w14:paraId="64A1B531">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0.000051 </w:t>
                  </w:r>
                </w:p>
              </w:tc>
            </w:tr>
            <w:tr w14:paraId="2535F49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485" w:type="pct"/>
                  <w:vMerge w:val="continue"/>
                  <w:tcBorders>
                    <w:tl2br w:val="nil"/>
                    <w:tr2bl w:val="nil"/>
                  </w:tcBorders>
                  <w:noWrap w:val="0"/>
                  <w:vAlign w:val="top"/>
                </w:tcPr>
                <w:p w14:paraId="5F1001ED">
                  <w:pPr>
                    <w:jc w:val="left"/>
                    <w:rPr>
                      <w:rFonts w:hint="default" w:ascii="Times New Roman" w:hAnsi="Times New Roman" w:cs="Times New Roman"/>
                      <w:i w:val="0"/>
                      <w:iCs w:val="0"/>
                      <w:color w:val="auto"/>
                      <w:sz w:val="21"/>
                      <w:szCs w:val="21"/>
                      <w:u w:val="none"/>
                    </w:rPr>
                  </w:pPr>
                </w:p>
              </w:tc>
              <w:tc>
                <w:tcPr>
                  <w:tcW w:w="842" w:type="pct"/>
                  <w:tcBorders>
                    <w:tl2br w:val="nil"/>
                    <w:tr2bl w:val="nil"/>
                  </w:tcBorders>
                  <w:noWrap w:val="0"/>
                  <w:vAlign w:val="center"/>
                </w:tcPr>
                <w:p w14:paraId="477916B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硫化氢</w:t>
                  </w:r>
                </w:p>
              </w:tc>
              <w:tc>
                <w:tcPr>
                  <w:tcW w:w="848" w:type="pct"/>
                  <w:tcBorders>
                    <w:tl2br w:val="nil"/>
                    <w:tr2bl w:val="nil"/>
                  </w:tcBorders>
                  <w:noWrap w:val="0"/>
                  <w:vAlign w:val="top"/>
                </w:tcPr>
                <w:p w14:paraId="683AAE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1071" w:type="pct"/>
                  <w:tcBorders>
                    <w:tl2br w:val="nil"/>
                    <w:tr2bl w:val="nil"/>
                  </w:tcBorders>
                  <w:noWrap w:val="0"/>
                  <w:vAlign w:val="center"/>
                </w:tcPr>
                <w:p w14:paraId="7547B20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53B3FBE1">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2025-03-10</w:t>
                  </w:r>
                </w:p>
              </w:tc>
              <w:tc>
                <w:tcPr>
                  <w:tcW w:w="981" w:type="pct"/>
                  <w:tcBorders>
                    <w:tl2br w:val="nil"/>
                    <w:tr2bl w:val="nil"/>
                  </w:tcBorders>
                  <w:noWrap w:val="0"/>
                  <w:vAlign w:val="center"/>
                </w:tcPr>
                <w:p w14:paraId="6E5E0D7D">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0.002 </w:t>
                  </w:r>
                </w:p>
              </w:tc>
            </w:tr>
            <w:tr w14:paraId="41D9934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485" w:type="pct"/>
                  <w:vMerge w:val="continue"/>
                  <w:tcBorders>
                    <w:tl2br w:val="nil"/>
                    <w:tr2bl w:val="nil"/>
                  </w:tcBorders>
                  <w:noWrap w:val="0"/>
                  <w:vAlign w:val="top"/>
                </w:tcPr>
                <w:p w14:paraId="625E0A4C">
                  <w:pPr>
                    <w:jc w:val="left"/>
                    <w:rPr>
                      <w:rFonts w:hint="default" w:ascii="Times New Roman" w:hAnsi="Times New Roman" w:cs="Times New Roman"/>
                      <w:i w:val="0"/>
                      <w:iCs w:val="0"/>
                      <w:color w:val="auto"/>
                      <w:sz w:val="21"/>
                      <w:szCs w:val="21"/>
                      <w:u w:val="none"/>
                    </w:rPr>
                  </w:pPr>
                </w:p>
              </w:tc>
              <w:tc>
                <w:tcPr>
                  <w:tcW w:w="842" w:type="pct"/>
                  <w:tcBorders>
                    <w:tl2br w:val="nil"/>
                    <w:tr2bl w:val="nil"/>
                  </w:tcBorders>
                  <w:noWrap w:val="0"/>
                  <w:vAlign w:val="center"/>
                </w:tcPr>
                <w:p w14:paraId="40A095B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硫化氢</w:t>
                  </w:r>
                </w:p>
              </w:tc>
              <w:tc>
                <w:tcPr>
                  <w:tcW w:w="848" w:type="pct"/>
                  <w:tcBorders>
                    <w:tl2br w:val="nil"/>
                    <w:tr2bl w:val="nil"/>
                  </w:tcBorders>
                  <w:noWrap w:val="0"/>
                  <w:vAlign w:val="top"/>
                </w:tcPr>
                <w:p w14:paraId="2ABC9D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1071" w:type="pct"/>
                  <w:tcBorders>
                    <w:tl2br w:val="nil"/>
                    <w:tr2bl w:val="nil"/>
                  </w:tcBorders>
                  <w:noWrap w:val="0"/>
                  <w:vAlign w:val="center"/>
                </w:tcPr>
                <w:p w14:paraId="68659F5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2E8A4614">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2025-04-02</w:t>
                  </w:r>
                </w:p>
              </w:tc>
              <w:tc>
                <w:tcPr>
                  <w:tcW w:w="981" w:type="pct"/>
                  <w:tcBorders>
                    <w:tl2br w:val="nil"/>
                    <w:tr2bl w:val="nil"/>
                  </w:tcBorders>
                  <w:noWrap w:val="0"/>
                  <w:vAlign w:val="center"/>
                </w:tcPr>
                <w:p w14:paraId="102D27B7">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0.002 </w:t>
                  </w:r>
                </w:p>
              </w:tc>
            </w:tr>
            <w:tr w14:paraId="37182F9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485" w:type="pct"/>
                  <w:vMerge w:val="continue"/>
                  <w:tcBorders>
                    <w:tl2br w:val="nil"/>
                    <w:tr2bl w:val="nil"/>
                  </w:tcBorders>
                  <w:noWrap w:val="0"/>
                  <w:vAlign w:val="top"/>
                </w:tcPr>
                <w:p w14:paraId="57733FA8">
                  <w:pPr>
                    <w:jc w:val="left"/>
                    <w:rPr>
                      <w:rFonts w:hint="default" w:ascii="Times New Roman" w:hAnsi="Times New Roman" w:cs="Times New Roman"/>
                      <w:i w:val="0"/>
                      <w:iCs w:val="0"/>
                      <w:color w:val="auto"/>
                      <w:sz w:val="21"/>
                      <w:szCs w:val="21"/>
                      <w:u w:val="none"/>
                    </w:rPr>
                  </w:pPr>
                </w:p>
              </w:tc>
              <w:tc>
                <w:tcPr>
                  <w:tcW w:w="842" w:type="pct"/>
                  <w:tcBorders>
                    <w:tl2br w:val="nil"/>
                    <w:tr2bl w:val="nil"/>
                  </w:tcBorders>
                  <w:noWrap w:val="0"/>
                  <w:vAlign w:val="center"/>
                </w:tcPr>
                <w:p w14:paraId="43CA1D3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硫化氢</w:t>
                  </w:r>
                </w:p>
              </w:tc>
              <w:tc>
                <w:tcPr>
                  <w:tcW w:w="848" w:type="pct"/>
                  <w:tcBorders>
                    <w:tl2br w:val="nil"/>
                    <w:tr2bl w:val="nil"/>
                  </w:tcBorders>
                  <w:noWrap w:val="0"/>
                  <w:vAlign w:val="top"/>
                </w:tcPr>
                <w:p w14:paraId="4CF0D5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1071" w:type="pct"/>
                  <w:tcBorders>
                    <w:tl2br w:val="nil"/>
                    <w:tr2bl w:val="nil"/>
                  </w:tcBorders>
                  <w:noWrap w:val="0"/>
                  <w:vAlign w:val="center"/>
                </w:tcPr>
                <w:p w14:paraId="10B27FC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15CB8AD6">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2025-09-04</w:t>
                  </w:r>
                </w:p>
              </w:tc>
              <w:tc>
                <w:tcPr>
                  <w:tcW w:w="981" w:type="pct"/>
                  <w:tcBorders>
                    <w:tl2br w:val="nil"/>
                    <w:tr2bl w:val="nil"/>
                  </w:tcBorders>
                  <w:noWrap w:val="0"/>
                  <w:vAlign w:val="center"/>
                </w:tcPr>
                <w:p w14:paraId="511BBE0B">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0.003 </w:t>
                  </w:r>
                </w:p>
              </w:tc>
            </w:tr>
            <w:tr w14:paraId="206E585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485" w:type="pct"/>
                  <w:vMerge w:val="continue"/>
                  <w:tcBorders>
                    <w:tl2br w:val="nil"/>
                    <w:tr2bl w:val="nil"/>
                  </w:tcBorders>
                  <w:noWrap w:val="0"/>
                  <w:vAlign w:val="top"/>
                </w:tcPr>
                <w:p w14:paraId="0B9CD441">
                  <w:pPr>
                    <w:jc w:val="left"/>
                    <w:rPr>
                      <w:rFonts w:hint="default" w:ascii="Times New Roman" w:hAnsi="Times New Roman" w:cs="Times New Roman"/>
                      <w:i w:val="0"/>
                      <w:iCs w:val="0"/>
                      <w:color w:val="auto"/>
                      <w:sz w:val="21"/>
                      <w:szCs w:val="21"/>
                      <w:u w:val="none"/>
                    </w:rPr>
                  </w:pPr>
                </w:p>
              </w:tc>
              <w:tc>
                <w:tcPr>
                  <w:tcW w:w="842" w:type="pct"/>
                  <w:tcBorders>
                    <w:tl2br w:val="nil"/>
                    <w:tr2bl w:val="nil"/>
                  </w:tcBorders>
                  <w:noWrap w:val="0"/>
                  <w:vAlign w:val="center"/>
                </w:tcPr>
                <w:p w14:paraId="1852F09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硫化氢</w:t>
                  </w:r>
                </w:p>
              </w:tc>
              <w:tc>
                <w:tcPr>
                  <w:tcW w:w="848" w:type="pct"/>
                  <w:tcBorders>
                    <w:tl2br w:val="nil"/>
                    <w:tr2bl w:val="nil"/>
                  </w:tcBorders>
                  <w:noWrap w:val="0"/>
                  <w:vAlign w:val="top"/>
                </w:tcPr>
                <w:p w14:paraId="35F238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1071" w:type="pct"/>
                  <w:tcBorders>
                    <w:tl2br w:val="nil"/>
                    <w:tr2bl w:val="nil"/>
                  </w:tcBorders>
                  <w:noWrap w:val="0"/>
                  <w:vAlign w:val="center"/>
                </w:tcPr>
                <w:p w14:paraId="73E4A29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79F0BA88">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2025-10-08</w:t>
                  </w:r>
                </w:p>
              </w:tc>
              <w:tc>
                <w:tcPr>
                  <w:tcW w:w="981" w:type="pct"/>
                  <w:tcBorders>
                    <w:tl2br w:val="nil"/>
                    <w:tr2bl w:val="nil"/>
                  </w:tcBorders>
                  <w:noWrap w:val="0"/>
                  <w:vAlign w:val="center"/>
                </w:tcPr>
                <w:p w14:paraId="302ACDB2">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0.003 </w:t>
                  </w:r>
                </w:p>
              </w:tc>
            </w:tr>
            <w:tr w14:paraId="0EAAF81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PrEx>
              <w:trPr>
                <w:trHeight w:val="407" w:hRule="atLeast"/>
              </w:trPr>
              <w:tc>
                <w:tcPr>
                  <w:tcW w:w="485" w:type="pct"/>
                  <w:vMerge w:val="continue"/>
                  <w:tcBorders>
                    <w:tl2br w:val="nil"/>
                    <w:tr2bl w:val="nil"/>
                  </w:tcBorders>
                  <w:noWrap w:val="0"/>
                  <w:vAlign w:val="top"/>
                </w:tcPr>
                <w:p w14:paraId="425E14C8">
                  <w:pPr>
                    <w:jc w:val="left"/>
                    <w:rPr>
                      <w:rFonts w:hint="default" w:ascii="Times New Roman" w:hAnsi="Times New Roman" w:cs="Times New Roman"/>
                      <w:i w:val="0"/>
                      <w:iCs w:val="0"/>
                      <w:color w:val="auto"/>
                      <w:sz w:val="21"/>
                      <w:szCs w:val="21"/>
                      <w:u w:val="none"/>
                    </w:rPr>
                  </w:pPr>
                </w:p>
              </w:tc>
              <w:tc>
                <w:tcPr>
                  <w:tcW w:w="842" w:type="pct"/>
                  <w:tcBorders>
                    <w:tl2br w:val="nil"/>
                    <w:tr2bl w:val="nil"/>
                  </w:tcBorders>
                  <w:noWrap w:val="0"/>
                  <w:vAlign w:val="center"/>
                </w:tcPr>
                <w:p w14:paraId="0FE5F92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臭气浓度</w:t>
                  </w:r>
                </w:p>
              </w:tc>
              <w:tc>
                <w:tcPr>
                  <w:tcW w:w="848" w:type="pct"/>
                  <w:tcBorders>
                    <w:tl2br w:val="nil"/>
                    <w:tr2bl w:val="nil"/>
                  </w:tcBorders>
                  <w:noWrap w:val="0"/>
                  <w:vAlign w:val="top"/>
                </w:tcPr>
                <w:p w14:paraId="5D8105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071" w:type="pct"/>
                  <w:tcBorders>
                    <w:tl2br w:val="nil"/>
                    <w:tr2bl w:val="nil"/>
                  </w:tcBorders>
                  <w:noWrap w:val="0"/>
                  <w:vAlign w:val="center"/>
                </w:tcPr>
                <w:p w14:paraId="0732948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1CB0E05B">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2025-03-10</w:t>
                  </w:r>
                </w:p>
              </w:tc>
              <w:tc>
                <w:tcPr>
                  <w:tcW w:w="981" w:type="pct"/>
                  <w:tcBorders>
                    <w:tl2br w:val="nil"/>
                    <w:tr2bl w:val="nil"/>
                  </w:tcBorders>
                  <w:noWrap w:val="0"/>
                  <w:vAlign w:val="center"/>
                </w:tcPr>
                <w:p w14:paraId="4C0186EA">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&lt;10</w:t>
                  </w:r>
                </w:p>
              </w:tc>
            </w:tr>
            <w:tr w14:paraId="2BE18E2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485" w:type="pct"/>
                  <w:vMerge w:val="continue"/>
                  <w:tcBorders>
                    <w:tl2br w:val="nil"/>
                    <w:tr2bl w:val="nil"/>
                  </w:tcBorders>
                  <w:noWrap w:val="0"/>
                  <w:vAlign w:val="top"/>
                </w:tcPr>
                <w:p w14:paraId="67BB90F5">
                  <w:pPr>
                    <w:jc w:val="left"/>
                    <w:rPr>
                      <w:rFonts w:hint="default" w:ascii="Times New Roman" w:hAnsi="Times New Roman" w:cs="Times New Roman"/>
                      <w:i w:val="0"/>
                      <w:iCs w:val="0"/>
                      <w:color w:val="auto"/>
                      <w:sz w:val="21"/>
                      <w:szCs w:val="21"/>
                      <w:u w:val="none"/>
                    </w:rPr>
                  </w:pPr>
                </w:p>
              </w:tc>
              <w:tc>
                <w:tcPr>
                  <w:tcW w:w="842" w:type="pct"/>
                  <w:tcBorders>
                    <w:tl2br w:val="nil"/>
                    <w:tr2bl w:val="nil"/>
                  </w:tcBorders>
                  <w:noWrap w:val="0"/>
                  <w:vAlign w:val="center"/>
                </w:tcPr>
                <w:p w14:paraId="7BE6B4B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臭气浓度</w:t>
                  </w:r>
                </w:p>
              </w:tc>
              <w:tc>
                <w:tcPr>
                  <w:tcW w:w="848" w:type="pct"/>
                  <w:tcBorders>
                    <w:tl2br w:val="nil"/>
                    <w:tr2bl w:val="nil"/>
                  </w:tcBorders>
                  <w:noWrap w:val="0"/>
                  <w:vAlign w:val="top"/>
                </w:tcPr>
                <w:p w14:paraId="2B3BA2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071" w:type="pct"/>
                  <w:tcBorders>
                    <w:tl2br w:val="nil"/>
                    <w:tr2bl w:val="nil"/>
                  </w:tcBorders>
                  <w:noWrap w:val="0"/>
                  <w:vAlign w:val="center"/>
                </w:tcPr>
                <w:p w14:paraId="0C5A7AB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5A82D23F">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2025-04-02</w:t>
                  </w:r>
                </w:p>
              </w:tc>
              <w:tc>
                <w:tcPr>
                  <w:tcW w:w="981" w:type="pct"/>
                  <w:tcBorders>
                    <w:tl2br w:val="nil"/>
                    <w:tr2bl w:val="nil"/>
                  </w:tcBorders>
                  <w:noWrap w:val="0"/>
                  <w:vAlign w:val="center"/>
                </w:tcPr>
                <w:p w14:paraId="78140ECE">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&lt;10</w:t>
                  </w:r>
                </w:p>
              </w:tc>
            </w:tr>
            <w:tr w14:paraId="5E3084B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07" w:hRule="atLeast"/>
              </w:trPr>
              <w:tc>
                <w:tcPr>
                  <w:tcW w:w="485" w:type="pct"/>
                  <w:vMerge w:val="continue"/>
                  <w:tcBorders>
                    <w:tl2br w:val="nil"/>
                    <w:tr2bl w:val="nil"/>
                  </w:tcBorders>
                  <w:noWrap w:val="0"/>
                  <w:vAlign w:val="top"/>
                </w:tcPr>
                <w:p w14:paraId="1EC0E8DC">
                  <w:pPr>
                    <w:jc w:val="left"/>
                    <w:rPr>
                      <w:rFonts w:hint="default" w:ascii="Times New Roman" w:hAnsi="Times New Roman" w:cs="Times New Roman"/>
                      <w:i w:val="0"/>
                      <w:iCs w:val="0"/>
                      <w:color w:val="auto"/>
                      <w:sz w:val="21"/>
                      <w:szCs w:val="21"/>
                      <w:u w:val="none"/>
                    </w:rPr>
                  </w:pPr>
                </w:p>
              </w:tc>
              <w:tc>
                <w:tcPr>
                  <w:tcW w:w="842" w:type="pct"/>
                  <w:tcBorders>
                    <w:tl2br w:val="nil"/>
                    <w:tr2bl w:val="nil"/>
                  </w:tcBorders>
                  <w:noWrap w:val="0"/>
                  <w:vAlign w:val="center"/>
                </w:tcPr>
                <w:p w14:paraId="22B695B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臭气浓度</w:t>
                  </w:r>
                </w:p>
              </w:tc>
              <w:tc>
                <w:tcPr>
                  <w:tcW w:w="848" w:type="pct"/>
                  <w:tcBorders>
                    <w:tl2br w:val="nil"/>
                    <w:tr2bl w:val="nil"/>
                  </w:tcBorders>
                  <w:noWrap w:val="0"/>
                  <w:vAlign w:val="top"/>
                </w:tcPr>
                <w:p w14:paraId="0A390B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071" w:type="pct"/>
                  <w:tcBorders>
                    <w:tl2br w:val="nil"/>
                    <w:tr2bl w:val="nil"/>
                  </w:tcBorders>
                  <w:noWrap w:val="0"/>
                  <w:vAlign w:val="center"/>
                </w:tcPr>
                <w:p w14:paraId="4C74492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059A0E93">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2025-09-04</w:t>
                  </w:r>
                </w:p>
              </w:tc>
              <w:tc>
                <w:tcPr>
                  <w:tcW w:w="981" w:type="pct"/>
                  <w:tcBorders>
                    <w:tl2br w:val="nil"/>
                    <w:tr2bl w:val="nil"/>
                  </w:tcBorders>
                  <w:noWrap w:val="0"/>
                  <w:vAlign w:val="center"/>
                </w:tcPr>
                <w:p w14:paraId="55515629">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&lt;10</w:t>
                  </w:r>
                </w:p>
              </w:tc>
            </w:tr>
            <w:tr w14:paraId="33545EE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415" w:hRule="atLeast"/>
              </w:trPr>
              <w:tc>
                <w:tcPr>
                  <w:tcW w:w="485" w:type="pct"/>
                  <w:vMerge w:val="continue"/>
                  <w:tcBorders>
                    <w:tl2br w:val="nil"/>
                    <w:tr2bl w:val="nil"/>
                  </w:tcBorders>
                  <w:noWrap w:val="0"/>
                  <w:vAlign w:val="top"/>
                </w:tcPr>
                <w:p w14:paraId="124A25EC">
                  <w:pPr>
                    <w:jc w:val="left"/>
                    <w:rPr>
                      <w:rFonts w:hint="default" w:ascii="Times New Roman" w:hAnsi="Times New Roman" w:cs="Times New Roman"/>
                      <w:i w:val="0"/>
                      <w:iCs w:val="0"/>
                      <w:color w:val="auto"/>
                      <w:sz w:val="21"/>
                      <w:szCs w:val="21"/>
                      <w:u w:val="none"/>
                    </w:rPr>
                  </w:pPr>
                </w:p>
              </w:tc>
              <w:tc>
                <w:tcPr>
                  <w:tcW w:w="842" w:type="pct"/>
                  <w:tcBorders>
                    <w:tl2br w:val="nil"/>
                    <w:tr2bl w:val="nil"/>
                  </w:tcBorders>
                  <w:noWrap w:val="0"/>
                  <w:vAlign w:val="center"/>
                </w:tcPr>
                <w:p w14:paraId="063BEEC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臭气浓度</w:t>
                  </w:r>
                </w:p>
              </w:tc>
              <w:tc>
                <w:tcPr>
                  <w:tcW w:w="848" w:type="pct"/>
                  <w:tcBorders>
                    <w:tl2br w:val="nil"/>
                    <w:tr2bl w:val="nil"/>
                  </w:tcBorders>
                  <w:noWrap w:val="0"/>
                  <w:vAlign w:val="top"/>
                </w:tcPr>
                <w:p w14:paraId="200048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071" w:type="pct"/>
                  <w:tcBorders>
                    <w:tl2br w:val="nil"/>
                    <w:tr2bl w:val="nil"/>
                  </w:tcBorders>
                  <w:noWrap w:val="0"/>
                  <w:vAlign w:val="center"/>
                </w:tcPr>
                <w:p w14:paraId="3FC87F0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污水处理站周界</w:t>
                  </w:r>
                </w:p>
              </w:tc>
              <w:tc>
                <w:tcPr>
                  <w:tcW w:w="771" w:type="pct"/>
                  <w:tcBorders>
                    <w:tl2br w:val="nil"/>
                    <w:tr2bl w:val="nil"/>
                  </w:tcBorders>
                  <w:noWrap w:val="0"/>
                  <w:vAlign w:val="center"/>
                </w:tcPr>
                <w:p w14:paraId="1D0F54C8">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2025-10-08</w:t>
                  </w:r>
                </w:p>
              </w:tc>
              <w:tc>
                <w:tcPr>
                  <w:tcW w:w="981" w:type="pct"/>
                  <w:tcBorders>
                    <w:tl2br w:val="nil"/>
                    <w:tr2bl w:val="nil"/>
                  </w:tcBorders>
                  <w:noWrap w:val="0"/>
                  <w:vAlign w:val="center"/>
                </w:tcPr>
                <w:p w14:paraId="78EC9F23">
                  <w:pPr>
                    <w:keepNext w:val="0"/>
                    <w:keepLines w:val="0"/>
                    <w:widowControl/>
                    <w:suppressLineNumbers w:val="0"/>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&lt;10</w:t>
                  </w:r>
                </w:p>
              </w:tc>
            </w:tr>
          </w:tbl>
          <w:p w14:paraId="0F104AE1">
            <w:pPr>
              <w:pStyle w:val="30"/>
              <w:spacing w:before="199" w:line="360" w:lineRule="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2.6.3噪声</w:t>
            </w:r>
          </w:p>
          <w:p w14:paraId="1EA89C6E">
            <w:pPr>
              <w:tabs>
                <w:tab w:val="left" w:pos="567"/>
              </w:tabs>
              <w:snapToGrid w:val="0"/>
              <w:spacing w:line="360" w:lineRule="auto"/>
              <w:ind w:firstLine="480" w:firstLineChars="200"/>
              <w:jc w:val="both"/>
              <w:rPr>
                <w:color w:val="auto"/>
                <w:spacing w:val="-7"/>
                <w:sz w:val="24"/>
                <w:szCs w:val="24"/>
              </w:rPr>
            </w:pPr>
            <w:r>
              <w:rPr>
                <w:rFonts w:hint="eastAsia" w:ascii="宋体" w:hAnsi="宋体" w:eastAsia="宋体" w:cs="宋体"/>
                <w:bCs w:val="0"/>
                <w:color w:val="auto"/>
                <w:sz w:val="24"/>
                <w:szCs w:val="24"/>
                <w:u w:val="none" w:color="FF0000"/>
                <w:lang w:val="en-US" w:eastAsia="zh-CN"/>
              </w:rPr>
              <w:t>根据本次现状噪声监测结果，</w:t>
            </w:r>
            <w:r>
              <w:rPr>
                <w:color w:val="auto"/>
                <w:spacing w:val="-3"/>
                <w:sz w:val="24"/>
                <w:szCs w:val="24"/>
              </w:rPr>
              <w:t>厂界东侧</w:t>
            </w:r>
            <w:r>
              <w:rPr>
                <w:rFonts w:hint="eastAsia"/>
                <w:color w:val="auto"/>
                <w:spacing w:val="-3"/>
                <w:sz w:val="24"/>
                <w:szCs w:val="24"/>
                <w:lang w:val="en-US" w:eastAsia="zh-CN"/>
              </w:rPr>
              <w:t>满足</w:t>
            </w:r>
            <w:r>
              <w:rPr>
                <w:color w:val="auto"/>
                <w:sz w:val="24"/>
                <w:szCs w:val="24"/>
              </w:rPr>
              <w:t>《工业企业厂界环境噪声排放标准》（GB12348-2008）</w:t>
            </w:r>
            <w:r>
              <w:rPr>
                <w:rFonts w:hint="eastAsia"/>
                <w:color w:val="auto"/>
                <w:sz w:val="24"/>
                <w:szCs w:val="24"/>
                <w:lang w:val="en-US" w:eastAsia="zh-CN"/>
              </w:rPr>
              <w:t>4a</w:t>
            </w:r>
            <w:r>
              <w:rPr>
                <w:color w:val="auto"/>
                <w:sz w:val="24"/>
                <w:szCs w:val="24"/>
              </w:rPr>
              <w:t>类标准，</w:t>
            </w:r>
            <w:r>
              <w:rPr>
                <w:rFonts w:hint="eastAsia"/>
                <w:color w:val="auto"/>
                <w:spacing w:val="-7"/>
                <w:sz w:val="24"/>
                <w:szCs w:val="24"/>
                <w:lang w:val="en-US" w:eastAsia="zh-CN"/>
              </w:rPr>
              <w:t>其余</w:t>
            </w:r>
            <w:r>
              <w:rPr>
                <w:color w:val="auto"/>
                <w:sz w:val="24"/>
                <w:szCs w:val="24"/>
              </w:rPr>
              <w:t>《工业企业厂界环境噪声排放标准》（GB12348-2008）</w:t>
            </w:r>
            <w:r>
              <w:rPr>
                <w:rFonts w:ascii="Times New Roman" w:hAnsi="Times New Roman" w:eastAsia="Times New Roman" w:cs="Times New Roman"/>
                <w:color w:val="auto"/>
                <w:spacing w:val="-7"/>
                <w:sz w:val="24"/>
                <w:szCs w:val="24"/>
              </w:rPr>
              <w:t>2</w:t>
            </w:r>
            <w:r>
              <w:rPr>
                <w:rFonts w:ascii="Times New Roman" w:hAnsi="Times New Roman" w:eastAsia="Times New Roman" w:cs="Times New Roman"/>
                <w:color w:val="auto"/>
                <w:spacing w:val="18"/>
                <w:sz w:val="24"/>
                <w:szCs w:val="24"/>
              </w:rPr>
              <w:t xml:space="preserve"> </w:t>
            </w:r>
            <w:r>
              <w:rPr>
                <w:color w:val="auto"/>
                <w:spacing w:val="-7"/>
                <w:sz w:val="24"/>
                <w:szCs w:val="24"/>
              </w:rPr>
              <w:t>类标准</w:t>
            </w:r>
          </w:p>
          <w:p w14:paraId="6F57431D">
            <w:pPr>
              <w:pStyle w:val="30"/>
              <w:spacing w:before="199" w:line="360" w:lineRule="auto"/>
              <w:ind w:left="105"/>
              <w:jc w:val="center"/>
              <w:rPr>
                <w:rFonts w:hint="eastAsia"/>
                <w:color w:val="auto"/>
                <w:spacing w:val="-7"/>
                <w:sz w:val="22"/>
                <w:szCs w:val="22"/>
                <w:lang w:val="en-US" w:eastAsia="zh-CN"/>
              </w:rPr>
            </w:pPr>
            <w:r>
              <w:rPr>
                <w:rFonts w:hint="eastAsia" w:ascii="Times New Roman" w:hAnsi="Times New Roman" w:eastAsia="宋体" w:cs="Times New Roman"/>
                <w:b/>
                <w:bCs/>
                <w:color w:val="auto"/>
                <w:sz w:val="24"/>
                <w:szCs w:val="24"/>
                <w:lang w:val="en-US" w:eastAsia="zh-CN"/>
              </w:rPr>
              <w:t>表2.6-3噪声排放数据</w:t>
            </w:r>
          </w:p>
          <w:tbl>
            <w:tblPr>
              <w:tblStyle w:val="32"/>
              <w:tblW w:w="4999" w:type="pct"/>
              <w:tblInd w:w="12"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1041"/>
              <w:gridCol w:w="2757"/>
              <w:gridCol w:w="1098"/>
              <w:gridCol w:w="1098"/>
              <w:gridCol w:w="1103"/>
              <w:gridCol w:w="1294"/>
            </w:tblGrid>
            <w:tr w14:paraId="74426AE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621" w:type="pct"/>
                  <w:vMerge w:val="restart"/>
                  <w:tcBorders>
                    <w:tl2br w:val="nil"/>
                    <w:tr2bl w:val="nil"/>
                  </w:tcBorders>
                  <w:noWrap w:val="0"/>
                  <w:vAlign w:val="top"/>
                </w:tcPr>
                <w:p w14:paraId="08452F3F">
                  <w:pPr>
                    <w:keepNext w:val="0"/>
                    <w:keepLines w:val="0"/>
                    <w:pageBreakBefore w:val="0"/>
                    <w:widowControl w:val="0"/>
                    <w:kinsoku/>
                    <w:wordWrap/>
                    <w:overflowPunct/>
                    <w:topLinePunct w:val="0"/>
                    <w:autoSpaceDE/>
                    <w:autoSpaceDN/>
                    <w:bidi w:val="0"/>
                    <w:adjustRightInd/>
                    <w:snapToGrid/>
                    <w:spacing w:line="374" w:lineRule="auto"/>
                    <w:ind w:firstLine="0"/>
                    <w:textAlignment w:val="auto"/>
                    <w:rPr>
                      <w:rFonts w:hint="default" w:ascii="Times New Roman" w:hAnsi="Times New Roman" w:cs="Times New Roman"/>
                      <w:color w:val="auto"/>
                      <w:sz w:val="21"/>
                      <w:szCs w:val="21"/>
                    </w:rPr>
                  </w:pPr>
                </w:p>
                <w:p w14:paraId="16D2D43C">
                  <w:pPr>
                    <w:pStyle w:val="30"/>
                    <w:keepNext w:val="0"/>
                    <w:keepLines w:val="0"/>
                    <w:pageBreakBefore w:val="0"/>
                    <w:widowControl w:val="0"/>
                    <w:kinsoku/>
                    <w:wordWrap/>
                    <w:overflowPunct/>
                    <w:topLinePunct w:val="0"/>
                    <w:autoSpaceDE/>
                    <w:autoSpaceDN/>
                    <w:bidi w:val="0"/>
                    <w:adjustRightInd/>
                    <w:snapToGrid/>
                    <w:spacing w:before="78" w:line="220" w:lineRule="auto"/>
                    <w:ind w:left="125" w:firstLine="0"/>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5"/>
                      <w:sz w:val="21"/>
                      <w:szCs w:val="21"/>
                    </w:rPr>
                    <w:t>检测日期</w:t>
                  </w:r>
                </w:p>
              </w:tc>
              <w:tc>
                <w:tcPr>
                  <w:tcW w:w="1643" w:type="pct"/>
                  <w:vMerge w:val="restart"/>
                  <w:tcBorders>
                    <w:tl2br w:val="nil"/>
                    <w:tr2bl w:val="nil"/>
                  </w:tcBorders>
                  <w:noWrap w:val="0"/>
                  <w:vAlign w:val="top"/>
                </w:tcPr>
                <w:p w14:paraId="6DF2258F">
                  <w:pPr>
                    <w:keepNext w:val="0"/>
                    <w:keepLines w:val="0"/>
                    <w:pageBreakBefore w:val="0"/>
                    <w:widowControl w:val="0"/>
                    <w:kinsoku/>
                    <w:wordWrap/>
                    <w:overflowPunct/>
                    <w:topLinePunct w:val="0"/>
                    <w:autoSpaceDE/>
                    <w:autoSpaceDN/>
                    <w:bidi w:val="0"/>
                    <w:adjustRightInd/>
                    <w:snapToGrid/>
                    <w:spacing w:line="374" w:lineRule="auto"/>
                    <w:ind w:firstLine="0"/>
                    <w:textAlignment w:val="auto"/>
                    <w:rPr>
                      <w:rFonts w:hint="default" w:ascii="Times New Roman" w:hAnsi="Times New Roman" w:cs="Times New Roman"/>
                      <w:color w:val="auto"/>
                      <w:sz w:val="21"/>
                      <w:szCs w:val="21"/>
                    </w:rPr>
                  </w:pPr>
                </w:p>
                <w:p w14:paraId="59845919">
                  <w:pPr>
                    <w:pStyle w:val="30"/>
                    <w:keepNext w:val="0"/>
                    <w:keepLines w:val="0"/>
                    <w:pageBreakBefore w:val="0"/>
                    <w:widowControl w:val="0"/>
                    <w:kinsoku/>
                    <w:wordWrap/>
                    <w:overflowPunct/>
                    <w:topLinePunct w:val="0"/>
                    <w:autoSpaceDE/>
                    <w:autoSpaceDN/>
                    <w:bidi w:val="0"/>
                    <w:adjustRightInd/>
                    <w:snapToGrid/>
                    <w:spacing w:before="78" w:line="220" w:lineRule="auto"/>
                    <w:ind w:left="1114" w:firstLine="0"/>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5"/>
                      <w:sz w:val="21"/>
                      <w:szCs w:val="21"/>
                    </w:rPr>
                    <w:t>检测点位</w:t>
                  </w:r>
                </w:p>
              </w:tc>
              <w:tc>
                <w:tcPr>
                  <w:tcW w:w="1965" w:type="pct"/>
                  <w:gridSpan w:val="3"/>
                  <w:tcBorders>
                    <w:tl2br w:val="nil"/>
                    <w:tr2bl w:val="nil"/>
                  </w:tcBorders>
                  <w:noWrap w:val="0"/>
                  <w:vAlign w:val="top"/>
                </w:tcPr>
                <w:p w14:paraId="4AF81E90">
                  <w:pPr>
                    <w:pStyle w:val="30"/>
                    <w:keepNext w:val="0"/>
                    <w:keepLines w:val="0"/>
                    <w:pageBreakBefore w:val="0"/>
                    <w:widowControl w:val="0"/>
                    <w:kinsoku/>
                    <w:wordWrap/>
                    <w:overflowPunct/>
                    <w:topLinePunct w:val="0"/>
                    <w:autoSpaceDE/>
                    <w:autoSpaceDN/>
                    <w:bidi w:val="0"/>
                    <w:adjustRightInd/>
                    <w:snapToGrid/>
                    <w:spacing w:before="166" w:line="220" w:lineRule="auto"/>
                    <w:ind w:left="727" w:firstLine="0"/>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2"/>
                      <w:sz w:val="21"/>
                      <w:szCs w:val="21"/>
                    </w:rPr>
                    <w:t>检测结果（</w:t>
                  </w:r>
                  <w:r>
                    <w:rPr>
                      <w:rFonts w:hint="default" w:ascii="Times New Roman" w:hAnsi="Times New Roman" w:eastAsia="Times New Roman" w:cs="Times New Roman"/>
                      <w:color w:val="auto"/>
                      <w:spacing w:val="-2"/>
                      <w:sz w:val="21"/>
                      <w:szCs w:val="21"/>
                    </w:rPr>
                    <w:t>dB</w:t>
                  </w:r>
                  <w:r>
                    <w:rPr>
                      <w:rFonts w:hint="default" w:ascii="Times New Roman" w:hAnsi="Times New Roman" w:cs="Times New Roman"/>
                      <w:color w:val="auto"/>
                      <w:spacing w:val="-2"/>
                      <w:sz w:val="21"/>
                      <w:szCs w:val="21"/>
                    </w:rPr>
                    <w:t>（</w:t>
                  </w:r>
                  <w:r>
                    <w:rPr>
                      <w:rFonts w:hint="default" w:ascii="Times New Roman" w:hAnsi="Times New Roman" w:eastAsia="Times New Roman" w:cs="Times New Roman"/>
                      <w:color w:val="auto"/>
                      <w:spacing w:val="-2"/>
                      <w:sz w:val="21"/>
                      <w:szCs w:val="21"/>
                    </w:rPr>
                    <w:t>A</w:t>
                  </w:r>
                  <w:r>
                    <w:rPr>
                      <w:rFonts w:hint="default" w:ascii="Times New Roman" w:hAnsi="Times New Roman" w:cs="Times New Roman"/>
                      <w:color w:val="auto"/>
                      <w:spacing w:val="-1"/>
                      <w:sz w:val="21"/>
                      <w:szCs w:val="21"/>
                    </w:rPr>
                    <w:t>））</w:t>
                  </w:r>
                </w:p>
              </w:tc>
              <w:tc>
                <w:tcPr>
                  <w:tcW w:w="769" w:type="pct"/>
                  <w:vMerge w:val="restart"/>
                  <w:tcBorders>
                    <w:tl2br w:val="nil"/>
                    <w:tr2bl w:val="nil"/>
                  </w:tcBorders>
                  <w:noWrap w:val="0"/>
                  <w:vAlign w:val="top"/>
                </w:tcPr>
                <w:p w14:paraId="23E5576A">
                  <w:pPr>
                    <w:pStyle w:val="30"/>
                    <w:keepNext w:val="0"/>
                    <w:keepLines w:val="0"/>
                    <w:pageBreakBefore w:val="0"/>
                    <w:widowControl w:val="0"/>
                    <w:kinsoku/>
                    <w:wordWrap/>
                    <w:overflowPunct/>
                    <w:topLinePunct w:val="0"/>
                    <w:autoSpaceDE/>
                    <w:autoSpaceDN/>
                    <w:bidi w:val="0"/>
                    <w:adjustRightInd/>
                    <w:snapToGrid/>
                    <w:spacing w:before="299" w:line="243" w:lineRule="auto"/>
                    <w:ind w:left="53" w:right="46" w:firstLine="0"/>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3"/>
                      <w:sz w:val="21"/>
                      <w:szCs w:val="21"/>
                    </w:rPr>
                    <w:t>标准限值</w:t>
                  </w:r>
                  <w:r>
                    <w:rPr>
                      <w:rFonts w:hint="default" w:ascii="Times New Roman" w:hAnsi="Times New Roman" w:cs="Times New Roman"/>
                      <w:color w:val="auto"/>
                      <w:spacing w:val="-50"/>
                      <w:sz w:val="21"/>
                      <w:szCs w:val="21"/>
                    </w:rPr>
                    <w:t xml:space="preserve"> </w:t>
                  </w:r>
                  <w:r>
                    <w:rPr>
                      <w:rFonts w:hint="default" w:ascii="Times New Roman" w:hAnsi="Times New Roman" w:eastAsia="Times New Roman" w:cs="Times New Roman"/>
                      <w:color w:val="auto"/>
                      <w:spacing w:val="-3"/>
                      <w:sz w:val="21"/>
                      <w:szCs w:val="21"/>
                    </w:rPr>
                    <w:t>L</w:t>
                  </w:r>
                  <w:r>
                    <w:rPr>
                      <w:rFonts w:hint="default" w:ascii="Times New Roman" w:hAnsi="Times New Roman" w:eastAsia="Times New Roman" w:cs="Times New Roman"/>
                      <w:color w:val="auto"/>
                      <w:spacing w:val="-3"/>
                      <w:position w:val="-1"/>
                      <w:sz w:val="21"/>
                      <w:szCs w:val="21"/>
                    </w:rPr>
                    <w:t>eq</w:t>
                  </w:r>
                  <w:r>
                    <w:rPr>
                      <w:rFonts w:hint="default" w:ascii="Times New Roman" w:hAnsi="Times New Roman" w:eastAsia="Times New Roman" w:cs="Times New Roman"/>
                      <w:color w:val="auto"/>
                      <w:position w:val="-1"/>
                      <w:sz w:val="21"/>
                      <w:szCs w:val="21"/>
                    </w:rPr>
                    <w:t xml:space="preserve"> </w:t>
                  </w:r>
                  <w:r>
                    <w:rPr>
                      <w:rFonts w:hint="default" w:ascii="Times New Roman" w:hAnsi="Times New Roman" w:cs="Times New Roman"/>
                      <w:color w:val="auto"/>
                      <w:spacing w:val="-5"/>
                      <w:sz w:val="21"/>
                      <w:szCs w:val="21"/>
                    </w:rPr>
                    <w:t>（</w:t>
                  </w:r>
                  <w:r>
                    <w:rPr>
                      <w:rFonts w:hint="default" w:ascii="Times New Roman" w:hAnsi="Times New Roman" w:eastAsia="Times New Roman" w:cs="Times New Roman"/>
                      <w:color w:val="auto"/>
                      <w:spacing w:val="-5"/>
                      <w:sz w:val="21"/>
                      <w:szCs w:val="21"/>
                    </w:rPr>
                    <w:t>dB</w:t>
                  </w:r>
                  <w:r>
                    <w:rPr>
                      <w:rFonts w:hint="default" w:ascii="Times New Roman" w:hAnsi="Times New Roman" w:cs="Times New Roman"/>
                      <w:color w:val="auto"/>
                      <w:spacing w:val="-5"/>
                      <w:sz w:val="21"/>
                      <w:szCs w:val="21"/>
                    </w:rPr>
                    <w:t>（</w:t>
                  </w:r>
                  <w:r>
                    <w:rPr>
                      <w:rFonts w:hint="default" w:ascii="Times New Roman" w:hAnsi="Times New Roman" w:eastAsia="Times New Roman" w:cs="Times New Roman"/>
                      <w:color w:val="auto"/>
                      <w:spacing w:val="-5"/>
                      <w:sz w:val="21"/>
                      <w:szCs w:val="21"/>
                    </w:rPr>
                    <w:t>A</w:t>
                  </w:r>
                  <w:r>
                    <w:rPr>
                      <w:rFonts w:hint="default" w:ascii="Times New Roman" w:hAnsi="Times New Roman" w:cs="Times New Roman"/>
                      <w:color w:val="auto"/>
                      <w:spacing w:val="-10"/>
                      <w:sz w:val="21"/>
                      <w:szCs w:val="21"/>
                    </w:rPr>
                    <w:t>））</w:t>
                  </w:r>
                </w:p>
              </w:tc>
            </w:tr>
            <w:tr w14:paraId="66D881A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621" w:type="pct"/>
                  <w:vMerge w:val="continue"/>
                  <w:tcBorders>
                    <w:tl2br w:val="nil"/>
                    <w:tr2bl w:val="nil"/>
                  </w:tcBorders>
                  <w:noWrap w:val="0"/>
                  <w:vAlign w:val="top"/>
                </w:tcPr>
                <w:p w14:paraId="4D54DC75">
                  <w:pPr>
                    <w:keepNext w:val="0"/>
                    <w:keepLines w:val="0"/>
                    <w:pageBreakBefore w:val="0"/>
                    <w:widowControl w:val="0"/>
                    <w:kinsoku/>
                    <w:wordWrap/>
                    <w:overflowPunct/>
                    <w:topLinePunct w:val="0"/>
                    <w:autoSpaceDE/>
                    <w:autoSpaceDN/>
                    <w:bidi w:val="0"/>
                    <w:adjustRightInd/>
                    <w:snapToGrid/>
                    <w:ind w:firstLine="0"/>
                    <w:textAlignment w:val="auto"/>
                    <w:rPr>
                      <w:rFonts w:hint="default" w:ascii="Times New Roman" w:hAnsi="Times New Roman" w:cs="Times New Roman"/>
                      <w:color w:val="auto"/>
                      <w:sz w:val="21"/>
                      <w:szCs w:val="21"/>
                    </w:rPr>
                  </w:pPr>
                </w:p>
              </w:tc>
              <w:tc>
                <w:tcPr>
                  <w:tcW w:w="1643" w:type="pct"/>
                  <w:vMerge w:val="continue"/>
                  <w:tcBorders>
                    <w:tl2br w:val="nil"/>
                    <w:tr2bl w:val="nil"/>
                  </w:tcBorders>
                  <w:noWrap w:val="0"/>
                  <w:vAlign w:val="top"/>
                </w:tcPr>
                <w:p w14:paraId="1ED64D83">
                  <w:pPr>
                    <w:keepNext w:val="0"/>
                    <w:keepLines w:val="0"/>
                    <w:pageBreakBefore w:val="0"/>
                    <w:widowControl w:val="0"/>
                    <w:kinsoku/>
                    <w:wordWrap/>
                    <w:overflowPunct/>
                    <w:topLinePunct w:val="0"/>
                    <w:autoSpaceDE/>
                    <w:autoSpaceDN/>
                    <w:bidi w:val="0"/>
                    <w:adjustRightInd/>
                    <w:snapToGrid/>
                    <w:ind w:firstLine="0"/>
                    <w:textAlignment w:val="auto"/>
                    <w:rPr>
                      <w:rFonts w:hint="default" w:ascii="Times New Roman" w:hAnsi="Times New Roman" w:cs="Times New Roman"/>
                      <w:color w:val="auto"/>
                      <w:sz w:val="21"/>
                      <w:szCs w:val="21"/>
                    </w:rPr>
                  </w:pPr>
                </w:p>
              </w:tc>
              <w:tc>
                <w:tcPr>
                  <w:tcW w:w="654" w:type="pct"/>
                  <w:tcBorders>
                    <w:tl2br w:val="nil"/>
                    <w:tr2bl w:val="nil"/>
                  </w:tcBorders>
                  <w:noWrap w:val="0"/>
                  <w:vAlign w:val="top"/>
                </w:tcPr>
                <w:p w14:paraId="07DE3630">
                  <w:pPr>
                    <w:pStyle w:val="30"/>
                    <w:keepNext w:val="0"/>
                    <w:keepLines w:val="0"/>
                    <w:pageBreakBefore w:val="0"/>
                    <w:widowControl w:val="0"/>
                    <w:kinsoku/>
                    <w:wordWrap/>
                    <w:overflowPunct/>
                    <w:topLinePunct w:val="0"/>
                    <w:autoSpaceDE/>
                    <w:autoSpaceDN/>
                    <w:bidi w:val="0"/>
                    <w:adjustRightInd/>
                    <w:snapToGrid/>
                    <w:spacing w:before="163" w:line="220" w:lineRule="auto"/>
                    <w:ind w:left="228" w:firstLine="0"/>
                    <w:textAlignment w:val="auto"/>
                    <w:rPr>
                      <w:rFonts w:hint="default" w:ascii="Times New Roman" w:hAnsi="Times New Roman" w:eastAsia="Times New Roman" w:cs="Times New Roman"/>
                      <w:color w:val="auto"/>
                      <w:sz w:val="21"/>
                      <w:szCs w:val="21"/>
                    </w:rPr>
                  </w:pPr>
                  <w:r>
                    <w:rPr>
                      <w:rFonts w:hint="default" w:ascii="Times New Roman" w:hAnsi="Times New Roman" w:cs="Times New Roman"/>
                      <w:color w:val="auto"/>
                      <w:spacing w:val="-3"/>
                      <w:sz w:val="21"/>
                      <w:szCs w:val="21"/>
                    </w:rPr>
                    <w:t>昼间</w:t>
                  </w:r>
                  <w:r>
                    <w:rPr>
                      <w:rFonts w:hint="default" w:ascii="Times New Roman" w:hAnsi="Times New Roman" w:cs="Times New Roman"/>
                      <w:color w:val="auto"/>
                      <w:spacing w:val="-56"/>
                      <w:sz w:val="21"/>
                      <w:szCs w:val="21"/>
                    </w:rPr>
                    <w:t xml:space="preserve"> </w:t>
                  </w:r>
                  <w:r>
                    <w:rPr>
                      <w:rFonts w:hint="default" w:ascii="Times New Roman" w:hAnsi="Times New Roman" w:eastAsia="Times New Roman" w:cs="Times New Roman"/>
                      <w:color w:val="auto"/>
                      <w:spacing w:val="-3"/>
                      <w:sz w:val="21"/>
                      <w:szCs w:val="21"/>
                    </w:rPr>
                    <w:t>L</w:t>
                  </w:r>
                  <w:r>
                    <w:rPr>
                      <w:rFonts w:hint="default" w:ascii="Times New Roman" w:hAnsi="Times New Roman" w:eastAsia="Times New Roman" w:cs="Times New Roman"/>
                      <w:color w:val="auto"/>
                      <w:spacing w:val="-3"/>
                      <w:position w:val="-1"/>
                      <w:sz w:val="21"/>
                      <w:szCs w:val="21"/>
                    </w:rPr>
                    <w:t>eq</w:t>
                  </w:r>
                </w:p>
              </w:tc>
              <w:tc>
                <w:tcPr>
                  <w:tcW w:w="654" w:type="pct"/>
                  <w:tcBorders>
                    <w:tl2br w:val="nil"/>
                    <w:tr2bl w:val="nil"/>
                  </w:tcBorders>
                  <w:noWrap w:val="0"/>
                  <w:vAlign w:val="top"/>
                </w:tcPr>
                <w:p w14:paraId="0AC1EAB8">
                  <w:pPr>
                    <w:pStyle w:val="30"/>
                    <w:keepNext w:val="0"/>
                    <w:keepLines w:val="0"/>
                    <w:pageBreakBefore w:val="0"/>
                    <w:widowControl w:val="0"/>
                    <w:kinsoku/>
                    <w:wordWrap/>
                    <w:overflowPunct/>
                    <w:topLinePunct w:val="0"/>
                    <w:autoSpaceDE/>
                    <w:autoSpaceDN/>
                    <w:bidi w:val="0"/>
                    <w:adjustRightInd/>
                    <w:snapToGrid/>
                    <w:spacing w:before="163" w:line="220" w:lineRule="auto"/>
                    <w:ind w:left="230" w:firstLine="0"/>
                    <w:textAlignment w:val="auto"/>
                    <w:rPr>
                      <w:rFonts w:hint="default" w:ascii="Times New Roman" w:hAnsi="Times New Roman" w:eastAsia="Times New Roman" w:cs="Times New Roman"/>
                      <w:color w:val="auto"/>
                      <w:sz w:val="21"/>
                      <w:szCs w:val="21"/>
                    </w:rPr>
                  </w:pPr>
                  <w:r>
                    <w:rPr>
                      <w:rFonts w:hint="default" w:ascii="Times New Roman" w:hAnsi="Times New Roman" w:cs="Times New Roman"/>
                      <w:color w:val="auto"/>
                      <w:spacing w:val="-3"/>
                      <w:sz w:val="21"/>
                      <w:szCs w:val="21"/>
                    </w:rPr>
                    <w:t>夜间</w:t>
                  </w:r>
                  <w:r>
                    <w:rPr>
                      <w:rFonts w:hint="default" w:ascii="Times New Roman" w:hAnsi="Times New Roman" w:cs="Times New Roman"/>
                      <w:color w:val="auto"/>
                      <w:spacing w:val="-56"/>
                      <w:sz w:val="21"/>
                      <w:szCs w:val="21"/>
                    </w:rPr>
                    <w:t xml:space="preserve"> </w:t>
                  </w:r>
                  <w:r>
                    <w:rPr>
                      <w:rFonts w:hint="default" w:ascii="Times New Roman" w:hAnsi="Times New Roman" w:eastAsia="Times New Roman" w:cs="Times New Roman"/>
                      <w:color w:val="auto"/>
                      <w:spacing w:val="-3"/>
                      <w:sz w:val="21"/>
                      <w:szCs w:val="21"/>
                    </w:rPr>
                    <w:t>L</w:t>
                  </w:r>
                  <w:r>
                    <w:rPr>
                      <w:rFonts w:hint="default" w:ascii="Times New Roman" w:hAnsi="Times New Roman" w:eastAsia="Times New Roman" w:cs="Times New Roman"/>
                      <w:color w:val="auto"/>
                      <w:spacing w:val="-3"/>
                      <w:position w:val="-1"/>
                      <w:sz w:val="21"/>
                      <w:szCs w:val="21"/>
                    </w:rPr>
                    <w:t>eq</w:t>
                  </w:r>
                </w:p>
              </w:tc>
              <w:tc>
                <w:tcPr>
                  <w:tcW w:w="656" w:type="pct"/>
                  <w:tcBorders>
                    <w:tl2br w:val="nil"/>
                    <w:tr2bl w:val="nil"/>
                  </w:tcBorders>
                  <w:noWrap w:val="0"/>
                  <w:vAlign w:val="top"/>
                </w:tcPr>
                <w:p w14:paraId="1499CAE3">
                  <w:pPr>
                    <w:pStyle w:val="30"/>
                    <w:keepNext w:val="0"/>
                    <w:keepLines w:val="0"/>
                    <w:pageBreakBefore w:val="0"/>
                    <w:widowControl w:val="0"/>
                    <w:kinsoku/>
                    <w:wordWrap/>
                    <w:overflowPunct/>
                    <w:topLinePunct w:val="0"/>
                    <w:autoSpaceDE/>
                    <w:autoSpaceDN/>
                    <w:bidi w:val="0"/>
                    <w:adjustRightInd/>
                    <w:snapToGrid/>
                    <w:spacing w:before="164" w:line="222" w:lineRule="auto"/>
                    <w:ind w:left="174" w:firstLine="0"/>
                    <w:textAlignment w:val="auto"/>
                    <w:rPr>
                      <w:rFonts w:hint="default" w:ascii="Times New Roman" w:hAnsi="Times New Roman" w:eastAsia="Times New Roman" w:cs="Times New Roman"/>
                      <w:color w:val="auto"/>
                      <w:sz w:val="21"/>
                      <w:szCs w:val="21"/>
                    </w:rPr>
                  </w:pPr>
                  <w:r>
                    <w:rPr>
                      <w:rFonts w:hint="default" w:ascii="Times New Roman" w:hAnsi="Times New Roman" w:cs="Times New Roman"/>
                      <w:color w:val="auto"/>
                      <w:spacing w:val="-2"/>
                      <w:sz w:val="21"/>
                      <w:szCs w:val="21"/>
                    </w:rPr>
                    <w:t>夜间</w:t>
                  </w:r>
                  <w:r>
                    <w:rPr>
                      <w:rFonts w:hint="default" w:ascii="Times New Roman" w:hAnsi="Times New Roman" w:cs="Times New Roman"/>
                      <w:color w:val="auto"/>
                      <w:spacing w:val="-56"/>
                      <w:sz w:val="21"/>
                      <w:szCs w:val="21"/>
                    </w:rPr>
                    <w:t xml:space="preserve"> </w:t>
                  </w:r>
                  <w:r>
                    <w:rPr>
                      <w:rFonts w:hint="default" w:ascii="Times New Roman" w:hAnsi="Times New Roman" w:eastAsia="Times New Roman" w:cs="Times New Roman"/>
                      <w:color w:val="auto"/>
                      <w:spacing w:val="-2"/>
                      <w:sz w:val="21"/>
                      <w:szCs w:val="21"/>
                    </w:rPr>
                    <w:t>L</w:t>
                  </w:r>
                  <w:r>
                    <w:rPr>
                      <w:rFonts w:hint="default" w:ascii="Times New Roman" w:hAnsi="Times New Roman" w:eastAsia="Times New Roman" w:cs="Times New Roman"/>
                      <w:color w:val="auto"/>
                      <w:spacing w:val="-2"/>
                      <w:position w:val="-1"/>
                      <w:sz w:val="21"/>
                      <w:szCs w:val="21"/>
                    </w:rPr>
                    <w:t>max</w:t>
                  </w:r>
                </w:p>
              </w:tc>
              <w:tc>
                <w:tcPr>
                  <w:tcW w:w="769" w:type="pct"/>
                  <w:vMerge w:val="continue"/>
                  <w:tcBorders>
                    <w:tl2br w:val="nil"/>
                    <w:tr2bl w:val="nil"/>
                  </w:tcBorders>
                  <w:noWrap w:val="0"/>
                  <w:vAlign w:val="top"/>
                </w:tcPr>
                <w:p w14:paraId="614145AD">
                  <w:pPr>
                    <w:keepNext w:val="0"/>
                    <w:keepLines w:val="0"/>
                    <w:pageBreakBefore w:val="0"/>
                    <w:widowControl w:val="0"/>
                    <w:kinsoku/>
                    <w:wordWrap/>
                    <w:overflowPunct/>
                    <w:topLinePunct w:val="0"/>
                    <w:autoSpaceDE/>
                    <w:autoSpaceDN/>
                    <w:bidi w:val="0"/>
                    <w:adjustRightInd/>
                    <w:snapToGrid/>
                    <w:ind w:firstLine="0"/>
                    <w:textAlignment w:val="auto"/>
                    <w:rPr>
                      <w:rFonts w:hint="default" w:ascii="Times New Roman" w:hAnsi="Times New Roman" w:cs="Times New Roman"/>
                      <w:color w:val="auto"/>
                      <w:sz w:val="21"/>
                      <w:szCs w:val="21"/>
                    </w:rPr>
                  </w:pPr>
                </w:p>
              </w:tc>
            </w:tr>
            <w:tr w14:paraId="7E4B392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621" w:type="pct"/>
                  <w:vMerge w:val="restart"/>
                  <w:tcBorders>
                    <w:tl2br w:val="nil"/>
                    <w:tr2bl w:val="nil"/>
                  </w:tcBorders>
                  <w:noWrap w:val="0"/>
                  <w:vAlign w:val="top"/>
                </w:tcPr>
                <w:p w14:paraId="74A13A29">
                  <w:pPr>
                    <w:keepNext w:val="0"/>
                    <w:keepLines w:val="0"/>
                    <w:pageBreakBefore w:val="0"/>
                    <w:widowControl w:val="0"/>
                    <w:kinsoku/>
                    <w:wordWrap/>
                    <w:overflowPunct/>
                    <w:topLinePunct w:val="0"/>
                    <w:autoSpaceDE/>
                    <w:autoSpaceDN/>
                    <w:bidi w:val="0"/>
                    <w:adjustRightInd/>
                    <w:snapToGrid/>
                    <w:spacing w:line="284" w:lineRule="auto"/>
                    <w:ind w:firstLine="0"/>
                    <w:textAlignment w:val="auto"/>
                    <w:rPr>
                      <w:rFonts w:hint="default" w:ascii="Times New Roman" w:hAnsi="Times New Roman" w:cs="Times New Roman"/>
                      <w:color w:val="auto"/>
                      <w:sz w:val="21"/>
                      <w:szCs w:val="21"/>
                    </w:rPr>
                  </w:pPr>
                </w:p>
                <w:p w14:paraId="2EE0DCB3">
                  <w:pPr>
                    <w:keepNext w:val="0"/>
                    <w:keepLines w:val="0"/>
                    <w:pageBreakBefore w:val="0"/>
                    <w:widowControl w:val="0"/>
                    <w:kinsoku/>
                    <w:wordWrap/>
                    <w:overflowPunct/>
                    <w:topLinePunct w:val="0"/>
                    <w:autoSpaceDE/>
                    <w:autoSpaceDN/>
                    <w:bidi w:val="0"/>
                    <w:adjustRightInd/>
                    <w:snapToGrid/>
                    <w:spacing w:line="284" w:lineRule="auto"/>
                    <w:ind w:firstLine="0"/>
                    <w:textAlignment w:val="auto"/>
                    <w:rPr>
                      <w:rFonts w:hint="default" w:ascii="Times New Roman" w:hAnsi="Times New Roman" w:cs="Times New Roman"/>
                      <w:color w:val="auto"/>
                      <w:sz w:val="21"/>
                      <w:szCs w:val="21"/>
                    </w:rPr>
                  </w:pPr>
                </w:p>
                <w:p w14:paraId="5D8A2DB0">
                  <w:pPr>
                    <w:keepNext w:val="0"/>
                    <w:keepLines w:val="0"/>
                    <w:pageBreakBefore w:val="0"/>
                    <w:widowControl w:val="0"/>
                    <w:kinsoku/>
                    <w:wordWrap/>
                    <w:overflowPunct/>
                    <w:topLinePunct w:val="0"/>
                    <w:autoSpaceDE/>
                    <w:autoSpaceDN/>
                    <w:bidi w:val="0"/>
                    <w:adjustRightInd/>
                    <w:snapToGrid/>
                    <w:spacing w:line="284" w:lineRule="auto"/>
                    <w:ind w:firstLine="0"/>
                    <w:textAlignment w:val="auto"/>
                    <w:rPr>
                      <w:rFonts w:hint="default" w:ascii="Times New Roman" w:hAnsi="Times New Roman" w:cs="Times New Roman"/>
                      <w:color w:val="auto"/>
                      <w:sz w:val="21"/>
                      <w:szCs w:val="21"/>
                    </w:rPr>
                  </w:pPr>
                </w:p>
                <w:p w14:paraId="11D2B2B8">
                  <w:pPr>
                    <w:keepNext w:val="0"/>
                    <w:keepLines w:val="0"/>
                    <w:pageBreakBefore w:val="0"/>
                    <w:widowControl w:val="0"/>
                    <w:kinsoku/>
                    <w:wordWrap/>
                    <w:overflowPunct/>
                    <w:topLinePunct w:val="0"/>
                    <w:autoSpaceDE/>
                    <w:autoSpaceDN/>
                    <w:bidi w:val="0"/>
                    <w:adjustRightInd/>
                    <w:snapToGrid/>
                    <w:spacing w:line="285" w:lineRule="auto"/>
                    <w:ind w:firstLine="0"/>
                    <w:textAlignment w:val="auto"/>
                    <w:rPr>
                      <w:rFonts w:hint="default" w:ascii="Times New Roman" w:hAnsi="Times New Roman" w:cs="Times New Roman"/>
                      <w:color w:val="auto"/>
                      <w:sz w:val="21"/>
                      <w:szCs w:val="21"/>
                    </w:rPr>
                  </w:pPr>
                </w:p>
                <w:p w14:paraId="5CF4A66E">
                  <w:pPr>
                    <w:pStyle w:val="30"/>
                    <w:keepNext w:val="0"/>
                    <w:keepLines w:val="0"/>
                    <w:pageBreakBefore w:val="0"/>
                    <w:widowControl w:val="0"/>
                    <w:kinsoku/>
                    <w:wordWrap/>
                    <w:overflowPunct/>
                    <w:topLinePunct w:val="0"/>
                    <w:autoSpaceDE/>
                    <w:autoSpaceDN/>
                    <w:bidi w:val="0"/>
                    <w:adjustRightInd/>
                    <w:snapToGrid/>
                    <w:spacing w:before="78" w:line="222" w:lineRule="auto"/>
                    <w:jc w:val="left"/>
                    <w:textAlignment w:val="auto"/>
                    <w:rPr>
                      <w:rFonts w:hint="default" w:ascii="Times New Roman" w:hAnsi="Times New Roman" w:cs="Times New Roman"/>
                      <w:color w:val="auto"/>
                      <w:sz w:val="21"/>
                      <w:szCs w:val="21"/>
                    </w:rPr>
                  </w:pPr>
                  <w:r>
                    <w:rPr>
                      <w:rFonts w:hint="default" w:ascii="Times New Roman" w:hAnsi="Times New Roman" w:eastAsia="Times New Roman" w:cs="Times New Roman"/>
                      <w:color w:val="auto"/>
                      <w:spacing w:val="-2"/>
                      <w:sz w:val="21"/>
                      <w:szCs w:val="21"/>
                    </w:rPr>
                    <w:t>2026</w:t>
                  </w:r>
                  <w:r>
                    <w:rPr>
                      <w:rFonts w:hint="default" w:ascii="Times New Roman" w:hAnsi="Times New Roman" w:cs="Times New Roman"/>
                      <w:color w:val="auto"/>
                      <w:spacing w:val="-2"/>
                      <w:sz w:val="21"/>
                      <w:szCs w:val="21"/>
                    </w:rPr>
                    <w:t>年</w:t>
                  </w:r>
                </w:p>
                <w:p w14:paraId="62294842">
                  <w:pPr>
                    <w:pStyle w:val="30"/>
                    <w:keepNext w:val="0"/>
                    <w:keepLines w:val="0"/>
                    <w:pageBreakBefore w:val="0"/>
                    <w:widowControl w:val="0"/>
                    <w:kinsoku/>
                    <w:wordWrap/>
                    <w:overflowPunct/>
                    <w:topLinePunct w:val="0"/>
                    <w:autoSpaceDE/>
                    <w:autoSpaceDN/>
                    <w:bidi w:val="0"/>
                    <w:adjustRightInd/>
                    <w:snapToGrid/>
                    <w:spacing w:before="23" w:line="223" w:lineRule="auto"/>
                    <w:ind w:firstLine="0"/>
                    <w:jc w:val="left"/>
                    <w:textAlignment w:val="auto"/>
                    <w:rPr>
                      <w:rFonts w:hint="default" w:ascii="Times New Roman" w:hAnsi="Times New Roman" w:cs="Times New Roman"/>
                      <w:color w:val="auto"/>
                      <w:sz w:val="21"/>
                      <w:szCs w:val="21"/>
                    </w:rPr>
                  </w:pPr>
                  <w:r>
                    <w:rPr>
                      <w:rFonts w:hint="default" w:ascii="Times New Roman" w:hAnsi="Times New Roman" w:eastAsia="Times New Roman" w:cs="Times New Roman"/>
                      <w:color w:val="auto"/>
                      <w:spacing w:val="-19"/>
                      <w:sz w:val="21"/>
                      <w:szCs w:val="21"/>
                    </w:rPr>
                    <w:t>03</w:t>
                  </w:r>
                  <w:r>
                    <w:rPr>
                      <w:rFonts w:hint="default" w:ascii="Times New Roman" w:hAnsi="Times New Roman" w:cs="Times New Roman"/>
                      <w:color w:val="auto"/>
                      <w:spacing w:val="-19"/>
                      <w:sz w:val="21"/>
                      <w:szCs w:val="21"/>
                    </w:rPr>
                    <w:t>月</w:t>
                  </w:r>
                  <w:r>
                    <w:rPr>
                      <w:rFonts w:hint="default" w:ascii="Times New Roman" w:hAnsi="Times New Roman" w:cs="Times New Roman"/>
                      <w:color w:val="auto"/>
                      <w:spacing w:val="-52"/>
                      <w:sz w:val="21"/>
                      <w:szCs w:val="21"/>
                    </w:rPr>
                    <w:t xml:space="preserve"> </w:t>
                  </w:r>
                  <w:r>
                    <w:rPr>
                      <w:rFonts w:hint="default" w:ascii="Times New Roman" w:hAnsi="Times New Roman" w:eastAsia="Times New Roman" w:cs="Times New Roman"/>
                      <w:color w:val="auto"/>
                      <w:spacing w:val="-19"/>
                      <w:sz w:val="21"/>
                      <w:szCs w:val="21"/>
                    </w:rPr>
                    <w:t>09</w:t>
                  </w:r>
                  <w:r>
                    <w:rPr>
                      <w:rFonts w:hint="default" w:ascii="Times New Roman" w:hAnsi="Times New Roman" w:eastAsia="Times New Roman" w:cs="Times New Roman"/>
                      <w:color w:val="auto"/>
                      <w:spacing w:val="3"/>
                      <w:sz w:val="21"/>
                      <w:szCs w:val="21"/>
                    </w:rPr>
                    <w:t xml:space="preserve"> </w:t>
                  </w:r>
                  <w:r>
                    <w:rPr>
                      <w:rFonts w:hint="default" w:ascii="Times New Roman" w:hAnsi="Times New Roman" w:cs="Times New Roman"/>
                      <w:color w:val="auto"/>
                      <w:spacing w:val="-19"/>
                      <w:sz w:val="21"/>
                      <w:szCs w:val="21"/>
                    </w:rPr>
                    <w:t>日</w:t>
                  </w:r>
                </w:p>
              </w:tc>
              <w:tc>
                <w:tcPr>
                  <w:tcW w:w="1643" w:type="pct"/>
                  <w:tcBorders>
                    <w:tl2br w:val="nil"/>
                    <w:tr2bl w:val="nil"/>
                  </w:tcBorders>
                  <w:noWrap w:val="0"/>
                  <w:vAlign w:val="top"/>
                </w:tcPr>
                <w:p w14:paraId="72658CBE">
                  <w:pPr>
                    <w:pStyle w:val="30"/>
                    <w:keepNext w:val="0"/>
                    <w:keepLines w:val="0"/>
                    <w:pageBreakBefore w:val="0"/>
                    <w:widowControl w:val="0"/>
                    <w:kinsoku/>
                    <w:wordWrap/>
                    <w:overflowPunct/>
                    <w:topLinePunct w:val="0"/>
                    <w:autoSpaceDE/>
                    <w:autoSpaceDN/>
                    <w:bidi w:val="0"/>
                    <w:adjustRightInd/>
                    <w:snapToGrid/>
                    <w:spacing w:before="197" w:line="222" w:lineRule="auto"/>
                    <w:jc w:val="center"/>
                    <w:textAlignment w:val="auto"/>
                    <w:rPr>
                      <w:rFonts w:hint="default" w:ascii="Times New Roman" w:hAnsi="Times New Roman" w:cs="Times New Roman"/>
                      <w:color w:val="auto"/>
                      <w:sz w:val="21"/>
                      <w:szCs w:val="21"/>
                    </w:rPr>
                  </w:pPr>
                  <w:r>
                    <w:rPr>
                      <w:rFonts w:hint="default" w:ascii="Times New Roman" w:hAnsi="Times New Roman" w:eastAsia="Times New Roman" w:cs="Times New Roman"/>
                      <w:color w:val="auto"/>
                      <w:spacing w:val="-2"/>
                      <w:sz w:val="21"/>
                      <w:szCs w:val="21"/>
                    </w:rPr>
                    <w:t>N1</w:t>
                  </w:r>
                  <w:r>
                    <w:rPr>
                      <w:rFonts w:hint="default" w:ascii="Times New Roman" w:hAnsi="Times New Roman" w:eastAsia="Times New Roman" w:cs="Times New Roman"/>
                      <w:color w:val="auto"/>
                      <w:spacing w:val="15"/>
                      <w:sz w:val="21"/>
                      <w:szCs w:val="21"/>
                    </w:rPr>
                    <w:t xml:space="preserve"> </w:t>
                  </w:r>
                  <w:r>
                    <w:rPr>
                      <w:rFonts w:hint="default" w:ascii="Times New Roman" w:hAnsi="Times New Roman" w:cs="Times New Roman"/>
                      <w:color w:val="auto"/>
                      <w:spacing w:val="-2"/>
                      <w:sz w:val="21"/>
                      <w:szCs w:val="21"/>
                    </w:rPr>
                    <w:t>厂界东北侧</w:t>
                  </w:r>
                </w:p>
              </w:tc>
              <w:tc>
                <w:tcPr>
                  <w:tcW w:w="654" w:type="pct"/>
                  <w:tcBorders>
                    <w:tl2br w:val="nil"/>
                    <w:tr2bl w:val="nil"/>
                  </w:tcBorders>
                  <w:noWrap w:val="0"/>
                  <w:vAlign w:val="top"/>
                </w:tcPr>
                <w:p w14:paraId="6BACB01A">
                  <w:pPr>
                    <w:keepNext w:val="0"/>
                    <w:keepLines w:val="0"/>
                    <w:pageBreakBefore w:val="0"/>
                    <w:widowControl w:val="0"/>
                    <w:kinsoku/>
                    <w:wordWrap/>
                    <w:overflowPunct/>
                    <w:topLinePunct w:val="0"/>
                    <w:autoSpaceDE/>
                    <w:autoSpaceDN/>
                    <w:bidi w:val="0"/>
                    <w:adjustRightInd/>
                    <w:snapToGrid/>
                    <w:spacing w:before="238" w:line="188" w:lineRule="auto"/>
                    <w:ind w:left="430"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3"/>
                      <w:sz w:val="21"/>
                      <w:szCs w:val="21"/>
                    </w:rPr>
                    <w:t>54.5</w:t>
                  </w:r>
                </w:p>
              </w:tc>
              <w:tc>
                <w:tcPr>
                  <w:tcW w:w="654" w:type="pct"/>
                  <w:tcBorders>
                    <w:tl2br w:val="nil"/>
                    <w:tr2bl w:val="nil"/>
                  </w:tcBorders>
                  <w:noWrap w:val="0"/>
                  <w:vAlign w:val="top"/>
                </w:tcPr>
                <w:p w14:paraId="17B36198">
                  <w:pPr>
                    <w:keepNext w:val="0"/>
                    <w:keepLines w:val="0"/>
                    <w:pageBreakBefore w:val="0"/>
                    <w:widowControl w:val="0"/>
                    <w:kinsoku/>
                    <w:wordWrap/>
                    <w:overflowPunct/>
                    <w:topLinePunct w:val="0"/>
                    <w:autoSpaceDE/>
                    <w:autoSpaceDN/>
                    <w:bidi w:val="0"/>
                    <w:adjustRightInd/>
                    <w:snapToGrid/>
                    <w:spacing w:before="238" w:line="188" w:lineRule="auto"/>
                    <w:ind w:left="427"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1"/>
                      <w:sz w:val="21"/>
                      <w:szCs w:val="21"/>
                    </w:rPr>
                    <w:t>49.2</w:t>
                  </w:r>
                </w:p>
              </w:tc>
              <w:tc>
                <w:tcPr>
                  <w:tcW w:w="656" w:type="pct"/>
                  <w:tcBorders>
                    <w:tl2br w:val="nil"/>
                    <w:tr2bl w:val="nil"/>
                  </w:tcBorders>
                  <w:noWrap w:val="0"/>
                  <w:vAlign w:val="top"/>
                </w:tcPr>
                <w:p w14:paraId="47621C53">
                  <w:pPr>
                    <w:keepNext w:val="0"/>
                    <w:keepLines w:val="0"/>
                    <w:pageBreakBefore w:val="0"/>
                    <w:widowControl w:val="0"/>
                    <w:kinsoku/>
                    <w:wordWrap/>
                    <w:overflowPunct/>
                    <w:topLinePunct w:val="0"/>
                    <w:autoSpaceDE/>
                    <w:autoSpaceDN/>
                    <w:bidi w:val="0"/>
                    <w:adjustRightInd/>
                    <w:snapToGrid/>
                    <w:spacing w:before="238" w:line="188" w:lineRule="auto"/>
                    <w:ind w:left="436"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3"/>
                      <w:sz w:val="21"/>
                      <w:szCs w:val="21"/>
                    </w:rPr>
                    <w:t>53.6</w:t>
                  </w:r>
                </w:p>
              </w:tc>
              <w:tc>
                <w:tcPr>
                  <w:tcW w:w="769" w:type="pct"/>
                  <w:tcBorders>
                    <w:tl2br w:val="nil"/>
                    <w:tr2bl w:val="nil"/>
                  </w:tcBorders>
                  <w:noWrap w:val="0"/>
                  <w:vAlign w:val="top"/>
                </w:tcPr>
                <w:p w14:paraId="05E83A15">
                  <w:pPr>
                    <w:pStyle w:val="30"/>
                    <w:keepNext w:val="0"/>
                    <w:keepLines w:val="0"/>
                    <w:pageBreakBefore w:val="0"/>
                    <w:widowControl w:val="0"/>
                    <w:kinsoku/>
                    <w:wordWrap/>
                    <w:overflowPunct/>
                    <w:topLinePunct w:val="0"/>
                    <w:autoSpaceDE/>
                    <w:autoSpaceDN/>
                    <w:bidi w:val="0"/>
                    <w:adjustRightInd/>
                    <w:snapToGrid/>
                    <w:spacing w:before="40" w:line="223" w:lineRule="auto"/>
                    <w:ind w:left="273" w:firstLine="0"/>
                    <w:textAlignment w:val="auto"/>
                    <w:rPr>
                      <w:rFonts w:hint="default" w:ascii="Times New Roman" w:hAnsi="Times New Roman" w:eastAsia="Times New Roman" w:cs="Times New Roman"/>
                      <w:color w:val="auto"/>
                      <w:sz w:val="21"/>
                      <w:szCs w:val="21"/>
                    </w:rPr>
                  </w:pPr>
                  <w:r>
                    <w:rPr>
                      <w:rFonts w:hint="default" w:ascii="Times New Roman" w:hAnsi="Times New Roman" w:cs="Times New Roman"/>
                      <w:color w:val="auto"/>
                      <w:spacing w:val="-4"/>
                      <w:sz w:val="21"/>
                      <w:szCs w:val="21"/>
                    </w:rPr>
                    <w:t>昼间≤</w:t>
                  </w:r>
                  <w:r>
                    <w:rPr>
                      <w:rFonts w:hint="default" w:ascii="Times New Roman" w:hAnsi="Times New Roman" w:eastAsia="Times New Roman" w:cs="Times New Roman"/>
                      <w:color w:val="auto"/>
                      <w:spacing w:val="-4"/>
                      <w:sz w:val="21"/>
                      <w:szCs w:val="21"/>
                    </w:rPr>
                    <w:t>60</w:t>
                  </w:r>
                </w:p>
                <w:p w14:paraId="0E4EC253">
                  <w:pPr>
                    <w:pStyle w:val="30"/>
                    <w:keepNext w:val="0"/>
                    <w:keepLines w:val="0"/>
                    <w:pageBreakBefore w:val="0"/>
                    <w:widowControl w:val="0"/>
                    <w:kinsoku/>
                    <w:wordWrap/>
                    <w:overflowPunct/>
                    <w:topLinePunct w:val="0"/>
                    <w:autoSpaceDE/>
                    <w:autoSpaceDN/>
                    <w:bidi w:val="0"/>
                    <w:adjustRightInd/>
                    <w:snapToGrid/>
                    <w:spacing w:before="21" w:line="201" w:lineRule="auto"/>
                    <w:ind w:left="273" w:firstLine="0"/>
                    <w:textAlignment w:val="auto"/>
                    <w:rPr>
                      <w:rFonts w:hint="default" w:ascii="Times New Roman" w:hAnsi="Times New Roman" w:eastAsia="Times New Roman" w:cs="Times New Roman"/>
                      <w:color w:val="auto"/>
                      <w:sz w:val="21"/>
                      <w:szCs w:val="21"/>
                    </w:rPr>
                  </w:pPr>
                  <w:r>
                    <w:rPr>
                      <w:rFonts w:hint="default" w:ascii="Times New Roman" w:hAnsi="Times New Roman" w:cs="Times New Roman"/>
                      <w:color w:val="auto"/>
                      <w:spacing w:val="-4"/>
                      <w:sz w:val="21"/>
                      <w:szCs w:val="21"/>
                    </w:rPr>
                    <w:t>夜间≤</w:t>
                  </w:r>
                  <w:r>
                    <w:rPr>
                      <w:rFonts w:hint="default" w:ascii="Times New Roman" w:hAnsi="Times New Roman" w:eastAsia="Times New Roman" w:cs="Times New Roman"/>
                      <w:color w:val="auto"/>
                      <w:spacing w:val="-4"/>
                      <w:sz w:val="21"/>
                      <w:szCs w:val="21"/>
                    </w:rPr>
                    <w:t>50</w:t>
                  </w:r>
                </w:p>
              </w:tc>
            </w:tr>
            <w:tr w14:paraId="5A98A6A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621" w:type="pct"/>
                  <w:vMerge w:val="continue"/>
                  <w:tcBorders>
                    <w:tl2br w:val="nil"/>
                    <w:tr2bl w:val="nil"/>
                  </w:tcBorders>
                  <w:noWrap w:val="0"/>
                  <w:vAlign w:val="top"/>
                </w:tcPr>
                <w:p w14:paraId="5A62F148">
                  <w:pPr>
                    <w:keepNext w:val="0"/>
                    <w:keepLines w:val="0"/>
                    <w:pageBreakBefore w:val="0"/>
                    <w:widowControl w:val="0"/>
                    <w:kinsoku/>
                    <w:wordWrap/>
                    <w:overflowPunct/>
                    <w:topLinePunct w:val="0"/>
                    <w:autoSpaceDE/>
                    <w:autoSpaceDN/>
                    <w:bidi w:val="0"/>
                    <w:adjustRightInd/>
                    <w:snapToGrid/>
                    <w:ind w:firstLine="0"/>
                    <w:textAlignment w:val="auto"/>
                    <w:rPr>
                      <w:rFonts w:hint="default" w:ascii="Times New Roman" w:hAnsi="Times New Roman" w:cs="Times New Roman"/>
                      <w:color w:val="auto"/>
                      <w:sz w:val="21"/>
                      <w:szCs w:val="21"/>
                    </w:rPr>
                  </w:pPr>
                </w:p>
              </w:tc>
              <w:tc>
                <w:tcPr>
                  <w:tcW w:w="1643" w:type="pct"/>
                  <w:tcBorders>
                    <w:tl2br w:val="nil"/>
                    <w:tr2bl w:val="nil"/>
                  </w:tcBorders>
                  <w:noWrap w:val="0"/>
                  <w:vAlign w:val="top"/>
                </w:tcPr>
                <w:p w14:paraId="5E034999">
                  <w:pPr>
                    <w:pStyle w:val="30"/>
                    <w:keepNext w:val="0"/>
                    <w:keepLines w:val="0"/>
                    <w:pageBreakBefore w:val="0"/>
                    <w:widowControl w:val="0"/>
                    <w:kinsoku/>
                    <w:wordWrap/>
                    <w:overflowPunct/>
                    <w:topLinePunct w:val="0"/>
                    <w:autoSpaceDE/>
                    <w:autoSpaceDN/>
                    <w:bidi w:val="0"/>
                    <w:adjustRightInd/>
                    <w:snapToGrid/>
                    <w:spacing w:before="199" w:line="223" w:lineRule="auto"/>
                    <w:jc w:val="center"/>
                    <w:textAlignment w:val="auto"/>
                    <w:rPr>
                      <w:rFonts w:hint="default" w:ascii="Times New Roman" w:hAnsi="Times New Roman" w:cs="Times New Roman"/>
                      <w:color w:val="auto"/>
                      <w:sz w:val="21"/>
                      <w:szCs w:val="21"/>
                    </w:rPr>
                  </w:pPr>
                  <w:r>
                    <w:rPr>
                      <w:rFonts w:hint="default" w:ascii="Times New Roman" w:hAnsi="Times New Roman" w:eastAsia="Times New Roman" w:cs="Times New Roman"/>
                      <w:color w:val="auto"/>
                      <w:spacing w:val="-3"/>
                      <w:sz w:val="21"/>
                      <w:szCs w:val="21"/>
                    </w:rPr>
                    <w:t>N2</w:t>
                  </w:r>
                  <w:r>
                    <w:rPr>
                      <w:rFonts w:hint="default" w:ascii="Times New Roman" w:hAnsi="Times New Roman" w:eastAsia="Times New Roman" w:cs="Times New Roman"/>
                      <w:color w:val="auto"/>
                      <w:spacing w:val="19"/>
                      <w:sz w:val="21"/>
                      <w:szCs w:val="21"/>
                    </w:rPr>
                    <w:t xml:space="preserve"> </w:t>
                  </w:r>
                  <w:r>
                    <w:rPr>
                      <w:rFonts w:hint="default" w:ascii="Times New Roman" w:hAnsi="Times New Roman" w:cs="Times New Roman"/>
                      <w:color w:val="auto"/>
                      <w:spacing w:val="-3"/>
                      <w:sz w:val="21"/>
                      <w:szCs w:val="21"/>
                    </w:rPr>
                    <w:t>厂界东侧</w:t>
                  </w:r>
                </w:p>
              </w:tc>
              <w:tc>
                <w:tcPr>
                  <w:tcW w:w="654" w:type="pct"/>
                  <w:tcBorders>
                    <w:tl2br w:val="nil"/>
                    <w:tr2bl w:val="nil"/>
                  </w:tcBorders>
                  <w:noWrap w:val="0"/>
                  <w:vAlign w:val="top"/>
                </w:tcPr>
                <w:p w14:paraId="082D1923">
                  <w:pPr>
                    <w:keepNext w:val="0"/>
                    <w:keepLines w:val="0"/>
                    <w:pageBreakBefore w:val="0"/>
                    <w:widowControl w:val="0"/>
                    <w:kinsoku/>
                    <w:wordWrap/>
                    <w:overflowPunct/>
                    <w:topLinePunct w:val="0"/>
                    <w:autoSpaceDE/>
                    <w:autoSpaceDN/>
                    <w:bidi w:val="0"/>
                    <w:adjustRightInd/>
                    <w:snapToGrid/>
                    <w:spacing w:before="240" w:line="188" w:lineRule="auto"/>
                    <w:ind w:left="430"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3"/>
                      <w:sz w:val="21"/>
                      <w:szCs w:val="21"/>
                    </w:rPr>
                    <w:t>58.9</w:t>
                  </w:r>
                </w:p>
              </w:tc>
              <w:tc>
                <w:tcPr>
                  <w:tcW w:w="654" w:type="pct"/>
                  <w:tcBorders>
                    <w:tl2br w:val="nil"/>
                    <w:tr2bl w:val="nil"/>
                  </w:tcBorders>
                  <w:noWrap w:val="0"/>
                  <w:vAlign w:val="top"/>
                </w:tcPr>
                <w:p w14:paraId="04A393F5">
                  <w:pPr>
                    <w:keepNext w:val="0"/>
                    <w:keepLines w:val="0"/>
                    <w:pageBreakBefore w:val="0"/>
                    <w:widowControl w:val="0"/>
                    <w:kinsoku/>
                    <w:wordWrap/>
                    <w:overflowPunct/>
                    <w:topLinePunct w:val="0"/>
                    <w:autoSpaceDE/>
                    <w:autoSpaceDN/>
                    <w:bidi w:val="0"/>
                    <w:adjustRightInd/>
                    <w:snapToGrid/>
                    <w:spacing w:before="240" w:line="188" w:lineRule="auto"/>
                    <w:ind w:left="434"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3"/>
                      <w:sz w:val="21"/>
                      <w:szCs w:val="21"/>
                    </w:rPr>
                    <w:t>51.1</w:t>
                  </w:r>
                </w:p>
              </w:tc>
              <w:tc>
                <w:tcPr>
                  <w:tcW w:w="656" w:type="pct"/>
                  <w:tcBorders>
                    <w:tl2br w:val="nil"/>
                    <w:tr2bl w:val="nil"/>
                  </w:tcBorders>
                  <w:noWrap w:val="0"/>
                  <w:vAlign w:val="top"/>
                </w:tcPr>
                <w:p w14:paraId="5D11CAAC">
                  <w:pPr>
                    <w:keepNext w:val="0"/>
                    <w:keepLines w:val="0"/>
                    <w:pageBreakBefore w:val="0"/>
                    <w:widowControl w:val="0"/>
                    <w:kinsoku/>
                    <w:wordWrap/>
                    <w:overflowPunct/>
                    <w:topLinePunct w:val="0"/>
                    <w:autoSpaceDE/>
                    <w:autoSpaceDN/>
                    <w:bidi w:val="0"/>
                    <w:adjustRightInd/>
                    <w:snapToGrid/>
                    <w:spacing w:before="240" w:line="188" w:lineRule="auto"/>
                    <w:ind w:left="436"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3"/>
                      <w:sz w:val="21"/>
                      <w:szCs w:val="21"/>
                    </w:rPr>
                    <w:t>56.0</w:t>
                  </w:r>
                </w:p>
              </w:tc>
              <w:tc>
                <w:tcPr>
                  <w:tcW w:w="769" w:type="pct"/>
                  <w:tcBorders>
                    <w:tl2br w:val="nil"/>
                    <w:tr2bl w:val="nil"/>
                  </w:tcBorders>
                  <w:noWrap w:val="0"/>
                  <w:vAlign w:val="top"/>
                </w:tcPr>
                <w:p w14:paraId="45BCAAB4">
                  <w:pPr>
                    <w:pStyle w:val="30"/>
                    <w:keepNext w:val="0"/>
                    <w:keepLines w:val="0"/>
                    <w:pageBreakBefore w:val="0"/>
                    <w:widowControl w:val="0"/>
                    <w:kinsoku/>
                    <w:wordWrap/>
                    <w:overflowPunct/>
                    <w:topLinePunct w:val="0"/>
                    <w:autoSpaceDE/>
                    <w:autoSpaceDN/>
                    <w:bidi w:val="0"/>
                    <w:adjustRightInd/>
                    <w:snapToGrid/>
                    <w:spacing w:before="45" w:line="223" w:lineRule="auto"/>
                    <w:ind w:left="273" w:firstLine="0"/>
                    <w:textAlignment w:val="auto"/>
                    <w:rPr>
                      <w:rFonts w:hint="default" w:ascii="Times New Roman" w:hAnsi="Times New Roman" w:eastAsia="Times New Roman" w:cs="Times New Roman"/>
                      <w:color w:val="auto"/>
                      <w:sz w:val="21"/>
                      <w:szCs w:val="21"/>
                    </w:rPr>
                  </w:pPr>
                  <w:r>
                    <w:rPr>
                      <w:rFonts w:hint="default" w:ascii="Times New Roman" w:hAnsi="Times New Roman" w:cs="Times New Roman"/>
                      <w:color w:val="auto"/>
                      <w:spacing w:val="-4"/>
                      <w:sz w:val="21"/>
                      <w:szCs w:val="21"/>
                    </w:rPr>
                    <w:t>昼间≤</w:t>
                  </w:r>
                  <w:r>
                    <w:rPr>
                      <w:rFonts w:hint="default" w:ascii="Times New Roman" w:hAnsi="Times New Roman" w:eastAsia="Times New Roman" w:cs="Times New Roman"/>
                      <w:color w:val="auto"/>
                      <w:spacing w:val="-4"/>
                      <w:sz w:val="21"/>
                      <w:szCs w:val="21"/>
                    </w:rPr>
                    <w:t>70</w:t>
                  </w:r>
                </w:p>
                <w:p w14:paraId="096AB2E8">
                  <w:pPr>
                    <w:pStyle w:val="30"/>
                    <w:keepNext w:val="0"/>
                    <w:keepLines w:val="0"/>
                    <w:pageBreakBefore w:val="0"/>
                    <w:widowControl w:val="0"/>
                    <w:kinsoku/>
                    <w:wordWrap/>
                    <w:overflowPunct/>
                    <w:topLinePunct w:val="0"/>
                    <w:autoSpaceDE/>
                    <w:autoSpaceDN/>
                    <w:bidi w:val="0"/>
                    <w:adjustRightInd/>
                    <w:snapToGrid/>
                    <w:spacing w:before="19" w:line="200" w:lineRule="auto"/>
                    <w:ind w:left="273" w:firstLine="0"/>
                    <w:textAlignment w:val="auto"/>
                    <w:rPr>
                      <w:rFonts w:hint="default" w:ascii="Times New Roman" w:hAnsi="Times New Roman" w:eastAsia="Times New Roman" w:cs="Times New Roman"/>
                      <w:color w:val="auto"/>
                      <w:sz w:val="21"/>
                      <w:szCs w:val="21"/>
                    </w:rPr>
                  </w:pPr>
                  <w:r>
                    <w:rPr>
                      <w:rFonts w:hint="default" w:ascii="Times New Roman" w:hAnsi="Times New Roman" w:cs="Times New Roman"/>
                      <w:color w:val="auto"/>
                      <w:spacing w:val="-4"/>
                      <w:sz w:val="21"/>
                      <w:szCs w:val="21"/>
                    </w:rPr>
                    <w:t>夜间≤</w:t>
                  </w:r>
                  <w:r>
                    <w:rPr>
                      <w:rFonts w:hint="default" w:ascii="Times New Roman" w:hAnsi="Times New Roman" w:eastAsia="Times New Roman" w:cs="Times New Roman"/>
                      <w:color w:val="auto"/>
                      <w:spacing w:val="-4"/>
                      <w:sz w:val="21"/>
                      <w:szCs w:val="21"/>
                    </w:rPr>
                    <w:t>55</w:t>
                  </w:r>
                </w:p>
              </w:tc>
            </w:tr>
            <w:tr w14:paraId="755DDAE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621" w:type="pct"/>
                  <w:vMerge w:val="continue"/>
                  <w:tcBorders>
                    <w:tl2br w:val="nil"/>
                    <w:tr2bl w:val="nil"/>
                  </w:tcBorders>
                  <w:noWrap w:val="0"/>
                  <w:vAlign w:val="top"/>
                </w:tcPr>
                <w:p w14:paraId="1A0D56DC">
                  <w:pPr>
                    <w:keepNext w:val="0"/>
                    <w:keepLines w:val="0"/>
                    <w:pageBreakBefore w:val="0"/>
                    <w:widowControl w:val="0"/>
                    <w:kinsoku/>
                    <w:wordWrap/>
                    <w:overflowPunct/>
                    <w:topLinePunct w:val="0"/>
                    <w:autoSpaceDE/>
                    <w:autoSpaceDN/>
                    <w:bidi w:val="0"/>
                    <w:adjustRightInd/>
                    <w:snapToGrid/>
                    <w:ind w:firstLine="0"/>
                    <w:textAlignment w:val="auto"/>
                    <w:rPr>
                      <w:rFonts w:hint="default" w:ascii="Times New Roman" w:hAnsi="Times New Roman" w:cs="Times New Roman"/>
                      <w:color w:val="auto"/>
                      <w:sz w:val="21"/>
                      <w:szCs w:val="21"/>
                    </w:rPr>
                  </w:pPr>
                </w:p>
              </w:tc>
              <w:tc>
                <w:tcPr>
                  <w:tcW w:w="1643" w:type="pct"/>
                  <w:tcBorders>
                    <w:tl2br w:val="nil"/>
                    <w:tr2bl w:val="nil"/>
                  </w:tcBorders>
                  <w:noWrap w:val="0"/>
                  <w:vAlign w:val="top"/>
                </w:tcPr>
                <w:p w14:paraId="12B0458A">
                  <w:pPr>
                    <w:pStyle w:val="30"/>
                    <w:keepNext w:val="0"/>
                    <w:keepLines w:val="0"/>
                    <w:pageBreakBefore w:val="0"/>
                    <w:widowControl w:val="0"/>
                    <w:kinsoku/>
                    <w:wordWrap/>
                    <w:overflowPunct/>
                    <w:topLinePunct w:val="0"/>
                    <w:autoSpaceDE/>
                    <w:autoSpaceDN/>
                    <w:bidi w:val="0"/>
                    <w:adjustRightInd/>
                    <w:snapToGrid/>
                    <w:spacing w:before="173" w:line="223" w:lineRule="auto"/>
                    <w:jc w:val="center"/>
                    <w:textAlignment w:val="auto"/>
                    <w:rPr>
                      <w:rFonts w:hint="default" w:ascii="Times New Roman" w:hAnsi="Times New Roman" w:cs="Times New Roman"/>
                      <w:color w:val="auto"/>
                      <w:sz w:val="21"/>
                      <w:szCs w:val="21"/>
                    </w:rPr>
                  </w:pPr>
                  <w:r>
                    <w:rPr>
                      <w:rFonts w:hint="default" w:ascii="Times New Roman" w:hAnsi="Times New Roman" w:eastAsia="Times New Roman" w:cs="Times New Roman"/>
                      <w:color w:val="auto"/>
                      <w:spacing w:val="-3"/>
                      <w:sz w:val="21"/>
                      <w:szCs w:val="21"/>
                    </w:rPr>
                    <w:t>N3</w:t>
                  </w:r>
                  <w:r>
                    <w:rPr>
                      <w:rFonts w:hint="default" w:ascii="Times New Roman" w:hAnsi="Times New Roman" w:eastAsia="Times New Roman" w:cs="Times New Roman"/>
                      <w:color w:val="auto"/>
                      <w:spacing w:val="19"/>
                      <w:sz w:val="21"/>
                      <w:szCs w:val="21"/>
                    </w:rPr>
                    <w:t xml:space="preserve"> </w:t>
                  </w:r>
                  <w:r>
                    <w:rPr>
                      <w:rFonts w:hint="default" w:ascii="Times New Roman" w:hAnsi="Times New Roman" w:cs="Times New Roman"/>
                      <w:color w:val="auto"/>
                      <w:spacing w:val="-3"/>
                      <w:sz w:val="21"/>
                      <w:szCs w:val="21"/>
                    </w:rPr>
                    <w:t>厂界南侧</w:t>
                  </w:r>
                </w:p>
              </w:tc>
              <w:tc>
                <w:tcPr>
                  <w:tcW w:w="654" w:type="pct"/>
                  <w:tcBorders>
                    <w:tl2br w:val="nil"/>
                    <w:tr2bl w:val="nil"/>
                  </w:tcBorders>
                  <w:noWrap w:val="0"/>
                  <w:vAlign w:val="top"/>
                </w:tcPr>
                <w:p w14:paraId="6F5812E2">
                  <w:pPr>
                    <w:keepNext w:val="0"/>
                    <w:keepLines w:val="0"/>
                    <w:pageBreakBefore w:val="0"/>
                    <w:widowControl w:val="0"/>
                    <w:kinsoku/>
                    <w:wordWrap/>
                    <w:overflowPunct/>
                    <w:topLinePunct w:val="0"/>
                    <w:autoSpaceDE/>
                    <w:autoSpaceDN/>
                    <w:bidi w:val="0"/>
                    <w:adjustRightInd/>
                    <w:snapToGrid/>
                    <w:spacing w:before="215" w:line="188" w:lineRule="auto"/>
                    <w:ind w:left="430"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3"/>
                      <w:sz w:val="21"/>
                      <w:szCs w:val="21"/>
                    </w:rPr>
                    <w:t>52.8</w:t>
                  </w:r>
                </w:p>
              </w:tc>
              <w:tc>
                <w:tcPr>
                  <w:tcW w:w="654" w:type="pct"/>
                  <w:tcBorders>
                    <w:tl2br w:val="nil"/>
                    <w:tr2bl w:val="nil"/>
                  </w:tcBorders>
                  <w:noWrap w:val="0"/>
                  <w:vAlign w:val="top"/>
                </w:tcPr>
                <w:p w14:paraId="504C6F9B">
                  <w:pPr>
                    <w:keepNext w:val="0"/>
                    <w:keepLines w:val="0"/>
                    <w:pageBreakBefore w:val="0"/>
                    <w:widowControl w:val="0"/>
                    <w:kinsoku/>
                    <w:wordWrap/>
                    <w:overflowPunct/>
                    <w:topLinePunct w:val="0"/>
                    <w:autoSpaceDE/>
                    <w:autoSpaceDN/>
                    <w:bidi w:val="0"/>
                    <w:adjustRightInd/>
                    <w:snapToGrid/>
                    <w:spacing w:before="215" w:line="188" w:lineRule="auto"/>
                    <w:ind w:left="427"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1"/>
                      <w:sz w:val="21"/>
                      <w:szCs w:val="21"/>
                    </w:rPr>
                    <w:t>49.0</w:t>
                  </w:r>
                </w:p>
              </w:tc>
              <w:tc>
                <w:tcPr>
                  <w:tcW w:w="656" w:type="pct"/>
                  <w:tcBorders>
                    <w:tl2br w:val="nil"/>
                    <w:tr2bl w:val="nil"/>
                  </w:tcBorders>
                  <w:noWrap w:val="0"/>
                  <w:vAlign w:val="top"/>
                </w:tcPr>
                <w:p w14:paraId="309BC700">
                  <w:pPr>
                    <w:keepNext w:val="0"/>
                    <w:keepLines w:val="0"/>
                    <w:pageBreakBefore w:val="0"/>
                    <w:widowControl w:val="0"/>
                    <w:kinsoku/>
                    <w:wordWrap/>
                    <w:overflowPunct/>
                    <w:topLinePunct w:val="0"/>
                    <w:autoSpaceDE/>
                    <w:autoSpaceDN/>
                    <w:bidi w:val="0"/>
                    <w:adjustRightInd/>
                    <w:snapToGrid/>
                    <w:spacing w:before="215" w:line="188" w:lineRule="auto"/>
                    <w:ind w:left="436"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3"/>
                      <w:sz w:val="21"/>
                      <w:szCs w:val="21"/>
                    </w:rPr>
                    <w:t>53.4</w:t>
                  </w:r>
                </w:p>
              </w:tc>
              <w:tc>
                <w:tcPr>
                  <w:tcW w:w="769" w:type="pct"/>
                  <w:vMerge w:val="restart"/>
                  <w:tcBorders>
                    <w:tl2br w:val="nil"/>
                    <w:tr2bl w:val="nil"/>
                  </w:tcBorders>
                  <w:noWrap w:val="0"/>
                  <w:vAlign w:val="top"/>
                </w:tcPr>
                <w:p w14:paraId="4EE83598">
                  <w:pPr>
                    <w:keepNext w:val="0"/>
                    <w:keepLines w:val="0"/>
                    <w:pageBreakBefore w:val="0"/>
                    <w:widowControl w:val="0"/>
                    <w:kinsoku/>
                    <w:wordWrap/>
                    <w:overflowPunct/>
                    <w:topLinePunct w:val="0"/>
                    <w:autoSpaceDE/>
                    <w:autoSpaceDN/>
                    <w:bidi w:val="0"/>
                    <w:adjustRightInd/>
                    <w:snapToGrid/>
                    <w:spacing w:line="257" w:lineRule="auto"/>
                    <w:ind w:firstLine="0"/>
                    <w:textAlignment w:val="auto"/>
                    <w:rPr>
                      <w:rFonts w:hint="default" w:ascii="Times New Roman" w:hAnsi="Times New Roman" w:cs="Times New Roman"/>
                      <w:color w:val="auto"/>
                      <w:sz w:val="21"/>
                      <w:szCs w:val="21"/>
                    </w:rPr>
                  </w:pPr>
                </w:p>
                <w:p w14:paraId="61DB0FFE">
                  <w:pPr>
                    <w:keepNext w:val="0"/>
                    <w:keepLines w:val="0"/>
                    <w:pageBreakBefore w:val="0"/>
                    <w:widowControl w:val="0"/>
                    <w:kinsoku/>
                    <w:wordWrap/>
                    <w:overflowPunct/>
                    <w:topLinePunct w:val="0"/>
                    <w:autoSpaceDE/>
                    <w:autoSpaceDN/>
                    <w:bidi w:val="0"/>
                    <w:adjustRightInd/>
                    <w:snapToGrid/>
                    <w:spacing w:line="258" w:lineRule="auto"/>
                    <w:ind w:firstLine="0"/>
                    <w:textAlignment w:val="auto"/>
                    <w:rPr>
                      <w:rFonts w:hint="default" w:ascii="Times New Roman" w:hAnsi="Times New Roman" w:cs="Times New Roman"/>
                      <w:color w:val="auto"/>
                      <w:sz w:val="21"/>
                      <w:szCs w:val="21"/>
                    </w:rPr>
                  </w:pPr>
                </w:p>
                <w:p w14:paraId="28CC4F3A">
                  <w:pPr>
                    <w:pStyle w:val="30"/>
                    <w:keepNext w:val="0"/>
                    <w:keepLines w:val="0"/>
                    <w:pageBreakBefore w:val="0"/>
                    <w:widowControl w:val="0"/>
                    <w:kinsoku/>
                    <w:wordWrap/>
                    <w:overflowPunct/>
                    <w:topLinePunct w:val="0"/>
                    <w:autoSpaceDE/>
                    <w:autoSpaceDN/>
                    <w:bidi w:val="0"/>
                    <w:adjustRightInd/>
                    <w:snapToGrid/>
                    <w:spacing w:before="78" w:line="223" w:lineRule="auto"/>
                    <w:ind w:left="273" w:firstLine="0"/>
                    <w:textAlignment w:val="auto"/>
                    <w:rPr>
                      <w:rFonts w:hint="default" w:ascii="Times New Roman" w:hAnsi="Times New Roman" w:eastAsia="Times New Roman" w:cs="Times New Roman"/>
                      <w:color w:val="auto"/>
                      <w:sz w:val="21"/>
                      <w:szCs w:val="21"/>
                    </w:rPr>
                  </w:pPr>
                  <w:r>
                    <w:rPr>
                      <w:rFonts w:hint="default" w:ascii="Times New Roman" w:hAnsi="Times New Roman" w:cs="Times New Roman"/>
                      <w:color w:val="auto"/>
                      <w:spacing w:val="-4"/>
                      <w:sz w:val="21"/>
                      <w:szCs w:val="21"/>
                    </w:rPr>
                    <w:t>昼间≤</w:t>
                  </w:r>
                  <w:r>
                    <w:rPr>
                      <w:rFonts w:hint="default" w:ascii="Times New Roman" w:hAnsi="Times New Roman" w:eastAsia="Times New Roman" w:cs="Times New Roman"/>
                      <w:color w:val="auto"/>
                      <w:spacing w:val="-4"/>
                      <w:sz w:val="21"/>
                      <w:szCs w:val="21"/>
                    </w:rPr>
                    <w:t>60</w:t>
                  </w:r>
                </w:p>
                <w:p w14:paraId="543BC67A">
                  <w:pPr>
                    <w:pStyle w:val="30"/>
                    <w:keepNext w:val="0"/>
                    <w:keepLines w:val="0"/>
                    <w:pageBreakBefore w:val="0"/>
                    <w:widowControl w:val="0"/>
                    <w:kinsoku/>
                    <w:wordWrap/>
                    <w:overflowPunct/>
                    <w:topLinePunct w:val="0"/>
                    <w:autoSpaceDE/>
                    <w:autoSpaceDN/>
                    <w:bidi w:val="0"/>
                    <w:adjustRightInd/>
                    <w:snapToGrid/>
                    <w:spacing w:before="20" w:line="222" w:lineRule="auto"/>
                    <w:ind w:left="273" w:firstLine="0"/>
                    <w:textAlignment w:val="auto"/>
                    <w:rPr>
                      <w:rFonts w:hint="default" w:ascii="Times New Roman" w:hAnsi="Times New Roman" w:eastAsia="Times New Roman" w:cs="Times New Roman"/>
                      <w:color w:val="auto"/>
                      <w:sz w:val="21"/>
                      <w:szCs w:val="21"/>
                    </w:rPr>
                  </w:pPr>
                  <w:r>
                    <w:rPr>
                      <w:rFonts w:hint="default" w:ascii="Times New Roman" w:hAnsi="Times New Roman" w:cs="Times New Roman"/>
                      <w:color w:val="auto"/>
                      <w:spacing w:val="-4"/>
                      <w:sz w:val="21"/>
                      <w:szCs w:val="21"/>
                    </w:rPr>
                    <w:t>夜间≤</w:t>
                  </w:r>
                  <w:r>
                    <w:rPr>
                      <w:rFonts w:hint="default" w:ascii="Times New Roman" w:hAnsi="Times New Roman" w:eastAsia="Times New Roman" w:cs="Times New Roman"/>
                      <w:color w:val="auto"/>
                      <w:spacing w:val="-4"/>
                      <w:sz w:val="21"/>
                      <w:szCs w:val="21"/>
                    </w:rPr>
                    <w:t>50</w:t>
                  </w:r>
                </w:p>
              </w:tc>
            </w:tr>
            <w:tr w14:paraId="004E4DD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621" w:type="pct"/>
                  <w:vMerge w:val="continue"/>
                  <w:tcBorders>
                    <w:tl2br w:val="nil"/>
                    <w:tr2bl w:val="nil"/>
                  </w:tcBorders>
                  <w:noWrap w:val="0"/>
                  <w:vAlign w:val="top"/>
                </w:tcPr>
                <w:p w14:paraId="5633CA3F">
                  <w:pPr>
                    <w:keepNext w:val="0"/>
                    <w:keepLines w:val="0"/>
                    <w:pageBreakBefore w:val="0"/>
                    <w:widowControl w:val="0"/>
                    <w:kinsoku/>
                    <w:wordWrap/>
                    <w:overflowPunct/>
                    <w:topLinePunct w:val="0"/>
                    <w:autoSpaceDE/>
                    <w:autoSpaceDN/>
                    <w:bidi w:val="0"/>
                    <w:adjustRightInd/>
                    <w:snapToGrid/>
                    <w:ind w:firstLine="0"/>
                    <w:textAlignment w:val="auto"/>
                    <w:rPr>
                      <w:rFonts w:hint="default" w:ascii="Times New Roman" w:hAnsi="Times New Roman" w:cs="Times New Roman"/>
                      <w:color w:val="auto"/>
                      <w:sz w:val="21"/>
                      <w:szCs w:val="21"/>
                    </w:rPr>
                  </w:pPr>
                </w:p>
              </w:tc>
              <w:tc>
                <w:tcPr>
                  <w:tcW w:w="1643" w:type="pct"/>
                  <w:tcBorders>
                    <w:tl2br w:val="nil"/>
                    <w:tr2bl w:val="nil"/>
                  </w:tcBorders>
                  <w:noWrap w:val="0"/>
                  <w:vAlign w:val="top"/>
                </w:tcPr>
                <w:p w14:paraId="0F59C7A3">
                  <w:pPr>
                    <w:pStyle w:val="30"/>
                    <w:keepNext w:val="0"/>
                    <w:keepLines w:val="0"/>
                    <w:pageBreakBefore w:val="0"/>
                    <w:widowControl w:val="0"/>
                    <w:kinsoku/>
                    <w:wordWrap/>
                    <w:overflowPunct/>
                    <w:topLinePunct w:val="0"/>
                    <w:autoSpaceDE/>
                    <w:autoSpaceDN/>
                    <w:bidi w:val="0"/>
                    <w:adjustRightInd/>
                    <w:snapToGrid/>
                    <w:spacing w:before="175" w:line="223" w:lineRule="auto"/>
                    <w:jc w:val="center"/>
                    <w:textAlignment w:val="auto"/>
                    <w:rPr>
                      <w:rFonts w:hint="default" w:ascii="Times New Roman" w:hAnsi="Times New Roman" w:cs="Times New Roman"/>
                      <w:color w:val="auto"/>
                      <w:sz w:val="21"/>
                      <w:szCs w:val="21"/>
                    </w:rPr>
                  </w:pPr>
                  <w:r>
                    <w:rPr>
                      <w:rFonts w:hint="default" w:ascii="Times New Roman" w:hAnsi="Times New Roman" w:eastAsia="Times New Roman" w:cs="Times New Roman"/>
                      <w:color w:val="auto"/>
                      <w:spacing w:val="-3"/>
                      <w:sz w:val="21"/>
                      <w:szCs w:val="21"/>
                    </w:rPr>
                    <w:t>N4</w:t>
                  </w:r>
                  <w:r>
                    <w:rPr>
                      <w:rFonts w:hint="default" w:ascii="Times New Roman" w:hAnsi="Times New Roman" w:eastAsia="Times New Roman" w:cs="Times New Roman"/>
                      <w:color w:val="auto"/>
                      <w:spacing w:val="19"/>
                      <w:sz w:val="21"/>
                      <w:szCs w:val="21"/>
                    </w:rPr>
                    <w:t xml:space="preserve"> </w:t>
                  </w:r>
                  <w:r>
                    <w:rPr>
                      <w:rFonts w:hint="default" w:ascii="Times New Roman" w:hAnsi="Times New Roman" w:cs="Times New Roman"/>
                      <w:color w:val="auto"/>
                      <w:spacing w:val="-3"/>
                      <w:sz w:val="21"/>
                      <w:szCs w:val="21"/>
                    </w:rPr>
                    <w:t>厂界西侧</w:t>
                  </w:r>
                </w:p>
              </w:tc>
              <w:tc>
                <w:tcPr>
                  <w:tcW w:w="654" w:type="pct"/>
                  <w:tcBorders>
                    <w:tl2br w:val="nil"/>
                    <w:tr2bl w:val="nil"/>
                  </w:tcBorders>
                  <w:noWrap w:val="0"/>
                  <w:vAlign w:val="top"/>
                </w:tcPr>
                <w:p w14:paraId="7A6F9C1B">
                  <w:pPr>
                    <w:keepNext w:val="0"/>
                    <w:keepLines w:val="0"/>
                    <w:pageBreakBefore w:val="0"/>
                    <w:widowControl w:val="0"/>
                    <w:kinsoku/>
                    <w:wordWrap/>
                    <w:overflowPunct/>
                    <w:topLinePunct w:val="0"/>
                    <w:autoSpaceDE/>
                    <w:autoSpaceDN/>
                    <w:bidi w:val="0"/>
                    <w:adjustRightInd/>
                    <w:snapToGrid/>
                    <w:spacing w:before="217" w:line="188" w:lineRule="auto"/>
                    <w:ind w:left="430"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3"/>
                      <w:sz w:val="21"/>
                      <w:szCs w:val="21"/>
                    </w:rPr>
                    <w:t>53.9</w:t>
                  </w:r>
                </w:p>
              </w:tc>
              <w:tc>
                <w:tcPr>
                  <w:tcW w:w="654" w:type="pct"/>
                  <w:tcBorders>
                    <w:tl2br w:val="nil"/>
                    <w:tr2bl w:val="nil"/>
                  </w:tcBorders>
                  <w:noWrap w:val="0"/>
                  <w:vAlign w:val="top"/>
                </w:tcPr>
                <w:p w14:paraId="3E81D8EA">
                  <w:pPr>
                    <w:keepNext w:val="0"/>
                    <w:keepLines w:val="0"/>
                    <w:pageBreakBefore w:val="0"/>
                    <w:widowControl w:val="0"/>
                    <w:kinsoku/>
                    <w:wordWrap/>
                    <w:overflowPunct/>
                    <w:topLinePunct w:val="0"/>
                    <w:autoSpaceDE/>
                    <w:autoSpaceDN/>
                    <w:bidi w:val="0"/>
                    <w:adjustRightInd/>
                    <w:snapToGrid/>
                    <w:spacing w:before="217" w:line="188" w:lineRule="auto"/>
                    <w:ind w:left="427"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1"/>
                      <w:sz w:val="21"/>
                      <w:szCs w:val="21"/>
                    </w:rPr>
                    <w:t>49.3</w:t>
                  </w:r>
                </w:p>
              </w:tc>
              <w:tc>
                <w:tcPr>
                  <w:tcW w:w="656" w:type="pct"/>
                  <w:tcBorders>
                    <w:tl2br w:val="nil"/>
                    <w:tr2bl w:val="nil"/>
                  </w:tcBorders>
                  <w:noWrap w:val="0"/>
                  <w:vAlign w:val="top"/>
                </w:tcPr>
                <w:p w14:paraId="4A005D78">
                  <w:pPr>
                    <w:keepNext w:val="0"/>
                    <w:keepLines w:val="0"/>
                    <w:pageBreakBefore w:val="0"/>
                    <w:widowControl w:val="0"/>
                    <w:kinsoku/>
                    <w:wordWrap/>
                    <w:overflowPunct/>
                    <w:topLinePunct w:val="0"/>
                    <w:autoSpaceDE/>
                    <w:autoSpaceDN/>
                    <w:bidi w:val="0"/>
                    <w:adjustRightInd/>
                    <w:snapToGrid/>
                    <w:spacing w:before="217" w:line="188" w:lineRule="auto"/>
                    <w:ind w:left="436"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3"/>
                      <w:sz w:val="21"/>
                      <w:szCs w:val="21"/>
                    </w:rPr>
                    <w:t>53.8</w:t>
                  </w:r>
                </w:p>
              </w:tc>
              <w:tc>
                <w:tcPr>
                  <w:tcW w:w="769" w:type="pct"/>
                  <w:vMerge w:val="continue"/>
                  <w:tcBorders>
                    <w:tl2br w:val="nil"/>
                    <w:tr2bl w:val="nil"/>
                  </w:tcBorders>
                  <w:noWrap w:val="0"/>
                  <w:vAlign w:val="top"/>
                </w:tcPr>
                <w:p w14:paraId="570496F2">
                  <w:pPr>
                    <w:keepNext w:val="0"/>
                    <w:keepLines w:val="0"/>
                    <w:pageBreakBefore w:val="0"/>
                    <w:widowControl w:val="0"/>
                    <w:kinsoku/>
                    <w:wordWrap/>
                    <w:overflowPunct/>
                    <w:topLinePunct w:val="0"/>
                    <w:autoSpaceDE/>
                    <w:autoSpaceDN/>
                    <w:bidi w:val="0"/>
                    <w:adjustRightInd/>
                    <w:snapToGrid/>
                    <w:ind w:firstLine="0"/>
                    <w:textAlignment w:val="auto"/>
                    <w:rPr>
                      <w:rFonts w:hint="default" w:ascii="Times New Roman" w:hAnsi="Times New Roman" w:cs="Times New Roman"/>
                      <w:color w:val="auto"/>
                      <w:sz w:val="21"/>
                      <w:szCs w:val="21"/>
                    </w:rPr>
                  </w:pPr>
                </w:p>
              </w:tc>
            </w:tr>
            <w:tr w14:paraId="7CBB932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621" w:type="pct"/>
                  <w:vMerge w:val="continue"/>
                  <w:tcBorders>
                    <w:tl2br w:val="nil"/>
                    <w:tr2bl w:val="nil"/>
                  </w:tcBorders>
                  <w:noWrap w:val="0"/>
                  <w:vAlign w:val="top"/>
                </w:tcPr>
                <w:p w14:paraId="0B8A4CC7">
                  <w:pPr>
                    <w:keepNext w:val="0"/>
                    <w:keepLines w:val="0"/>
                    <w:pageBreakBefore w:val="0"/>
                    <w:widowControl w:val="0"/>
                    <w:kinsoku/>
                    <w:wordWrap/>
                    <w:overflowPunct/>
                    <w:topLinePunct w:val="0"/>
                    <w:autoSpaceDE/>
                    <w:autoSpaceDN/>
                    <w:bidi w:val="0"/>
                    <w:adjustRightInd/>
                    <w:snapToGrid/>
                    <w:ind w:firstLine="0"/>
                    <w:textAlignment w:val="auto"/>
                    <w:rPr>
                      <w:rFonts w:hint="default" w:ascii="Times New Roman" w:hAnsi="Times New Roman" w:cs="Times New Roman"/>
                      <w:color w:val="auto"/>
                      <w:sz w:val="21"/>
                      <w:szCs w:val="21"/>
                    </w:rPr>
                  </w:pPr>
                </w:p>
              </w:tc>
              <w:tc>
                <w:tcPr>
                  <w:tcW w:w="1643" w:type="pct"/>
                  <w:tcBorders>
                    <w:tl2br w:val="nil"/>
                    <w:tr2bl w:val="nil"/>
                  </w:tcBorders>
                  <w:noWrap w:val="0"/>
                  <w:vAlign w:val="top"/>
                </w:tcPr>
                <w:p w14:paraId="25FC8A79">
                  <w:pPr>
                    <w:pStyle w:val="30"/>
                    <w:keepNext w:val="0"/>
                    <w:keepLines w:val="0"/>
                    <w:pageBreakBefore w:val="0"/>
                    <w:widowControl w:val="0"/>
                    <w:kinsoku/>
                    <w:wordWrap/>
                    <w:overflowPunct/>
                    <w:topLinePunct w:val="0"/>
                    <w:autoSpaceDE/>
                    <w:autoSpaceDN/>
                    <w:bidi w:val="0"/>
                    <w:adjustRightInd/>
                    <w:snapToGrid/>
                    <w:spacing w:before="179" w:line="222" w:lineRule="auto"/>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6"/>
                      <w:sz w:val="21"/>
                      <w:szCs w:val="21"/>
                    </w:rPr>
                    <w:t>N5</w:t>
                  </w:r>
                  <w:r>
                    <w:rPr>
                      <w:rFonts w:hint="default" w:ascii="Times New Roman" w:hAnsi="Times New Roman" w:eastAsia="Times New Roman" w:cs="Times New Roman"/>
                      <w:color w:val="auto"/>
                      <w:spacing w:val="45"/>
                      <w:sz w:val="21"/>
                      <w:szCs w:val="21"/>
                    </w:rPr>
                    <w:t xml:space="preserve"> </w:t>
                  </w:r>
                  <w:r>
                    <w:rPr>
                      <w:rFonts w:hint="default" w:ascii="Times New Roman" w:hAnsi="Times New Roman" w:cs="Times New Roman"/>
                      <w:color w:val="auto"/>
                      <w:spacing w:val="-6"/>
                      <w:sz w:val="21"/>
                      <w:szCs w:val="21"/>
                    </w:rPr>
                    <w:t>医院左侧居民楼前</w:t>
                  </w:r>
                  <w:r>
                    <w:rPr>
                      <w:rFonts w:hint="default" w:ascii="Times New Roman" w:hAnsi="Times New Roman" w:cs="Times New Roman"/>
                      <w:color w:val="auto"/>
                      <w:spacing w:val="-32"/>
                      <w:sz w:val="21"/>
                      <w:szCs w:val="21"/>
                    </w:rPr>
                    <w:t xml:space="preserve"> </w:t>
                  </w:r>
                  <w:r>
                    <w:rPr>
                      <w:rFonts w:hint="default" w:ascii="Times New Roman" w:hAnsi="Times New Roman" w:eastAsia="Times New Roman" w:cs="Times New Roman"/>
                      <w:color w:val="auto"/>
                      <w:spacing w:val="-6"/>
                      <w:sz w:val="21"/>
                      <w:szCs w:val="21"/>
                    </w:rPr>
                    <w:t>1m</w:t>
                  </w:r>
                </w:p>
              </w:tc>
              <w:tc>
                <w:tcPr>
                  <w:tcW w:w="654" w:type="pct"/>
                  <w:tcBorders>
                    <w:tl2br w:val="nil"/>
                    <w:tr2bl w:val="nil"/>
                  </w:tcBorders>
                  <w:noWrap w:val="0"/>
                  <w:vAlign w:val="top"/>
                </w:tcPr>
                <w:p w14:paraId="18A6DDB2">
                  <w:pPr>
                    <w:keepNext w:val="0"/>
                    <w:keepLines w:val="0"/>
                    <w:pageBreakBefore w:val="0"/>
                    <w:widowControl w:val="0"/>
                    <w:kinsoku/>
                    <w:wordWrap/>
                    <w:overflowPunct/>
                    <w:topLinePunct w:val="0"/>
                    <w:autoSpaceDE/>
                    <w:autoSpaceDN/>
                    <w:bidi w:val="0"/>
                    <w:adjustRightInd/>
                    <w:snapToGrid/>
                    <w:spacing w:before="221" w:line="188" w:lineRule="auto"/>
                    <w:ind w:left="430"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3"/>
                      <w:sz w:val="21"/>
                      <w:szCs w:val="21"/>
                    </w:rPr>
                    <w:t>53.8</w:t>
                  </w:r>
                </w:p>
              </w:tc>
              <w:tc>
                <w:tcPr>
                  <w:tcW w:w="654" w:type="pct"/>
                  <w:tcBorders>
                    <w:tl2br w:val="nil"/>
                    <w:tr2bl w:val="nil"/>
                  </w:tcBorders>
                  <w:noWrap w:val="0"/>
                  <w:vAlign w:val="top"/>
                </w:tcPr>
                <w:p w14:paraId="2FCDE469">
                  <w:pPr>
                    <w:keepNext w:val="0"/>
                    <w:keepLines w:val="0"/>
                    <w:pageBreakBefore w:val="0"/>
                    <w:widowControl w:val="0"/>
                    <w:kinsoku/>
                    <w:wordWrap/>
                    <w:overflowPunct/>
                    <w:topLinePunct w:val="0"/>
                    <w:autoSpaceDE/>
                    <w:autoSpaceDN/>
                    <w:bidi w:val="0"/>
                    <w:adjustRightInd/>
                    <w:snapToGrid/>
                    <w:spacing w:before="221" w:line="188" w:lineRule="auto"/>
                    <w:ind w:left="427"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1"/>
                      <w:sz w:val="21"/>
                      <w:szCs w:val="21"/>
                    </w:rPr>
                    <w:t>43.8</w:t>
                  </w:r>
                </w:p>
              </w:tc>
              <w:tc>
                <w:tcPr>
                  <w:tcW w:w="656" w:type="pct"/>
                  <w:tcBorders>
                    <w:tl2br w:val="nil"/>
                    <w:tr2bl w:val="nil"/>
                  </w:tcBorders>
                  <w:noWrap w:val="0"/>
                  <w:vAlign w:val="top"/>
                </w:tcPr>
                <w:p w14:paraId="72D2CDED">
                  <w:pPr>
                    <w:keepNext w:val="0"/>
                    <w:keepLines w:val="0"/>
                    <w:pageBreakBefore w:val="0"/>
                    <w:widowControl w:val="0"/>
                    <w:kinsoku/>
                    <w:wordWrap/>
                    <w:overflowPunct/>
                    <w:topLinePunct w:val="0"/>
                    <w:autoSpaceDE/>
                    <w:autoSpaceDN/>
                    <w:bidi w:val="0"/>
                    <w:adjustRightInd/>
                    <w:snapToGrid/>
                    <w:spacing w:before="221" w:line="188" w:lineRule="auto"/>
                    <w:ind w:left="429" w:firstLine="0"/>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1"/>
                      <w:sz w:val="21"/>
                      <w:szCs w:val="21"/>
                    </w:rPr>
                    <w:t>48.0</w:t>
                  </w:r>
                </w:p>
              </w:tc>
              <w:tc>
                <w:tcPr>
                  <w:tcW w:w="769" w:type="pct"/>
                  <w:vMerge w:val="continue"/>
                  <w:tcBorders>
                    <w:tl2br w:val="nil"/>
                    <w:tr2bl w:val="nil"/>
                  </w:tcBorders>
                  <w:noWrap w:val="0"/>
                  <w:vAlign w:val="top"/>
                </w:tcPr>
                <w:p w14:paraId="2629177E">
                  <w:pPr>
                    <w:keepNext w:val="0"/>
                    <w:keepLines w:val="0"/>
                    <w:pageBreakBefore w:val="0"/>
                    <w:widowControl w:val="0"/>
                    <w:kinsoku/>
                    <w:wordWrap/>
                    <w:overflowPunct/>
                    <w:topLinePunct w:val="0"/>
                    <w:autoSpaceDE/>
                    <w:autoSpaceDN/>
                    <w:bidi w:val="0"/>
                    <w:adjustRightInd/>
                    <w:snapToGrid/>
                    <w:ind w:firstLine="0"/>
                    <w:textAlignment w:val="auto"/>
                    <w:rPr>
                      <w:rFonts w:hint="default" w:ascii="Times New Roman" w:hAnsi="Times New Roman" w:cs="Times New Roman"/>
                      <w:color w:val="auto"/>
                      <w:sz w:val="21"/>
                      <w:szCs w:val="21"/>
                    </w:rPr>
                  </w:pPr>
                </w:p>
              </w:tc>
            </w:tr>
            <w:tr w14:paraId="1649250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58" w:hRule="atLeast"/>
              </w:trPr>
              <w:tc>
                <w:tcPr>
                  <w:tcW w:w="621" w:type="pct"/>
                  <w:tcBorders>
                    <w:tl2br w:val="nil"/>
                    <w:tr2bl w:val="nil"/>
                  </w:tcBorders>
                  <w:noWrap w:val="0"/>
                  <w:vAlign w:val="top"/>
                </w:tcPr>
                <w:p w14:paraId="62A3FB79">
                  <w:pPr>
                    <w:keepNext w:val="0"/>
                    <w:keepLines w:val="0"/>
                    <w:pageBreakBefore w:val="0"/>
                    <w:widowControl w:val="0"/>
                    <w:kinsoku/>
                    <w:wordWrap/>
                    <w:overflowPunct/>
                    <w:topLinePunct w:val="0"/>
                    <w:autoSpaceDE/>
                    <w:autoSpaceDN/>
                    <w:bidi w:val="0"/>
                    <w:adjustRightInd/>
                    <w:snapToGrid/>
                    <w:spacing w:line="285" w:lineRule="auto"/>
                    <w:ind w:firstLine="0"/>
                    <w:textAlignment w:val="auto"/>
                    <w:rPr>
                      <w:rFonts w:hint="default" w:ascii="Times New Roman" w:hAnsi="Times New Roman" w:cs="Times New Roman"/>
                      <w:color w:val="auto"/>
                      <w:sz w:val="21"/>
                      <w:szCs w:val="21"/>
                    </w:rPr>
                  </w:pPr>
                </w:p>
                <w:p w14:paraId="401E8CE0">
                  <w:pPr>
                    <w:pStyle w:val="30"/>
                    <w:keepNext w:val="0"/>
                    <w:keepLines w:val="0"/>
                    <w:pageBreakBefore w:val="0"/>
                    <w:widowControl w:val="0"/>
                    <w:kinsoku/>
                    <w:wordWrap/>
                    <w:overflowPunct/>
                    <w:topLinePunct w:val="0"/>
                    <w:autoSpaceDE/>
                    <w:autoSpaceDN/>
                    <w:bidi w:val="0"/>
                    <w:adjustRightInd/>
                    <w:snapToGrid/>
                    <w:spacing w:before="78" w:line="224" w:lineRule="auto"/>
                    <w:ind w:left="365" w:firstLine="0"/>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9"/>
                      <w:sz w:val="21"/>
                      <w:szCs w:val="21"/>
                    </w:rPr>
                    <w:t>备注</w:t>
                  </w:r>
                </w:p>
              </w:tc>
              <w:tc>
                <w:tcPr>
                  <w:tcW w:w="4378" w:type="pct"/>
                  <w:gridSpan w:val="5"/>
                  <w:tcBorders>
                    <w:tl2br w:val="nil"/>
                    <w:tr2bl w:val="nil"/>
                  </w:tcBorders>
                  <w:noWrap w:val="0"/>
                  <w:vAlign w:val="top"/>
                </w:tcPr>
                <w:p w14:paraId="46402D08">
                  <w:pPr>
                    <w:pStyle w:val="30"/>
                    <w:keepNext w:val="0"/>
                    <w:keepLines w:val="0"/>
                    <w:pageBreakBefore w:val="0"/>
                    <w:widowControl w:val="0"/>
                    <w:kinsoku/>
                    <w:wordWrap/>
                    <w:overflowPunct/>
                    <w:topLinePunct w:val="0"/>
                    <w:autoSpaceDE/>
                    <w:autoSpaceDN/>
                    <w:bidi w:val="0"/>
                    <w:adjustRightInd/>
                    <w:snapToGrid/>
                    <w:spacing w:before="55" w:line="220" w:lineRule="auto"/>
                    <w:ind w:left="21" w:firstLine="0"/>
                    <w:textAlignment w:val="auto"/>
                    <w:rPr>
                      <w:rFonts w:hint="default" w:ascii="Times New Roman" w:hAnsi="Times New Roman" w:cs="Times New Roman"/>
                      <w:color w:val="auto"/>
                      <w:sz w:val="21"/>
                      <w:szCs w:val="21"/>
                    </w:rPr>
                  </w:pPr>
                  <w:r>
                    <w:rPr>
                      <w:rFonts w:hint="default" w:ascii="Times New Roman" w:hAnsi="Times New Roman" w:eastAsia="Times New Roman" w:cs="Times New Roman"/>
                      <w:color w:val="auto"/>
                      <w:spacing w:val="-3"/>
                      <w:sz w:val="21"/>
                      <w:szCs w:val="21"/>
                    </w:rPr>
                    <w:t>1</w:t>
                  </w:r>
                  <w:r>
                    <w:rPr>
                      <w:rFonts w:hint="default" w:ascii="Times New Roman" w:hAnsi="Times New Roman" w:eastAsia="Times New Roman" w:cs="Times New Roman"/>
                      <w:color w:val="auto"/>
                      <w:spacing w:val="-24"/>
                      <w:sz w:val="21"/>
                      <w:szCs w:val="21"/>
                    </w:rPr>
                    <w:t xml:space="preserve"> </w:t>
                  </w:r>
                  <w:r>
                    <w:rPr>
                      <w:rFonts w:hint="default" w:ascii="Times New Roman" w:hAnsi="Times New Roman" w:cs="Times New Roman"/>
                      <w:color w:val="auto"/>
                      <w:spacing w:val="-3"/>
                      <w:sz w:val="21"/>
                      <w:szCs w:val="21"/>
                    </w:rPr>
                    <w:t>、检测气象条件：天气多云，风速</w:t>
                  </w:r>
                  <w:r>
                    <w:rPr>
                      <w:rFonts w:hint="default" w:ascii="Times New Roman" w:hAnsi="Times New Roman" w:eastAsia="Times New Roman" w:cs="Times New Roman"/>
                      <w:color w:val="auto"/>
                      <w:spacing w:val="-3"/>
                      <w:sz w:val="21"/>
                      <w:szCs w:val="21"/>
                    </w:rPr>
                    <w:t>&lt;5m/s</w:t>
                  </w:r>
                  <w:r>
                    <w:rPr>
                      <w:rFonts w:hint="default" w:ascii="Times New Roman" w:hAnsi="Times New Roman" w:cs="Times New Roman"/>
                      <w:color w:val="auto"/>
                      <w:spacing w:val="-3"/>
                      <w:sz w:val="21"/>
                      <w:szCs w:val="21"/>
                    </w:rPr>
                    <w:t>；</w:t>
                  </w:r>
                </w:p>
                <w:p w14:paraId="4DA36281">
                  <w:pPr>
                    <w:pStyle w:val="30"/>
                    <w:keepNext w:val="0"/>
                    <w:keepLines w:val="0"/>
                    <w:pageBreakBefore w:val="0"/>
                    <w:widowControl w:val="0"/>
                    <w:kinsoku/>
                    <w:wordWrap/>
                    <w:overflowPunct/>
                    <w:topLinePunct w:val="0"/>
                    <w:autoSpaceDE/>
                    <w:autoSpaceDN/>
                    <w:bidi w:val="0"/>
                    <w:adjustRightInd/>
                    <w:snapToGrid/>
                    <w:spacing w:before="26" w:line="223" w:lineRule="auto"/>
                    <w:ind w:left="8" w:firstLine="0"/>
                    <w:textAlignment w:val="auto"/>
                    <w:rPr>
                      <w:rFonts w:hint="default" w:ascii="Times New Roman" w:hAnsi="Times New Roman" w:cs="Times New Roman"/>
                      <w:color w:val="auto"/>
                      <w:sz w:val="21"/>
                      <w:szCs w:val="21"/>
                    </w:rPr>
                  </w:pPr>
                  <w:r>
                    <w:rPr>
                      <w:rFonts w:hint="default" w:ascii="Times New Roman" w:hAnsi="Times New Roman" w:eastAsia="Times New Roman" w:cs="Times New Roman"/>
                      <w:color w:val="auto"/>
                      <w:spacing w:val="-5"/>
                      <w:sz w:val="21"/>
                      <w:szCs w:val="21"/>
                    </w:rPr>
                    <w:t>2</w:t>
                  </w:r>
                  <w:r>
                    <w:rPr>
                      <w:rFonts w:hint="default" w:ascii="Times New Roman" w:hAnsi="Times New Roman" w:eastAsia="Times New Roman" w:cs="Times New Roman"/>
                      <w:color w:val="auto"/>
                      <w:spacing w:val="-26"/>
                      <w:sz w:val="21"/>
                      <w:szCs w:val="21"/>
                    </w:rPr>
                    <w:t xml:space="preserve"> </w:t>
                  </w:r>
                  <w:r>
                    <w:rPr>
                      <w:rFonts w:hint="default" w:ascii="Times New Roman" w:hAnsi="Times New Roman" w:cs="Times New Roman"/>
                      <w:color w:val="auto"/>
                      <w:spacing w:val="-5"/>
                      <w:sz w:val="21"/>
                      <w:szCs w:val="21"/>
                    </w:rPr>
                    <w:t>、依据委托方提供</w:t>
                  </w:r>
                  <w:r>
                    <w:rPr>
                      <w:rFonts w:hint="default" w:ascii="Times New Roman" w:hAnsi="Times New Roman" w:cs="Times New Roman"/>
                      <w:color w:val="auto"/>
                      <w:spacing w:val="-64"/>
                      <w:sz w:val="21"/>
                      <w:szCs w:val="21"/>
                    </w:rPr>
                    <w:t xml:space="preserve"> </w:t>
                  </w:r>
                  <w:r>
                    <w:rPr>
                      <w:rFonts w:hint="default" w:ascii="Times New Roman" w:hAnsi="Times New Roman" w:eastAsia="Times New Roman" w:cs="Times New Roman"/>
                      <w:color w:val="auto"/>
                      <w:spacing w:val="-5"/>
                      <w:sz w:val="21"/>
                      <w:szCs w:val="21"/>
                    </w:rPr>
                    <w:t>N2</w:t>
                  </w:r>
                  <w:r>
                    <w:rPr>
                      <w:rFonts w:hint="default" w:ascii="Times New Roman" w:hAnsi="Times New Roman" w:eastAsia="Times New Roman" w:cs="Times New Roman"/>
                      <w:color w:val="auto"/>
                      <w:spacing w:val="25"/>
                      <w:w w:val="101"/>
                      <w:sz w:val="21"/>
                      <w:szCs w:val="21"/>
                    </w:rPr>
                    <w:t xml:space="preserve"> </w:t>
                  </w:r>
                  <w:r>
                    <w:rPr>
                      <w:rFonts w:hint="default" w:ascii="Times New Roman" w:hAnsi="Times New Roman" w:cs="Times New Roman"/>
                      <w:color w:val="auto"/>
                      <w:spacing w:val="-5"/>
                      <w:sz w:val="21"/>
                      <w:szCs w:val="21"/>
                    </w:rPr>
                    <w:t>噪声限值执行《声环境质量标准》（</w:t>
                  </w:r>
                  <w:r>
                    <w:rPr>
                      <w:rFonts w:hint="default" w:ascii="Times New Roman" w:hAnsi="Times New Roman" w:eastAsia="Times New Roman" w:cs="Times New Roman"/>
                      <w:color w:val="auto"/>
                      <w:spacing w:val="-5"/>
                      <w:sz w:val="21"/>
                      <w:szCs w:val="21"/>
                    </w:rPr>
                    <w:t>GB 3096</w:t>
                  </w:r>
                  <w:r>
                    <w:rPr>
                      <w:rFonts w:hint="default" w:ascii="Times New Roman" w:hAnsi="Times New Roman" w:eastAsia="Times New Roman" w:cs="Times New Roman"/>
                      <w:color w:val="auto"/>
                      <w:spacing w:val="-6"/>
                      <w:sz w:val="21"/>
                      <w:szCs w:val="21"/>
                    </w:rPr>
                    <w:t>-2008</w:t>
                  </w:r>
                  <w:r>
                    <w:rPr>
                      <w:rFonts w:hint="default" w:ascii="Times New Roman" w:hAnsi="Times New Roman" w:cs="Times New Roman"/>
                      <w:color w:val="auto"/>
                      <w:spacing w:val="-6"/>
                      <w:sz w:val="21"/>
                      <w:szCs w:val="21"/>
                    </w:rPr>
                    <w:t>）</w:t>
                  </w:r>
                  <w:r>
                    <w:rPr>
                      <w:rFonts w:hint="default" w:ascii="Times New Roman" w:hAnsi="Times New Roman" w:eastAsia="Times New Roman" w:cs="Times New Roman"/>
                      <w:color w:val="auto"/>
                      <w:spacing w:val="-6"/>
                      <w:sz w:val="21"/>
                      <w:szCs w:val="21"/>
                    </w:rPr>
                    <w:t>4a</w:t>
                  </w:r>
                  <w:r>
                    <w:rPr>
                      <w:rFonts w:hint="default" w:ascii="Times New Roman" w:hAnsi="Times New Roman" w:eastAsia="Times New Roman" w:cs="Times New Roman"/>
                      <w:color w:val="auto"/>
                      <w:spacing w:val="19"/>
                      <w:w w:val="101"/>
                      <w:sz w:val="21"/>
                      <w:szCs w:val="21"/>
                    </w:rPr>
                    <w:t xml:space="preserve"> </w:t>
                  </w:r>
                  <w:r>
                    <w:rPr>
                      <w:rFonts w:hint="default" w:ascii="Times New Roman" w:hAnsi="Times New Roman" w:cs="Times New Roman"/>
                      <w:color w:val="auto"/>
                      <w:spacing w:val="-6"/>
                      <w:sz w:val="21"/>
                      <w:szCs w:val="21"/>
                    </w:rPr>
                    <w:t>类</w:t>
                  </w:r>
                  <w:r>
                    <w:rPr>
                      <w:rFonts w:hint="default" w:ascii="Times New Roman" w:hAnsi="Times New Roman" w:cs="Times New Roman"/>
                      <w:color w:val="auto"/>
                      <w:spacing w:val="-7"/>
                      <w:sz w:val="21"/>
                      <w:szCs w:val="21"/>
                    </w:rPr>
                    <w:t>标准；</w:t>
                  </w:r>
                  <w:r>
                    <w:rPr>
                      <w:rFonts w:hint="default" w:ascii="Times New Roman" w:hAnsi="Times New Roman" w:eastAsia="Times New Roman" w:cs="Times New Roman"/>
                      <w:color w:val="auto"/>
                      <w:spacing w:val="-7"/>
                      <w:sz w:val="21"/>
                      <w:szCs w:val="21"/>
                    </w:rPr>
                    <w:t>N1</w:t>
                  </w:r>
                  <w:r>
                    <w:rPr>
                      <w:rFonts w:hint="default" w:ascii="Times New Roman" w:hAnsi="Times New Roman" w:cs="Times New Roman"/>
                      <w:color w:val="auto"/>
                      <w:spacing w:val="-7"/>
                      <w:sz w:val="21"/>
                      <w:szCs w:val="21"/>
                    </w:rPr>
                    <w:t>、</w:t>
                  </w:r>
                  <w:r>
                    <w:rPr>
                      <w:rFonts w:hint="default" w:ascii="Times New Roman" w:hAnsi="Times New Roman" w:eastAsia="Times New Roman" w:cs="Times New Roman"/>
                      <w:color w:val="auto"/>
                      <w:spacing w:val="-7"/>
                      <w:sz w:val="21"/>
                      <w:szCs w:val="21"/>
                    </w:rPr>
                    <w:t>N3~N5</w:t>
                  </w:r>
                  <w:r>
                    <w:rPr>
                      <w:rFonts w:hint="default" w:ascii="Times New Roman" w:hAnsi="Times New Roman" w:eastAsia="Times New Roman" w:cs="Times New Roman"/>
                      <w:color w:val="auto"/>
                      <w:spacing w:val="30"/>
                      <w:w w:val="101"/>
                      <w:sz w:val="21"/>
                      <w:szCs w:val="21"/>
                    </w:rPr>
                    <w:t xml:space="preserve"> </w:t>
                  </w:r>
                  <w:r>
                    <w:rPr>
                      <w:rFonts w:hint="default" w:ascii="Times New Roman" w:hAnsi="Times New Roman" w:cs="Times New Roman"/>
                      <w:color w:val="auto"/>
                      <w:spacing w:val="-7"/>
                      <w:sz w:val="21"/>
                      <w:szCs w:val="21"/>
                    </w:rPr>
                    <w:t>噪声限值执行《声环境质量标准》（</w:t>
                  </w:r>
                  <w:r>
                    <w:rPr>
                      <w:rFonts w:hint="default" w:ascii="Times New Roman" w:hAnsi="Times New Roman" w:eastAsia="Times New Roman" w:cs="Times New Roman"/>
                      <w:color w:val="auto"/>
                      <w:spacing w:val="-7"/>
                      <w:sz w:val="21"/>
                      <w:szCs w:val="21"/>
                    </w:rPr>
                    <w:t>GB 3096-2008</w:t>
                  </w:r>
                  <w:r>
                    <w:rPr>
                      <w:rFonts w:hint="default" w:ascii="Times New Roman" w:hAnsi="Times New Roman" w:cs="Times New Roman"/>
                      <w:color w:val="auto"/>
                      <w:spacing w:val="-7"/>
                      <w:sz w:val="21"/>
                      <w:szCs w:val="21"/>
                    </w:rPr>
                    <w:t>）</w:t>
                  </w:r>
                  <w:r>
                    <w:rPr>
                      <w:rFonts w:hint="default" w:ascii="Times New Roman" w:hAnsi="Times New Roman" w:eastAsia="Times New Roman" w:cs="Times New Roman"/>
                      <w:color w:val="auto"/>
                      <w:spacing w:val="-7"/>
                      <w:sz w:val="21"/>
                      <w:szCs w:val="21"/>
                    </w:rPr>
                    <w:t>2</w:t>
                  </w:r>
                  <w:r>
                    <w:rPr>
                      <w:rFonts w:hint="default" w:ascii="Times New Roman" w:hAnsi="Times New Roman" w:eastAsia="Times New Roman" w:cs="Times New Roman"/>
                      <w:color w:val="auto"/>
                      <w:spacing w:val="18"/>
                      <w:sz w:val="21"/>
                      <w:szCs w:val="21"/>
                    </w:rPr>
                    <w:t xml:space="preserve"> </w:t>
                  </w:r>
                  <w:r>
                    <w:rPr>
                      <w:rFonts w:hint="default" w:ascii="Times New Roman" w:hAnsi="Times New Roman" w:cs="Times New Roman"/>
                      <w:color w:val="auto"/>
                      <w:spacing w:val="-7"/>
                      <w:sz w:val="21"/>
                      <w:szCs w:val="21"/>
                    </w:rPr>
                    <w:t>类标准。</w:t>
                  </w:r>
                </w:p>
              </w:tc>
            </w:tr>
          </w:tbl>
          <w:p w14:paraId="3FE2BD5D">
            <w:pPr>
              <w:tabs>
                <w:tab w:val="left" w:pos="567"/>
              </w:tabs>
              <w:snapToGrid w:val="0"/>
              <w:spacing w:line="280" w:lineRule="exact"/>
              <w:ind w:firstLine="420" w:firstLineChars="200"/>
              <w:jc w:val="both"/>
              <w:rPr>
                <w:rFonts w:hint="eastAsia" w:ascii="宋体" w:hAnsi="宋体" w:eastAsia="宋体" w:cs="宋体"/>
                <w:bCs w:val="0"/>
                <w:color w:val="auto"/>
                <w:sz w:val="21"/>
                <w:szCs w:val="21"/>
                <w:u w:val="none" w:color="FF0000"/>
                <w:lang w:val="en-US" w:eastAsia="zh-CN"/>
              </w:rPr>
            </w:pPr>
          </w:p>
          <w:p w14:paraId="15036702">
            <w:pPr>
              <w:pStyle w:val="30"/>
              <w:spacing w:before="199" w:line="360" w:lineRule="auto"/>
              <w:rPr>
                <w:rFonts w:hint="eastAsia" w:cs="Times New Roman"/>
                <w:b/>
                <w:bCs/>
                <w:color w:val="auto"/>
                <w:sz w:val="28"/>
                <w:szCs w:val="28"/>
                <w:lang w:val="en-US" w:eastAsia="zh-CN"/>
              </w:rPr>
            </w:pPr>
            <w:r>
              <w:rPr>
                <w:rFonts w:hint="eastAsia" w:cs="Times New Roman"/>
                <w:b/>
                <w:bCs/>
                <w:color w:val="auto"/>
                <w:sz w:val="28"/>
                <w:szCs w:val="28"/>
                <w:lang w:val="en-US" w:eastAsia="zh-CN"/>
              </w:rPr>
              <w:t>2.7现有工程污染物排放量</w:t>
            </w:r>
          </w:p>
          <w:p w14:paraId="3B1CF275">
            <w:pPr>
              <w:pStyle w:val="30"/>
              <w:spacing w:before="199" w:line="360" w:lineRule="auto"/>
              <w:ind w:left="105"/>
              <w:jc w:val="center"/>
              <w:rPr>
                <w:rFonts w:hint="default" w:cs="Times New Roman"/>
                <w:b/>
                <w:bCs/>
                <w:color w:val="auto"/>
                <w:sz w:val="28"/>
                <w:szCs w:val="28"/>
                <w:lang w:val="en-US" w:eastAsia="zh-CN"/>
              </w:rPr>
            </w:pPr>
            <w:r>
              <w:rPr>
                <w:rFonts w:hint="eastAsia" w:ascii="Times New Roman" w:hAnsi="Times New Roman" w:eastAsia="宋体" w:cs="Times New Roman"/>
                <w:b/>
                <w:bCs/>
                <w:color w:val="auto"/>
                <w:sz w:val="24"/>
                <w:szCs w:val="24"/>
                <w:lang w:val="en-US" w:eastAsia="zh-CN"/>
              </w:rPr>
              <w:t>表2.6-4现有工程污染物排放量</w:t>
            </w:r>
          </w:p>
          <w:tbl>
            <w:tblPr>
              <w:tblStyle w:val="17"/>
              <w:tblpPr w:leftFromText="180" w:rightFromText="180" w:vertAnchor="text" w:tblpXSpec="center" w:tblpY="1"/>
              <w:tblOverlap w:val="never"/>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614"/>
              <w:gridCol w:w="614"/>
              <w:gridCol w:w="1280"/>
              <w:gridCol w:w="1661"/>
              <w:gridCol w:w="1112"/>
              <w:gridCol w:w="3111"/>
            </w:tblGrid>
            <w:tr w14:paraId="47D77B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4" w:hRule="atLeast"/>
              </w:trPr>
              <w:tc>
                <w:tcPr>
                  <w:tcW w:w="614" w:type="dxa"/>
                  <w:noWrap w:val="0"/>
                  <w:vAlign w:val="center"/>
                </w:tcPr>
                <w:p w14:paraId="481CA4F1">
                  <w:pPr>
                    <w:tabs>
                      <w:tab w:val="left" w:pos="567"/>
                    </w:tabs>
                    <w:snapToGrid w:val="0"/>
                    <w:spacing w:line="280" w:lineRule="exact"/>
                    <w:jc w:val="center"/>
                    <w:rPr>
                      <w:rFonts w:hint="eastAsia" w:ascii="宋体" w:hAnsi="宋体" w:eastAsia="宋体" w:cs="宋体"/>
                      <w:bCs w:val="0"/>
                      <w:color w:val="auto"/>
                      <w:sz w:val="21"/>
                      <w:szCs w:val="21"/>
                      <w:u w:val="none" w:color="FF0000"/>
                      <w:lang w:val="en-US" w:eastAsia="zh-CN"/>
                    </w:rPr>
                  </w:pPr>
                  <w:r>
                    <w:rPr>
                      <w:rFonts w:hint="eastAsia" w:ascii="宋体" w:hAnsi="宋体" w:eastAsia="宋体" w:cs="宋体"/>
                      <w:bCs w:val="0"/>
                      <w:color w:val="auto"/>
                      <w:sz w:val="21"/>
                      <w:szCs w:val="21"/>
                      <w:u w:val="none" w:color="FF0000"/>
                      <w:lang w:val="en-US" w:eastAsia="zh-CN"/>
                    </w:rPr>
                    <w:t>类别</w:t>
                  </w:r>
                </w:p>
              </w:tc>
              <w:tc>
                <w:tcPr>
                  <w:tcW w:w="614" w:type="dxa"/>
                  <w:noWrap w:val="0"/>
                  <w:vAlign w:val="center"/>
                </w:tcPr>
                <w:p w14:paraId="08B2CD61">
                  <w:pPr>
                    <w:tabs>
                      <w:tab w:val="left" w:pos="567"/>
                    </w:tabs>
                    <w:snapToGrid w:val="0"/>
                    <w:spacing w:line="280" w:lineRule="exact"/>
                    <w:jc w:val="center"/>
                    <w:rPr>
                      <w:rFonts w:hint="eastAsia" w:ascii="宋体" w:hAnsi="宋体" w:eastAsia="宋体" w:cs="宋体"/>
                      <w:bCs w:val="0"/>
                      <w:color w:val="auto"/>
                      <w:sz w:val="21"/>
                      <w:szCs w:val="21"/>
                      <w:u w:val="none" w:color="FF0000"/>
                    </w:rPr>
                  </w:pPr>
                  <w:r>
                    <w:rPr>
                      <w:rFonts w:hint="eastAsia" w:ascii="宋体" w:hAnsi="宋体" w:eastAsia="宋体" w:cs="宋体"/>
                      <w:bCs w:val="0"/>
                      <w:color w:val="auto"/>
                      <w:sz w:val="21"/>
                      <w:szCs w:val="21"/>
                      <w:u w:val="none" w:color="FF0000"/>
                    </w:rPr>
                    <w:t>序号</w:t>
                  </w:r>
                </w:p>
              </w:tc>
              <w:tc>
                <w:tcPr>
                  <w:tcW w:w="2941" w:type="dxa"/>
                  <w:gridSpan w:val="2"/>
                  <w:noWrap w:val="0"/>
                  <w:vAlign w:val="center"/>
                </w:tcPr>
                <w:p w14:paraId="382B6A85">
                  <w:pPr>
                    <w:tabs>
                      <w:tab w:val="left" w:pos="567"/>
                    </w:tabs>
                    <w:snapToGrid w:val="0"/>
                    <w:spacing w:line="280" w:lineRule="exact"/>
                    <w:jc w:val="center"/>
                    <w:rPr>
                      <w:rFonts w:hint="eastAsia" w:ascii="宋体" w:hAnsi="宋体" w:eastAsia="宋体" w:cs="宋体"/>
                      <w:bCs w:val="0"/>
                      <w:color w:val="auto"/>
                      <w:sz w:val="21"/>
                      <w:szCs w:val="21"/>
                      <w:u w:val="none" w:color="FF0000"/>
                    </w:rPr>
                  </w:pPr>
                  <w:r>
                    <w:rPr>
                      <w:rFonts w:hint="eastAsia" w:ascii="宋体" w:hAnsi="宋体" w:eastAsia="宋体" w:cs="宋体"/>
                      <w:bCs w:val="0"/>
                      <w:color w:val="auto"/>
                      <w:sz w:val="21"/>
                      <w:szCs w:val="21"/>
                      <w:u w:val="none" w:color="FF0000"/>
                    </w:rPr>
                    <w:t>分类</w:t>
                  </w:r>
                </w:p>
              </w:tc>
              <w:tc>
                <w:tcPr>
                  <w:tcW w:w="1112" w:type="dxa"/>
                  <w:noWrap w:val="0"/>
                  <w:vAlign w:val="center"/>
                </w:tcPr>
                <w:p w14:paraId="1E542FB4">
                  <w:pPr>
                    <w:tabs>
                      <w:tab w:val="left" w:pos="567"/>
                    </w:tabs>
                    <w:snapToGrid w:val="0"/>
                    <w:spacing w:line="280" w:lineRule="exact"/>
                    <w:jc w:val="center"/>
                    <w:rPr>
                      <w:rFonts w:hint="eastAsia" w:ascii="宋体" w:hAnsi="宋体" w:eastAsia="宋体" w:cs="宋体"/>
                      <w:bCs w:val="0"/>
                      <w:color w:val="auto"/>
                      <w:sz w:val="21"/>
                      <w:szCs w:val="21"/>
                      <w:u w:val="none" w:color="FF0000"/>
                    </w:rPr>
                  </w:pPr>
                  <w:r>
                    <w:rPr>
                      <w:rFonts w:hint="eastAsia" w:ascii="宋体" w:hAnsi="宋体" w:eastAsia="宋体" w:cs="宋体"/>
                      <w:bCs w:val="0"/>
                      <w:color w:val="auto"/>
                      <w:sz w:val="21"/>
                      <w:szCs w:val="21"/>
                      <w:u w:val="none" w:color="FF0000"/>
                    </w:rPr>
                    <w:t>排放量</w:t>
                  </w:r>
                </w:p>
              </w:tc>
              <w:tc>
                <w:tcPr>
                  <w:tcW w:w="3111" w:type="dxa"/>
                  <w:noWrap w:val="0"/>
                  <w:vAlign w:val="center"/>
                </w:tcPr>
                <w:p w14:paraId="6814A076">
                  <w:pPr>
                    <w:tabs>
                      <w:tab w:val="left" w:pos="567"/>
                    </w:tabs>
                    <w:snapToGrid w:val="0"/>
                    <w:spacing w:line="280" w:lineRule="exact"/>
                    <w:jc w:val="center"/>
                    <w:rPr>
                      <w:rFonts w:hint="eastAsia" w:ascii="宋体" w:hAnsi="宋体" w:eastAsia="宋体" w:cs="宋体"/>
                      <w:bCs w:val="0"/>
                      <w:color w:val="auto"/>
                      <w:sz w:val="21"/>
                      <w:szCs w:val="21"/>
                      <w:u w:val="none" w:color="FF0000"/>
                    </w:rPr>
                  </w:pPr>
                  <w:r>
                    <w:rPr>
                      <w:rFonts w:hint="eastAsia" w:ascii="宋体" w:hAnsi="宋体" w:eastAsia="宋体" w:cs="宋体"/>
                      <w:bCs w:val="0"/>
                      <w:color w:val="auto"/>
                      <w:sz w:val="21"/>
                      <w:szCs w:val="21"/>
                      <w:u w:val="none" w:color="FF0000"/>
                    </w:rPr>
                    <w:t>处置方式</w:t>
                  </w:r>
                </w:p>
              </w:tc>
            </w:tr>
            <w:tr w14:paraId="7B9562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restart"/>
                  <w:noWrap w:val="0"/>
                  <w:vAlign w:val="center"/>
                </w:tcPr>
                <w:p w14:paraId="64AD9D6C">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bCs w:val="0"/>
                      <w:color w:val="auto"/>
                      <w:sz w:val="21"/>
                      <w:szCs w:val="21"/>
                      <w:u w:val="none" w:color="FF0000"/>
                      <w:lang w:val="en-US" w:eastAsia="zh-CN"/>
                    </w:rPr>
                    <w:t>废水</w:t>
                  </w:r>
                </w:p>
              </w:tc>
              <w:tc>
                <w:tcPr>
                  <w:tcW w:w="614" w:type="dxa"/>
                  <w:noWrap w:val="0"/>
                  <w:vAlign w:val="center"/>
                </w:tcPr>
                <w:p w14:paraId="1F0C4DCA">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bCs w:val="0"/>
                      <w:color w:val="auto"/>
                      <w:sz w:val="21"/>
                      <w:szCs w:val="21"/>
                      <w:u w:val="none" w:color="FF0000"/>
                      <w:lang w:val="en-US" w:eastAsia="zh-CN"/>
                    </w:rPr>
                    <w:t>1</w:t>
                  </w:r>
                </w:p>
              </w:tc>
              <w:tc>
                <w:tcPr>
                  <w:tcW w:w="2941" w:type="dxa"/>
                  <w:gridSpan w:val="2"/>
                  <w:noWrap w:val="0"/>
                  <w:vAlign w:val="center"/>
                </w:tcPr>
                <w:p w14:paraId="780A901B">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bCs w:val="0"/>
                      <w:color w:val="auto"/>
                      <w:sz w:val="21"/>
                      <w:szCs w:val="21"/>
                      <w:u w:val="none" w:color="FF0000"/>
                      <w:lang w:val="en-US" w:eastAsia="zh-CN"/>
                    </w:rPr>
                    <w:t>废水</w:t>
                  </w:r>
                </w:p>
              </w:tc>
              <w:tc>
                <w:tcPr>
                  <w:tcW w:w="1112" w:type="dxa"/>
                  <w:noWrap w:val="0"/>
                  <w:vAlign w:val="center"/>
                </w:tcPr>
                <w:p w14:paraId="11ECB2FF">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bCs w:val="0"/>
                      <w:color w:val="auto"/>
                      <w:sz w:val="21"/>
                      <w:szCs w:val="21"/>
                      <w:u w:val="none" w:color="FF0000"/>
                      <w:lang w:val="en-US" w:eastAsia="zh-CN"/>
                    </w:rPr>
                    <w:t>2</w:t>
                  </w:r>
                  <w:r>
                    <w:rPr>
                      <w:rFonts w:hint="eastAsia" w:ascii="Times New Roman" w:hAnsi="Times New Roman" w:eastAsia="宋体" w:cs="Times New Roman"/>
                      <w:bCs w:val="0"/>
                      <w:color w:val="auto"/>
                      <w:sz w:val="21"/>
                      <w:szCs w:val="21"/>
                      <w:u w:val="none" w:color="FF0000"/>
                      <w:lang w:val="en-US" w:eastAsia="zh-CN"/>
                    </w:rPr>
                    <w:t>.3万m³</w:t>
                  </w:r>
                </w:p>
              </w:tc>
              <w:tc>
                <w:tcPr>
                  <w:tcW w:w="3111" w:type="dxa"/>
                  <w:vMerge w:val="restart"/>
                  <w:noWrap w:val="0"/>
                  <w:vAlign w:val="center"/>
                </w:tcPr>
                <w:p w14:paraId="51E1C71E">
                  <w:pPr>
                    <w:pStyle w:val="23"/>
                    <w:ind w:firstLine="420" w:firstLineChars="200"/>
                    <w:rPr>
                      <w:rFonts w:hint="default" w:ascii="Times New Roman" w:hAnsi="Times New Roman" w:eastAsia="宋体" w:cs="Times New Roman"/>
                      <w:bCs w:val="0"/>
                      <w:color w:val="auto"/>
                      <w:kern w:val="0"/>
                      <w:sz w:val="21"/>
                      <w:szCs w:val="21"/>
                    </w:rPr>
                  </w:pPr>
                  <w:r>
                    <w:rPr>
                      <w:rFonts w:hint="default" w:ascii="Times New Roman" w:hAnsi="Times New Roman" w:eastAsia="宋体" w:cs="Times New Roman"/>
                      <w:bCs w:val="0"/>
                      <w:color w:val="auto"/>
                      <w:kern w:val="0"/>
                      <w:sz w:val="21"/>
                      <w:szCs w:val="21"/>
                      <w:lang w:val="en-US" w:eastAsia="zh-CN" w:bidi="ar-SA"/>
                    </w:rPr>
                    <w:t>80m</w:t>
                  </w:r>
                  <w:r>
                    <w:rPr>
                      <w:rFonts w:hint="default" w:ascii="Times New Roman" w:hAnsi="Times New Roman" w:eastAsia="宋体" w:cs="Times New Roman"/>
                      <w:bCs w:val="0"/>
                      <w:color w:val="auto"/>
                      <w:kern w:val="0"/>
                      <w:sz w:val="21"/>
                      <w:szCs w:val="21"/>
                      <w:vertAlign w:val="superscript"/>
                      <w:lang w:val="en-US" w:eastAsia="zh-CN" w:bidi="ar-SA"/>
                    </w:rPr>
                    <w:t>3</w:t>
                  </w:r>
                  <w:r>
                    <w:rPr>
                      <w:rFonts w:hint="default" w:ascii="Times New Roman" w:hAnsi="Times New Roman" w:eastAsia="宋体" w:cs="Times New Roman"/>
                      <w:bCs w:val="0"/>
                      <w:color w:val="auto"/>
                      <w:kern w:val="0"/>
                      <w:sz w:val="21"/>
                      <w:szCs w:val="21"/>
                      <w:lang w:val="en-US" w:eastAsia="zh-CN" w:bidi="ar-SA"/>
                    </w:rPr>
                    <w:t>/d的污水处理站，生活污水和医疗废水</w:t>
                  </w:r>
                  <w:r>
                    <w:rPr>
                      <w:rFonts w:hint="eastAsia" w:eastAsia="宋体" w:cs="Times New Roman"/>
                      <w:bCs w:val="0"/>
                      <w:color w:val="auto"/>
                      <w:kern w:val="0"/>
                      <w:sz w:val="21"/>
                      <w:szCs w:val="21"/>
                      <w:lang w:val="en-US" w:eastAsia="zh-CN" w:bidi="ar-SA"/>
                    </w:rPr>
                    <w:t>经</w:t>
                  </w:r>
                  <w:r>
                    <w:rPr>
                      <w:rFonts w:hint="default" w:ascii="Times New Roman" w:hAnsi="Times New Roman" w:eastAsia="宋体" w:cs="Times New Roman"/>
                      <w:bCs w:val="0"/>
                      <w:color w:val="auto"/>
                      <w:kern w:val="0"/>
                      <w:sz w:val="21"/>
                      <w:szCs w:val="21"/>
                      <w:lang w:val="en-US" w:eastAsia="zh-CN" w:bidi="ar-SA"/>
                    </w:rPr>
                    <w:t>污水处理站处理后排入卫生院西侧水渠</w:t>
                  </w:r>
                  <w:r>
                    <w:rPr>
                      <w:rFonts w:hint="eastAsia" w:eastAsia="宋体" w:cs="Times New Roman"/>
                      <w:bCs w:val="0"/>
                      <w:color w:val="auto"/>
                      <w:kern w:val="0"/>
                      <w:sz w:val="21"/>
                      <w:szCs w:val="21"/>
                      <w:lang w:val="en-US" w:eastAsia="zh-CN" w:bidi="ar-SA"/>
                    </w:rPr>
                    <w:t>，最终排入芋蛋山溪</w:t>
                  </w:r>
                  <w:r>
                    <w:rPr>
                      <w:rFonts w:hint="default" w:ascii="Times New Roman" w:hAnsi="Times New Roman" w:eastAsia="宋体" w:cs="Times New Roman"/>
                      <w:bCs w:val="0"/>
                      <w:color w:val="auto"/>
                      <w:kern w:val="0"/>
                      <w:sz w:val="21"/>
                      <w:szCs w:val="21"/>
                      <w:lang w:val="en-US" w:eastAsia="zh-CN" w:bidi="ar-SA"/>
                    </w:rPr>
                    <w:t>。</w:t>
                  </w:r>
                </w:p>
              </w:tc>
            </w:tr>
            <w:tr w14:paraId="2D88FF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7C3B18BC">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p>
              </w:tc>
              <w:tc>
                <w:tcPr>
                  <w:tcW w:w="614" w:type="dxa"/>
                  <w:noWrap w:val="0"/>
                  <w:vAlign w:val="center"/>
                </w:tcPr>
                <w:p w14:paraId="390334DD">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eastAsia" w:ascii="Times New Roman" w:hAnsi="Times New Roman" w:eastAsia="宋体" w:cs="Times New Roman"/>
                      <w:bCs w:val="0"/>
                      <w:color w:val="auto"/>
                      <w:sz w:val="21"/>
                      <w:szCs w:val="21"/>
                      <w:u w:val="none" w:color="FF0000"/>
                      <w:lang w:val="en-US" w:eastAsia="zh-CN"/>
                    </w:rPr>
                    <w:t>2</w:t>
                  </w:r>
                </w:p>
              </w:tc>
              <w:tc>
                <w:tcPr>
                  <w:tcW w:w="2941" w:type="dxa"/>
                  <w:gridSpan w:val="2"/>
                  <w:noWrap w:val="0"/>
                  <w:vAlign w:val="center"/>
                </w:tcPr>
                <w:p w14:paraId="52BFFD18">
                  <w:pPr>
                    <w:keepNext w:val="0"/>
                    <w:keepLines w:val="0"/>
                    <w:widowControl/>
                    <w:suppressLineNumbers w:val="0"/>
                    <w:jc w:val="center"/>
                    <w:textAlignment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i w:val="0"/>
                      <w:iCs w:val="0"/>
                      <w:color w:val="auto"/>
                      <w:kern w:val="0"/>
                      <w:sz w:val="21"/>
                      <w:szCs w:val="21"/>
                      <w:u w:val="none"/>
                      <w:lang w:val="en-US" w:eastAsia="zh-CN" w:bidi="ar"/>
                    </w:rPr>
                    <w:t>COD</w:t>
                  </w:r>
                </w:p>
              </w:tc>
              <w:tc>
                <w:tcPr>
                  <w:tcW w:w="1112" w:type="dxa"/>
                  <w:noWrap w:val="0"/>
                  <w:vAlign w:val="center"/>
                </w:tcPr>
                <w:p w14:paraId="644FAB12">
                  <w:pPr>
                    <w:keepNext w:val="0"/>
                    <w:keepLines w:val="0"/>
                    <w:widowControl/>
                    <w:suppressLineNumbers w:val="0"/>
                    <w:jc w:val="center"/>
                    <w:textAlignment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i w:val="0"/>
                      <w:iCs w:val="0"/>
                      <w:color w:val="auto"/>
                      <w:kern w:val="0"/>
                      <w:sz w:val="21"/>
                      <w:szCs w:val="21"/>
                      <w:u w:val="none"/>
                      <w:lang w:val="en-US" w:eastAsia="zh-CN" w:bidi="ar"/>
                    </w:rPr>
                    <w:t>0.71</w:t>
                  </w:r>
                </w:p>
              </w:tc>
              <w:tc>
                <w:tcPr>
                  <w:tcW w:w="3111" w:type="dxa"/>
                  <w:vMerge w:val="continue"/>
                  <w:noWrap w:val="0"/>
                  <w:vAlign w:val="center"/>
                </w:tcPr>
                <w:p w14:paraId="4560C3DF">
                  <w:pPr>
                    <w:pStyle w:val="23"/>
                    <w:ind w:firstLine="420" w:firstLineChars="200"/>
                    <w:rPr>
                      <w:rFonts w:hint="default" w:ascii="Times New Roman" w:hAnsi="Times New Roman" w:eastAsia="宋体" w:cs="Times New Roman"/>
                      <w:bCs w:val="0"/>
                      <w:color w:val="auto"/>
                      <w:kern w:val="0"/>
                      <w:sz w:val="21"/>
                      <w:szCs w:val="21"/>
                      <w:lang w:val="en-US" w:eastAsia="zh-CN" w:bidi="ar-SA"/>
                    </w:rPr>
                  </w:pPr>
                </w:p>
              </w:tc>
            </w:tr>
            <w:tr w14:paraId="2C192F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4F1D7E5C">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p>
              </w:tc>
              <w:tc>
                <w:tcPr>
                  <w:tcW w:w="614" w:type="dxa"/>
                  <w:noWrap w:val="0"/>
                  <w:vAlign w:val="center"/>
                </w:tcPr>
                <w:p w14:paraId="1C349B41">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eastAsia" w:ascii="Times New Roman" w:hAnsi="Times New Roman" w:eastAsia="宋体" w:cs="Times New Roman"/>
                      <w:bCs w:val="0"/>
                      <w:color w:val="auto"/>
                      <w:sz w:val="21"/>
                      <w:szCs w:val="21"/>
                      <w:u w:val="none" w:color="FF0000"/>
                      <w:lang w:val="en-US" w:eastAsia="zh-CN"/>
                    </w:rPr>
                    <w:t>3</w:t>
                  </w:r>
                </w:p>
              </w:tc>
              <w:tc>
                <w:tcPr>
                  <w:tcW w:w="2941" w:type="dxa"/>
                  <w:gridSpan w:val="2"/>
                  <w:noWrap w:val="0"/>
                  <w:vAlign w:val="center"/>
                </w:tcPr>
                <w:p w14:paraId="1BAE994A">
                  <w:pPr>
                    <w:keepNext w:val="0"/>
                    <w:keepLines w:val="0"/>
                    <w:widowControl/>
                    <w:suppressLineNumbers w:val="0"/>
                    <w:jc w:val="center"/>
                    <w:textAlignment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i w:val="0"/>
                      <w:iCs w:val="0"/>
                      <w:color w:val="auto"/>
                      <w:kern w:val="0"/>
                      <w:sz w:val="21"/>
                      <w:szCs w:val="21"/>
                      <w:u w:val="none"/>
                      <w:lang w:val="en-US" w:eastAsia="zh-CN" w:bidi="ar"/>
                    </w:rPr>
                    <w:t>BOD</w:t>
                  </w:r>
                  <w:r>
                    <w:rPr>
                      <w:rFonts w:hint="default" w:ascii="Times New Roman" w:hAnsi="Times New Roman" w:eastAsia="宋体" w:cs="Times New Roman"/>
                      <w:i w:val="0"/>
                      <w:iCs w:val="0"/>
                      <w:color w:val="auto"/>
                      <w:kern w:val="0"/>
                      <w:sz w:val="21"/>
                      <w:szCs w:val="21"/>
                      <w:u w:val="none"/>
                      <w:vertAlign w:val="subscript"/>
                      <w:lang w:val="en-US" w:eastAsia="zh-CN" w:bidi="ar"/>
                    </w:rPr>
                    <w:t>5</w:t>
                  </w:r>
                </w:p>
              </w:tc>
              <w:tc>
                <w:tcPr>
                  <w:tcW w:w="1112" w:type="dxa"/>
                  <w:noWrap w:val="0"/>
                  <w:vAlign w:val="center"/>
                </w:tcPr>
                <w:p w14:paraId="6590CDEE">
                  <w:pPr>
                    <w:keepNext w:val="0"/>
                    <w:keepLines w:val="0"/>
                    <w:widowControl/>
                    <w:suppressLineNumbers w:val="0"/>
                    <w:jc w:val="center"/>
                    <w:textAlignment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i w:val="0"/>
                      <w:iCs w:val="0"/>
                      <w:color w:val="auto"/>
                      <w:kern w:val="0"/>
                      <w:sz w:val="21"/>
                      <w:szCs w:val="21"/>
                      <w:u w:val="none"/>
                      <w:lang w:val="en-US" w:eastAsia="zh-CN" w:bidi="ar"/>
                    </w:rPr>
                    <w:t>0.07</w:t>
                  </w:r>
                </w:p>
              </w:tc>
              <w:tc>
                <w:tcPr>
                  <w:tcW w:w="3111" w:type="dxa"/>
                  <w:vMerge w:val="continue"/>
                  <w:noWrap w:val="0"/>
                  <w:vAlign w:val="center"/>
                </w:tcPr>
                <w:p w14:paraId="5D02EBD0">
                  <w:pPr>
                    <w:pStyle w:val="23"/>
                    <w:ind w:firstLine="420" w:firstLineChars="200"/>
                    <w:rPr>
                      <w:rFonts w:hint="default" w:ascii="Times New Roman" w:hAnsi="Times New Roman" w:eastAsia="宋体" w:cs="Times New Roman"/>
                      <w:bCs w:val="0"/>
                      <w:color w:val="auto"/>
                      <w:kern w:val="0"/>
                      <w:sz w:val="21"/>
                      <w:szCs w:val="21"/>
                      <w:lang w:val="en-US" w:eastAsia="zh-CN" w:bidi="ar-SA"/>
                    </w:rPr>
                  </w:pPr>
                </w:p>
              </w:tc>
            </w:tr>
            <w:tr w14:paraId="0D4F30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062FE953">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p>
              </w:tc>
              <w:tc>
                <w:tcPr>
                  <w:tcW w:w="614" w:type="dxa"/>
                  <w:noWrap w:val="0"/>
                  <w:vAlign w:val="center"/>
                </w:tcPr>
                <w:p w14:paraId="22645DC4">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eastAsia" w:ascii="Times New Roman" w:hAnsi="Times New Roman" w:eastAsia="宋体" w:cs="Times New Roman"/>
                      <w:bCs w:val="0"/>
                      <w:color w:val="auto"/>
                      <w:sz w:val="21"/>
                      <w:szCs w:val="21"/>
                      <w:u w:val="none" w:color="FF0000"/>
                      <w:lang w:val="en-US" w:eastAsia="zh-CN"/>
                    </w:rPr>
                    <w:t>4</w:t>
                  </w:r>
                </w:p>
              </w:tc>
              <w:tc>
                <w:tcPr>
                  <w:tcW w:w="2941" w:type="dxa"/>
                  <w:gridSpan w:val="2"/>
                  <w:noWrap w:val="0"/>
                  <w:vAlign w:val="center"/>
                </w:tcPr>
                <w:p w14:paraId="56D561DB">
                  <w:pPr>
                    <w:keepNext w:val="0"/>
                    <w:keepLines w:val="0"/>
                    <w:widowControl/>
                    <w:suppressLineNumbers w:val="0"/>
                    <w:jc w:val="center"/>
                    <w:textAlignment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i w:val="0"/>
                      <w:iCs w:val="0"/>
                      <w:color w:val="auto"/>
                      <w:kern w:val="0"/>
                      <w:sz w:val="21"/>
                      <w:szCs w:val="21"/>
                      <w:u w:val="none"/>
                      <w:lang w:val="en-US" w:eastAsia="zh-CN" w:bidi="ar"/>
                    </w:rPr>
                    <w:t>SS</w:t>
                  </w:r>
                </w:p>
              </w:tc>
              <w:tc>
                <w:tcPr>
                  <w:tcW w:w="1112" w:type="dxa"/>
                  <w:noWrap w:val="0"/>
                  <w:vAlign w:val="center"/>
                </w:tcPr>
                <w:p w14:paraId="45633832">
                  <w:pPr>
                    <w:keepNext w:val="0"/>
                    <w:keepLines w:val="0"/>
                    <w:widowControl/>
                    <w:suppressLineNumbers w:val="0"/>
                    <w:jc w:val="center"/>
                    <w:textAlignment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i w:val="0"/>
                      <w:iCs w:val="0"/>
                      <w:color w:val="auto"/>
                      <w:kern w:val="0"/>
                      <w:sz w:val="21"/>
                      <w:szCs w:val="21"/>
                      <w:u w:val="none"/>
                      <w:lang w:val="en-US" w:eastAsia="zh-CN" w:bidi="ar"/>
                    </w:rPr>
                    <w:t>0.27</w:t>
                  </w:r>
                </w:p>
              </w:tc>
              <w:tc>
                <w:tcPr>
                  <w:tcW w:w="3111" w:type="dxa"/>
                  <w:vMerge w:val="continue"/>
                  <w:noWrap w:val="0"/>
                  <w:vAlign w:val="center"/>
                </w:tcPr>
                <w:p w14:paraId="11645A44">
                  <w:pPr>
                    <w:pStyle w:val="23"/>
                    <w:ind w:firstLine="420" w:firstLineChars="200"/>
                    <w:rPr>
                      <w:rFonts w:hint="default" w:ascii="Times New Roman" w:hAnsi="Times New Roman" w:eastAsia="宋体" w:cs="Times New Roman"/>
                      <w:bCs w:val="0"/>
                      <w:color w:val="auto"/>
                      <w:kern w:val="0"/>
                      <w:sz w:val="21"/>
                      <w:szCs w:val="21"/>
                      <w:lang w:val="en-US" w:eastAsia="zh-CN" w:bidi="ar-SA"/>
                    </w:rPr>
                  </w:pPr>
                </w:p>
              </w:tc>
            </w:tr>
            <w:tr w14:paraId="7681D8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6B3B2EFF">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p>
              </w:tc>
              <w:tc>
                <w:tcPr>
                  <w:tcW w:w="614" w:type="dxa"/>
                  <w:noWrap w:val="0"/>
                  <w:vAlign w:val="center"/>
                </w:tcPr>
                <w:p w14:paraId="764DBF5B">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eastAsia" w:ascii="Times New Roman" w:hAnsi="Times New Roman" w:eastAsia="宋体" w:cs="Times New Roman"/>
                      <w:bCs w:val="0"/>
                      <w:color w:val="auto"/>
                      <w:sz w:val="21"/>
                      <w:szCs w:val="21"/>
                      <w:u w:val="none" w:color="FF0000"/>
                      <w:lang w:val="en-US" w:eastAsia="zh-CN"/>
                    </w:rPr>
                    <w:t>5</w:t>
                  </w:r>
                </w:p>
              </w:tc>
              <w:tc>
                <w:tcPr>
                  <w:tcW w:w="2941" w:type="dxa"/>
                  <w:gridSpan w:val="2"/>
                  <w:noWrap w:val="0"/>
                  <w:vAlign w:val="center"/>
                </w:tcPr>
                <w:p w14:paraId="09DBFFD4">
                  <w:pPr>
                    <w:keepNext w:val="0"/>
                    <w:keepLines w:val="0"/>
                    <w:widowControl/>
                    <w:suppressLineNumbers w:val="0"/>
                    <w:jc w:val="center"/>
                    <w:textAlignment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i w:val="0"/>
                      <w:iCs w:val="0"/>
                      <w:color w:val="auto"/>
                      <w:kern w:val="0"/>
                      <w:sz w:val="21"/>
                      <w:szCs w:val="21"/>
                      <w:u w:val="none"/>
                      <w:lang w:val="en-US" w:eastAsia="zh-CN" w:bidi="ar"/>
                    </w:rPr>
                    <w:t>NH</w:t>
                  </w:r>
                  <w:r>
                    <w:rPr>
                      <w:rFonts w:hint="default" w:ascii="Times New Roman" w:hAnsi="Times New Roman" w:eastAsia="宋体" w:cs="Times New Roman"/>
                      <w:i w:val="0"/>
                      <w:iCs w:val="0"/>
                      <w:color w:val="auto"/>
                      <w:kern w:val="0"/>
                      <w:sz w:val="21"/>
                      <w:szCs w:val="21"/>
                      <w:u w:val="none"/>
                      <w:vertAlign w:val="sub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-N</w:t>
                  </w:r>
                </w:p>
              </w:tc>
              <w:tc>
                <w:tcPr>
                  <w:tcW w:w="1112" w:type="dxa"/>
                  <w:noWrap w:val="0"/>
                  <w:vAlign w:val="center"/>
                </w:tcPr>
                <w:p w14:paraId="7CE15305">
                  <w:pPr>
                    <w:keepNext w:val="0"/>
                    <w:keepLines w:val="0"/>
                    <w:widowControl/>
                    <w:suppressLineNumbers w:val="0"/>
                    <w:jc w:val="center"/>
                    <w:textAlignment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i w:val="0"/>
                      <w:iCs w:val="0"/>
                      <w:color w:val="auto"/>
                      <w:kern w:val="0"/>
                      <w:sz w:val="21"/>
                      <w:szCs w:val="21"/>
                      <w:u w:val="none"/>
                      <w:lang w:val="en-US" w:eastAsia="zh-CN" w:bidi="ar"/>
                    </w:rPr>
                    <w:t>0.29</w:t>
                  </w:r>
                </w:p>
              </w:tc>
              <w:tc>
                <w:tcPr>
                  <w:tcW w:w="3111" w:type="dxa"/>
                  <w:vMerge w:val="continue"/>
                  <w:noWrap w:val="0"/>
                  <w:vAlign w:val="center"/>
                </w:tcPr>
                <w:p w14:paraId="1B17B8F2">
                  <w:pPr>
                    <w:pStyle w:val="23"/>
                    <w:ind w:firstLine="420" w:firstLineChars="200"/>
                    <w:rPr>
                      <w:rFonts w:hint="default" w:ascii="Times New Roman" w:hAnsi="Times New Roman" w:eastAsia="宋体" w:cs="Times New Roman"/>
                      <w:bCs w:val="0"/>
                      <w:color w:val="auto"/>
                      <w:kern w:val="0"/>
                      <w:sz w:val="21"/>
                      <w:szCs w:val="21"/>
                      <w:lang w:val="en-US" w:eastAsia="zh-CN" w:bidi="ar-SA"/>
                    </w:rPr>
                  </w:pPr>
                </w:p>
              </w:tc>
            </w:tr>
            <w:tr w14:paraId="7A7222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5782EC70">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p>
              </w:tc>
              <w:tc>
                <w:tcPr>
                  <w:tcW w:w="614" w:type="dxa"/>
                  <w:noWrap w:val="0"/>
                  <w:vAlign w:val="center"/>
                </w:tcPr>
                <w:p w14:paraId="392864A9">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eastAsia" w:ascii="Times New Roman" w:hAnsi="Times New Roman" w:eastAsia="宋体" w:cs="Times New Roman"/>
                      <w:bCs w:val="0"/>
                      <w:color w:val="auto"/>
                      <w:sz w:val="21"/>
                      <w:szCs w:val="21"/>
                      <w:u w:val="none" w:color="FF0000"/>
                      <w:lang w:val="en-US" w:eastAsia="zh-CN"/>
                    </w:rPr>
                    <w:t>6</w:t>
                  </w:r>
                </w:p>
              </w:tc>
              <w:tc>
                <w:tcPr>
                  <w:tcW w:w="2941" w:type="dxa"/>
                  <w:gridSpan w:val="2"/>
                  <w:noWrap w:val="0"/>
                  <w:vAlign w:val="center"/>
                </w:tcPr>
                <w:p w14:paraId="60F3DE3F">
                  <w:pPr>
                    <w:keepNext w:val="0"/>
                    <w:keepLines w:val="0"/>
                    <w:widowControl/>
                    <w:suppressLineNumbers w:val="0"/>
                    <w:jc w:val="center"/>
                    <w:textAlignment w:val="center"/>
                    <w:rPr>
                      <w:rFonts w:hint="default" w:ascii="Times New Roman" w:hAnsi="Times New Roman" w:eastAsia="宋体" w:cs="Times New Roman"/>
                      <w:bCs w:val="0"/>
                      <w:color w:val="auto"/>
                      <w:sz w:val="21"/>
                      <w:szCs w:val="21"/>
                      <w:u w:val="none" w:color="FF0000"/>
                      <w:lang w:val="en-US" w:eastAsia="zh-CN"/>
                    </w:rPr>
                  </w:pPr>
                  <w:r>
                    <w:rPr>
                      <w:rFonts w:hint="eastAsia" w:ascii="宋体" w:hAnsi="宋体" w:eastAsia="宋体" w:cs="宋体"/>
                      <w:i w:val="0"/>
                      <w:iCs w:val="0"/>
                      <w:color w:val="auto"/>
                      <w:kern w:val="0"/>
                      <w:sz w:val="21"/>
                      <w:szCs w:val="21"/>
                      <w:u w:val="none"/>
                      <w:lang w:val="en-US" w:eastAsia="zh-CN" w:bidi="ar"/>
                    </w:rPr>
                    <w:t>动植物油</w:t>
                  </w:r>
                </w:p>
              </w:tc>
              <w:tc>
                <w:tcPr>
                  <w:tcW w:w="1112" w:type="dxa"/>
                  <w:noWrap w:val="0"/>
                  <w:vAlign w:val="center"/>
                </w:tcPr>
                <w:p w14:paraId="3E0850B7">
                  <w:pPr>
                    <w:keepNext w:val="0"/>
                    <w:keepLines w:val="0"/>
                    <w:widowControl/>
                    <w:suppressLineNumbers w:val="0"/>
                    <w:jc w:val="center"/>
                    <w:textAlignment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3111" w:type="dxa"/>
                  <w:vMerge w:val="continue"/>
                  <w:noWrap w:val="0"/>
                  <w:vAlign w:val="center"/>
                </w:tcPr>
                <w:p w14:paraId="06DBD2DF">
                  <w:pPr>
                    <w:pStyle w:val="23"/>
                    <w:ind w:firstLine="420" w:firstLineChars="200"/>
                    <w:rPr>
                      <w:rFonts w:hint="default" w:ascii="Times New Roman" w:hAnsi="Times New Roman" w:eastAsia="宋体" w:cs="Times New Roman"/>
                      <w:bCs w:val="0"/>
                      <w:color w:val="auto"/>
                      <w:kern w:val="0"/>
                      <w:sz w:val="21"/>
                      <w:szCs w:val="21"/>
                      <w:lang w:val="en-US" w:eastAsia="zh-CN" w:bidi="ar-SA"/>
                    </w:rPr>
                  </w:pPr>
                </w:p>
              </w:tc>
            </w:tr>
            <w:tr w14:paraId="1877C0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restart"/>
                  <w:noWrap w:val="0"/>
                  <w:vAlign w:val="center"/>
                </w:tcPr>
                <w:p w14:paraId="53E2FF98">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bCs w:val="0"/>
                      <w:color w:val="auto"/>
                      <w:sz w:val="21"/>
                      <w:szCs w:val="21"/>
                      <w:u w:val="none" w:color="FF0000"/>
                      <w:lang w:val="en-US" w:eastAsia="zh-CN"/>
                    </w:rPr>
                    <w:t>固体废物</w:t>
                  </w:r>
                </w:p>
              </w:tc>
              <w:tc>
                <w:tcPr>
                  <w:tcW w:w="614" w:type="dxa"/>
                  <w:noWrap w:val="0"/>
                  <w:vAlign w:val="center"/>
                </w:tcPr>
                <w:p w14:paraId="0DCD1812">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1</w:t>
                  </w:r>
                </w:p>
              </w:tc>
              <w:tc>
                <w:tcPr>
                  <w:tcW w:w="1280" w:type="dxa"/>
                  <w:vMerge w:val="restart"/>
                  <w:noWrap w:val="0"/>
                  <w:vAlign w:val="center"/>
                </w:tcPr>
                <w:p w14:paraId="30AF9C3B">
                  <w:pPr>
                    <w:tabs>
                      <w:tab w:val="left" w:pos="567"/>
                    </w:tabs>
                    <w:snapToGrid w:val="0"/>
                    <w:spacing w:line="280" w:lineRule="exact"/>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感染性废物</w:t>
                  </w:r>
                </w:p>
              </w:tc>
              <w:tc>
                <w:tcPr>
                  <w:tcW w:w="1661" w:type="dxa"/>
                  <w:noWrap w:val="0"/>
                  <w:vAlign w:val="center"/>
                </w:tcPr>
                <w:p w14:paraId="3C703F99">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塑料类</w:t>
                  </w:r>
                </w:p>
              </w:tc>
              <w:tc>
                <w:tcPr>
                  <w:tcW w:w="1112" w:type="dxa"/>
                  <w:vMerge w:val="restart"/>
                  <w:noWrap w:val="0"/>
                  <w:vAlign w:val="center"/>
                </w:tcPr>
                <w:p w14:paraId="17BCA1DD">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bCs w:val="0"/>
                      <w:color w:val="auto"/>
                      <w:sz w:val="21"/>
                      <w:szCs w:val="21"/>
                      <w:u w:val="none" w:color="FF0000"/>
                      <w:lang w:val="en-US" w:eastAsia="zh-CN"/>
                    </w:rPr>
                    <w:t>17</w:t>
                  </w:r>
                  <w:r>
                    <w:rPr>
                      <w:rFonts w:hint="eastAsia" w:ascii="Times New Roman" w:hAnsi="Times New Roman" w:eastAsia="宋体" w:cs="Times New Roman"/>
                      <w:bCs w:val="0"/>
                      <w:color w:val="auto"/>
                      <w:sz w:val="21"/>
                      <w:szCs w:val="21"/>
                      <w:u w:val="none" w:color="FF0000"/>
                      <w:lang w:val="en-US" w:eastAsia="zh-CN"/>
                    </w:rPr>
                    <w:t>.</w:t>
                  </w:r>
                  <w:r>
                    <w:rPr>
                      <w:rFonts w:hint="default" w:ascii="Times New Roman" w:hAnsi="Times New Roman" w:eastAsia="宋体" w:cs="Times New Roman"/>
                      <w:bCs w:val="0"/>
                      <w:color w:val="auto"/>
                      <w:sz w:val="21"/>
                      <w:szCs w:val="21"/>
                      <w:u w:val="none" w:color="FF0000"/>
                      <w:lang w:val="en-US" w:eastAsia="zh-CN"/>
                    </w:rPr>
                    <w:t>7</w:t>
                  </w:r>
                  <w:r>
                    <w:rPr>
                      <w:rFonts w:hint="eastAsia" w:ascii="Times New Roman" w:hAnsi="Times New Roman" w:eastAsia="宋体" w:cs="Times New Roman"/>
                      <w:bCs w:val="0"/>
                      <w:color w:val="auto"/>
                      <w:sz w:val="21"/>
                      <w:szCs w:val="21"/>
                      <w:u w:val="none" w:color="FF0000"/>
                      <w:lang w:val="en-US" w:eastAsia="zh-CN"/>
                    </w:rPr>
                    <w:t>t</w:t>
                  </w:r>
                </w:p>
              </w:tc>
              <w:tc>
                <w:tcPr>
                  <w:tcW w:w="3111" w:type="dxa"/>
                  <w:vMerge w:val="restart"/>
                  <w:noWrap w:val="0"/>
                  <w:vAlign w:val="center"/>
                </w:tcPr>
                <w:p w14:paraId="159D6B04">
                  <w:pPr>
                    <w:tabs>
                      <w:tab w:val="left" w:pos="567"/>
                    </w:tabs>
                    <w:snapToGrid w:val="0"/>
                    <w:spacing w:line="280" w:lineRule="exact"/>
                    <w:rPr>
                      <w:rFonts w:hint="default" w:ascii="Times New Roman" w:hAnsi="Times New Roman" w:eastAsia="宋体" w:cs="Times New Roman"/>
                      <w:bCs w:val="0"/>
                      <w:color w:val="auto"/>
                      <w:sz w:val="21"/>
                      <w:szCs w:val="21"/>
                      <w:u w:val="none" w:color="FF0000"/>
                      <w:lang w:eastAsia="zh-CN"/>
                    </w:rPr>
                  </w:pPr>
                  <w:r>
                    <w:rPr>
                      <w:rFonts w:hint="default" w:ascii="Times New Roman" w:hAnsi="Times New Roman" w:eastAsia="宋体" w:cs="Times New Roman"/>
                      <w:bCs w:val="0"/>
                      <w:color w:val="auto"/>
                      <w:kern w:val="0"/>
                      <w:sz w:val="21"/>
                      <w:szCs w:val="21"/>
                    </w:rPr>
                    <w:t>临时储存间设在卫生院西北角，分类收集后由福建省固体废物处置有限公司青口处理厂进行无害化处置</w:t>
                  </w:r>
                  <w:r>
                    <w:rPr>
                      <w:rFonts w:hint="default" w:ascii="Times New Roman" w:hAnsi="Times New Roman" w:eastAsia="宋体" w:cs="Times New Roman"/>
                      <w:bCs w:val="0"/>
                      <w:color w:val="auto"/>
                      <w:kern w:val="0"/>
                      <w:sz w:val="21"/>
                      <w:szCs w:val="21"/>
                      <w:lang w:eastAsia="zh-CN"/>
                    </w:rPr>
                    <w:t>。</w:t>
                  </w:r>
                </w:p>
              </w:tc>
            </w:tr>
            <w:tr w14:paraId="549F77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53CFB365">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614" w:type="dxa"/>
                  <w:noWrap w:val="0"/>
                  <w:vAlign w:val="center"/>
                </w:tcPr>
                <w:p w14:paraId="7F5BA274">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2</w:t>
                  </w:r>
                </w:p>
              </w:tc>
              <w:tc>
                <w:tcPr>
                  <w:tcW w:w="1280" w:type="dxa"/>
                  <w:vMerge w:val="continue"/>
                  <w:noWrap w:val="0"/>
                  <w:vAlign w:val="center"/>
                </w:tcPr>
                <w:p w14:paraId="2B025115">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1661" w:type="dxa"/>
                  <w:noWrap w:val="0"/>
                  <w:vAlign w:val="center"/>
                </w:tcPr>
                <w:p w14:paraId="4525B51F">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纤维类</w:t>
                  </w:r>
                </w:p>
              </w:tc>
              <w:tc>
                <w:tcPr>
                  <w:tcW w:w="1112" w:type="dxa"/>
                  <w:vMerge w:val="continue"/>
                  <w:noWrap w:val="0"/>
                  <w:vAlign w:val="center"/>
                </w:tcPr>
                <w:p w14:paraId="7498B0E4">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3111" w:type="dxa"/>
                  <w:vMerge w:val="continue"/>
                  <w:noWrap w:val="0"/>
                  <w:vAlign w:val="center"/>
                </w:tcPr>
                <w:p w14:paraId="164950F1">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r>
            <w:tr w14:paraId="29320C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314980AC">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614" w:type="dxa"/>
                  <w:noWrap w:val="0"/>
                  <w:vAlign w:val="center"/>
                </w:tcPr>
                <w:p w14:paraId="4869F0ED">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3</w:t>
                  </w:r>
                </w:p>
              </w:tc>
              <w:tc>
                <w:tcPr>
                  <w:tcW w:w="1280" w:type="dxa"/>
                  <w:vMerge w:val="continue"/>
                  <w:noWrap w:val="0"/>
                  <w:vAlign w:val="center"/>
                </w:tcPr>
                <w:p w14:paraId="33ED9555">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1661" w:type="dxa"/>
                  <w:noWrap w:val="0"/>
                  <w:vAlign w:val="center"/>
                </w:tcPr>
                <w:p w14:paraId="637D27C3">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eastAsia" w:cs="Times New Roman"/>
                      <w:bCs w:val="0"/>
                      <w:color w:val="auto"/>
                      <w:sz w:val="21"/>
                      <w:szCs w:val="21"/>
                      <w:u w:val="none" w:color="FF0000"/>
                      <w:lang w:eastAsia="zh-CN"/>
                    </w:rPr>
                    <w:t>其他</w:t>
                  </w:r>
                </w:p>
              </w:tc>
              <w:tc>
                <w:tcPr>
                  <w:tcW w:w="1112" w:type="dxa"/>
                  <w:vMerge w:val="continue"/>
                  <w:noWrap w:val="0"/>
                  <w:vAlign w:val="center"/>
                </w:tcPr>
                <w:p w14:paraId="503A64C5">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3111" w:type="dxa"/>
                  <w:vMerge w:val="continue"/>
                  <w:noWrap w:val="0"/>
                  <w:vAlign w:val="center"/>
                </w:tcPr>
                <w:p w14:paraId="791E6DE1">
                  <w:pPr>
                    <w:tabs>
                      <w:tab w:val="left" w:pos="567"/>
                    </w:tabs>
                    <w:snapToGrid w:val="0"/>
                    <w:spacing w:line="280" w:lineRule="exact"/>
                    <w:rPr>
                      <w:rFonts w:hint="default" w:ascii="Times New Roman" w:hAnsi="Times New Roman" w:eastAsia="宋体" w:cs="Times New Roman"/>
                      <w:bCs w:val="0"/>
                      <w:color w:val="auto"/>
                      <w:sz w:val="21"/>
                      <w:szCs w:val="21"/>
                      <w:u w:val="none" w:color="FF0000"/>
                    </w:rPr>
                  </w:pPr>
                </w:p>
              </w:tc>
            </w:tr>
            <w:tr w14:paraId="5755AB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3E1FF70E">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614" w:type="dxa"/>
                  <w:noWrap w:val="0"/>
                  <w:vAlign w:val="center"/>
                </w:tcPr>
                <w:p w14:paraId="3A003706">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5</w:t>
                  </w:r>
                </w:p>
              </w:tc>
              <w:tc>
                <w:tcPr>
                  <w:tcW w:w="1280" w:type="dxa"/>
                  <w:vMerge w:val="restart"/>
                  <w:noWrap w:val="0"/>
                  <w:vAlign w:val="center"/>
                </w:tcPr>
                <w:p w14:paraId="71DA486D">
                  <w:pPr>
                    <w:tabs>
                      <w:tab w:val="left" w:pos="567"/>
                    </w:tabs>
                    <w:snapToGrid w:val="0"/>
                    <w:spacing w:line="280" w:lineRule="exact"/>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损伤性废物</w:t>
                  </w:r>
                </w:p>
              </w:tc>
              <w:tc>
                <w:tcPr>
                  <w:tcW w:w="1661" w:type="dxa"/>
                  <w:noWrap w:val="0"/>
                  <w:vAlign w:val="center"/>
                </w:tcPr>
                <w:p w14:paraId="20DA32A6">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玻璃</w:t>
                  </w:r>
                </w:p>
              </w:tc>
              <w:tc>
                <w:tcPr>
                  <w:tcW w:w="1112" w:type="dxa"/>
                  <w:vMerge w:val="restart"/>
                  <w:noWrap w:val="0"/>
                  <w:vAlign w:val="center"/>
                </w:tcPr>
                <w:p w14:paraId="02DF3844">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bCs w:val="0"/>
                      <w:color w:val="auto"/>
                      <w:sz w:val="21"/>
                      <w:szCs w:val="21"/>
                      <w:u w:val="none" w:color="FF0000"/>
                      <w:lang w:val="en-US" w:eastAsia="zh-CN"/>
                    </w:rPr>
                    <w:t>3</w:t>
                  </w:r>
                  <w:r>
                    <w:rPr>
                      <w:rFonts w:hint="eastAsia" w:ascii="Times New Roman" w:hAnsi="Times New Roman" w:eastAsia="宋体" w:cs="Times New Roman"/>
                      <w:bCs w:val="0"/>
                      <w:color w:val="auto"/>
                      <w:sz w:val="21"/>
                      <w:szCs w:val="21"/>
                      <w:u w:val="none" w:color="FF0000"/>
                      <w:lang w:val="en-US" w:eastAsia="zh-CN"/>
                    </w:rPr>
                    <w:t>.3t</w:t>
                  </w:r>
                </w:p>
              </w:tc>
              <w:tc>
                <w:tcPr>
                  <w:tcW w:w="3111" w:type="dxa"/>
                  <w:vMerge w:val="continue"/>
                  <w:noWrap w:val="0"/>
                  <w:vAlign w:val="center"/>
                </w:tcPr>
                <w:p w14:paraId="493A1A07">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r>
            <w:tr w14:paraId="3988CA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5FF92857">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614" w:type="dxa"/>
                  <w:noWrap w:val="0"/>
                  <w:vAlign w:val="center"/>
                </w:tcPr>
                <w:p w14:paraId="447B34C0">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6</w:t>
                  </w:r>
                </w:p>
              </w:tc>
              <w:tc>
                <w:tcPr>
                  <w:tcW w:w="1280" w:type="dxa"/>
                  <w:vMerge w:val="continue"/>
                  <w:noWrap w:val="0"/>
                  <w:vAlign w:val="center"/>
                </w:tcPr>
                <w:p w14:paraId="27333EFB">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1661" w:type="dxa"/>
                  <w:noWrap w:val="0"/>
                  <w:vAlign w:val="center"/>
                </w:tcPr>
                <w:p w14:paraId="61A31698">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金属类</w:t>
                  </w:r>
                </w:p>
              </w:tc>
              <w:tc>
                <w:tcPr>
                  <w:tcW w:w="1112" w:type="dxa"/>
                  <w:vMerge w:val="continue"/>
                  <w:noWrap w:val="0"/>
                  <w:vAlign w:val="center"/>
                </w:tcPr>
                <w:p w14:paraId="67C5DE88">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3111" w:type="dxa"/>
                  <w:vMerge w:val="continue"/>
                  <w:noWrap w:val="0"/>
                  <w:vAlign w:val="center"/>
                </w:tcPr>
                <w:p w14:paraId="331BDE47">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r>
            <w:tr w14:paraId="70C370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4FACCA7C">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614" w:type="dxa"/>
                  <w:noWrap w:val="0"/>
                  <w:vAlign w:val="center"/>
                </w:tcPr>
                <w:p w14:paraId="1C5C9947">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7</w:t>
                  </w:r>
                </w:p>
              </w:tc>
              <w:tc>
                <w:tcPr>
                  <w:tcW w:w="1280" w:type="dxa"/>
                  <w:noWrap w:val="0"/>
                  <w:vAlign w:val="center"/>
                </w:tcPr>
                <w:p w14:paraId="3CA003F5">
                  <w:pPr>
                    <w:tabs>
                      <w:tab w:val="left" w:pos="567"/>
                    </w:tabs>
                    <w:snapToGrid w:val="0"/>
                    <w:spacing w:line="280" w:lineRule="exact"/>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药物性废物</w:t>
                  </w:r>
                </w:p>
              </w:tc>
              <w:tc>
                <w:tcPr>
                  <w:tcW w:w="1661" w:type="dxa"/>
                  <w:noWrap w:val="0"/>
                  <w:vAlign w:val="center"/>
                </w:tcPr>
                <w:p w14:paraId="502B387E">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药品药物</w:t>
                  </w:r>
                </w:p>
              </w:tc>
              <w:tc>
                <w:tcPr>
                  <w:tcW w:w="1112" w:type="dxa"/>
                  <w:noWrap w:val="0"/>
                  <w:vAlign w:val="center"/>
                </w:tcPr>
                <w:p w14:paraId="713B210D">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eastAsia" w:ascii="Times New Roman" w:hAnsi="Times New Roman" w:eastAsia="宋体" w:cs="Times New Roman"/>
                      <w:bCs w:val="0"/>
                      <w:color w:val="auto"/>
                      <w:sz w:val="21"/>
                      <w:szCs w:val="21"/>
                      <w:u w:val="none" w:color="FF0000"/>
                      <w:lang w:val="en-US" w:eastAsia="zh-CN"/>
                    </w:rPr>
                    <w:t>0.06</w:t>
                  </w:r>
                </w:p>
              </w:tc>
              <w:tc>
                <w:tcPr>
                  <w:tcW w:w="3111" w:type="dxa"/>
                  <w:vMerge w:val="continue"/>
                  <w:noWrap w:val="0"/>
                  <w:vAlign w:val="center"/>
                </w:tcPr>
                <w:p w14:paraId="65F535A7">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r>
            <w:tr w14:paraId="33D032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100B0D33">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614" w:type="dxa"/>
                  <w:noWrap w:val="0"/>
                  <w:vAlign w:val="center"/>
                </w:tcPr>
                <w:p w14:paraId="26AB1A78">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9</w:t>
                  </w:r>
                </w:p>
              </w:tc>
              <w:tc>
                <w:tcPr>
                  <w:tcW w:w="1280" w:type="dxa"/>
                  <w:vMerge w:val="restart"/>
                  <w:noWrap w:val="0"/>
                  <w:vAlign w:val="center"/>
                </w:tcPr>
                <w:p w14:paraId="5F2127B9">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医院污泥</w:t>
                  </w:r>
                </w:p>
              </w:tc>
              <w:tc>
                <w:tcPr>
                  <w:tcW w:w="1661" w:type="dxa"/>
                  <w:noWrap w:val="0"/>
                  <w:vAlign w:val="center"/>
                </w:tcPr>
                <w:p w14:paraId="0A69D0F8">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栅渣</w:t>
                  </w:r>
                </w:p>
              </w:tc>
              <w:tc>
                <w:tcPr>
                  <w:tcW w:w="1112" w:type="dxa"/>
                  <w:vMerge w:val="restart"/>
                  <w:noWrap w:val="0"/>
                  <w:vAlign w:val="center"/>
                </w:tcPr>
                <w:p w14:paraId="301A948E">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eastAsia" w:ascii="Times New Roman" w:hAnsi="Times New Roman" w:eastAsia="宋体" w:cs="Times New Roman"/>
                      <w:bCs w:val="0"/>
                      <w:color w:val="auto"/>
                      <w:sz w:val="21"/>
                      <w:szCs w:val="21"/>
                      <w:u w:val="none" w:color="FF0000"/>
                      <w:lang w:val="en-US" w:eastAsia="zh-CN"/>
                    </w:rPr>
                    <w:t>6</w:t>
                  </w:r>
                </w:p>
              </w:tc>
              <w:tc>
                <w:tcPr>
                  <w:tcW w:w="3111" w:type="dxa"/>
                  <w:vMerge w:val="restart"/>
                  <w:noWrap w:val="0"/>
                  <w:vAlign w:val="center"/>
                </w:tcPr>
                <w:p w14:paraId="1A64236B">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加石灰消毒后，</w:t>
                  </w:r>
                  <w:r>
                    <w:rPr>
                      <w:rFonts w:hint="default" w:ascii="Times New Roman" w:hAnsi="Times New Roman" w:eastAsia="宋体" w:cs="Times New Roman"/>
                      <w:bCs w:val="0"/>
                      <w:color w:val="auto"/>
                      <w:kern w:val="0"/>
                      <w:sz w:val="21"/>
                      <w:szCs w:val="21"/>
                    </w:rPr>
                    <w:t>由福建省固体废物处置有限公司青口处理厂进行无害化处置，每季度清理一次。</w:t>
                  </w:r>
                </w:p>
              </w:tc>
            </w:tr>
            <w:tr w14:paraId="698BBD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79F8C850">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614" w:type="dxa"/>
                  <w:noWrap w:val="0"/>
                  <w:vAlign w:val="center"/>
                </w:tcPr>
                <w:p w14:paraId="491D0F43">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10</w:t>
                  </w:r>
                </w:p>
              </w:tc>
              <w:tc>
                <w:tcPr>
                  <w:tcW w:w="1280" w:type="dxa"/>
                  <w:vMerge w:val="continue"/>
                  <w:noWrap w:val="0"/>
                  <w:vAlign w:val="center"/>
                </w:tcPr>
                <w:p w14:paraId="2E2AC1BB">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1661" w:type="dxa"/>
                  <w:noWrap w:val="0"/>
                  <w:vAlign w:val="center"/>
                </w:tcPr>
                <w:p w14:paraId="73E4917D">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化粪池污泥</w:t>
                  </w:r>
                </w:p>
              </w:tc>
              <w:tc>
                <w:tcPr>
                  <w:tcW w:w="1112" w:type="dxa"/>
                  <w:vMerge w:val="continue"/>
                  <w:noWrap w:val="0"/>
                  <w:vAlign w:val="center"/>
                </w:tcPr>
                <w:p w14:paraId="45721375">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p>
              </w:tc>
              <w:tc>
                <w:tcPr>
                  <w:tcW w:w="3111" w:type="dxa"/>
                  <w:vMerge w:val="continue"/>
                  <w:noWrap w:val="0"/>
                  <w:vAlign w:val="center"/>
                </w:tcPr>
                <w:p w14:paraId="426762FB">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r>
            <w:tr w14:paraId="3F8F3C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00715D1D">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614" w:type="dxa"/>
                  <w:noWrap w:val="0"/>
                  <w:vAlign w:val="center"/>
                </w:tcPr>
                <w:p w14:paraId="30A802EB">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11</w:t>
                  </w:r>
                </w:p>
              </w:tc>
              <w:tc>
                <w:tcPr>
                  <w:tcW w:w="1280" w:type="dxa"/>
                  <w:vMerge w:val="continue"/>
                  <w:noWrap w:val="0"/>
                  <w:vAlign w:val="center"/>
                </w:tcPr>
                <w:p w14:paraId="25BDEC89">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1661" w:type="dxa"/>
                  <w:noWrap w:val="0"/>
                  <w:vAlign w:val="center"/>
                </w:tcPr>
                <w:p w14:paraId="7A5A8611">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污水处理站污泥</w:t>
                  </w:r>
                </w:p>
              </w:tc>
              <w:tc>
                <w:tcPr>
                  <w:tcW w:w="1112" w:type="dxa"/>
                  <w:vMerge w:val="continue"/>
                  <w:noWrap w:val="0"/>
                  <w:vAlign w:val="center"/>
                </w:tcPr>
                <w:p w14:paraId="4B3BD4BA">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p>
              </w:tc>
              <w:tc>
                <w:tcPr>
                  <w:tcW w:w="3111" w:type="dxa"/>
                  <w:vMerge w:val="continue"/>
                  <w:noWrap w:val="0"/>
                  <w:vAlign w:val="center"/>
                </w:tcPr>
                <w:p w14:paraId="49714081">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r>
            <w:tr w14:paraId="417E3C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614" w:type="dxa"/>
                  <w:vMerge w:val="continue"/>
                  <w:noWrap w:val="0"/>
                  <w:vAlign w:val="center"/>
                </w:tcPr>
                <w:p w14:paraId="37657AD8">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p>
              </w:tc>
              <w:tc>
                <w:tcPr>
                  <w:tcW w:w="614" w:type="dxa"/>
                  <w:noWrap w:val="0"/>
                  <w:vAlign w:val="center"/>
                </w:tcPr>
                <w:p w14:paraId="54821204">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12</w:t>
                  </w:r>
                </w:p>
              </w:tc>
              <w:tc>
                <w:tcPr>
                  <w:tcW w:w="2941" w:type="dxa"/>
                  <w:gridSpan w:val="2"/>
                  <w:noWrap w:val="0"/>
                  <w:vAlign w:val="center"/>
                </w:tcPr>
                <w:p w14:paraId="7ABCAB9E">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生活垃圾</w:t>
                  </w:r>
                </w:p>
              </w:tc>
              <w:tc>
                <w:tcPr>
                  <w:tcW w:w="1112" w:type="dxa"/>
                  <w:noWrap w:val="0"/>
                  <w:vAlign w:val="center"/>
                </w:tcPr>
                <w:p w14:paraId="20DC20EC">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default" w:ascii="Times New Roman" w:hAnsi="Times New Roman" w:eastAsia="宋体" w:cs="Times New Roman"/>
                      <w:bCs w:val="0"/>
                      <w:color w:val="auto"/>
                      <w:sz w:val="21"/>
                      <w:szCs w:val="21"/>
                      <w:u w:val="none" w:color="FF0000"/>
                      <w:lang w:val="en-US" w:eastAsia="zh-CN"/>
                    </w:rPr>
                    <w:t>200</w:t>
                  </w:r>
                  <w:r>
                    <w:rPr>
                      <w:rFonts w:hint="eastAsia" w:ascii="Times New Roman" w:hAnsi="Times New Roman" w:eastAsia="宋体" w:cs="Times New Roman"/>
                      <w:bCs w:val="0"/>
                      <w:color w:val="auto"/>
                      <w:sz w:val="21"/>
                      <w:szCs w:val="21"/>
                      <w:u w:val="none" w:color="FF0000"/>
                      <w:lang w:val="en-US" w:eastAsia="zh-CN"/>
                    </w:rPr>
                    <w:t>t</w:t>
                  </w:r>
                </w:p>
              </w:tc>
              <w:tc>
                <w:tcPr>
                  <w:tcW w:w="3111" w:type="dxa"/>
                  <w:noWrap w:val="0"/>
                  <w:vAlign w:val="center"/>
                </w:tcPr>
                <w:p w14:paraId="660A2F8A">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default" w:ascii="Times New Roman" w:hAnsi="Times New Roman" w:eastAsia="宋体" w:cs="Times New Roman"/>
                      <w:bCs w:val="0"/>
                      <w:color w:val="auto"/>
                      <w:sz w:val="21"/>
                      <w:szCs w:val="21"/>
                      <w:u w:val="none" w:color="FF0000"/>
                    </w:rPr>
                    <w:t>临时储存场设在卫生院西北角，由当地环卫部门定期清运</w:t>
                  </w:r>
                </w:p>
              </w:tc>
            </w:tr>
            <w:tr w14:paraId="39A24B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284" w:hRule="atLeast"/>
              </w:trPr>
              <w:tc>
                <w:tcPr>
                  <w:tcW w:w="4169" w:type="dxa"/>
                  <w:gridSpan w:val="4"/>
                  <w:noWrap w:val="0"/>
                  <w:vAlign w:val="center"/>
                </w:tcPr>
                <w:p w14:paraId="505A4C60">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rPr>
                  </w:pPr>
                  <w:r>
                    <w:rPr>
                      <w:rFonts w:hint="eastAsia" w:ascii="Times New Roman" w:hAnsi="Times New Roman" w:eastAsia="宋体" w:cs="Times New Roman"/>
                      <w:bCs w:val="0"/>
                      <w:color w:val="auto"/>
                      <w:sz w:val="21"/>
                      <w:szCs w:val="21"/>
                      <w:u w:val="none" w:color="FF0000"/>
                      <w:lang w:val="en-US" w:eastAsia="zh-CN"/>
                    </w:rPr>
                    <w:t>固体废物</w:t>
                  </w:r>
                  <w:r>
                    <w:rPr>
                      <w:rFonts w:hint="default" w:ascii="Times New Roman" w:hAnsi="Times New Roman" w:eastAsia="宋体" w:cs="Times New Roman"/>
                      <w:bCs w:val="0"/>
                      <w:color w:val="auto"/>
                      <w:sz w:val="21"/>
                      <w:szCs w:val="21"/>
                      <w:u w:val="none" w:color="FF0000"/>
                    </w:rPr>
                    <w:t>合计</w:t>
                  </w:r>
                </w:p>
              </w:tc>
              <w:tc>
                <w:tcPr>
                  <w:tcW w:w="4223" w:type="dxa"/>
                  <w:gridSpan w:val="2"/>
                  <w:noWrap w:val="0"/>
                  <w:vAlign w:val="center"/>
                </w:tcPr>
                <w:p w14:paraId="6F91E3A7">
                  <w:pPr>
                    <w:tabs>
                      <w:tab w:val="left" w:pos="567"/>
                    </w:tabs>
                    <w:snapToGrid w:val="0"/>
                    <w:spacing w:line="280" w:lineRule="exact"/>
                    <w:jc w:val="center"/>
                    <w:rPr>
                      <w:rFonts w:hint="default" w:ascii="Times New Roman" w:hAnsi="Times New Roman" w:eastAsia="宋体" w:cs="Times New Roman"/>
                      <w:bCs w:val="0"/>
                      <w:color w:val="auto"/>
                      <w:sz w:val="21"/>
                      <w:szCs w:val="21"/>
                      <w:u w:val="none" w:color="FF0000"/>
                      <w:lang w:val="en-US" w:eastAsia="zh-CN"/>
                    </w:rPr>
                  </w:pPr>
                  <w:r>
                    <w:rPr>
                      <w:rFonts w:hint="eastAsia" w:ascii="Times New Roman" w:hAnsi="Times New Roman" w:eastAsia="宋体" w:cs="Times New Roman"/>
                      <w:bCs w:val="0"/>
                      <w:color w:val="auto"/>
                      <w:sz w:val="21"/>
                      <w:szCs w:val="21"/>
                      <w:u w:val="none" w:color="FF0000"/>
                      <w:lang w:val="en-US" w:eastAsia="zh-CN"/>
                    </w:rPr>
                    <w:t>227.6t</w:t>
                  </w:r>
                </w:p>
              </w:tc>
            </w:tr>
          </w:tbl>
          <w:p w14:paraId="4C6CD1F5">
            <w:pPr>
              <w:pStyle w:val="30"/>
              <w:spacing w:before="199" w:line="360" w:lineRule="auto"/>
              <w:rPr>
                <w:rFonts w:hint="default" w:ascii="宋体" w:hAnsi="宋体" w:eastAsia="宋体" w:cs="Times New Roman"/>
                <w:b/>
                <w:bCs/>
                <w:color w:val="auto"/>
                <w:sz w:val="28"/>
                <w:szCs w:val="28"/>
                <w:lang w:val="en-US" w:eastAsia="zh-CN"/>
              </w:rPr>
            </w:pPr>
            <w:r>
              <w:rPr>
                <w:rFonts w:hint="eastAsia" w:ascii="宋体" w:hAnsi="宋体" w:eastAsia="宋体" w:cs="Times New Roman"/>
                <w:b/>
                <w:bCs/>
                <w:color w:val="auto"/>
                <w:sz w:val="28"/>
                <w:szCs w:val="28"/>
                <w:lang w:val="en-US" w:eastAsia="zh-CN"/>
              </w:rPr>
              <w:t>2.7</w:t>
            </w:r>
            <w:r>
              <w:rPr>
                <w:rFonts w:hint="default" w:ascii="宋体" w:hAnsi="宋体" w:eastAsia="宋体" w:cs="Times New Roman"/>
                <w:b/>
                <w:bCs/>
                <w:color w:val="auto"/>
                <w:sz w:val="28"/>
                <w:szCs w:val="28"/>
                <w:lang w:val="en-US" w:eastAsia="zh-CN"/>
              </w:rPr>
              <w:t>现存环保问题</w:t>
            </w:r>
            <w:r>
              <w:rPr>
                <w:rFonts w:hint="eastAsia" w:cs="Times New Roman"/>
                <w:b/>
                <w:bCs/>
                <w:color w:val="auto"/>
                <w:sz w:val="28"/>
                <w:szCs w:val="28"/>
                <w:lang w:val="en-US" w:eastAsia="zh-CN"/>
              </w:rPr>
              <w:t>及</w:t>
            </w:r>
            <w:r>
              <w:rPr>
                <w:rFonts w:hint="default" w:ascii="宋体" w:hAnsi="宋体" w:eastAsia="宋体" w:cs="Times New Roman"/>
                <w:b/>
                <w:bCs/>
                <w:color w:val="auto"/>
                <w:sz w:val="28"/>
                <w:szCs w:val="28"/>
                <w:lang w:val="en-US" w:eastAsia="zh-CN"/>
              </w:rPr>
              <w:t>整改建议</w:t>
            </w:r>
          </w:p>
          <w:p w14:paraId="12242AC4">
            <w:pPr>
              <w:spacing w:line="360" w:lineRule="auto"/>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（1）现存主要环保问题</w:t>
            </w:r>
          </w:p>
          <w:p w14:paraId="5C5D7B99">
            <w:pPr>
              <w:spacing w:line="360" w:lineRule="auto"/>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①现有污水处理站出水直接排入外环境，存在水环境风险。</w:t>
            </w:r>
          </w:p>
          <w:p w14:paraId="5153BD5F">
            <w:pPr>
              <w:spacing w:line="360" w:lineRule="auto"/>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②项目扩建后，原有污水处理站规模、工艺无法满足新增废水处理需求，现有排放口设置不规范，需拆除。</w:t>
            </w:r>
          </w:p>
          <w:p w14:paraId="4C012985">
            <w:pPr>
              <w:spacing w:line="360" w:lineRule="auto"/>
              <w:ind w:firstLine="480" w:firstLineChars="200"/>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③检验废气中含酸性、碱性、挥发性有机废气等，目前未处理直接排放。</w:t>
            </w:r>
          </w:p>
          <w:p w14:paraId="429FE4BB">
            <w:pPr>
              <w:spacing w:line="360" w:lineRule="auto"/>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（2）整改建议</w:t>
            </w:r>
          </w:p>
          <w:p w14:paraId="79C5373D">
            <w:pPr>
              <w:spacing w:line="360" w:lineRule="auto"/>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拆除原有老旧污水处理站，关闭现有废水外排口，严禁废水直排外环境。新建处理规模500t/d的污水处理站，生活污水、医疗污水分别经化粪池预处理，餐厨废水经隔油池+化粪池预处理后，统一汇入站内处理，出水执行《医疗机构水污染物排放标准》（GB 18466-2005）表2标准。</w:t>
            </w:r>
          </w:p>
          <w:p w14:paraId="07BD3615">
            <w:pPr>
              <w:spacing w:line="360" w:lineRule="auto"/>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近期：因区域无配套市政污水管网，达标废水全部采用密闭污水槽车，清运至青口汽车工业开发区污水处理厂集中处置，做好运输台账与水质监测，杜绝运输滴漏。</w:t>
            </w:r>
            <w:r>
              <w:rPr>
                <w:rFonts w:ascii="宋体" w:hAnsi="宋体" w:eastAsia="宋体" w:cs="宋体"/>
                <w:color w:val="auto"/>
                <w:sz w:val="24"/>
                <w:szCs w:val="24"/>
              </w:rPr>
              <w:t>转运车辆密封性能优良，无敞口、无溢流渗漏隐患，车辆手续齐全、车况良好，完全满足液态废水专业运输条件。项目规划固定运输路线，路况顺畅、运距合理，结合实际废水产生量科学安排清运频次，确保废水及时清运、日产日清，避免站内污水囤积滞留。同时严格建立污水转运管理台账，常态化开展出水水质监测，从源头把控水质达标，全程规范运输管理，切实杜绝转运途中发生滴漏、遗撒等环境问题。</w:t>
            </w:r>
          </w:p>
          <w:p w14:paraId="15A74982">
            <w:pPr>
              <w:spacing w:line="360" w:lineRule="auto"/>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远期：待区域市政污水管网投用后，及时完成管网接驳，达标废水纳入市政管网，送至青口新区污水处理厂统一处理。同步建立日常运维、水质监测台账，保障设施稳定运行。</w:t>
            </w:r>
          </w:p>
          <w:p w14:paraId="75613D38">
            <w:pPr>
              <w:spacing w:line="360" w:lineRule="auto"/>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②新建污水处理站配套除臭设施（高能离子净化+活性炭吸附），管控恶臭污染。</w:t>
            </w:r>
          </w:p>
          <w:p w14:paraId="304CE7BA">
            <w:pPr>
              <w:spacing w:line="360" w:lineRule="auto"/>
              <w:ind w:firstLine="480" w:firstLineChars="200"/>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③建议检验废气采用活性炭吸附及喷淋净化处理后排放。</w:t>
            </w:r>
          </w:p>
        </w:tc>
      </w:tr>
    </w:tbl>
    <w:p w14:paraId="29012C35">
      <w:pPr>
        <w:pStyle w:val="14"/>
        <w:jc w:val="center"/>
        <w:rPr>
          <w:rFonts w:ascii="Times New Roman" w:hAnsi="Times New Roman" w:eastAsia="黑体"/>
          <w:snapToGrid w:val="0"/>
          <w:color w:val="000000"/>
          <w:sz w:val="36"/>
          <w:szCs w:val="36"/>
        </w:rPr>
        <w:sectPr>
          <w:footerReference r:id="rId4"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FF7350E">
      <w:pPr>
        <w:pStyle w:val="2"/>
      </w:pPr>
      <w:bookmarkStart w:id="5" w:name="_Toc3680"/>
      <w:bookmarkStart w:id="6" w:name="_Toc18812"/>
      <w:r>
        <w:t>三、区域环境质量现状、环境保护目标及评价标准</w:t>
      </w:r>
      <w:bookmarkEnd w:id="5"/>
      <w:bookmarkEnd w:id="6"/>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605"/>
      </w:tblGrid>
      <w:tr w14:paraId="7EF2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251" w:type="pct"/>
            <w:noWrap w:val="0"/>
            <w:vAlign w:val="center"/>
          </w:tcPr>
          <w:p w14:paraId="4780CB69">
            <w:pPr>
              <w:adjustRightInd w:val="0"/>
              <w:snapToGrid w:val="0"/>
              <w:jc w:val="center"/>
              <w:rPr>
                <w:color w:val="auto"/>
                <w:kern w:val="0"/>
                <w:sz w:val="24"/>
              </w:rPr>
            </w:pPr>
            <w:r>
              <w:rPr>
                <w:color w:val="auto"/>
                <w:kern w:val="0"/>
                <w:sz w:val="24"/>
              </w:rPr>
              <w:t>区域</w:t>
            </w:r>
          </w:p>
          <w:p w14:paraId="7EDA2D55">
            <w:pPr>
              <w:adjustRightInd w:val="0"/>
              <w:snapToGrid w:val="0"/>
              <w:jc w:val="center"/>
              <w:rPr>
                <w:color w:val="auto"/>
                <w:kern w:val="0"/>
                <w:sz w:val="24"/>
              </w:rPr>
            </w:pPr>
            <w:r>
              <w:rPr>
                <w:color w:val="auto"/>
                <w:kern w:val="0"/>
                <w:sz w:val="24"/>
              </w:rPr>
              <w:t>环境</w:t>
            </w:r>
          </w:p>
          <w:p w14:paraId="4D082742">
            <w:pPr>
              <w:adjustRightInd w:val="0"/>
              <w:snapToGrid w:val="0"/>
              <w:jc w:val="center"/>
              <w:rPr>
                <w:color w:val="auto"/>
                <w:kern w:val="0"/>
                <w:sz w:val="24"/>
              </w:rPr>
            </w:pPr>
            <w:r>
              <w:rPr>
                <w:color w:val="auto"/>
                <w:kern w:val="0"/>
                <w:sz w:val="24"/>
              </w:rPr>
              <w:t>质量</w:t>
            </w:r>
          </w:p>
          <w:p w14:paraId="772469B1">
            <w:pPr>
              <w:adjustRightInd w:val="0"/>
              <w:snapToGrid w:val="0"/>
              <w:jc w:val="center"/>
              <w:rPr>
                <w:color w:val="auto"/>
                <w:kern w:val="0"/>
                <w:szCs w:val="21"/>
              </w:rPr>
            </w:pPr>
            <w:r>
              <w:rPr>
                <w:color w:val="auto"/>
                <w:kern w:val="0"/>
                <w:sz w:val="24"/>
              </w:rPr>
              <w:t>现状</w:t>
            </w:r>
          </w:p>
        </w:tc>
        <w:tc>
          <w:tcPr>
            <w:tcW w:w="4748" w:type="pct"/>
            <w:noWrap w:val="0"/>
            <w:vAlign w:val="center"/>
          </w:tcPr>
          <w:p w14:paraId="478E735D">
            <w:pPr>
              <w:pStyle w:val="23"/>
              <w:ind w:firstLine="0"/>
              <w:rPr>
                <w:rFonts w:cs="Times New Roman"/>
                <w:b/>
                <w:bCs/>
                <w:color w:val="auto"/>
                <w:sz w:val="30"/>
                <w:szCs w:val="30"/>
              </w:rPr>
            </w:pPr>
            <w:r>
              <w:rPr>
                <w:rFonts w:hint="eastAsia" w:eastAsia="宋体" w:cs="Times New Roman"/>
                <w:b/>
                <w:bCs/>
                <w:color w:val="auto"/>
                <w:sz w:val="30"/>
                <w:szCs w:val="30"/>
              </w:rPr>
              <w:t>3.1</w:t>
            </w:r>
            <w:r>
              <w:rPr>
                <w:rFonts w:cs="Times New Roman"/>
                <w:b/>
                <w:bCs/>
                <w:color w:val="auto"/>
                <w:sz w:val="30"/>
                <w:szCs w:val="30"/>
              </w:rPr>
              <w:t>环境空气质量</w:t>
            </w:r>
          </w:p>
          <w:p w14:paraId="455E28F6">
            <w:pPr>
              <w:tabs>
                <w:tab w:val="left" w:pos="1684"/>
              </w:tabs>
              <w:spacing w:line="360" w:lineRule="auto"/>
              <w:rPr>
                <w:b/>
                <w:color w:val="auto"/>
                <w:sz w:val="28"/>
                <w:szCs w:val="28"/>
              </w:rPr>
            </w:pPr>
            <w:bookmarkStart w:id="7" w:name="OLE_LINK33"/>
            <w:r>
              <w:rPr>
                <w:rFonts w:hint="eastAsia"/>
                <w:b/>
                <w:color w:val="auto"/>
                <w:sz w:val="28"/>
                <w:szCs w:val="28"/>
              </w:rPr>
              <w:t>3.1.1</w:t>
            </w:r>
            <w:r>
              <w:rPr>
                <w:b/>
                <w:color w:val="auto"/>
                <w:sz w:val="28"/>
                <w:szCs w:val="28"/>
              </w:rPr>
              <w:t>环境空气质量标准</w:t>
            </w:r>
          </w:p>
          <w:p w14:paraId="4DB7F881">
            <w:pPr>
              <w:spacing w:line="360" w:lineRule="auto"/>
              <w:ind w:firstLine="480" w:firstLineChars="200"/>
              <w:rPr>
                <w:color w:val="auto"/>
                <w:sz w:val="24"/>
              </w:rPr>
            </w:pPr>
            <w:r>
              <w:rPr>
                <w:color w:val="auto"/>
                <w:sz w:val="24"/>
              </w:rPr>
              <w:t>项目位于</w:t>
            </w:r>
            <w:r>
              <w:rPr>
                <w:rFonts w:hint="eastAsia"/>
                <w:color w:val="auto"/>
                <w:sz w:val="24"/>
                <w:lang w:eastAsia="zh-CN"/>
              </w:rPr>
              <w:t>福建省闽侯县尚干镇洋中村桥头东1号</w:t>
            </w:r>
            <w:r>
              <w:rPr>
                <w:color w:val="auto"/>
                <w:sz w:val="24"/>
              </w:rPr>
              <w:t>，</w:t>
            </w:r>
            <w:r>
              <w:rPr>
                <w:rFonts w:ascii="Times New Roman" w:hAnsi="Times New Roman" w:eastAsia="宋体" w:cs="Times New Roman"/>
                <w:color w:val="auto"/>
                <w:sz w:val="24"/>
                <w:szCs w:val="24"/>
              </w:rPr>
              <w:t>根据榕政综[2014]30号文通知实施的《福州市环境空气质量功能区划》</w:t>
            </w:r>
            <w:r>
              <w:rPr>
                <w:rFonts w:hint="eastAsia" w:ascii="Times New Roman" w:hAnsi="Times New Roman" w:eastAsia="宋体" w:cs="Times New Roman"/>
                <w:color w:val="auto"/>
                <w:sz w:val="24"/>
                <w:szCs w:val="24"/>
              </w:rPr>
              <w:t>，</w:t>
            </w:r>
            <w:r>
              <w:rPr>
                <w:color w:val="auto"/>
                <w:sz w:val="24"/>
              </w:rPr>
              <w:t>属于大气环境质量二类功能区，执行《环境空气质量标准》（</w:t>
            </w:r>
            <w:r>
              <w:rPr>
                <w:rFonts w:hint="eastAsia"/>
                <w:color w:val="auto"/>
                <w:sz w:val="24"/>
                <w:lang w:eastAsia="zh-CN"/>
              </w:rPr>
              <w:t>GB3095-2026</w:t>
            </w:r>
            <w:r>
              <w:rPr>
                <w:color w:val="auto"/>
                <w:sz w:val="24"/>
              </w:rPr>
              <w:t>）中</w:t>
            </w:r>
            <w:r>
              <w:rPr>
                <w:rFonts w:hint="eastAsia"/>
                <w:color w:val="auto"/>
                <w:sz w:val="24"/>
                <w:lang w:val="en-US" w:eastAsia="zh-CN"/>
              </w:rPr>
              <w:t>过渡阶段</w:t>
            </w:r>
            <w:r>
              <w:rPr>
                <w:color w:val="auto"/>
                <w:sz w:val="24"/>
              </w:rPr>
              <w:t>二级浓度限值，执行具体详见下表：</w:t>
            </w:r>
          </w:p>
          <w:p w14:paraId="6207E3A6">
            <w:pPr>
              <w:jc w:val="center"/>
              <w:rPr>
                <w:b/>
                <w:bCs/>
                <w:color w:val="auto"/>
                <w:sz w:val="24"/>
              </w:rPr>
            </w:pPr>
            <w:r>
              <w:rPr>
                <w:b/>
                <w:bCs/>
                <w:color w:val="auto"/>
                <w:sz w:val="24"/>
              </w:rPr>
              <w:t>表3</w:t>
            </w:r>
            <w:r>
              <w:rPr>
                <w:rFonts w:hint="eastAsia"/>
                <w:b/>
                <w:bCs/>
                <w:color w:val="auto"/>
                <w:sz w:val="24"/>
              </w:rPr>
              <w:t>.1</w:t>
            </w:r>
            <w:r>
              <w:rPr>
                <w:b/>
                <w:bCs/>
                <w:color w:val="auto"/>
                <w:sz w:val="24"/>
              </w:rPr>
              <w:t>-1环境空气质量标准限值</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2"/>
              <w:gridCol w:w="2071"/>
              <w:gridCol w:w="1972"/>
              <w:gridCol w:w="1355"/>
            </w:tblGrid>
            <w:tr w14:paraId="4379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tcBorders>
                    <w:top w:val="single" w:color="000000" w:sz="12" w:space="0"/>
                    <w:left w:val="nil"/>
                  </w:tcBorders>
                  <w:shd w:val="clear" w:color="auto" w:fill="FFFFFF"/>
                  <w:noWrap w:val="0"/>
                  <w:vAlign w:val="center"/>
                </w:tcPr>
                <w:p w14:paraId="3464D854">
                  <w:pPr>
                    <w:adjustRightInd w:val="0"/>
                    <w:snapToGrid w:val="0"/>
                    <w:spacing w:line="340" w:lineRule="exact"/>
                    <w:jc w:val="center"/>
                    <w:rPr>
                      <w:color w:val="auto"/>
                      <w:szCs w:val="21"/>
                    </w:rPr>
                  </w:pPr>
                  <w:r>
                    <w:rPr>
                      <w:color w:val="auto"/>
                      <w:szCs w:val="21"/>
                    </w:rPr>
                    <w:t>污染物名称</w:t>
                  </w:r>
                </w:p>
              </w:tc>
              <w:tc>
                <w:tcPr>
                  <w:tcW w:w="2071" w:type="dxa"/>
                  <w:tcBorders>
                    <w:top w:val="single" w:color="000000" w:sz="12" w:space="0"/>
                  </w:tcBorders>
                  <w:shd w:val="clear" w:color="auto" w:fill="FFFFFF"/>
                  <w:noWrap w:val="0"/>
                  <w:vAlign w:val="center"/>
                </w:tcPr>
                <w:p w14:paraId="5A1D2F0A">
                  <w:pPr>
                    <w:adjustRightInd w:val="0"/>
                    <w:snapToGrid w:val="0"/>
                    <w:spacing w:line="340" w:lineRule="exact"/>
                    <w:jc w:val="center"/>
                    <w:rPr>
                      <w:color w:val="auto"/>
                      <w:szCs w:val="21"/>
                    </w:rPr>
                  </w:pPr>
                  <w:r>
                    <w:rPr>
                      <w:color w:val="auto"/>
                      <w:szCs w:val="21"/>
                    </w:rPr>
                    <w:t>取值时间</w:t>
                  </w:r>
                </w:p>
              </w:tc>
              <w:tc>
                <w:tcPr>
                  <w:tcW w:w="1972" w:type="dxa"/>
                  <w:tcBorders>
                    <w:top w:val="single" w:color="000000" w:sz="12" w:space="0"/>
                  </w:tcBorders>
                  <w:shd w:val="clear" w:color="auto" w:fill="FFFFFF"/>
                  <w:noWrap w:val="0"/>
                  <w:vAlign w:val="center"/>
                </w:tcPr>
                <w:p w14:paraId="770D7CD5">
                  <w:pPr>
                    <w:adjustRightInd w:val="0"/>
                    <w:snapToGrid w:val="0"/>
                    <w:spacing w:line="340" w:lineRule="exact"/>
                    <w:jc w:val="center"/>
                    <w:rPr>
                      <w:color w:val="auto"/>
                      <w:szCs w:val="21"/>
                    </w:rPr>
                  </w:pPr>
                  <w:r>
                    <w:rPr>
                      <w:color w:val="auto"/>
                      <w:szCs w:val="21"/>
                    </w:rPr>
                    <w:t>二级标准浓度限值</w:t>
                  </w:r>
                </w:p>
              </w:tc>
              <w:tc>
                <w:tcPr>
                  <w:tcW w:w="1355" w:type="dxa"/>
                  <w:tcBorders>
                    <w:top w:val="single" w:color="000000" w:sz="12" w:space="0"/>
                    <w:right w:val="nil"/>
                  </w:tcBorders>
                  <w:shd w:val="clear" w:color="auto" w:fill="FFFFFF"/>
                  <w:noWrap w:val="0"/>
                  <w:vAlign w:val="center"/>
                </w:tcPr>
                <w:p w14:paraId="04030F94">
                  <w:pPr>
                    <w:adjustRightInd w:val="0"/>
                    <w:snapToGrid w:val="0"/>
                    <w:spacing w:line="340" w:lineRule="exact"/>
                    <w:jc w:val="center"/>
                    <w:rPr>
                      <w:color w:val="auto"/>
                      <w:szCs w:val="21"/>
                    </w:rPr>
                  </w:pPr>
                  <w:r>
                    <w:rPr>
                      <w:color w:val="auto"/>
                      <w:szCs w:val="21"/>
                    </w:rPr>
                    <w:t>单位</w:t>
                  </w:r>
                </w:p>
              </w:tc>
            </w:tr>
            <w:tr w14:paraId="5743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restart"/>
                  <w:tcBorders>
                    <w:left w:val="nil"/>
                  </w:tcBorders>
                  <w:shd w:val="clear" w:color="auto" w:fill="FFFFFF"/>
                  <w:noWrap w:val="0"/>
                  <w:vAlign w:val="center"/>
                </w:tcPr>
                <w:p w14:paraId="61C83CEA">
                  <w:pPr>
                    <w:adjustRightInd w:val="0"/>
                    <w:snapToGrid w:val="0"/>
                    <w:spacing w:line="340" w:lineRule="exact"/>
                    <w:jc w:val="center"/>
                    <w:rPr>
                      <w:color w:val="auto"/>
                      <w:szCs w:val="21"/>
                    </w:rPr>
                  </w:pPr>
                  <w:r>
                    <w:rPr>
                      <w:color w:val="auto"/>
                      <w:szCs w:val="21"/>
                    </w:rPr>
                    <w:t>总悬浮颗粒物（TSP）</w:t>
                  </w:r>
                </w:p>
              </w:tc>
              <w:tc>
                <w:tcPr>
                  <w:tcW w:w="2071" w:type="dxa"/>
                  <w:shd w:val="clear" w:color="auto" w:fill="FFFFFF"/>
                  <w:noWrap w:val="0"/>
                  <w:vAlign w:val="center"/>
                </w:tcPr>
                <w:p w14:paraId="41DD706F">
                  <w:pPr>
                    <w:adjustRightInd w:val="0"/>
                    <w:snapToGrid w:val="0"/>
                    <w:spacing w:line="340" w:lineRule="exact"/>
                    <w:jc w:val="center"/>
                    <w:rPr>
                      <w:color w:val="auto"/>
                      <w:szCs w:val="21"/>
                    </w:rPr>
                  </w:pPr>
                  <w:r>
                    <w:rPr>
                      <w:color w:val="auto"/>
                      <w:szCs w:val="21"/>
                    </w:rPr>
                    <w:t>年平均</w:t>
                  </w:r>
                </w:p>
              </w:tc>
              <w:tc>
                <w:tcPr>
                  <w:tcW w:w="1972" w:type="dxa"/>
                  <w:shd w:val="clear" w:color="auto" w:fill="FFFFFF"/>
                  <w:noWrap w:val="0"/>
                  <w:vAlign w:val="center"/>
                </w:tcPr>
                <w:p w14:paraId="31E5DDC4">
                  <w:pPr>
                    <w:adjustRightInd w:val="0"/>
                    <w:snapToGrid w:val="0"/>
                    <w:spacing w:line="340" w:lineRule="exact"/>
                    <w:jc w:val="center"/>
                    <w:rPr>
                      <w:color w:val="auto"/>
                      <w:szCs w:val="21"/>
                    </w:rPr>
                  </w:pPr>
                  <w:r>
                    <w:rPr>
                      <w:color w:val="auto"/>
                      <w:szCs w:val="21"/>
                    </w:rPr>
                    <w:t>0.20</w:t>
                  </w:r>
                </w:p>
              </w:tc>
              <w:tc>
                <w:tcPr>
                  <w:tcW w:w="1355" w:type="dxa"/>
                  <w:vMerge w:val="restart"/>
                  <w:tcBorders>
                    <w:right w:val="nil"/>
                  </w:tcBorders>
                  <w:shd w:val="clear" w:color="auto" w:fill="FFFFFF"/>
                  <w:noWrap w:val="0"/>
                  <w:vAlign w:val="center"/>
                </w:tcPr>
                <w:p w14:paraId="5DCB142C">
                  <w:pPr>
                    <w:adjustRightInd w:val="0"/>
                    <w:snapToGrid w:val="0"/>
                    <w:spacing w:line="340" w:lineRule="exact"/>
                    <w:ind w:left="-107" w:leftChars="-51" w:right="-6" w:rightChars="-3"/>
                    <w:jc w:val="center"/>
                    <w:rPr>
                      <w:color w:val="auto"/>
                      <w:szCs w:val="21"/>
                      <w:vertAlign w:val="superscript"/>
                    </w:rPr>
                  </w:pPr>
                  <w:r>
                    <w:rPr>
                      <w:color w:val="auto"/>
                      <w:szCs w:val="21"/>
                    </w:rPr>
                    <w:t>mg/m</w:t>
                  </w:r>
                  <w:r>
                    <w:rPr>
                      <w:color w:val="auto"/>
                      <w:szCs w:val="21"/>
                      <w:vertAlign w:val="superscript"/>
                    </w:rPr>
                    <w:t>3</w:t>
                  </w:r>
                </w:p>
                <w:p w14:paraId="6CD8F722">
                  <w:pPr>
                    <w:adjustRightInd w:val="0"/>
                    <w:snapToGrid w:val="0"/>
                    <w:spacing w:line="340" w:lineRule="exact"/>
                    <w:ind w:left="-107" w:leftChars="-51" w:right="-6" w:rightChars="-3"/>
                    <w:jc w:val="center"/>
                    <w:rPr>
                      <w:color w:val="auto"/>
                      <w:szCs w:val="21"/>
                    </w:rPr>
                  </w:pPr>
                  <w:r>
                    <w:rPr>
                      <w:color w:val="auto"/>
                      <w:szCs w:val="21"/>
                    </w:rPr>
                    <w:t>（标准状态）</w:t>
                  </w:r>
                </w:p>
              </w:tc>
            </w:tr>
            <w:tr w14:paraId="2A3C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continue"/>
                  <w:tcBorders>
                    <w:left w:val="nil"/>
                  </w:tcBorders>
                  <w:shd w:val="clear" w:color="auto" w:fill="FFFFFF"/>
                  <w:noWrap w:val="0"/>
                  <w:vAlign w:val="center"/>
                </w:tcPr>
                <w:p w14:paraId="20332AB6">
                  <w:pPr>
                    <w:adjustRightInd w:val="0"/>
                    <w:snapToGrid w:val="0"/>
                    <w:spacing w:line="340" w:lineRule="exact"/>
                    <w:jc w:val="center"/>
                    <w:rPr>
                      <w:color w:val="auto"/>
                      <w:szCs w:val="21"/>
                    </w:rPr>
                  </w:pPr>
                </w:p>
              </w:tc>
              <w:tc>
                <w:tcPr>
                  <w:tcW w:w="2071" w:type="dxa"/>
                  <w:shd w:val="clear" w:color="auto" w:fill="FFFFFF"/>
                  <w:noWrap w:val="0"/>
                  <w:vAlign w:val="center"/>
                </w:tcPr>
                <w:p w14:paraId="27848A8C">
                  <w:pPr>
                    <w:adjustRightInd w:val="0"/>
                    <w:snapToGrid w:val="0"/>
                    <w:spacing w:line="340" w:lineRule="exact"/>
                    <w:jc w:val="center"/>
                    <w:rPr>
                      <w:color w:val="auto"/>
                      <w:szCs w:val="21"/>
                    </w:rPr>
                  </w:pPr>
                  <w:r>
                    <w:rPr>
                      <w:color w:val="auto"/>
                      <w:szCs w:val="21"/>
                    </w:rPr>
                    <w:t>日平均</w:t>
                  </w:r>
                </w:p>
              </w:tc>
              <w:tc>
                <w:tcPr>
                  <w:tcW w:w="1972" w:type="dxa"/>
                  <w:shd w:val="clear" w:color="auto" w:fill="FFFFFF"/>
                  <w:noWrap w:val="0"/>
                  <w:vAlign w:val="center"/>
                </w:tcPr>
                <w:p w14:paraId="43093359">
                  <w:pPr>
                    <w:adjustRightInd w:val="0"/>
                    <w:snapToGrid w:val="0"/>
                    <w:spacing w:line="340" w:lineRule="exact"/>
                    <w:jc w:val="center"/>
                    <w:rPr>
                      <w:color w:val="auto"/>
                      <w:szCs w:val="21"/>
                    </w:rPr>
                  </w:pPr>
                  <w:r>
                    <w:rPr>
                      <w:color w:val="auto"/>
                      <w:szCs w:val="21"/>
                    </w:rPr>
                    <w:t>0.30</w:t>
                  </w:r>
                </w:p>
              </w:tc>
              <w:tc>
                <w:tcPr>
                  <w:tcW w:w="1355" w:type="dxa"/>
                  <w:vMerge w:val="continue"/>
                  <w:tcBorders>
                    <w:right w:val="nil"/>
                  </w:tcBorders>
                  <w:shd w:val="clear" w:color="auto" w:fill="FFFFFF"/>
                  <w:noWrap w:val="0"/>
                  <w:vAlign w:val="center"/>
                </w:tcPr>
                <w:p w14:paraId="6F47EFA6">
                  <w:pPr>
                    <w:adjustRightInd w:val="0"/>
                    <w:snapToGrid w:val="0"/>
                    <w:spacing w:line="340" w:lineRule="exact"/>
                    <w:ind w:left="-107" w:leftChars="-51" w:right="-6" w:rightChars="-3"/>
                    <w:jc w:val="center"/>
                    <w:rPr>
                      <w:color w:val="auto"/>
                      <w:szCs w:val="21"/>
                    </w:rPr>
                  </w:pPr>
                </w:p>
              </w:tc>
            </w:tr>
            <w:tr w14:paraId="0421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restart"/>
                  <w:tcBorders>
                    <w:left w:val="nil"/>
                  </w:tcBorders>
                  <w:shd w:val="clear" w:color="auto" w:fill="FFFFFF"/>
                  <w:noWrap w:val="0"/>
                  <w:vAlign w:val="center"/>
                </w:tcPr>
                <w:p w14:paraId="657AA4D1">
                  <w:pPr>
                    <w:adjustRightInd w:val="0"/>
                    <w:snapToGrid w:val="0"/>
                    <w:spacing w:line="340" w:lineRule="exact"/>
                    <w:jc w:val="center"/>
                    <w:rPr>
                      <w:color w:val="auto"/>
                      <w:szCs w:val="21"/>
                    </w:rPr>
                  </w:pPr>
                  <w:r>
                    <w:rPr>
                      <w:color w:val="auto"/>
                      <w:szCs w:val="21"/>
                    </w:rPr>
                    <w:t>颗粒物（PM</w:t>
                  </w:r>
                  <w:r>
                    <w:rPr>
                      <w:color w:val="auto"/>
                      <w:szCs w:val="21"/>
                      <w:vertAlign w:val="subscript"/>
                    </w:rPr>
                    <w:t>10</w:t>
                  </w:r>
                  <w:r>
                    <w:rPr>
                      <w:color w:val="auto"/>
                      <w:szCs w:val="21"/>
                    </w:rPr>
                    <w:t>）</w:t>
                  </w:r>
                </w:p>
              </w:tc>
              <w:tc>
                <w:tcPr>
                  <w:tcW w:w="2071" w:type="dxa"/>
                  <w:shd w:val="clear" w:color="auto" w:fill="FFFFFF"/>
                  <w:noWrap w:val="0"/>
                  <w:vAlign w:val="center"/>
                </w:tcPr>
                <w:p w14:paraId="00FA4846">
                  <w:pPr>
                    <w:adjustRightInd w:val="0"/>
                    <w:snapToGrid w:val="0"/>
                    <w:spacing w:line="340" w:lineRule="exact"/>
                    <w:jc w:val="center"/>
                    <w:rPr>
                      <w:color w:val="auto"/>
                      <w:szCs w:val="21"/>
                    </w:rPr>
                  </w:pPr>
                  <w:r>
                    <w:rPr>
                      <w:color w:val="auto"/>
                      <w:szCs w:val="21"/>
                    </w:rPr>
                    <w:t>年平均</w:t>
                  </w:r>
                </w:p>
              </w:tc>
              <w:tc>
                <w:tcPr>
                  <w:tcW w:w="1972" w:type="dxa"/>
                  <w:shd w:val="clear" w:color="auto" w:fill="FFFFFF"/>
                  <w:noWrap w:val="0"/>
                  <w:vAlign w:val="center"/>
                </w:tcPr>
                <w:p w14:paraId="6E069E5F">
                  <w:pPr>
                    <w:adjustRightInd w:val="0"/>
                    <w:snapToGrid w:val="0"/>
                    <w:spacing w:line="340" w:lineRule="exact"/>
                    <w:jc w:val="center"/>
                    <w:rPr>
                      <w:color w:val="auto"/>
                      <w:szCs w:val="21"/>
                    </w:rPr>
                  </w:pPr>
                  <w:r>
                    <w:rPr>
                      <w:color w:val="auto"/>
                      <w:szCs w:val="21"/>
                    </w:rPr>
                    <w:t>0.07</w:t>
                  </w:r>
                </w:p>
              </w:tc>
              <w:tc>
                <w:tcPr>
                  <w:tcW w:w="1355" w:type="dxa"/>
                  <w:vMerge w:val="continue"/>
                  <w:tcBorders>
                    <w:right w:val="nil"/>
                  </w:tcBorders>
                  <w:shd w:val="clear" w:color="auto" w:fill="FFFFFF"/>
                  <w:noWrap w:val="0"/>
                  <w:vAlign w:val="center"/>
                </w:tcPr>
                <w:p w14:paraId="256150CD">
                  <w:pPr>
                    <w:adjustRightInd w:val="0"/>
                    <w:snapToGrid w:val="0"/>
                    <w:spacing w:line="340" w:lineRule="exact"/>
                    <w:ind w:left="-107" w:leftChars="-51" w:right="-6" w:rightChars="-3"/>
                    <w:jc w:val="center"/>
                    <w:rPr>
                      <w:color w:val="auto"/>
                      <w:szCs w:val="21"/>
                    </w:rPr>
                  </w:pPr>
                </w:p>
              </w:tc>
            </w:tr>
            <w:tr w14:paraId="6EAA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continue"/>
                  <w:tcBorders>
                    <w:left w:val="nil"/>
                  </w:tcBorders>
                  <w:shd w:val="clear" w:color="auto" w:fill="FFFFFF"/>
                  <w:noWrap w:val="0"/>
                  <w:vAlign w:val="center"/>
                </w:tcPr>
                <w:p w14:paraId="0EDF7A5D">
                  <w:pPr>
                    <w:adjustRightInd w:val="0"/>
                    <w:snapToGrid w:val="0"/>
                    <w:spacing w:line="340" w:lineRule="exact"/>
                    <w:jc w:val="center"/>
                    <w:rPr>
                      <w:color w:val="auto"/>
                      <w:szCs w:val="21"/>
                    </w:rPr>
                  </w:pPr>
                </w:p>
              </w:tc>
              <w:tc>
                <w:tcPr>
                  <w:tcW w:w="2071" w:type="dxa"/>
                  <w:shd w:val="clear" w:color="auto" w:fill="FFFFFF"/>
                  <w:noWrap w:val="0"/>
                  <w:vAlign w:val="center"/>
                </w:tcPr>
                <w:p w14:paraId="52AE967F">
                  <w:pPr>
                    <w:adjustRightInd w:val="0"/>
                    <w:snapToGrid w:val="0"/>
                    <w:spacing w:line="340" w:lineRule="exact"/>
                    <w:jc w:val="center"/>
                    <w:rPr>
                      <w:color w:val="auto"/>
                      <w:szCs w:val="21"/>
                    </w:rPr>
                  </w:pPr>
                  <w:r>
                    <w:rPr>
                      <w:color w:val="auto"/>
                      <w:szCs w:val="21"/>
                    </w:rPr>
                    <w:t>日平均</w:t>
                  </w:r>
                </w:p>
              </w:tc>
              <w:tc>
                <w:tcPr>
                  <w:tcW w:w="1972" w:type="dxa"/>
                  <w:shd w:val="clear" w:color="auto" w:fill="FFFFFF"/>
                  <w:noWrap w:val="0"/>
                  <w:vAlign w:val="center"/>
                </w:tcPr>
                <w:p w14:paraId="7DD0C67A">
                  <w:pPr>
                    <w:adjustRightInd w:val="0"/>
                    <w:snapToGrid w:val="0"/>
                    <w:spacing w:line="340" w:lineRule="exact"/>
                    <w:jc w:val="center"/>
                    <w:rPr>
                      <w:color w:val="auto"/>
                      <w:szCs w:val="21"/>
                    </w:rPr>
                  </w:pPr>
                  <w:r>
                    <w:rPr>
                      <w:color w:val="auto"/>
                      <w:szCs w:val="21"/>
                    </w:rPr>
                    <w:t>0.15</w:t>
                  </w:r>
                </w:p>
              </w:tc>
              <w:tc>
                <w:tcPr>
                  <w:tcW w:w="1355" w:type="dxa"/>
                  <w:vMerge w:val="continue"/>
                  <w:tcBorders>
                    <w:right w:val="nil"/>
                  </w:tcBorders>
                  <w:shd w:val="clear" w:color="auto" w:fill="FFFFFF"/>
                  <w:noWrap w:val="0"/>
                  <w:vAlign w:val="center"/>
                </w:tcPr>
                <w:p w14:paraId="48097AE7">
                  <w:pPr>
                    <w:adjustRightInd w:val="0"/>
                    <w:snapToGrid w:val="0"/>
                    <w:spacing w:line="340" w:lineRule="exact"/>
                    <w:jc w:val="center"/>
                    <w:rPr>
                      <w:color w:val="auto"/>
                      <w:szCs w:val="21"/>
                    </w:rPr>
                  </w:pPr>
                </w:p>
              </w:tc>
            </w:tr>
            <w:tr w14:paraId="18C4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restart"/>
                  <w:tcBorders>
                    <w:left w:val="nil"/>
                  </w:tcBorders>
                  <w:shd w:val="clear" w:color="auto" w:fill="FFFFFF"/>
                  <w:noWrap w:val="0"/>
                  <w:vAlign w:val="center"/>
                </w:tcPr>
                <w:p w14:paraId="3A263248">
                  <w:pPr>
                    <w:adjustRightInd w:val="0"/>
                    <w:snapToGrid w:val="0"/>
                    <w:spacing w:line="340" w:lineRule="exact"/>
                    <w:jc w:val="center"/>
                    <w:rPr>
                      <w:color w:val="auto"/>
                      <w:szCs w:val="21"/>
                    </w:rPr>
                  </w:pPr>
                  <w:r>
                    <w:rPr>
                      <w:color w:val="auto"/>
                      <w:szCs w:val="21"/>
                    </w:rPr>
                    <w:t>颗粒物（PM</w:t>
                  </w:r>
                  <w:r>
                    <w:rPr>
                      <w:color w:val="auto"/>
                      <w:szCs w:val="21"/>
                      <w:vertAlign w:val="subscript"/>
                    </w:rPr>
                    <w:t>2.5</w:t>
                  </w:r>
                  <w:r>
                    <w:rPr>
                      <w:color w:val="auto"/>
                      <w:szCs w:val="21"/>
                    </w:rPr>
                    <w:t>）</w:t>
                  </w:r>
                </w:p>
              </w:tc>
              <w:tc>
                <w:tcPr>
                  <w:tcW w:w="2071" w:type="dxa"/>
                  <w:shd w:val="clear" w:color="auto" w:fill="FFFFFF"/>
                  <w:noWrap w:val="0"/>
                  <w:vAlign w:val="center"/>
                </w:tcPr>
                <w:p w14:paraId="4D764A96">
                  <w:pPr>
                    <w:adjustRightInd w:val="0"/>
                    <w:snapToGrid w:val="0"/>
                    <w:spacing w:line="340" w:lineRule="exact"/>
                    <w:jc w:val="center"/>
                    <w:rPr>
                      <w:color w:val="auto"/>
                      <w:szCs w:val="21"/>
                    </w:rPr>
                  </w:pPr>
                  <w:r>
                    <w:rPr>
                      <w:color w:val="auto"/>
                      <w:szCs w:val="21"/>
                    </w:rPr>
                    <w:t>年平均</w:t>
                  </w:r>
                </w:p>
              </w:tc>
              <w:tc>
                <w:tcPr>
                  <w:tcW w:w="1972" w:type="dxa"/>
                  <w:shd w:val="clear" w:color="auto" w:fill="FFFFFF"/>
                  <w:noWrap w:val="0"/>
                  <w:vAlign w:val="center"/>
                </w:tcPr>
                <w:p w14:paraId="7CBE9CDE">
                  <w:pPr>
                    <w:adjustRightInd w:val="0"/>
                    <w:snapToGrid w:val="0"/>
                    <w:spacing w:line="340" w:lineRule="exact"/>
                    <w:jc w:val="center"/>
                    <w:rPr>
                      <w:rFonts w:hint="eastAsia" w:eastAsia="宋体"/>
                      <w:color w:val="auto"/>
                      <w:szCs w:val="21"/>
                      <w:lang w:eastAsia="zh-CN"/>
                    </w:rPr>
                  </w:pPr>
                  <w:r>
                    <w:rPr>
                      <w:color w:val="auto"/>
                      <w:szCs w:val="21"/>
                    </w:rPr>
                    <w:t>0.03</w:t>
                  </w:r>
                  <w:r>
                    <w:rPr>
                      <w:rFonts w:hint="eastAsia"/>
                      <w:color w:val="auto"/>
                      <w:szCs w:val="21"/>
                      <w:lang w:val="en-US" w:eastAsia="zh-CN"/>
                    </w:rPr>
                    <w:t>0</w:t>
                  </w:r>
                </w:p>
              </w:tc>
              <w:tc>
                <w:tcPr>
                  <w:tcW w:w="1355" w:type="dxa"/>
                  <w:vMerge w:val="continue"/>
                  <w:tcBorders>
                    <w:right w:val="nil"/>
                  </w:tcBorders>
                  <w:shd w:val="clear" w:color="auto" w:fill="FFFFFF"/>
                  <w:noWrap w:val="0"/>
                  <w:vAlign w:val="center"/>
                </w:tcPr>
                <w:p w14:paraId="12E511F2">
                  <w:pPr>
                    <w:adjustRightInd w:val="0"/>
                    <w:snapToGrid w:val="0"/>
                    <w:spacing w:line="340" w:lineRule="exact"/>
                    <w:jc w:val="center"/>
                    <w:rPr>
                      <w:color w:val="auto"/>
                      <w:szCs w:val="21"/>
                    </w:rPr>
                  </w:pPr>
                </w:p>
              </w:tc>
            </w:tr>
            <w:tr w14:paraId="0BD1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62" w:type="dxa"/>
                  <w:vMerge w:val="continue"/>
                  <w:tcBorders>
                    <w:left w:val="nil"/>
                  </w:tcBorders>
                  <w:shd w:val="clear" w:color="auto" w:fill="FFFFFF"/>
                  <w:noWrap w:val="0"/>
                  <w:vAlign w:val="center"/>
                </w:tcPr>
                <w:p w14:paraId="25B53E58">
                  <w:pPr>
                    <w:adjustRightInd w:val="0"/>
                    <w:snapToGrid w:val="0"/>
                    <w:spacing w:line="340" w:lineRule="exact"/>
                    <w:jc w:val="center"/>
                    <w:rPr>
                      <w:color w:val="auto"/>
                      <w:szCs w:val="21"/>
                    </w:rPr>
                  </w:pPr>
                </w:p>
              </w:tc>
              <w:tc>
                <w:tcPr>
                  <w:tcW w:w="2071" w:type="dxa"/>
                  <w:shd w:val="clear" w:color="auto" w:fill="FFFFFF"/>
                  <w:noWrap w:val="0"/>
                  <w:vAlign w:val="center"/>
                </w:tcPr>
                <w:p w14:paraId="73786B32">
                  <w:pPr>
                    <w:adjustRightInd w:val="0"/>
                    <w:snapToGrid w:val="0"/>
                    <w:spacing w:line="340" w:lineRule="exact"/>
                    <w:jc w:val="center"/>
                    <w:rPr>
                      <w:color w:val="auto"/>
                      <w:szCs w:val="21"/>
                    </w:rPr>
                  </w:pPr>
                  <w:r>
                    <w:rPr>
                      <w:color w:val="auto"/>
                      <w:szCs w:val="21"/>
                    </w:rPr>
                    <w:t>日平均</w:t>
                  </w:r>
                </w:p>
              </w:tc>
              <w:tc>
                <w:tcPr>
                  <w:tcW w:w="1972" w:type="dxa"/>
                  <w:shd w:val="clear" w:color="auto" w:fill="FFFFFF"/>
                  <w:noWrap w:val="0"/>
                  <w:vAlign w:val="center"/>
                </w:tcPr>
                <w:p w14:paraId="4F31C851">
                  <w:pPr>
                    <w:adjustRightInd w:val="0"/>
                    <w:snapToGrid w:val="0"/>
                    <w:spacing w:line="340" w:lineRule="exact"/>
                    <w:jc w:val="center"/>
                    <w:rPr>
                      <w:rFonts w:hint="default" w:eastAsia="宋体"/>
                      <w:color w:val="auto"/>
                      <w:szCs w:val="21"/>
                      <w:lang w:val="en-US" w:eastAsia="zh-CN"/>
                    </w:rPr>
                  </w:pPr>
                  <w:r>
                    <w:rPr>
                      <w:color w:val="auto"/>
                      <w:szCs w:val="21"/>
                    </w:rPr>
                    <w:t>0.0</w:t>
                  </w:r>
                  <w:r>
                    <w:rPr>
                      <w:rFonts w:hint="eastAsia"/>
                      <w:color w:val="auto"/>
                      <w:szCs w:val="21"/>
                      <w:lang w:val="en-US" w:eastAsia="zh-CN"/>
                    </w:rPr>
                    <w:t>60</w:t>
                  </w:r>
                </w:p>
              </w:tc>
              <w:tc>
                <w:tcPr>
                  <w:tcW w:w="1355" w:type="dxa"/>
                  <w:vMerge w:val="continue"/>
                  <w:tcBorders>
                    <w:right w:val="nil"/>
                  </w:tcBorders>
                  <w:shd w:val="clear" w:color="auto" w:fill="FFFFFF"/>
                  <w:noWrap w:val="0"/>
                  <w:vAlign w:val="center"/>
                </w:tcPr>
                <w:p w14:paraId="6D28607B">
                  <w:pPr>
                    <w:adjustRightInd w:val="0"/>
                    <w:snapToGrid w:val="0"/>
                    <w:spacing w:line="340" w:lineRule="exact"/>
                    <w:jc w:val="center"/>
                    <w:rPr>
                      <w:color w:val="auto"/>
                      <w:szCs w:val="21"/>
                    </w:rPr>
                  </w:pPr>
                </w:p>
              </w:tc>
            </w:tr>
            <w:tr w14:paraId="5089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restart"/>
                  <w:tcBorders>
                    <w:left w:val="nil"/>
                  </w:tcBorders>
                  <w:shd w:val="clear" w:color="auto" w:fill="FFFFFF"/>
                  <w:noWrap w:val="0"/>
                  <w:vAlign w:val="center"/>
                </w:tcPr>
                <w:p w14:paraId="75098A6D">
                  <w:pPr>
                    <w:adjustRightInd w:val="0"/>
                    <w:snapToGrid w:val="0"/>
                    <w:spacing w:line="340" w:lineRule="exact"/>
                    <w:jc w:val="center"/>
                    <w:rPr>
                      <w:color w:val="auto"/>
                      <w:szCs w:val="21"/>
                    </w:rPr>
                  </w:pPr>
                  <w:r>
                    <w:rPr>
                      <w:color w:val="auto"/>
                      <w:szCs w:val="21"/>
                    </w:rPr>
                    <w:t>二氧化氮（NO</w:t>
                  </w:r>
                  <w:r>
                    <w:rPr>
                      <w:color w:val="auto"/>
                      <w:szCs w:val="21"/>
                      <w:vertAlign w:val="subscript"/>
                    </w:rPr>
                    <w:t>2</w:t>
                  </w:r>
                  <w:r>
                    <w:rPr>
                      <w:color w:val="auto"/>
                      <w:szCs w:val="21"/>
                    </w:rPr>
                    <w:t>）</w:t>
                  </w:r>
                </w:p>
              </w:tc>
              <w:tc>
                <w:tcPr>
                  <w:tcW w:w="2071" w:type="dxa"/>
                  <w:shd w:val="clear" w:color="auto" w:fill="FFFFFF"/>
                  <w:noWrap w:val="0"/>
                  <w:vAlign w:val="center"/>
                </w:tcPr>
                <w:p w14:paraId="7E9F75A6">
                  <w:pPr>
                    <w:adjustRightInd w:val="0"/>
                    <w:snapToGrid w:val="0"/>
                    <w:spacing w:line="340" w:lineRule="exact"/>
                    <w:jc w:val="center"/>
                    <w:rPr>
                      <w:color w:val="auto"/>
                      <w:szCs w:val="21"/>
                    </w:rPr>
                  </w:pPr>
                  <w:r>
                    <w:rPr>
                      <w:color w:val="auto"/>
                      <w:szCs w:val="21"/>
                    </w:rPr>
                    <w:t>年平均</w:t>
                  </w:r>
                </w:p>
              </w:tc>
              <w:tc>
                <w:tcPr>
                  <w:tcW w:w="1972" w:type="dxa"/>
                  <w:shd w:val="clear" w:color="auto" w:fill="FFFFFF"/>
                  <w:noWrap w:val="0"/>
                  <w:vAlign w:val="center"/>
                </w:tcPr>
                <w:p w14:paraId="2389F09A">
                  <w:pPr>
                    <w:adjustRightInd w:val="0"/>
                    <w:snapToGrid w:val="0"/>
                    <w:spacing w:line="340" w:lineRule="exact"/>
                    <w:jc w:val="center"/>
                    <w:rPr>
                      <w:color w:val="auto"/>
                      <w:szCs w:val="21"/>
                    </w:rPr>
                  </w:pPr>
                  <w:r>
                    <w:rPr>
                      <w:color w:val="auto"/>
                      <w:szCs w:val="21"/>
                    </w:rPr>
                    <w:t>0.04</w:t>
                  </w:r>
                </w:p>
              </w:tc>
              <w:tc>
                <w:tcPr>
                  <w:tcW w:w="1355" w:type="dxa"/>
                  <w:vMerge w:val="continue"/>
                  <w:tcBorders>
                    <w:right w:val="nil"/>
                  </w:tcBorders>
                  <w:shd w:val="clear" w:color="auto" w:fill="FFFFFF"/>
                  <w:noWrap w:val="0"/>
                  <w:vAlign w:val="center"/>
                </w:tcPr>
                <w:p w14:paraId="4BB3C84F">
                  <w:pPr>
                    <w:adjustRightInd w:val="0"/>
                    <w:snapToGrid w:val="0"/>
                    <w:spacing w:line="340" w:lineRule="exact"/>
                    <w:jc w:val="center"/>
                    <w:rPr>
                      <w:color w:val="auto"/>
                      <w:szCs w:val="21"/>
                    </w:rPr>
                  </w:pPr>
                </w:p>
              </w:tc>
            </w:tr>
            <w:tr w14:paraId="17FC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continue"/>
                  <w:tcBorders>
                    <w:left w:val="nil"/>
                  </w:tcBorders>
                  <w:shd w:val="clear" w:color="auto" w:fill="FFFFFF"/>
                  <w:noWrap w:val="0"/>
                  <w:vAlign w:val="center"/>
                </w:tcPr>
                <w:p w14:paraId="379EB1C7">
                  <w:pPr>
                    <w:adjustRightInd w:val="0"/>
                    <w:snapToGrid w:val="0"/>
                    <w:spacing w:line="340" w:lineRule="exact"/>
                    <w:jc w:val="center"/>
                    <w:rPr>
                      <w:color w:val="auto"/>
                      <w:szCs w:val="21"/>
                    </w:rPr>
                  </w:pPr>
                </w:p>
              </w:tc>
              <w:tc>
                <w:tcPr>
                  <w:tcW w:w="2071" w:type="dxa"/>
                  <w:shd w:val="clear" w:color="auto" w:fill="FFFFFF"/>
                  <w:noWrap w:val="0"/>
                  <w:vAlign w:val="center"/>
                </w:tcPr>
                <w:p w14:paraId="09EB6B51">
                  <w:pPr>
                    <w:adjustRightInd w:val="0"/>
                    <w:snapToGrid w:val="0"/>
                    <w:spacing w:line="340" w:lineRule="exact"/>
                    <w:jc w:val="center"/>
                    <w:rPr>
                      <w:color w:val="auto"/>
                      <w:szCs w:val="21"/>
                    </w:rPr>
                  </w:pPr>
                  <w:r>
                    <w:rPr>
                      <w:color w:val="auto"/>
                      <w:szCs w:val="21"/>
                    </w:rPr>
                    <w:t>日平均</w:t>
                  </w:r>
                </w:p>
              </w:tc>
              <w:tc>
                <w:tcPr>
                  <w:tcW w:w="1972" w:type="dxa"/>
                  <w:shd w:val="clear" w:color="auto" w:fill="FFFFFF"/>
                  <w:noWrap w:val="0"/>
                  <w:vAlign w:val="center"/>
                </w:tcPr>
                <w:p w14:paraId="04A7F4F6">
                  <w:pPr>
                    <w:adjustRightInd w:val="0"/>
                    <w:snapToGrid w:val="0"/>
                    <w:spacing w:line="340" w:lineRule="exact"/>
                    <w:jc w:val="center"/>
                    <w:rPr>
                      <w:color w:val="auto"/>
                      <w:szCs w:val="21"/>
                    </w:rPr>
                  </w:pPr>
                  <w:r>
                    <w:rPr>
                      <w:color w:val="auto"/>
                      <w:szCs w:val="21"/>
                    </w:rPr>
                    <w:t>0.08</w:t>
                  </w:r>
                </w:p>
              </w:tc>
              <w:tc>
                <w:tcPr>
                  <w:tcW w:w="1355" w:type="dxa"/>
                  <w:vMerge w:val="continue"/>
                  <w:tcBorders>
                    <w:right w:val="nil"/>
                  </w:tcBorders>
                  <w:shd w:val="clear" w:color="auto" w:fill="FFFFFF"/>
                  <w:noWrap w:val="0"/>
                  <w:vAlign w:val="center"/>
                </w:tcPr>
                <w:p w14:paraId="2B784C9E">
                  <w:pPr>
                    <w:adjustRightInd w:val="0"/>
                    <w:snapToGrid w:val="0"/>
                    <w:spacing w:line="340" w:lineRule="exact"/>
                    <w:jc w:val="center"/>
                    <w:rPr>
                      <w:color w:val="auto"/>
                      <w:szCs w:val="21"/>
                    </w:rPr>
                  </w:pPr>
                </w:p>
              </w:tc>
            </w:tr>
            <w:tr w14:paraId="3095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continue"/>
                  <w:tcBorders>
                    <w:left w:val="nil"/>
                  </w:tcBorders>
                  <w:shd w:val="clear" w:color="auto" w:fill="FFFFFF"/>
                  <w:noWrap w:val="0"/>
                  <w:vAlign w:val="center"/>
                </w:tcPr>
                <w:p w14:paraId="584C5667">
                  <w:pPr>
                    <w:adjustRightInd w:val="0"/>
                    <w:snapToGrid w:val="0"/>
                    <w:spacing w:line="340" w:lineRule="exact"/>
                    <w:jc w:val="center"/>
                    <w:rPr>
                      <w:color w:val="auto"/>
                      <w:szCs w:val="21"/>
                    </w:rPr>
                  </w:pPr>
                </w:p>
              </w:tc>
              <w:tc>
                <w:tcPr>
                  <w:tcW w:w="2071" w:type="dxa"/>
                  <w:shd w:val="clear" w:color="auto" w:fill="FFFFFF"/>
                  <w:noWrap w:val="0"/>
                  <w:vAlign w:val="center"/>
                </w:tcPr>
                <w:p w14:paraId="323921D3">
                  <w:pPr>
                    <w:adjustRightInd w:val="0"/>
                    <w:snapToGrid w:val="0"/>
                    <w:spacing w:line="340" w:lineRule="exact"/>
                    <w:jc w:val="center"/>
                    <w:rPr>
                      <w:color w:val="auto"/>
                      <w:szCs w:val="21"/>
                    </w:rPr>
                  </w:pPr>
                  <w:r>
                    <w:rPr>
                      <w:color w:val="auto"/>
                      <w:szCs w:val="21"/>
                    </w:rPr>
                    <w:t>1小时平均</w:t>
                  </w:r>
                </w:p>
              </w:tc>
              <w:tc>
                <w:tcPr>
                  <w:tcW w:w="1972" w:type="dxa"/>
                  <w:shd w:val="clear" w:color="auto" w:fill="FFFFFF"/>
                  <w:noWrap w:val="0"/>
                  <w:vAlign w:val="center"/>
                </w:tcPr>
                <w:p w14:paraId="0B13CF87">
                  <w:pPr>
                    <w:adjustRightInd w:val="0"/>
                    <w:snapToGrid w:val="0"/>
                    <w:spacing w:line="340" w:lineRule="exact"/>
                    <w:jc w:val="center"/>
                    <w:rPr>
                      <w:color w:val="auto"/>
                      <w:szCs w:val="21"/>
                    </w:rPr>
                  </w:pPr>
                  <w:r>
                    <w:rPr>
                      <w:color w:val="auto"/>
                      <w:szCs w:val="21"/>
                    </w:rPr>
                    <w:t>0.20</w:t>
                  </w:r>
                </w:p>
              </w:tc>
              <w:tc>
                <w:tcPr>
                  <w:tcW w:w="1355" w:type="dxa"/>
                  <w:vMerge w:val="continue"/>
                  <w:tcBorders>
                    <w:right w:val="nil"/>
                  </w:tcBorders>
                  <w:shd w:val="clear" w:color="auto" w:fill="FFFFFF"/>
                  <w:noWrap w:val="0"/>
                  <w:vAlign w:val="center"/>
                </w:tcPr>
                <w:p w14:paraId="136D51EF">
                  <w:pPr>
                    <w:adjustRightInd w:val="0"/>
                    <w:snapToGrid w:val="0"/>
                    <w:spacing w:line="340" w:lineRule="exact"/>
                    <w:jc w:val="center"/>
                    <w:rPr>
                      <w:color w:val="auto"/>
                      <w:szCs w:val="21"/>
                    </w:rPr>
                  </w:pPr>
                </w:p>
              </w:tc>
            </w:tr>
            <w:tr w14:paraId="47DF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restart"/>
                  <w:tcBorders>
                    <w:left w:val="nil"/>
                  </w:tcBorders>
                  <w:shd w:val="clear" w:color="auto" w:fill="FFFFFF"/>
                  <w:noWrap w:val="0"/>
                  <w:vAlign w:val="center"/>
                </w:tcPr>
                <w:p w14:paraId="490FEFD0">
                  <w:pPr>
                    <w:adjustRightInd w:val="0"/>
                    <w:snapToGrid w:val="0"/>
                    <w:spacing w:line="340" w:lineRule="exact"/>
                    <w:jc w:val="center"/>
                    <w:rPr>
                      <w:color w:val="auto"/>
                      <w:szCs w:val="21"/>
                    </w:rPr>
                  </w:pPr>
                  <w:r>
                    <w:rPr>
                      <w:color w:val="auto"/>
                      <w:szCs w:val="21"/>
                    </w:rPr>
                    <w:t>二氧化硫（SO</w:t>
                  </w:r>
                  <w:r>
                    <w:rPr>
                      <w:color w:val="auto"/>
                      <w:szCs w:val="21"/>
                      <w:vertAlign w:val="subscript"/>
                    </w:rPr>
                    <w:t>2</w:t>
                  </w:r>
                  <w:r>
                    <w:rPr>
                      <w:color w:val="auto"/>
                      <w:szCs w:val="21"/>
                    </w:rPr>
                    <w:t>）</w:t>
                  </w:r>
                </w:p>
              </w:tc>
              <w:tc>
                <w:tcPr>
                  <w:tcW w:w="2071" w:type="dxa"/>
                  <w:shd w:val="clear" w:color="auto" w:fill="FFFFFF"/>
                  <w:noWrap w:val="0"/>
                  <w:vAlign w:val="center"/>
                </w:tcPr>
                <w:p w14:paraId="6D19E9C8">
                  <w:pPr>
                    <w:adjustRightInd w:val="0"/>
                    <w:snapToGrid w:val="0"/>
                    <w:spacing w:line="340" w:lineRule="exact"/>
                    <w:jc w:val="center"/>
                    <w:rPr>
                      <w:color w:val="auto"/>
                      <w:szCs w:val="21"/>
                    </w:rPr>
                  </w:pPr>
                  <w:r>
                    <w:rPr>
                      <w:color w:val="auto"/>
                      <w:szCs w:val="21"/>
                    </w:rPr>
                    <w:t>年平均</w:t>
                  </w:r>
                </w:p>
              </w:tc>
              <w:tc>
                <w:tcPr>
                  <w:tcW w:w="1972" w:type="dxa"/>
                  <w:shd w:val="clear" w:color="auto" w:fill="FFFFFF"/>
                  <w:noWrap w:val="0"/>
                  <w:vAlign w:val="center"/>
                </w:tcPr>
                <w:p w14:paraId="3A892177">
                  <w:pPr>
                    <w:adjustRightInd w:val="0"/>
                    <w:snapToGrid w:val="0"/>
                    <w:spacing w:line="340" w:lineRule="exact"/>
                    <w:jc w:val="center"/>
                    <w:rPr>
                      <w:color w:val="auto"/>
                      <w:szCs w:val="21"/>
                    </w:rPr>
                  </w:pPr>
                  <w:r>
                    <w:rPr>
                      <w:color w:val="auto"/>
                      <w:szCs w:val="21"/>
                    </w:rPr>
                    <w:t>0.06</w:t>
                  </w:r>
                </w:p>
              </w:tc>
              <w:tc>
                <w:tcPr>
                  <w:tcW w:w="1355" w:type="dxa"/>
                  <w:vMerge w:val="continue"/>
                  <w:tcBorders>
                    <w:right w:val="nil"/>
                  </w:tcBorders>
                  <w:shd w:val="clear" w:color="auto" w:fill="FFFFFF"/>
                  <w:noWrap w:val="0"/>
                  <w:vAlign w:val="center"/>
                </w:tcPr>
                <w:p w14:paraId="6359D3C8">
                  <w:pPr>
                    <w:adjustRightInd w:val="0"/>
                    <w:snapToGrid w:val="0"/>
                    <w:spacing w:line="340" w:lineRule="exact"/>
                    <w:jc w:val="center"/>
                    <w:rPr>
                      <w:color w:val="auto"/>
                      <w:szCs w:val="21"/>
                    </w:rPr>
                  </w:pPr>
                </w:p>
              </w:tc>
            </w:tr>
            <w:tr w14:paraId="3733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continue"/>
                  <w:tcBorders>
                    <w:left w:val="nil"/>
                  </w:tcBorders>
                  <w:shd w:val="clear" w:color="auto" w:fill="FFFFFF"/>
                  <w:noWrap w:val="0"/>
                  <w:vAlign w:val="center"/>
                </w:tcPr>
                <w:p w14:paraId="09ADB6BF">
                  <w:pPr>
                    <w:adjustRightInd w:val="0"/>
                    <w:snapToGrid w:val="0"/>
                    <w:spacing w:line="340" w:lineRule="exact"/>
                    <w:jc w:val="center"/>
                    <w:rPr>
                      <w:color w:val="auto"/>
                      <w:szCs w:val="21"/>
                    </w:rPr>
                  </w:pPr>
                </w:p>
              </w:tc>
              <w:tc>
                <w:tcPr>
                  <w:tcW w:w="2071" w:type="dxa"/>
                  <w:shd w:val="clear" w:color="auto" w:fill="FFFFFF"/>
                  <w:noWrap w:val="0"/>
                  <w:vAlign w:val="center"/>
                </w:tcPr>
                <w:p w14:paraId="10B4D506">
                  <w:pPr>
                    <w:adjustRightInd w:val="0"/>
                    <w:snapToGrid w:val="0"/>
                    <w:spacing w:line="340" w:lineRule="exact"/>
                    <w:jc w:val="center"/>
                    <w:rPr>
                      <w:color w:val="auto"/>
                      <w:szCs w:val="21"/>
                    </w:rPr>
                  </w:pPr>
                  <w:r>
                    <w:rPr>
                      <w:color w:val="auto"/>
                      <w:szCs w:val="21"/>
                    </w:rPr>
                    <w:t>日平均</w:t>
                  </w:r>
                </w:p>
              </w:tc>
              <w:tc>
                <w:tcPr>
                  <w:tcW w:w="1972" w:type="dxa"/>
                  <w:shd w:val="clear" w:color="auto" w:fill="FFFFFF"/>
                  <w:noWrap w:val="0"/>
                  <w:vAlign w:val="center"/>
                </w:tcPr>
                <w:p w14:paraId="30297FA9">
                  <w:pPr>
                    <w:adjustRightInd w:val="0"/>
                    <w:snapToGrid w:val="0"/>
                    <w:spacing w:line="340" w:lineRule="exact"/>
                    <w:jc w:val="center"/>
                    <w:rPr>
                      <w:color w:val="auto"/>
                      <w:szCs w:val="21"/>
                    </w:rPr>
                  </w:pPr>
                  <w:r>
                    <w:rPr>
                      <w:color w:val="auto"/>
                      <w:szCs w:val="21"/>
                    </w:rPr>
                    <w:t>0.15</w:t>
                  </w:r>
                </w:p>
              </w:tc>
              <w:tc>
                <w:tcPr>
                  <w:tcW w:w="1355" w:type="dxa"/>
                  <w:vMerge w:val="continue"/>
                  <w:tcBorders>
                    <w:right w:val="nil"/>
                  </w:tcBorders>
                  <w:shd w:val="clear" w:color="auto" w:fill="FFFFFF"/>
                  <w:noWrap w:val="0"/>
                  <w:vAlign w:val="center"/>
                </w:tcPr>
                <w:p w14:paraId="766E1FD8">
                  <w:pPr>
                    <w:adjustRightInd w:val="0"/>
                    <w:snapToGrid w:val="0"/>
                    <w:spacing w:line="340" w:lineRule="exact"/>
                    <w:jc w:val="center"/>
                    <w:rPr>
                      <w:color w:val="auto"/>
                      <w:szCs w:val="21"/>
                    </w:rPr>
                  </w:pPr>
                </w:p>
              </w:tc>
            </w:tr>
            <w:tr w14:paraId="1A23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continue"/>
                  <w:tcBorders>
                    <w:left w:val="nil"/>
                  </w:tcBorders>
                  <w:shd w:val="clear" w:color="auto" w:fill="FFFFFF"/>
                  <w:noWrap w:val="0"/>
                  <w:vAlign w:val="center"/>
                </w:tcPr>
                <w:p w14:paraId="504735A7">
                  <w:pPr>
                    <w:adjustRightInd w:val="0"/>
                    <w:snapToGrid w:val="0"/>
                    <w:spacing w:line="340" w:lineRule="exact"/>
                    <w:jc w:val="center"/>
                    <w:rPr>
                      <w:color w:val="auto"/>
                      <w:szCs w:val="21"/>
                    </w:rPr>
                  </w:pPr>
                </w:p>
              </w:tc>
              <w:tc>
                <w:tcPr>
                  <w:tcW w:w="2071" w:type="dxa"/>
                  <w:shd w:val="clear" w:color="auto" w:fill="FFFFFF"/>
                  <w:noWrap w:val="0"/>
                  <w:vAlign w:val="center"/>
                </w:tcPr>
                <w:p w14:paraId="5BA098A4">
                  <w:pPr>
                    <w:adjustRightInd w:val="0"/>
                    <w:snapToGrid w:val="0"/>
                    <w:spacing w:line="340" w:lineRule="exact"/>
                    <w:jc w:val="center"/>
                    <w:rPr>
                      <w:color w:val="auto"/>
                      <w:szCs w:val="21"/>
                    </w:rPr>
                  </w:pPr>
                  <w:r>
                    <w:rPr>
                      <w:color w:val="auto"/>
                      <w:szCs w:val="21"/>
                    </w:rPr>
                    <w:t>1小时平均</w:t>
                  </w:r>
                </w:p>
              </w:tc>
              <w:tc>
                <w:tcPr>
                  <w:tcW w:w="1972" w:type="dxa"/>
                  <w:shd w:val="clear" w:color="auto" w:fill="FFFFFF"/>
                  <w:noWrap w:val="0"/>
                  <w:vAlign w:val="center"/>
                </w:tcPr>
                <w:p w14:paraId="0780881F">
                  <w:pPr>
                    <w:adjustRightInd w:val="0"/>
                    <w:snapToGrid w:val="0"/>
                    <w:spacing w:line="340" w:lineRule="exact"/>
                    <w:jc w:val="center"/>
                    <w:rPr>
                      <w:color w:val="auto"/>
                      <w:szCs w:val="21"/>
                    </w:rPr>
                  </w:pPr>
                  <w:r>
                    <w:rPr>
                      <w:color w:val="auto"/>
                      <w:szCs w:val="21"/>
                    </w:rPr>
                    <w:t>0.50</w:t>
                  </w:r>
                </w:p>
              </w:tc>
              <w:tc>
                <w:tcPr>
                  <w:tcW w:w="1355" w:type="dxa"/>
                  <w:vMerge w:val="continue"/>
                  <w:tcBorders>
                    <w:right w:val="nil"/>
                  </w:tcBorders>
                  <w:shd w:val="clear" w:color="auto" w:fill="FFFFFF"/>
                  <w:noWrap w:val="0"/>
                  <w:vAlign w:val="center"/>
                </w:tcPr>
                <w:p w14:paraId="1E85D5B0">
                  <w:pPr>
                    <w:adjustRightInd w:val="0"/>
                    <w:snapToGrid w:val="0"/>
                    <w:spacing w:line="340" w:lineRule="exact"/>
                    <w:jc w:val="center"/>
                    <w:rPr>
                      <w:color w:val="auto"/>
                      <w:szCs w:val="21"/>
                    </w:rPr>
                  </w:pPr>
                </w:p>
              </w:tc>
            </w:tr>
            <w:tr w14:paraId="2F94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restart"/>
                  <w:tcBorders>
                    <w:left w:val="nil"/>
                  </w:tcBorders>
                  <w:shd w:val="clear" w:color="auto" w:fill="FFFFFF"/>
                  <w:noWrap w:val="0"/>
                  <w:vAlign w:val="center"/>
                </w:tcPr>
                <w:p w14:paraId="53592B63">
                  <w:pPr>
                    <w:adjustRightInd w:val="0"/>
                    <w:snapToGrid w:val="0"/>
                    <w:spacing w:line="340" w:lineRule="exact"/>
                    <w:jc w:val="center"/>
                    <w:rPr>
                      <w:color w:val="auto"/>
                      <w:szCs w:val="21"/>
                    </w:rPr>
                  </w:pPr>
                  <w:r>
                    <w:rPr>
                      <w:color w:val="auto"/>
                      <w:szCs w:val="21"/>
                    </w:rPr>
                    <w:t>氮氧化物（NO</w:t>
                  </w:r>
                  <w:r>
                    <w:rPr>
                      <w:color w:val="auto"/>
                      <w:szCs w:val="21"/>
                      <w:vertAlign w:val="subscript"/>
                    </w:rPr>
                    <w:t>X</w:t>
                  </w:r>
                  <w:r>
                    <w:rPr>
                      <w:color w:val="auto"/>
                      <w:szCs w:val="21"/>
                    </w:rPr>
                    <w:t>）</w:t>
                  </w:r>
                </w:p>
              </w:tc>
              <w:tc>
                <w:tcPr>
                  <w:tcW w:w="2071" w:type="dxa"/>
                  <w:shd w:val="clear" w:color="auto" w:fill="FFFFFF"/>
                  <w:noWrap w:val="0"/>
                  <w:vAlign w:val="center"/>
                </w:tcPr>
                <w:p w14:paraId="0C43330E">
                  <w:pPr>
                    <w:adjustRightInd w:val="0"/>
                    <w:snapToGrid w:val="0"/>
                    <w:spacing w:line="340" w:lineRule="exact"/>
                    <w:jc w:val="center"/>
                    <w:rPr>
                      <w:color w:val="auto"/>
                      <w:szCs w:val="21"/>
                    </w:rPr>
                  </w:pPr>
                  <w:r>
                    <w:rPr>
                      <w:color w:val="auto"/>
                      <w:szCs w:val="21"/>
                    </w:rPr>
                    <w:t>年平均</w:t>
                  </w:r>
                </w:p>
              </w:tc>
              <w:tc>
                <w:tcPr>
                  <w:tcW w:w="1972" w:type="dxa"/>
                  <w:shd w:val="clear" w:color="auto" w:fill="FFFFFF"/>
                  <w:noWrap w:val="0"/>
                  <w:vAlign w:val="center"/>
                </w:tcPr>
                <w:p w14:paraId="5A37425E">
                  <w:pPr>
                    <w:adjustRightInd w:val="0"/>
                    <w:snapToGrid w:val="0"/>
                    <w:spacing w:line="340" w:lineRule="exact"/>
                    <w:jc w:val="center"/>
                    <w:rPr>
                      <w:bCs/>
                      <w:color w:val="auto"/>
                      <w:kern w:val="24"/>
                      <w:szCs w:val="21"/>
                    </w:rPr>
                  </w:pPr>
                  <w:r>
                    <w:rPr>
                      <w:bCs/>
                      <w:color w:val="auto"/>
                      <w:kern w:val="24"/>
                      <w:szCs w:val="21"/>
                    </w:rPr>
                    <w:t>0.05</w:t>
                  </w:r>
                </w:p>
              </w:tc>
              <w:tc>
                <w:tcPr>
                  <w:tcW w:w="1355" w:type="dxa"/>
                  <w:vMerge w:val="continue"/>
                  <w:tcBorders>
                    <w:right w:val="nil"/>
                  </w:tcBorders>
                  <w:shd w:val="clear" w:color="auto" w:fill="FFFFFF"/>
                  <w:noWrap w:val="0"/>
                  <w:vAlign w:val="center"/>
                </w:tcPr>
                <w:p w14:paraId="07206EA1">
                  <w:pPr>
                    <w:adjustRightInd w:val="0"/>
                    <w:snapToGrid w:val="0"/>
                    <w:spacing w:line="340" w:lineRule="exact"/>
                    <w:jc w:val="center"/>
                    <w:rPr>
                      <w:color w:val="auto"/>
                      <w:szCs w:val="21"/>
                    </w:rPr>
                  </w:pPr>
                </w:p>
              </w:tc>
            </w:tr>
            <w:tr w14:paraId="67D8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continue"/>
                  <w:tcBorders>
                    <w:left w:val="nil"/>
                  </w:tcBorders>
                  <w:shd w:val="clear" w:color="auto" w:fill="FFFFFF"/>
                  <w:noWrap w:val="0"/>
                  <w:vAlign w:val="center"/>
                </w:tcPr>
                <w:p w14:paraId="4A43B208">
                  <w:pPr>
                    <w:adjustRightInd w:val="0"/>
                    <w:snapToGrid w:val="0"/>
                    <w:spacing w:line="340" w:lineRule="exact"/>
                    <w:jc w:val="center"/>
                    <w:rPr>
                      <w:color w:val="auto"/>
                      <w:szCs w:val="21"/>
                    </w:rPr>
                  </w:pPr>
                </w:p>
              </w:tc>
              <w:tc>
                <w:tcPr>
                  <w:tcW w:w="2071" w:type="dxa"/>
                  <w:shd w:val="clear" w:color="auto" w:fill="FFFFFF"/>
                  <w:noWrap w:val="0"/>
                  <w:vAlign w:val="center"/>
                </w:tcPr>
                <w:p w14:paraId="375E57A3">
                  <w:pPr>
                    <w:adjustRightInd w:val="0"/>
                    <w:snapToGrid w:val="0"/>
                    <w:spacing w:line="340" w:lineRule="exact"/>
                    <w:jc w:val="center"/>
                    <w:rPr>
                      <w:color w:val="auto"/>
                      <w:szCs w:val="21"/>
                    </w:rPr>
                  </w:pPr>
                  <w:r>
                    <w:rPr>
                      <w:color w:val="auto"/>
                      <w:szCs w:val="21"/>
                    </w:rPr>
                    <w:t>日平均</w:t>
                  </w:r>
                </w:p>
              </w:tc>
              <w:tc>
                <w:tcPr>
                  <w:tcW w:w="1972" w:type="dxa"/>
                  <w:shd w:val="clear" w:color="auto" w:fill="FFFFFF"/>
                  <w:noWrap w:val="0"/>
                  <w:vAlign w:val="center"/>
                </w:tcPr>
                <w:p w14:paraId="6C690CFC">
                  <w:pPr>
                    <w:adjustRightInd w:val="0"/>
                    <w:snapToGrid w:val="0"/>
                    <w:spacing w:line="340" w:lineRule="exact"/>
                    <w:jc w:val="center"/>
                    <w:rPr>
                      <w:bCs/>
                      <w:color w:val="auto"/>
                      <w:kern w:val="24"/>
                      <w:szCs w:val="21"/>
                    </w:rPr>
                  </w:pPr>
                  <w:r>
                    <w:rPr>
                      <w:bCs/>
                      <w:color w:val="auto"/>
                      <w:kern w:val="24"/>
                      <w:szCs w:val="21"/>
                    </w:rPr>
                    <w:t>0.10</w:t>
                  </w:r>
                </w:p>
              </w:tc>
              <w:tc>
                <w:tcPr>
                  <w:tcW w:w="1355" w:type="dxa"/>
                  <w:vMerge w:val="continue"/>
                  <w:tcBorders>
                    <w:right w:val="nil"/>
                  </w:tcBorders>
                  <w:shd w:val="clear" w:color="auto" w:fill="FFFFFF"/>
                  <w:noWrap w:val="0"/>
                  <w:vAlign w:val="center"/>
                </w:tcPr>
                <w:p w14:paraId="3F51A68F">
                  <w:pPr>
                    <w:adjustRightInd w:val="0"/>
                    <w:snapToGrid w:val="0"/>
                    <w:spacing w:line="340" w:lineRule="exact"/>
                    <w:jc w:val="center"/>
                    <w:rPr>
                      <w:color w:val="auto"/>
                      <w:szCs w:val="21"/>
                    </w:rPr>
                  </w:pPr>
                </w:p>
              </w:tc>
            </w:tr>
            <w:tr w14:paraId="4172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continue"/>
                  <w:tcBorders>
                    <w:left w:val="nil"/>
                  </w:tcBorders>
                  <w:shd w:val="clear" w:color="auto" w:fill="FFFFFF"/>
                  <w:noWrap w:val="0"/>
                  <w:vAlign w:val="center"/>
                </w:tcPr>
                <w:p w14:paraId="1B9CF21C">
                  <w:pPr>
                    <w:adjustRightInd w:val="0"/>
                    <w:snapToGrid w:val="0"/>
                    <w:spacing w:line="340" w:lineRule="exact"/>
                    <w:jc w:val="center"/>
                    <w:rPr>
                      <w:color w:val="auto"/>
                      <w:szCs w:val="21"/>
                    </w:rPr>
                  </w:pPr>
                </w:p>
              </w:tc>
              <w:tc>
                <w:tcPr>
                  <w:tcW w:w="2071" w:type="dxa"/>
                  <w:shd w:val="clear" w:color="auto" w:fill="FFFFFF"/>
                  <w:noWrap w:val="0"/>
                  <w:vAlign w:val="center"/>
                </w:tcPr>
                <w:p w14:paraId="463B82A1">
                  <w:pPr>
                    <w:adjustRightInd w:val="0"/>
                    <w:snapToGrid w:val="0"/>
                    <w:spacing w:line="340" w:lineRule="exact"/>
                    <w:jc w:val="center"/>
                    <w:rPr>
                      <w:color w:val="auto"/>
                      <w:szCs w:val="21"/>
                    </w:rPr>
                  </w:pPr>
                  <w:r>
                    <w:rPr>
                      <w:color w:val="auto"/>
                      <w:szCs w:val="21"/>
                    </w:rPr>
                    <w:t>1小时平均</w:t>
                  </w:r>
                </w:p>
              </w:tc>
              <w:tc>
                <w:tcPr>
                  <w:tcW w:w="1972" w:type="dxa"/>
                  <w:shd w:val="clear" w:color="auto" w:fill="FFFFFF"/>
                  <w:noWrap w:val="0"/>
                  <w:vAlign w:val="center"/>
                </w:tcPr>
                <w:p w14:paraId="4318F810">
                  <w:pPr>
                    <w:adjustRightInd w:val="0"/>
                    <w:snapToGrid w:val="0"/>
                    <w:spacing w:line="340" w:lineRule="exact"/>
                    <w:jc w:val="center"/>
                    <w:rPr>
                      <w:bCs/>
                      <w:color w:val="auto"/>
                      <w:kern w:val="24"/>
                      <w:szCs w:val="21"/>
                    </w:rPr>
                  </w:pPr>
                  <w:r>
                    <w:rPr>
                      <w:bCs/>
                      <w:color w:val="auto"/>
                      <w:kern w:val="24"/>
                      <w:szCs w:val="21"/>
                    </w:rPr>
                    <w:t>0.25</w:t>
                  </w:r>
                </w:p>
              </w:tc>
              <w:tc>
                <w:tcPr>
                  <w:tcW w:w="1355" w:type="dxa"/>
                  <w:vMerge w:val="continue"/>
                  <w:tcBorders>
                    <w:right w:val="nil"/>
                  </w:tcBorders>
                  <w:shd w:val="clear" w:color="auto" w:fill="FFFFFF"/>
                  <w:noWrap w:val="0"/>
                  <w:vAlign w:val="center"/>
                </w:tcPr>
                <w:p w14:paraId="0C746539">
                  <w:pPr>
                    <w:adjustRightInd w:val="0"/>
                    <w:snapToGrid w:val="0"/>
                    <w:spacing w:line="340" w:lineRule="exact"/>
                    <w:jc w:val="center"/>
                    <w:rPr>
                      <w:color w:val="auto"/>
                      <w:szCs w:val="21"/>
                    </w:rPr>
                  </w:pPr>
                </w:p>
              </w:tc>
            </w:tr>
            <w:tr w14:paraId="2B68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restart"/>
                  <w:tcBorders>
                    <w:left w:val="nil"/>
                  </w:tcBorders>
                  <w:shd w:val="clear" w:color="auto" w:fill="FFFFFF"/>
                  <w:noWrap w:val="0"/>
                  <w:vAlign w:val="center"/>
                </w:tcPr>
                <w:p w14:paraId="63297C38">
                  <w:pPr>
                    <w:adjustRightInd w:val="0"/>
                    <w:snapToGrid w:val="0"/>
                    <w:spacing w:line="340" w:lineRule="exact"/>
                    <w:jc w:val="center"/>
                    <w:rPr>
                      <w:color w:val="auto"/>
                      <w:szCs w:val="21"/>
                    </w:rPr>
                  </w:pPr>
                  <w:r>
                    <w:rPr>
                      <w:color w:val="auto"/>
                      <w:szCs w:val="21"/>
                    </w:rPr>
                    <w:t>臭氧（O</w:t>
                  </w:r>
                  <w:r>
                    <w:rPr>
                      <w:color w:val="auto"/>
                      <w:szCs w:val="21"/>
                      <w:vertAlign w:val="subscript"/>
                    </w:rPr>
                    <w:t>3</w:t>
                  </w:r>
                  <w:r>
                    <w:rPr>
                      <w:color w:val="auto"/>
                      <w:szCs w:val="21"/>
                    </w:rPr>
                    <w:t>）</w:t>
                  </w:r>
                </w:p>
              </w:tc>
              <w:tc>
                <w:tcPr>
                  <w:tcW w:w="2071" w:type="dxa"/>
                  <w:shd w:val="clear" w:color="auto" w:fill="FFFFFF"/>
                  <w:noWrap w:val="0"/>
                  <w:vAlign w:val="center"/>
                </w:tcPr>
                <w:p w14:paraId="59AC89D3">
                  <w:pPr>
                    <w:adjustRightInd w:val="0"/>
                    <w:snapToGrid w:val="0"/>
                    <w:spacing w:line="340" w:lineRule="exact"/>
                    <w:jc w:val="center"/>
                    <w:rPr>
                      <w:color w:val="auto"/>
                      <w:szCs w:val="21"/>
                    </w:rPr>
                  </w:pPr>
                  <w:r>
                    <w:rPr>
                      <w:color w:val="auto"/>
                      <w:szCs w:val="21"/>
                    </w:rPr>
                    <w:t>1小时平均</w:t>
                  </w:r>
                </w:p>
              </w:tc>
              <w:tc>
                <w:tcPr>
                  <w:tcW w:w="1972" w:type="dxa"/>
                  <w:shd w:val="clear" w:color="auto" w:fill="FFFFFF"/>
                  <w:noWrap w:val="0"/>
                  <w:vAlign w:val="center"/>
                </w:tcPr>
                <w:p w14:paraId="049AE800">
                  <w:pPr>
                    <w:adjustRightInd w:val="0"/>
                    <w:snapToGrid w:val="0"/>
                    <w:spacing w:line="340" w:lineRule="exact"/>
                    <w:jc w:val="center"/>
                    <w:rPr>
                      <w:bCs/>
                      <w:color w:val="auto"/>
                      <w:kern w:val="24"/>
                      <w:szCs w:val="21"/>
                    </w:rPr>
                  </w:pPr>
                  <w:r>
                    <w:rPr>
                      <w:bCs/>
                      <w:color w:val="auto"/>
                      <w:kern w:val="24"/>
                      <w:szCs w:val="21"/>
                    </w:rPr>
                    <w:t>0.2</w:t>
                  </w:r>
                </w:p>
              </w:tc>
              <w:tc>
                <w:tcPr>
                  <w:tcW w:w="1355" w:type="dxa"/>
                  <w:vMerge w:val="continue"/>
                  <w:tcBorders>
                    <w:right w:val="nil"/>
                  </w:tcBorders>
                  <w:shd w:val="clear" w:color="auto" w:fill="FFFFFF"/>
                  <w:noWrap w:val="0"/>
                  <w:vAlign w:val="center"/>
                </w:tcPr>
                <w:p w14:paraId="092A358F">
                  <w:pPr>
                    <w:adjustRightInd w:val="0"/>
                    <w:snapToGrid w:val="0"/>
                    <w:spacing w:line="340" w:lineRule="exact"/>
                    <w:jc w:val="center"/>
                    <w:rPr>
                      <w:color w:val="auto"/>
                      <w:szCs w:val="21"/>
                    </w:rPr>
                  </w:pPr>
                </w:p>
              </w:tc>
            </w:tr>
            <w:tr w14:paraId="1308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continue"/>
                  <w:tcBorders>
                    <w:left w:val="nil"/>
                  </w:tcBorders>
                  <w:shd w:val="clear" w:color="auto" w:fill="FFFFFF"/>
                  <w:noWrap w:val="0"/>
                  <w:vAlign w:val="center"/>
                </w:tcPr>
                <w:p w14:paraId="5E294EE2">
                  <w:pPr>
                    <w:adjustRightInd w:val="0"/>
                    <w:snapToGrid w:val="0"/>
                    <w:spacing w:line="340" w:lineRule="exact"/>
                    <w:jc w:val="center"/>
                    <w:rPr>
                      <w:color w:val="auto"/>
                      <w:szCs w:val="21"/>
                    </w:rPr>
                  </w:pPr>
                </w:p>
              </w:tc>
              <w:tc>
                <w:tcPr>
                  <w:tcW w:w="2071" w:type="dxa"/>
                  <w:shd w:val="clear" w:color="auto" w:fill="FFFFFF"/>
                  <w:noWrap w:val="0"/>
                  <w:vAlign w:val="center"/>
                </w:tcPr>
                <w:p w14:paraId="6CAA1520">
                  <w:pPr>
                    <w:adjustRightInd w:val="0"/>
                    <w:snapToGrid w:val="0"/>
                    <w:spacing w:line="340" w:lineRule="exact"/>
                    <w:jc w:val="center"/>
                    <w:rPr>
                      <w:color w:val="auto"/>
                      <w:szCs w:val="21"/>
                    </w:rPr>
                  </w:pPr>
                  <w:r>
                    <w:rPr>
                      <w:rFonts w:ascii="Times New Roman" w:hAnsi="Times New Roman" w:eastAsia="宋体" w:cs="Times New Roman"/>
                      <w:color w:val="auto"/>
                      <w:szCs w:val="21"/>
                    </w:rPr>
                    <w:t>日最大8小时平均</w:t>
                  </w:r>
                </w:p>
              </w:tc>
              <w:tc>
                <w:tcPr>
                  <w:tcW w:w="1972" w:type="dxa"/>
                  <w:shd w:val="clear" w:color="auto" w:fill="FFFFFF"/>
                  <w:noWrap w:val="0"/>
                  <w:vAlign w:val="center"/>
                </w:tcPr>
                <w:p w14:paraId="213F2FF0">
                  <w:pPr>
                    <w:adjustRightInd w:val="0"/>
                    <w:snapToGrid w:val="0"/>
                    <w:spacing w:line="340" w:lineRule="exact"/>
                    <w:jc w:val="center"/>
                    <w:rPr>
                      <w:bCs/>
                      <w:color w:val="auto"/>
                      <w:kern w:val="24"/>
                      <w:szCs w:val="21"/>
                    </w:rPr>
                  </w:pPr>
                  <w:r>
                    <w:rPr>
                      <w:bCs/>
                      <w:color w:val="auto"/>
                      <w:kern w:val="24"/>
                      <w:szCs w:val="21"/>
                    </w:rPr>
                    <w:t>0.16</w:t>
                  </w:r>
                </w:p>
              </w:tc>
              <w:tc>
                <w:tcPr>
                  <w:tcW w:w="1355" w:type="dxa"/>
                  <w:vMerge w:val="continue"/>
                  <w:tcBorders>
                    <w:right w:val="nil"/>
                  </w:tcBorders>
                  <w:shd w:val="clear" w:color="auto" w:fill="FFFFFF"/>
                  <w:noWrap w:val="0"/>
                  <w:vAlign w:val="center"/>
                </w:tcPr>
                <w:p w14:paraId="4DA1FBEE">
                  <w:pPr>
                    <w:adjustRightInd w:val="0"/>
                    <w:snapToGrid w:val="0"/>
                    <w:spacing w:line="340" w:lineRule="exact"/>
                    <w:jc w:val="center"/>
                    <w:rPr>
                      <w:color w:val="auto"/>
                      <w:szCs w:val="21"/>
                    </w:rPr>
                  </w:pPr>
                </w:p>
              </w:tc>
            </w:tr>
            <w:tr w14:paraId="67C5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restart"/>
                  <w:tcBorders>
                    <w:left w:val="nil"/>
                  </w:tcBorders>
                  <w:shd w:val="clear" w:color="auto" w:fill="FFFFFF"/>
                  <w:noWrap w:val="0"/>
                  <w:vAlign w:val="center"/>
                </w:tcPr>
                <w:p w14:paraId="547D3EF8">
                  <w:pPr>
                    <w:adjustRightInd w:val="0"/>
                    <w:snapToGrid w:val="0"/>
                    <w:spacing w:line="340" w:lineRule="exact"/>
                    <w:jc w:val="center"/>
                    <w:rPr>
                      <w:color w:val="auto"/>
                      <w:szCs w:val="21"/>
                    </w:rPr>
                  </w:pPr>
                  <w:r>
                    <w:rPr>
                      <w:color w:val="auto"/>
                      <w:szCs w:val="21"/>
                    </w:rPr>
                    <w:t>一氧化碳（CO）</w:t>
                  </w:r>
                </w:p>
              </w:tc>
              <w:tc>
                <w:tcPr>
                  <w:tcW w:w="2071" w:type="dxa"/>
                  <w:shd w:val="clear" w:color="auto" w:fill="FFFFFF"/>
                  <w:noWrap w:val="0"/>
                  <w:vAlign w:val="center"/>
                </w:tcPr>
                <w:p w14:paraId="1DBF99FD">
                  <w:pPr>
                    <w:adjustRightInd w:val="0"/>
                    <w:snapToGrid w:val="0"/>
                    <w:spacing w:line="340" w:lineRule="exact"/>
                    <w:jc w:val="center"/>
                    <w:rPr>
                      <w:color w:val="auto"/>
                      <w:szCs w:val="21"/>
                    </w:rPr>
                  </w:pPr>
                  <w:r>
                    <w:rPr>
                      <w:color w:val="auto"/>
                      <w:szCs w:val="21"/>
                    </w:rPr>
                    <w:t>1小时平均</w:t>
                  </w:r>
                </w:p>
              </w:tc>
              <w:tc>
                <w:tcPr>
                  <w:tcW w:w="1972" w:type="dxa"/>
                  <w:shd w:val="clear" w:color="auto" w:fill="FFFFFF"/>
                  <w:noWrap w:val="0"/>
                  <w:vAlign w:val="center"/>
                </w:tcPr>
                <w:p w14:paraId="2D1564D3">
                  <w:pPr>
                    <w:adjustRightInd w:val="0"/>
                    <w:snapToGrid w:val="0"/>
                    <w:spacing w:line="340" w:lineRule="exact"/>
                    <w:jc w:val="center"/>
                    <w:rPr>
                      <w:bCs/>
                      <w:color w:val="auto"/>
                      <w:kern w:val="24"/>
                      <w:szCs w:val="21"/>
                    </w:rPr>
                  </w:pPr>
                  <w:r>
                    <w:rPr>
                      <w:bCs/>
                      <w:color w:val="auto"/>
                      <w:kern w:val="24"/>
                      <w:szCs w:val="21"/>
                    </w:rPr>
                    <w:t>0.01</w:t>
                  </w:r>
                </w:p>
              </w:tc>
              <w:tc>
                <w:tcPr>
                  <w:tcW w:w="1355" w:type="dxa"/>
                  <w:vMerge w:val="continue"/>
                  <w:tcBorders>
                    <w:right w:val="nil"/>
                  </w:tcBorders>
                  <w:shd w:val="clear" w:color="auto" w:fill="FFFFFF"/>
                  <w:noWrap w:val="0"/>
                  <w:vAlign w:val="center"/>
                </w:tcPr>
                <w:p w14:paraId="782723B4">
                  <w:pPr>
                    <w:adjustRightInd w:val="0"/>
                    <w:snapToGrid w:val="0"/>
                    <w:spacing w:line="340" w:lineRule="exact"/>
                    <w:jc w:val="center"/>
                    <w:rPr>
                      <w:color w:val="auto"/>
                      <w:szCs w:val="21"/>
                    </w:rPr>
                  </w:pPr>
                </w:p>
              </w:tc>
            </w:tr>
            <w:tr w14:paraId="08E9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dxa"/>
                  <w:vMerge w:val="continue"/>
                  <w:tcBorders>
                    <w:left w:val="nil"/>
                    <w:bottom w:val="single" w:color="000000" w:sz="12" w:space="0"/>
                  </w:tcBorders>
                  <w:shd w:val="clear" w:color="auto" w:fill="FFFFFF"/>
                  <w:noWrap w:val="0"/>
                  <w:vAlign w:val="center"/>
                </w:tcPr>
                <w:p w14:paraId="69164899">
                  <w:pPr>
                    <w:adjustRightInd w:val="0"/>
                    <w:snapToGrid w:val="0"/>
                    <w:spacing w:line="340" w:lineRule="exact"/>
                    <w:jc w:val="center"/>
                    <w:rPr>
                      <w:color w:val="auto"/>
                      <w:szCs w:val="21"/>
                    </w:rPr>
                  </w:pPr>
                </w:p>
              </w:tc>
              <w:tc>
                <w:tcPr>
                  <w:tcW w:w="2071" w:type="dxa"/>
                  <w:tcBorders>
                    <w:bottom w:val="single" w:color="000000" w:sz="12" w:space="0"/>
                  </w:tcBorders>
                  <w:shd w:val="clear" w:color="auto" w:fill="FFFFFF"/>
                  <w:noWrap w:val="0"/>
                  <w:vAlign w:val="center"/>
                </w:tcPr>
                <w:p w14:paraId="38CC8F70">
                  <w:pPr>
                    <w:adjustRightInd w:val="0"/>
                    <w:snapToGrid w:val="0"/>
                    <w:spacing w:line="340" w:lineRule="exact"/>
                    <w:jc w:val="center"/>
                    <w:rPr>
                      <w:color w:val="auto"/>
                      <w:szCs w:val="21"/>
                    </w:rPr>
                  </w:pPr>
                  <w:r>
                    <w:rPr>
                      <w:color w:val="auto"/>
                      <w:szCs w:val="21"/>
                    </w:rPr>
                    <w:t>日平均</w:t>
                  </w:r>
                </w:p>
              </w:tc>
              <w:tc>
                <w:tcPr>
                  <w:tcW w:w="1972" w:type="dxa"/>
                  <w:tcBorders>
                    <w:bottom w:val="single" w:color="000000" w:sz="12" w:space="0"/>
                  </w:tcBorders>
                  <w:shd w:val="clear" w:color="auto" w:fill="FFFFFF"/>
                  <w:noWrap w:val="0"/>
                  <w:vAlign w:val="center"/>
                </w:tcPr>
                <w:p w14:paraId="275D8FDE">
                  <w:pPr>
                    <w:adjustRightInd w:val="0"/>
                    <w:snapToGrid w:val="0"/>
                    <w:spacing w:line="340" w:lineRule="exact"/>
                    <w:jc w:val="center"/>
                    <w:rPr>
                      <w:bCs/>
                      <w:color w:val="auto"/>
                      <w:kern w:val="24"/>
                      <w:szCs w:val="21"/>
                    </w:rPr>
                  </w:pPr>
                  <w:r>
                    <w:rPr>
                      <w:bCs/>
                      <w:color w:val="auto"/>
                      <w:kern w:val="24"/>
                      <w:szCs w:val="21"/>
                    </w:rPr>
                    <w:t>0.004</w:t>
                  </w:r>
                </w:p>
              </w:tc>
              <w:tc>
                <w:tcPr>
                  <w:tcW w:w="1355" w:type="dxa"/>
                  <w:vMerge w:val="continue"/>
                  <w:tcBorders>
                    <w:bottom w:val="single" w:color="000000" w:sz="12" w:space="0"/>
                    <w:right w:val="nil"/>
                  </w:tcBorders>
                  <w:shd w:val="clear" w:color="auto" w:fill="FFFFFF"/>
                  <w:noWrap w:val="0"/>
                  <w:vAlign w:val="center"/>
                </w:tcPr>
                <w:p w14:paraId="74242231">
                  <w:pPr>
                    <w:adjustRightInd w:val="0"/>
                    <w:snapToGrid w:val="0"/>
                    <w:spacing w:line="340" w:lineRule="exact"/>
                    <w:jc w:val="center"/>
                    <w:rPr>
                      <w:color w:val="auto"/>
                      <w:szCs w:val="21"/>
                    </w:rPr>
                  </w:pPr>
                </w:p>
              </w:tc>
            </w:tr>
          </w:tbl>
          <w:p w14:paraId="663595AE">
            <w:pPr>
              <w:spacing w:line="360" w:lineRule="auto"/>
              <w:jc w:val="left"/>
              <w:rPr>
                <w:b/>
                <w:bCs/>
                <w:color w:val="auto"/>
                <w:sz w:val="28"/>
                <w:szCs w:val="28"/>
              </w:rPr>
            </w:pPr>
            <w:r>
              <w:rPr>
                <w:rFonts w:hint="eastAsia"/>
                <w:b/>
                <w:bCs/>
                <w:color w:val="auto"/>
                <w:sz w:val="28"/>
                <w:szCs w:val="28"/>
              </w:rPr>
              <w:t>3.1.2</w:t>
            </w:r>
            <w:r>
              <w:rPr>
                <w:b/>
                <w:bCs/>
                <w:color w:val="auto"/>
                <w:sz w:val="28"/>
                <w:szCs w:val="28"/>
              </w:rPr>
              <w:t>环境空气质量现状</w:t>
            </w:r>
          </w:p>
          <w:p w14:paraId="18069DB5">
            <w:pPr>
              <w:spacing w:line="360" w:lineRule="auto"/>
              <w:ind w:firstLine="480" w:firstLineChars="200"/>
              <w:rPr>
                <w:b/>
                <w:bCs/>
                <w:color w:val="auto"/>
                <w:sz w:val="28"/>
                <w:szCs w:val="28"/>
              </w:rPr>
            </w:pPr>
            <w:r>
              <w:rPr>
                <w:rFonts w:hint="eastAsia"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lang w:val="en-US" w:eastAsia="zh-CN"/>
              </w:rPr>
              <w:t>1</w:t>
            </w:r>
            <w:r>
              <w:rPr>
                <w:rFonts w:hint="eastAsia"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lang w:val="en-US" w:eastAsia="zh-CN"/>
              </w:rPr>
              <w:t>城市达标区域判断</w:t>
            </w:r>
          </w:p>
          <w:bookmarkEnd w:id="7"/>
          <w:p w14:paraId="43ADD38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Times New Roman" w:hAnsi="Times New Roman" w:eastAsia="宋体" w:cs="Times New Roman"/>
                <w:color w:val="000000"/>
                <w:kern w:val="2"/>
                <w:sz w:val="24"/>
                <w:szCs w:val="22"/>
                <w:lang w:val="en-US" w:eastAsia="zh-CN" w:bidi="ar-SA"/>
              </w:rPr>
            </w:pPr>
            <w:r>
              <w:rPr>
                <w:rFonts w:hint="default" w:ascii="Times New Roman" w:hAnsi="Times New Roman" w:eastAsia="宋体" w:cs="Times New Roman"/>
                <w:color w:val="000000"/>
                <w:kern w:val="2"/>
                <w:sz w:val="24"/>
                <w:szCs w:val="22"/>
                <w:lang w:val="en-US" w:eastAsia="zh-CN" w:bidi="ar-SA"/>
              </w:rPr>
              <w:t>根据福建省生态环境厅</w:t>
            </w:r>
            <w:r>
              <w:rPr>
                <w:rFonts w:hint="eastAsia" w:ascii="Times New Roman" w:hAnsi="Times New Roman" w:eastAsia="宋体" w:cs="Times New Roman"/>
                <w:color w:val="000000"/>
                <w:kern w:val="2"/>
                <w:sz w:val="24"/>
                <w:szCs w:val="22"/>
                <w:lang w:val="en-US" w:eastAsia="zh-CN" w:bidi="ar-SA"/>
              </w:rPr>
              <w:t>网站</w:t>
            </w:r>
            <w:r>
              <w:rPr>
                <w:rFonts w:hint="default" w:ascii="Times New Roman" w:hAnsi="Times New Roman" w:eastAsia="宋体" w:cs="Times New Roman"/>
                <w:color w:val="000000"/>
                <w:kern w:val="2"/>
                <w:sz w:val="24"/>
                <w:szCs w:val="22"/>
                <w:lang w:val="en-US" w:eastAsia="zh-CN" w:bidi="ar-SA"/>
              </w:rPr>
              <w:t>发布的关于202</w:t>
            </w:r>
            <w:r>
              <w:rPr>
                <w:rFonts w:hint="eastAsia" w:ascii="Times New Roman" w:hAnsi="Times New Roman" w:eastAsia="宋体" w:cs="Times New Roman"/>
                <w:color w:val="000000"/>
                <w:kern w:val="2"/>
                <w:sz w:val="24"/>
                <w:szCs w:val="22"/>
                <w:lang w:val="en-US" w:eastAsia="zh-CN" w:bidi="ar-SA"/>
              </w:rPr>
              <w:t>4</w:t>
            </w:r>
            <w:r>
              <w:rPr>
                <w:rFonts w:hint="default" w:ascii="Times New Roman" w:hAnsi="Times New Roman" w:eastAsia="宋体" w:cs="Times New Roman"/>
                <w:color w:val="000000"/>
                <w:kern w:val="2"/>
                <w:sz w:val="24"/>
                <w:szCs w:val="22"/>
                <w:lang w:val="en-US" w:eastAsia="zh-CN" w:bidi="ar-SA"/>
              </w:rPr>
              <w:t>年12月福建省城市环境空气质量通报显示：202</w:t>
            </w:r>
            <w:r>
              <w:rPr>
                <w:rFonts w:hint="eastAsia" w:ascii="Times New Roman" w:hAnsi="Times New Roman" w:eastAsia="宋体" w:cs="Times New Roman"/>
                <w:color w:val="000000"/>
                <w:kern w:val="2"/>
                <w:sz w:val="24"/>
                <w:szCs w:val="22"/>
                <w:lang w:val="en-US" w:eastAsia="zh-CN" w:bidi="ar-SA"/>
              </w:rPr>
              <w:t>4</w:t>
            </w:r>
            <w:r>
              <w:rPr>
                <w:rFonts w:hint="default" w:ascii="Times New Roman" w:hAnsi="Times New Roman" w:eastAsia="宋体" w:cs="Times New Roman"/>
                <w:color w:val="000000"/>
                <w:kern w:val="2"/>
                <w:sz w:val="24"/>
                <w:szCs w:val="22"/>
                <w:lang w:val="en-US" w:eastAsia="zh-CN" w:bidi="ar-SA"/>
              </w:rPr>
              <w:t>年1</w:t>
            </w:r>
            <w:r>
              <w:rPr>
                <w:rFonts w:hint="eastAsia" w:ascii="Times New Roman" w:hAnsi="Times New Roman" w:eastAsia="宋体" w:cs="Times New Roman"/>
                <w:color w:val="000000"/>
                <w:kern w:val="2"/>
                <w:sz w:val="24"/>
                <w:szCs w:val="22"/>
                <w:lang w:val="en-US" w:eastAsia="zh-CN" w:bidi="ar-SA"/>
              </w:rPr>
              <w:t>—</w:t>
            </w:r>
            <w:r>
              <w:rPr>
                <w:rFonts w:hint="default" w:ascii="Times New Roman" w:hAnsi="Times New Roman" w:eastAsia="宋体" w:cs="Times New Roman"/>
                <w:color w:val="000000"/>
                <w:kern w:val="2"/>
                <w:sz w:val="24"/>
                <w:szCs w:val="22"/>
                <w:lang w:val="en-US" w:eastAsia="zh-CN" w:bidi="ar-SA"/>
              </w:rPr>
              <w:t>12月，</w:t>
            </w:r>
            <w:r>
              <w:rPr>
                <w:rFonts w:hint="eastAsia" w:ascii="Times New Roman" w:hAnsi="Times New Roman" w:eastAsia="宋体" w:cs="Times New Roman"/>
                <w:color w:val="000000"/>
                <w:kern w:val="2"/>
                <w:sz w:val="24"/>
                <w:szCs w:val="22"/>
                <w:lang w:val="en-US" w:eastAsia="zh-CN" w:bidi="ar-SA"/>
              </w:rPr>
              <w:t>1-12月，58个县级城市环境空气质量优良天数比例平均为99.3%，同比下降0.1个百分点；环境空气质量综合指数范围为1.24～2.47，首要污染物为细颗粒物、臭氧。</w:t>
            </w:r>
          </w:p>
          <w:p w14:paraId="23E8873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default" w:ascii="Times New Roman" w:hAnsi="Times New Roman" w:eastAsia="宋体" w:cs="Times New Roman"/>
                <w:color w:val="000000"/>
                <w:kern w:val="2"/>
                <w:sz w:val="24"/>
                <w:szCs w:val="22"/>
                <w:lang w:val="en-US" w:eastAsia="zh-CN" w:bidi="ar-SA"/>
              </w:rPr>
            </w:pPr>
            <w:r>
              <w:rPr>
                <w:rFonts w:hint="default" w:ascii="Times New Roman" w:hAnsi="Times New Roman" w:eastAsia="宋体" w:cs="Times New Roman"/>
                <w:color w:val="000000"/>
                <w:kern w:val="2"/>
                <w:sz w:val="24"/>
                <w:szCs w:val="22"/>
                <w:lang w:val="en-US" w:eastAsia="zh-CN" w:bidi="ar-SA"/>
              </w:rPr>
              <w:t>据县环境监测站公益性常规监测数据统计，2026年2月份我县县城环境空气质量优，达到规定的相应功能区标准。　　</w:t>
            </w:r>
          </w:p>
          <w:p w14:paraId="12F2946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default" w:ascii="Times New Roman" w:hAnsi="Times New Roman" w:eastAsia="宋体" w:cs="Times New Roman"/>
                <w:color w:val="000000"/>
                <w:kern w:val="2"/>
                <w:sz w:val="24"/>
                <w:szCs w:val="22"/>
                <w:lang w:val="en-US" w:eastAsia="zh-CN" w:bidi="ar-SA"/>
              </w:rPr>
            </w:pPr>
            <w:r>
              <w:rPr>
                <w:rFonts w:hint="default" w:ascii="Times New Roman" w:hAnsi="Times New Roman" w:eastAsia="宋体" w:cs="Times New Roman"/>
                <w:color w:val="000000"/>
                <w:kern w:val="2"/>
                <w:sz w:val="24"/>
                <w:szCs w:val="22"/>
                <w:lang w:val="en-US" w:eastAsia="zh-CN" w:bidi="ar-SA"/>
              </w:rPr>
              <w:t>闽侯县2月份县城空气质</w:t>
            </w:r>
            <w:r>
              <w:rPr>
                <w:rFonts w:hint="default" w:ascii="Times New Roman" w:hAnsi="Times New Roman" w:eastAsia="宋体" w:cs="Times New Roman"/>
                <w:color w:val="000000"/>
                <w:kern w:val="2"/>
                <w:sz w:val="24"/>
                <w:szCs w:val="22"/>
                <w:highlight w:val="none"/>
                <w:lang w:val="en-US" w:eastAsia="zh-CN" w:bidi="ar-SA"/>
              </w:rPr>
              <w:t>量SO</w:t>
            </w:r>
            <w:r>
              <w:rPr>
                <w:rFonts w:hint="default" w:ascii="Times New Roman" w:hAnsi="Times New Roman" w:eastAsia="宋体" w:cs="Times New Roman"/>
                <w:color w:val="000000"/>
                <w:kern w:val="2"/>
                <w:sz w:val="24"/>
                <w:szCs w:val="22"/>
                <w:highlight w:val="none"/>
                <w:vertAlign w:val="subscript"/>
                <w:lang w:val="en-US" w:eastAsia="zh-CN" w:bidi="ar-SA"/>
              </w:rPr>
              <w:t>2</w:t>
            </w:r>
            <w:r>
              <w:rPr>
                <w:rFonts w:hint="default" w:ascii="Times New Roman" w:hAnsi="Times New Roman" w:eastAsia="宋体" w:cs="Times New Roman"/>
                <w:color w:val="000000"/>
                <w:kern w:val="2"/>
                <w:sz w:val="24"/>
                <w:szCs w:val="22"/>
                <w:highlight w:val="none"/>
                <w:lang w:val="en-US" w:eastAsia="zh-CN" w:bidi="ar-SA"/>
              </w:rPr>
              <w:t>、NO</w:t>
            </w:r>
            <w:r>
              <w:rPr>
                <w:rFonts w:hint="default" w:ascii="Times New Roman" w:hAnsi="Times New Roman" w:eastAsia="宋体" w:cs="Times New Roman"/>
                <w:color w:val="000000"/>
                <w:kern w:val="2"/>
                <w:sz w:val="24"/>
                <w:szCs w:val="22"/>
                <w:highlight w:val="none"/>
                <w:vertAlign w:val="subscript"/>
                <w:lang w:val="en-US" w:eastAsia="zh-CN" w:bidi="ar-SA"/>
              </w:rPr>
              <w:t>2</w:t>
            </w:r>
            <w:r>
              <w:rPr>
                <w:rFonts w:hint="default" w:ascii="Times New Roman" w:hAnsi="Times New Roman" w:eastAsia="宋体" w:cs="Times New Roman"/>
                <w:color w:val="000000"/>
                <w:kern w:val="2"/>
                <w:sz w:val="24"/>
                <w:szCs w:val="22"/>
                <w:highlight w:val="none"/>
                <w:lang w:val="en-US" w:eastAsia="zh-CN" w:bidi="ar-SA"/>
              </w:rPr>
              <w:t>、PM</w:t>
            </w:r>
            <w:r>
              <w:rPr>
                <w:rFonts w:hint="default" w:ascii="Times New Roman" w:hAnsi="Times New Roman" w:eastAsia="宋体" w:cs="Times New Roman"/>
                <w:color w:val="000000"/>
                <w:kern w:val="2"/>
                <w:sz w:val="24"/>
                <w:szCs w:val="22"/>
                <w:highlight w:val="none"/>
                <w:vertAlign w:val="subscript"/>
                <w:lang w:val="en-US" w:eastAsia="zh-CN" w:bidi="ar-SA"/>
              </w:rPr>
              <w:t>10</w:t>
            </w:r>
            <w:r>
              <w:rPr>
                <w:rFonts w:hint="default" w:ascii="Times New Roman" w:hAnsi="Times New Roman" w:eastAsia="宋体" w:cs="Times New Roman"/>
                <w:color w:val="000000"/>
                <w:kern w:val="2"/>
                <w:sz w:val="24"/>
                <w:szCs w:val="22"/>
                <w:highlight w:val="none"/>
                <w:lang w:val="en-US" w:eastAsia="zh-CN" w:bidi="ar-SA"/>
              </w:rPr>
              <w:t>、CO、O</w:t>
            </w:r>
            <w:r>
              <w:rPr>
                <w:rFonts w:hint="default" w:ascii="Times New Roman" w:hAnsi="Times New Roman" w:eastAsia="宋体" w:cs="Times New Roman"/>
                <w:color w:val="000000"/>
                <w:kern w:val="2"/>
                <w:sz w:val="24"/>
                <w:szCs w:val="22"/>
                <w:highlight w:val="none"/>
                <w:vertAlign w:val="subscript"/>
                <w:lang w:val="en-US" w:eastAsia="zh-CN" w:bidi="ar-SA"/>
              </w:rPr>
              <w:t>3</w:t>
            </w:r>
            <w:r>
              <w:rPr>
                <w:rFonts w:hint="default" w:ascii="Times New Roman" w:hAnsi="Times New Roman" w:eastAsia="宋体" w:cs="Times New Roman"/>
                <w:color w:val="000000"/>
                <w:kern w:val="2"/>
                <w:sz w:val="24"/>
                <w:szCs w:val="22"/>
                <w:highlight w:val="none"/>
                <w:lang w:val="en-US" w:eastAsia="zh-CN" w:bidi="ar-SA"/>
              </w:rPr>
              <w:t>、PM</w:t>
            </w:r>
            <w:r>
              <w:rPr>
                <w:rFonts w:hint="default" w:ascii="Times New Roman" w:hAnsi="Times New Roman" w:eastAsia="宋体" w:cs="Times New Roman"/>
                <w:color w:val="000000"/>
                <w:kern w:val="2"/>
                <w:sz w:val="24"/>
                <w:szCs w:val="22"/>
                <w:highlight w:val="none"/>
                <w:vertAlign w:val="subscript"/>
                <w:lang w:val="en-US" w:eastAsia="zh-CN" w:bidi="ar-SA"/>
              </w:rPr>
              <w:t>2.5</w:t>
            </w:r>
            <w:r>
              <w:rPr>
                <w:rFonts w:hint="default" w:ascii="Times New Roman" w:hAnsi="Times New Roman" w:eastAsia="宋体" w:cs="Times New Roman"/>
                <w:color w:val="000000"/>
                <w:kern w:val="2"/>
                <w:sz w:val="24"/>
                <w:szCs w:val="22"/>
                <w:lang w:val="en-US" w:eastAsia="zh-CN" w:bidi="ar-SA"/>
              </w:rPr>
              <w:t>等6项污染物浓度指标的24小时均值（其中O3为日最大8小时平均）达到国家环境空气质量标准（GB3095-2012）一级水平。</w:t>
            </w:r>
          </w:p>
          <w:p w14:paraId="20FC16E8">
            <w:pPr>
              <w:pStyle w:val="23"/>
              <w:ind w:firstLine="0"/>
              <w:rPr>
                <w:rFonts w:hint="eastAsia" w:eastAsia="宋体" w:cs="Times New Roman"/>
                <w:b/>
                <w:bCs/>
                <w:color w:val="auto"/>
                <w:sz w:val="30"/>
                <w:szCs w:val="30"/>
                <w:highlight w:val="yellow"/>
              </w:rPr>
            </w:pPr>
            <w:r>
              <w:rPr>
                <w:rFonts w:hint="eastAsia" w:eastAsia="宋体" w:cs="Times New Roman"/>
                <w:b/>
                <w:bCs/>
                <w:color w:val="auto"/>
                <w:sz w:val="30"/>
                <w:szCs w:val="30"/>
              </w:rPr>
              <w:t>3.2</w:t>
            </w:r>
            <w:r>
              <w:rPr>
                <w:rFonts w:cs="Times New Roman"/>
                <w:b/>
                <w:bCs/>
                <w:color w:val="auto"/>
                <w:sz w:val="30"/>
                <w:szCs w:val="30"/>
              </w:rPr>
              <w:t>地表水环境质量</w:t>
            </w:r>
          </w:p>
          <w:p w14:paraId="7055CB9E">
            <w:pPr>
              <w:rPr>
                <w:b/>
                <w:bCs/>
                <w:color w:val="auto"/>
                <w:sz w:val="28"/>
                <w:szCs w:val="28"/>
              </w:rPr>
            </w:pPr>
            <w:r>
              <w:rPr>
                <w:rFonts w:hint="eastAsia"/>
                <w:b/>
                <w:bCs/>
                <w:color w:val="auto"/>
                <w:sz w:val="28"/>
                <w:szCs w:val="28"/>
              </w:rPr>
              <w:t>3.2.1</w:t>
            </w:r>
            <w:r>
              <w:rPr>
                <w:b/>
                <w:bCs/>
                <w:color w:val="auto"/>
                <w:sz w:val="28"/>
                <w:szCs w:val="28"/>
              </w:rPr>
              <w:t>地表水环境质量标准</w:t>
            </w:r>
          </w:p>
          <w:p w14:paraId="747BB346">
            <w:pPr>
              <w:pStyle w:val="30"/>
              <w:spacing w:before="164" w:line="367" w:lineRule="auto"/>
              <w:ind w:left="109" w:right="103" w:firstLine="419"/>
              <w:rPr>
                <w:rFonts w:hint="default"/>
                <w:color w:val="auto"/>
                <w:lang w:val="en-US" w:eastAsia="zh-CN"/>
              </w:rPr>
            </w:pPr>
            <w:r>
              <w:rPr>
                <w:rFonts w:hint="eastAsia" w:ascii="Times New Roman" w:hAnsi="Times New Roman" w:eastAsia="宋体" w:cs="Times New Roman"/>
                <w:color w:val="auto"/>
                <w:sz w:val="24"/>
                <w:szCs w:val="24"/>
              </w:rPr>
              <w:t>本项目所在区域周边的地表水体为</w:t>
            </w:r>
            <w:r>
              <w:rPr>
                <w:rFonts w:hint="eastAsia" w:ascii="Times New Roman" w:hAnsi="Times New Roman" w:eastAsia="宋体" w:cs="Times New Roman"/>
                <w:color w:val="auto"/>
                <w:sz w:val="24"/>
                <w:szCs w:val="24"/>
                <w:lang w:val="en-US" w:eastAsia="zh-CN"/>
              </w:rPr>
              <w:t>淘江</w:t>
            </w:r>
            <w:r>
              <w:rPr>
                <w:rFonts w:hint="eastAsia" w:ascii="Times New Roman" w:hAnsi="Times New Roman" w:eastAsia="宋体" w:cs="Times New Roman"/>
                <w:color w:val="auto"/>
                <w:sz w:val="24"/>
                <w:szCs w:val="24"/>
              </w:rPr>
              <w:t>。根据《福建省人民政府关于福州市地表水环境功能区划定方案的批复》（闽政文</w:t>
            </w:r>
            <w:r>
              <w:rPr>
                <w:rFonts w:ascii="Times New Roman" w:hAnsi="Times New Roman" w:eastAsia="宋体" w:cs="Times New Roman"/>
                <w:color w:val="auto"/>
                <w:sz w:val="24"/>
                <w:szCs w:val="24"/>
              </w:rPr>
              <w:t>[2006]133</w:t>
            </w:r>
            <w:r>
              <w:rPr>
                <w:rFonts w:hint="eastAsia" w:ascii="Times New Roman" w:hAnsi="Times New Roman" w:eastAsia="宋体" w:cs="Times New Roman"/>
                <w:color w:val="auto"/>
                <w:sz w:val="24"/>
                <w:szCs w:val="24"/>
              </w:rPr>
              <w:t>号），</w:t>
            </w:r>
            <w:r>
              <w:rPr>
                <w:rFonts w:hint="eastAsia" w:ascii="Times New Roman" w:hAnsi="Times New Roman" w:eastAsia="宋体" w:cs="Times New Roman"/>
                <w:color w:val="auto"/>
                <w:sz w:val="24"/>
                <w:szCs w:val="24"/>
                <w:lang w:val="en-US" w:eastAsia="zh-CN"/>
              </w:rPr>
              <w:t>近期纳污水域（青口汽车工业开发区污水处理厂尾水排放口）处于“梅溪桥-与中房溪汇合口”断面，该断面功能排序为工业、景观用水，水质保护目标为III类，区划主要依据工业、景观用水，水质执行《地表水环境质量标准》（GB  3838-2002）中III类标准。远期纳污水域（青口新区污水处理厂尾水排放口）所处“三溪口水库坝址</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与中房溪汇合口”，该断面功能排序为工业、景观用水，水质保护目标为</w:t>
            </w:r>
            <w:r>
              <w:rPr>
                <w:rFonts w:hint="default" w:ascii="Times New Roman" w:hAnsi="Times New Roman" w:eastAsia="宋体" w:cs="Times New Roman"/>
                <w:color w:val="auto"/>
                <w:sz w:val="24"/>
                <w:szCs w:val="24"/>
                <w:lang w:val="en-US" w:eastAsia="zh-CN"/>
              </w:rPr>
              <w:t>Ⅲ</w:t>
            </w:r>
            <w:r>
              <w:rPr>
                <w:rFonts w:hint="eastAsia" w:ascii="Times New Roman" w:hAnsi="Times New Roman" w:eastAsia="宋体" w:cs="Times New Roman"/>
                <w:color w:val="auto"/>
                <w:sz w:val="24"/>
                <w:szCs w:val="24"/>
                <w:lang w:val="en-US" w:eastAsia="zh-CN"/>
              </w:rPr>
              <w:t>类，区划主要依据工业、景观用水，水质执行《地表水环境质量标准》</w:t>
            </w:r>
            <w:r>
              <w:rPr>
                <w:rFonts w:hint="default" w:ascii="Times New Roman" w:hAnsi="Times New Roman" w:eastAsia="宋体" w:cs="Times New Roman"/>
                <w:color w:val="auto"/>
                <w:sz w:val="24"/>
                <w:szCs w:val="24"/>
                <w:lang w:val="en-US" w:eastAsia="zh-CN"/>
              </w:rPr>
              <w:t>(GB3838-2002)</w:t>
            </w:r>
            <w:r>
              <w:rPr>
                <w:rFonts w:hint="eastAsia" w:ascii="Times New Roman" w:hAnsi="Times New Roman" w:eastAsia="宋体" w:cs="Times New Roman"/>
                <w:color w:val="auto"/>
                <w:sz w:val="24"/>
                <w:szCs w:val="24"/>
                <w:lang w:val="en-US" w:eastAsia="zh-CN"/>
              </w:rPr>
              <w:t>中</w:t>
            </w:r>
            <w:r>
              <w:rPr>
                <w:rFonts w:hint="default" w:ascii="Times New Roman" w:hAnsi="Times New Roman" w:eastAsia="宋体" w:cs="Times New Roman"/>
                <w:color w:val="auto"/>
                <w:sz w:val="24"/>
                <w:szCs w:val="24"/>
                <w:lang w:val="en-US" w:eastAsia="zh-CN"/>
              </w:rPr>
              <w:t>Ⅲ</w:t>
            </w:r>
            <w:r>
              <w:rPr>
                <w:rFonts w:hint="eastAsia" w:ascii="Times New Roman" w:hAnsi="Times New Roman" w:eastAsia="宋体" w:cs="Times New Roman"/>
                <w:color w:val="auto"/>
                <w:sz w:val="24"/>
                <w:szCs w:val="24"/>
                <w:lang w:val="en-US" w:eastAsia="zh-CN"/>
              </w:rPr>
              <w:t>类标准。</w:t>
            </w:r>
          </w:p>
          <w:p w14:paraId="3A67A4B9">
            <w:pPr>
              <w:pStyle w:val="30"/>
              <w:spacing w:before="91" w:line="221" w:lineRule="auto"/>
              <w:jc w:val="center"/>
              <w:outlineLvl w:val="1"/>
              <w:rPr>
                <w:b/>
                <w:bCs/>
                <w:color w:val="auto"/>
                <w:spacing w:val="5"/>
                <w:lang w:eastAsia="zh-CN"/>
              </w:rPr>
            </w:pPr>
            <w:r>
              <w:rPr>
                <w:b/>
                <w:bCs/>
                <w:color w:val="auto"/>
                <w:spacing w:val="6"/>
                <w:lang w:eastAsia="zh-CN"/>
              </w:rPr>
              <w:t>表</w:t>
            </w:r>
            <w:r>
              <w:rPr>
                <w:rFonts w:ascii="Times New Roman" w:hAnsi="Times New Roman" w:eastAsia="Times New Roman" w:cs="Times New Roman"/>
                <w:b/>
                <w:bCs/>
                <w:color w:val="auto"/>
                <w:spacing w:val="6"/>
                <w:lang w:eastAsia="zh-CN"/>
              </w:rPr>
              <w:t>3.</w:t>
            </w:r>
            <w:r>
              <w:rPr>
                <w:rFonts w:hint="eastAsia" w:ascii="Times New Roman" w:hAnsi="Times New Roman" w:cs="Times New Roman"/>
                <w:b/>
                <w:bCs/>
                <w:color w:val="auto"/>
                <w:spacing w:val="6"/>
                <w:lang w:eastAsia="zh-CN"/>
              </w:rPr>
              <w:t>2</w:t>
            </w:r>
            <w:r>
              <w:rPr>
                <w:rFonts w:ascii="Times New Roman" w:hAnsi="Times New Roman" w:eastAsia="Times New Roman" w:cs="Times New Roman"/>
                <w:b/>
                <w:bCs/>
                <w:color w:val="auto"/>
                <w:spacing w:val="6"/>
                <w:lang w:eastAsia="zh-CN"/>
              </w:rPr>
              <w:t>-</w:t>
            </w:r>
            <w:r>
              <w:rPr>
                <w:rFonts w:hint="eastAsia" w:ascii="Times New Roman" w:hAnsi="Times New Roman" w:cs="Times New Roman"/>
                <w:b/>
                <w:bCs/>
                <w:color w:val="auto"/>
                <w:spacing w:val="6"/>
                <w:lang w:eastAsia="zh-CN"/>
              </w:rPr>
              <w:t>1</w:t>
            </w:r>
            <w:r>
              <w:rPr>
                <w:rFonts w:ascii="Times New Roman" w:hAnsi="Times New Roman" w:eastAsia="Times New Roman" w:cs="Times New Roman"/>
                <w:b/>
                <w:bCs/>
                <w:color w:val="auto"/>
                <w:lang w:eastAsia="zh-CN"/>
              </w:rPr>
              <w:t>GB</w:t>
            </w:r>
            <w:r>
              <w:rPr>
                <w:rFonts w:ascii="Times New Roman" w:hAnsi="Times New Roman" w:eastAsia="Times New Roman" w:cs="Times New Roman"/>
                <w:b/>
                <w:bCs/>
                <w:color w:val="auto"/>
                <w:spacing w:val="6"/>
                <w:lang w:eastAsia="zh-CN"/>
              </w:rPr>
              <w:t>3838-2002</w:t>
            </w:r>
            <w:r>
              <w:rPr>
                <w:b/>
                <w:bCs/>
                <w:color w:val="auto"/>
                <w:spacing w:val="6"/>
                <w:lang w:eastAsia="zh-CN"/>
              </w:rPr>
              <w:t>《地表水环境质量标准》（单位：</w:t>
            </w:r>
            <w:r>
              <w:rPr>
                <w:rFonts w:ascii="Times New Roman" w:hAnsi="Times New Roman" w:eastAsia="Times New Roman" w:cs="Times New Roman"/>
                <w:b/>
                <w:bCs/>
                <w:color w:val="auto"/>
                <w:lang w:eastAsia="zh-CN"/>
              </w:rPr>
              <w:t>mg</w:t>
            </w:r>
            <w:r>
              <w:rPr>
                <w:rFonts w:ascii="Times New Roman" w:hAnsi="Times New Roman" w:eastAsia="Times New Roman" w:cs="Times New Roman"/>
                <w:b/>
                <w:bCs/>
                <w:color w:val="auto"/>
                <w:spacing w:val="5"/>
                <w:lang w:eastAsia="zh-CN"/>
              </w:rPr>
              <w:t>/L</w:t>
            </w:r>
            <w:r>
              <w:rPr>
                <w:b/>
                <w:bCs/>
                <w:color w:val="auto"/>
                <w:spacing w:val="5"/>
                <w:lang w:eastAsia="zh-CN"/>
              </w:rPr>
              <w:t>，除</w:t>
            </w:r>
            <w:r>
              <w:rPr>
                <w:rFonts w:ascii="Times New Roman" w:hAnsi="Times New Roman" w:eastAsia="Times New Roman" w:cs="Times New Roman"/>
                <w:b/>
                <w:bCs/>
                <w:color w:val="auto"/>
                <w:lang w:eastAsia="zh-CN"/>
              </w:rPr>
              <w:t>pH</w:t>
            </w:r>
            <w:r>
              <w:rPr>
                <w:b/>
                <w:bCs/>
                <w:color w:val="auto"/>
                <w:spacing w:val="5"/>
                <w:lang w:eastAsia="zh-CN"/>
              </w:rPr>
              <w:t>）</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970"/>
              <w:gridCol w:w="2490"/>
              <w:gridCol w:w="1282"/>
              <w:gridCol w:w="1240"/>
              <w:gridCol w:w="1200"/>
              <w:gridCol w:w="1207"/>
            </w:tblGrid>
            <w:tr w14:paraId="5760BD0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578" w:type="pct"/>
                  <w:shd w:val="clear" w:color="auto" w:fill="auto"/>
                  <w:noWrap w:val="0"/>
                  <w:vAlign w:val="center"/>
                </w:tcPr>
                <w:p w14:paraId="6EBC8A5B">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1484" w:type="pct"/>
                  <w:shd w:val="clear" w:color="auto" w:fill="auto"/>
                  <w:noWrap w:val="0"/>
                  <w:vAlign w:val="center"/>
                </w:tcPr>
                <w:p w14:paraId="42C1C00E">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w:t>
                  </w:r>
                </w:p>
              </w:tc>
              <w:tc>
                <w:tcPr>
                  <w:tcW w:w="764" w:type="pct"/>
                  <w:shd w:val="clear" w:color="auto" w:fill="auto"/>
                  <w:noWrap w:val="0"/>
                  <w:vAlign w:val="center"/>
                </w:tcPr>
                <w:p w14:paraId="476F8677">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Ⅱ类</w:t>
                  </w:r>
                </w:p>
              </w:tc>
              <w:tc>
                <w:tcPr>
                  <w:tcW w:w="739" w:type="pct"/>
                  <w:shd w:val="clear" w:color="auto" w:fill="A4A4A4"/>
                  <w:noWrap w:val="0"/>
                  <w:vAlign w:val="center"/>
                </w:tcPr>
                <w:p w14:paraId="5CBF54FC">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Ⅲ类</w:t>
                  </w:r>
                </w:p>
              </w:tc>
              <w:tc>
                <w:tcPr>
                  <w:tcW w:w="715" w:type="pct"/>
                  <w:noWrap w:val="0"/>
                  <w:vAlign w:val="center"/>
                </w:tcPr>
                <w:p w14:paraId="23CCAA2B">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Ⅳ类</w:t>
                  </w:r>
                </w:p>
              </w:tc>
              <w:tc>
                <w:tcPr>
                  <w:tcW w:w="717" w:type="pct"/>
                  <w:noWrap w:val="0"/>
                  <w:vAlign w:val="center"/>
                </w:tcPr>
                <w:p w14:paraId="65D5442B">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Ⅴ类</w:t>
                  </w:r>
                </w:p>
              </w:tc>
            </w:tr>
            <w:tr w14:paraId="564163A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578" w:type="pct"/>
                  <w:shd w:val="clear" w:color="auto" w:fill="auto"/>
                  <w:noWrap w:val="0"/>
                  <w:vAlign w:val="center"/>
                </w:tcPr>
                <w:p w14:paraId="6F928E80">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1484" w:type="pct"/>
                  <w:shd w:val="clear" w:color="auto" w:fill="auto"/>
                  <w:noWrap w:val="0"/>
                  <w:vAlign w:val="center"/>
                </w:tcPr>
                <w:p w14:paraId="61F04CD9">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pH(无量纲)</w:t>
                  </w:r>
                </w:p>
              </w:tc>
              <w:tc>
                <w:tcPr>
                  <w:tcW w:w="2937" w:type="pct"/>
                  <w:gridSpan w:val="4"/>
                  <w:shd w:val="clear" w:color="auto" w:fill="A4A4A4"/>
                  <w:noWrap w:val="0"/>
                  <w:vAlign w:val="center"/>
                </w:tcPr>
                <w:p w14:paraId="4E129859">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6～9</w:t>
                  </w:r>
                </w:p>
              </w:tc>
            </w:tr>
            <w:tr w14:paraId="02B95A9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578" w:type="pct"/>
                  <w:shd w:val="clear" w:color="auto" w:fill="auto"/>
                  <w:noWrap w:val="0"/>
                  <w:vAlign w:val="center"/>
                </w:tcPr>
                <w:p w14:paraId="6589B4ED">
                  <w:pPr>
                    <w:keepNext w:val="0"/>
                    <w:keepLines w:val="0"/>
                    <w:pageBreakBefore w:val="0"/>
                    <w:widowControl w:val="0"/>
                    <w:kinsoku/>
                    <w:wordWrap/>
                    <w:overflowPunct/>
                    <w:topLinePunct w:val="0"/>
                    <w:autoSpaceDE/>
                    <w:autoSpaceDN/>
                    <w:bidi w:val="0"/>
                    <w:adjustRightInd w:val="0"/>
                    <w:snapToGrid w:val="0"/>
                    <w:spacing w:line="34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 w:val="21"/>
                      <w:szCs w:val="21"/>
                    </w:rPr>
                    <w:t>2</w:t>
                  </w:r>
                </w:p>
              </w:tc>
              <w:tc>
                <w:tcPr>
                  <w:tcW w:w="1484" w:type="pct"/>
                  <w:shd w:val="clear" w:color="auto" w:fill="auto"/>
                  <w:noWrap w:val="0"/>
                  <w:vAlign w:val="center"/>
                </w:tcPr>
                <w:p w14:paraId="4EFD3541">
                  <w:pPr>
                    <w:pStyle w:val="34"/>
                    <w:keepNext w:val="0"/>
                    <w:keepLines w:val="0"/>
                    <w:pageBreakBefore w:val="0"/>
                    <w:widowControl w:val="0"/>
                    <w:kinsoku/>
                    <w:wordWrap/>
                    <w:overflowPunct/>
                    <w:topLinePunct w:val="0"/>
                    <w:autoSpaceDE/>
                    <w:autoSpaceDN/>
                    <w:bidi w:val="0"/>
                    <w:adjustRightInd w:val="0"/>
                    <w:snapToGrid w:val="0"/>
                    <w:spacing w:line="340" w:lineRule="exact"/>
                    <w:ind w:firstLine="0" w:firstLineChars="0"/>
                    <w:rPr>
                      <w:rFonts w:hint="default" w:ascii="Times New Roman" w:hAnsi="Times New Roman" w:cs="Times New Roman"/>
                      <w:color w:val="auto"/>
                      <w:highlight w:val="none"/>
                    </w:rPr>
                  </w:pPr>
                  <w:r>
                    <w:rPr>
                      <w:rFonts w:hint="default" w:ascii="Times New Roman" w:hAnsi="Times New Roman" w:cs="Times New Roman"/>
                      <w:snapToGrid w:val="0"/>
                      <w:color w:val="auto"/>
                      <w:kern w:val="18"/>
                      <w:sz w:val="21"/>
                      <w:szCs w:val="21"/>
                    </w:rPr>
                    <w:t>溶解氧(DO)≥</w:t>
                  </w:r>
                </w:p>
              </w:tc>
              <w:tc>
                <w:tcPr>
                  <w:tcW w:w="764" w:type="pct"/>
                  <w:tcBorders>
                    <w:right w:val="single" w:color="auto" w:sz="4" w:space="0"/>
                  </w:tcBorders>
                  <w:shd w:val="clear" w:color="auto" w:fill="auto"/>
                  <w:noWrap w:val="0"/>
                  <w:vAlign w:val="center"/>
                </w:tcPr>
                <w:p w14:paraId="2B066B01">
                  <w:pPr>
                    <w:pStyle w:val="35"/>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baseline"/>
                    <w:rPr>
                      <w:rFonts w:hint="default" w:ascii="Times New Roman" w:hAnsi="Times New Roman" w:cs="Times New Roman"/>
                      <w:color w:val="auto"/>
                      <w:highlight w:val="none"/>
                    </w:rPr>
                  </w:pPr>
                  <w:r>
                    <w:rPr>
                      <w:rFonts w:hint="default" w:ascii="Times New Roman" w:hAnsi="Times New Roman" w:cs="Times New Roman"/>
                      <w:color w:val="auto"/>
                      <w:sz w:val="21"/>
                      <w:szCs w:val="21"/>
                      <w:highlight w:val="none"/>
                    </w:rPr>
                    <w:t>6</w:t>
                  </w:r>
                </w:p>
              </w:tc>
              <w:tc>
                <w:tcPr>
                  <w:tcW w:w="739" w:type="pct"/>
                  <w:tcBorders>
                    <w:left w:val="single" w:color="auto" w:sz="4" w:space="0"/>
                    <w:right w:val="single" w:color="auto" w:sz="4" w:space="0"/>
                  </w:tcBorders>
                  <w:shd w:val="clear" w:color="auto" w:fill="A4A4A4"/>
                  <w:noWrap w:val="0"/>
                  <w:vAlign w:val="center"/>
                </w:tcPr>
                <w:p w14:paraId="427A24C9">
                  <w:pPr>
                    <w:pStyle w:val="35"/>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baseline"/>
                    <w:rPr>
                      <w:rFonts w:hint="default" w:ascii="Times New Roman" w:hAnsi="Times New Roman" w:cs="Times New Roman"/>
                      <w:color w:val="auto"/>
                      <w:highlight w:val="none"/>
                    </w:rPr>
                  </w:pPr>
                  <w:r>
                    <w:rPr>
                      <w:rFonts w:hint="default" w:ascii="Times New Roman" w:hAnsi="Times New Roman" w:cs="Times New Roman"/>
                      <w:color w:val="auto"/>
                      <w:sz w:val="21"/>
                      <w:szCs w:val="21"/>
                      <w:highlight w:val="none"/>
                    </w:rPr>
                    <w:t>5</w:t>
                  </w:r>
                </w:p>
              </w:tc>
              <w:tc>
                <w:tcPr>
                  <w:tcW w:w="715" w:type="pct"/>
                  <w:tcBorders>
                    <w:left w:val="single" w:color="auto" w:sz="4" w:space="0"/>
                    <w:right w:val="single" w:color="auto" w:sz="4" w:space="0"/>
                  </w:tcBorders>
                  <w:noWrap w:val="0"/>
                  <w:vAlign w:val="center"/>
                </w:tcPr>
                <w:p w14:paraId="31603F2D">
                  <w:pPr>
                    <w:pStyle w:val="35"/>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baseline"/>
                    <w:rPr>
                      <w:rFonts w:hint="default" w:ascii="Times New Roman" w:hAnsi="Times New Roman" w:cs="Times New Roman"/>
                      <w:color w:val="auto"/>
                      <w:highlight w:val="none"/>
                    </w:rPr>
                  </w:pPr>
                  <w:r>
                    <w:rPr>
                      <w:rFonts w:hint="default" w:ascii="Times New Roman" w:hAnsi="Times New Roman" w:cs="Times New Roman"/>
                      <w:color w:val="auto"/>
                      <w:sz w:val="21"/>
                      <w:szCs w:val="21"/>
                      <w:highlight w:val="none"/>
                    </w:rPr>
                    <w:t>3</w:t>
                  </w:r>
                </w:p>
              </w:tc>
              <w:tc>
                <w:tcPr>
                  <w:tcW w:w="717" w:type="pct"/>
                  <w:tcBorders>
                    <w:left w:val="single" w:color="auto" w:sz="4" w:space="0"/>
                  </w:tcBorders>
                  <w:noWrap w:val="0"/>
                  <w:vAlign w:val="center"/>
                </w:tcPr>
                <w:p w14:paraId="16A249E4">
                  <w:pPr>
                    <w:pStyle w:val="35"/>
                    <w:keepNext w:val="0"/>
                    <w:keepLines w:val="0"/>
                    <w:pageBreakBefore w:val="0"/>
                    <w:widowControl w:val="0"/>
                    <w:kinsoku/>
                    <w:wordWrap/>
                    <w:overflowPunct/>
                    <w:topLinePunct w:val="0"/>
                    <w:autoSpaceDE/>
                    <w:autoSpaceDN/>
                    <w:bidi w:val="0"/>
                    <w:adjustRightInd w:val="0"/>
                    <w:snapToGrid w:val="0"/>
                    <w:spacing w:line="340" w:lineRule="exact"/>
                    <w:ind w:firstLine="0" w:firstLineChars="0"/>
                    <w:jc w:val="center"/>
                    <w:textAlignment w:val="baseline"/>
                    <w:rPr>
                      <w:rFonts w:hint="default" w:ascii="Times New Roman" w:hAnsi="Times New Roman" w:cs="Times New Roman"/>
                      <w:color w:val="auto"/>
                      <w:highlight w:val="none"/>
                    </w:rPr>
                  </w:pPr>
                  <w:r>
                    <w:rPr>
                      <w:rFonts w:hint="default" w:ascii="Times New Roman" w:hAnsi="Times New Roman" w:cs="Times New Roman"/>
                      <w:color w:val="auto"/>
                      <w:sz w:val="21"/>
                      <w:szCs w:val="21"/>
                      <w:highlight w:val="none"/>
                    </w:rPr>
                    <w:t>2</w:t>
                  </w:r>
                </w:p>
              </w:tc>
            </w:tr>
            <w:tr w14:paraId="22A1A7F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578" w:type="pct"/>
                  <w:shd w:val="clear" w:color="auto" w:fill="auto"/>
                  <w:noWrap w:val="0"/>
                  <w:vAlign w:val="center"/>
                </w:tcPr>
                <w:p w14:paraId="7D10992A">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3</w:t>
                  </w:r>
                </w:p>
              </w:tc>
              <w:tc>
                <w:tcPr>
                  <w:tcW w:w="1484" w:type="pct"/>
                  <w:shd w:val="clear" w:color="auto" w:fill="auto"/>
                  <w:noWrap w:val="0"/>
                  <w:vAlign w:val="center"/>
                </w:tcPr>
                <w:p w14:paraId="3DF5B0F9">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COD</w:t>
                  </w:r>
                  <w:r>
                    <w:rPr>
                      <w:rFonts w:hint="default" w:ascii="Times New Roman" w:hAnsi="Times New Roman" w:cs="Times New Roman"/>
                      <w:color w:val="auto"/>
                      <w:highlight w:val="none"/>
                      <w:vertAlign w:val="subscript"/>
                    </w:rPr>
                    <w:t>Mn</w:t>
                  </w:r>
                  <w:r>
                    <w:rPr>
                      <w:rFonts w:hint="default" w:ascii="Times New Roman" w:hAnsi="Times New Roman" w:cs="Times New Roman"/>
                      <w:color w:val="auto"/>
                      <w:highlight w:val="none"/>
                    </w:rPr>
                    <w:t>≤</w:t>
                  </w:r>
                </w:p>
              </w:tc>
              <w:tc>
                <w:tcPr>
                  <w:tcW w:w="764" w:type="pct"/>
                  <w:tcBorders>
                    <w:right w:val="single" w:color="auto" w:sz="4" w:space="0"/>
                  </w:tcBorders>
                  <w:shd w:val="clear" w:color="auto" w:fill="auto"/>
                  <w:noWrap w:val="0"/>
                  <w:vAlign w:val="center"/>
                </w:tcPr>
                <w:p w14:paraId="05733C88">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w:t>
                  </w:r>
                </w:p>
              </w:tc>
              <w:tc>
                <w:tcPr>
                  <w:tcW w:w="739" w:type="pct"/>
                  <w:tcBorders>
                    <w:left w:val="single" w:color="auto" w:sz="4" w:space="0"/>
                    <w:right w:val="single" w:color="auto" w:sz="4" w:space="0"/>
                  </w:tcBorders>
                  <w:shd w:val="clear" w:color="auto" w:fill="A4A4A4"/>
                  <w:noWrap w:val="0"/>
                  <w:vAlign w:val="center"/>
                </w:tcPr>
                <w:p w14:paraId="2A247816">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6</w:t>
                  </w:r>
                </w:p>
              </w:tc>
              <w:tc>
                <w:tcPr>
                  <w:tcW w:w="715" w:type="pct"/>
                  <w:tcBorders>
                    <w:left w:val="single" w:color="auto" w:sz="4" w:space="0"/>
                    <w:right w:val="single" w:color="auto" w:sz="4" w:space="0"/>
                  </w:tcBorders>
                  <w:noWrap w:val="0"/>
                  <w:vAlign w:val="center"/>
                </w:tcPr>
                <w:p w14:paraId="0B051E59">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10</w:t>
                  </w:r>
                </w:p>
              </w:tc>
              <w:tc>
                <w:tcPr>
                  <w:tcW w:w="717" w:type="pct"/>
                  <w:tcBorders>
                    <w:left w:val="single" w:color="auto" w:sz="4" w:space="0"/>
                  </w:tcBorders>
                  <w:noWrap w:val="0"/>
                  <w:vAlign w:val="center"/>
                </w:tcPr>
                <w:p w14:paraId="505B8D89">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15</w:t>
                  </w:r>
                </w:p>
              </w:tc>
            </w:tr>
            <w:tr w14:paraId="5667CA2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578" w:type="pct"/>
                  <w:shd w:val="clear" w:color="auto" w:fill="auto"/>
                  <w:noWrap w:val="0"/>
                  <w:vAlign w:val="center"/>
                </w:tcPr>
                <w:p w14:paraId="57D24F4F">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4</w:t>
                  </w:r>
                </w:p>
              </w:tc>
              <w:tc>
                <w:tcPr>
                  <w:tcW w:w="1484" w:type="pct"/>
                  <w:shd w:val="clear" w:color="auto" w:fill="auto"/>
                  <w:noWrap w:val="0"/>
                  <w:vAlign w:val="center"/>
                </w:tcPr>
                <w:p w14:paraId="6EBA3F19">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kern w:val="2"/>
                      <w:sz w:val="21"/>
                      <w:szCs w:val="24"/>
                      <w:highlight w:val="none"/>
                      <w:lang w:val="en-US" w:eastAsia="zh-CN" w:bidi="ar-SA"/>
                    </w:rPr>
                  </w:pPr>
                  <w:r>
                    <w:rPr>
                      <w:rFonts w:hint="default" w:ascii="Times New Roman" w:hAnsi="Times New Roman" w:cs="Times New Roman"/>
                      <w:color w:val="auto"/>
                      <w:highlight w:val="none"/>
                    </w:rPr>
                    <w:t>NH</w:t>
                  </w:r>
                  <w:r>
                    <w:rPr>
                      <w:rFonts w:hint="default" w:ascii="Times New Roman" w:hAnsi="Times New Roman" w:cs="Times New Roman"/>
                      <w:color w:val="auto"/>
                      <w:highlight w:val="none"/>
                      <w:vertAlign w:val="subscript"/>
                    </w:rPr>
                    <w:t>3</w:t>
                  </w:r>
                  <w:r>
                    <w:rPr>
                      <w:rFonts w:hint="default" w:ascii="Times New Roman" w:hAnsi="Times New Roman" w:cs="Times New Roman"/>
                      <w:color w:val="auto"/>
                      <w:highlight w:val="none"/>
                    </w:rPr>
                    <w:t>-N≤</w:t>
                  </w:r>
                </w:p>
              </w:tc>
              <w:tc>
                <w:tcPr>
                  <w:tcW w:w="764" w:type="pct"/>
                  <w:shd w:val="clear" w:color="auto" w:fill="auto"/>
                  <w:noWrap w:val="0"/>
                  <w:vAlign w:val="center"/>
                </w:tcPr>
                <w:p w14:paraId="2DD49710">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kern w:val="2"/>
                      <w:sz w:val="21"/>
                      <w:szCs w:val="24"/>
                      <w:highlight w:val="none"/>
                      <w:lang w:val="en-US" w:eastAsia="zh-CN" w:bidi="ar-SA"/>
                    </w:rPr>
                  </w:pPr>
                  <w:r>
                    <w:rPr>
                      <w:rFonts w:hint="default" w:ascii="Times New Roman" w:hAnsi="Times New Roman" w:cs="Times New Roman"/>
                      <w:color w:val="auto"/>
                      <w:highlight w:val="none"/>
                    </w:rPr>
                    <w:t>0.5</w:t>
                  </w:r>
                </w:p>
              </w:tc>
              <w:tc>
                <w:tcPr>
                  <w:tcW w:w="739" w:type="pct"/>
                  <w:shd w:val="clear" w:color="auto" w:fill="A4A4A4"/>
                  <w:noWrap w:val="0"/>
                  <w:vAlign w:val="center"/>
                </w:tcPr>
                <w:p w14:paraId="552656B2">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kern w:val="2"/>
                      <w:sz w:val="21"/>
                      <w:szCs w:val="24"/>
                      <w:highlight w:val="none"/>
                      <w:lang w:val="en-US" w:eastAsia="zh-CN" w:bidi="ar-SA"/>
                    </w:rPr>
                  </w:pPr>
                  <w:r>
                    <w:rPr>
                      <w:rFonts w:hint="default" w:ascii="Times New Roman" w:hAnsi="Times New Roman" w:cs="Times New Roman"/>
                      <w:color w:val="auto"/>
                      <w:highlight w:val="none"/>
                    </w:rPr>
                    <w:t>1.0</w:t>
                  </w:r>
                </w:p>
              </w:tc>
              <w:tc>
                <w:tcPr>
                  <w:tcW w:w="715" w:type="pct"/>
                  <w:noWrap w:val="0"/>
                  <w:vAlign w:val="center"/>
                </w:tcPr>
                <w:p w14:paraId="34C6E49A">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kern w:val="2"/>
                      <w:sz w:val="21"/>
                      <w:szCs w:val="24"/>
                      <w:highlight w:val="none"/>
                      <w:lang w:val="en-US" w:eastAsia="zh-CN" w:bidi="ar-SA"/>
                    </w:rPr>
                  </w:pPr>
                  <w:r>
                    <w:rPr>
                      <w:rFonts w:hint="default" w:ascii="Times New Roman" w:hAnsi="Times New Roman" w:cs="Times New Roman"/>
                      <w:color w:val="auto"/>
                      <w:highlight w:val="none"/>
                    </w:rPr>
                    <w:t>1.5</w:t>
                  </w:r>
                </w:p>
              </w:tc>
              <w:tc>
                <w:tcPr>
                  <w:tcW w:w="717" w:type="pct"/>
                  <w:noWrap w:val="0"/>
                  <w:vAlign w:val="center"/>
                </w:tcPr>
                <w:p w14:paraId="09C0D01E">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kern w:val="2"/>
                      <w:sz w:val="21"/>
                      <w:szCs w:val="24"/>
                      <w:highlight w:val="none"/>
                      <w:lang w:val="en-US" w:eastAsia="zh-CN" w:bidi="ar-SA"/>
                    </w:rPr>
                  </w:pPr>
                  <w:r>
                    <w:rPr>
                      <w:rFonts w:hint="default" w:ascii="Times New Roman" w:hAnsi="Times New Roman" w:cs="Times New Roman"/>
                      <w:color w:val="auto"/>
                      <w:highlight w:val="none"/>
                    </w:rPr>
                    <w:t>2.0</w:t>
                  </w:r>
                </w:p>
              </w:tc>
            </w:tr>
            <w:tr w14:paraId="62FFB46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578" w:type="pct"/>
                  <w:shd w:val="clear" w:color="auto" w:fill="auto"/>
                  <w:noWrap w:val="0"/>
                  <w:vAlign w:val="center"/>
                </w:tcPr>
                <w:p w14:paraId="39E71759">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5</w:t>
                  </w:r>
                </w:p>
              </w:tc>
              <w:tc>
                <w:tcPr>
                  <w:tcW w:w="1484" w:type="pct"/>
                  <w:shd w:val="clear" w:color="auto" w:fill="auto"/>
                  <w:noWrap w:val="0"/>
                  <w:vAlign w:val="center"/>
                </w:tcPr>
                <w:p w14:paraId="3ED44B46">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kern w:val="2"/>
                      <w:sz w:val="21"/>
                      <w:szCs w:val="24"/>
                      <w:highlight w:val="none"/>
                      <w:lang w:val="en-US" w:eastAsia="zh-CN" w:bidi="ar-SA"/>
                    </w:rPr>
                  </w:pPr>
                  <w:r>
                    <w:rPr>
                      <w:rFonts w:hint="default" w:ascii="Times New Roman" w:hAnsi="Times New Roman" w:cs="Times New Roman"/>
                      <w:color w:val="auto"/>
                      <w:highlight w:val="none"/>
                    </w:rPr>
                    <w:t>BOD</w:t>
                  </w:r>
                  <w:r>
                    <w:rPr>
                      <w:rFonts w:hint="default" w:ascii="Times New Roman" w:hAnsi="Times New Roman" w:cs="Times New Roman"/>
                      <w:color w:val="auto"/>
                      <w:highlight w:val="none"/>
                      <w:vertAlign w:val="subscript"/>
                    </w:rPr>
                    <w:t>5</w:t>
                  </w:r>
                  <w:r>
                    <w:rPr>
                      <w:rFonts w:hint="default" w:ascii="Times New Roman" w:hAnsi="Times New Roman" w:cs="Times New Roman"/>
                      <w:color w:val="auto"/>
                      <w:highlight w:val="none"/>
                    </w:rPr>
                    <w:t>≤</w:t>
                  </w:r>
                </w:p>
              </w:tc>
              <w:tc>
                <w:tcPr>
                  <w:tcW w:w="764" w:type="pct"/>
                  <w:shd w:val="clear" w:color="auto" w:fill="auto"/>
                  <w:noWrap w:val="0"/>
                  <w:vAlign w:val="center"/>
                </w:tcPr>
                <w:p w14:paraId="47D3561B">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kern w:val="2"/>
                      <w:sz w:val="21"/>
                      <w:szCs w:val="24"/>
                      <w:highlight w:val="none"/>
                      <w:lang w:val="en-US" w:eastAsia="zh-CN" w:bidi="ar-SA"/>
                    </w:rPr>
                  </w:pPr>
                  <w:r>
                    <w:rPr>
                      <w:rFonts w:hint="default" w:ascii="Times New Roman" w:hAnsi="Times New Roman" w:cs="Times New Roman"/>
                      <w:color w:val="auto"/>
                      <w:highlight w:val="none"/>
                    </w:rPr>
                    <w:t>3</w:t>
                  </w:r>
                </w:p>
              </w:tc>
              <w:tc>
                <w:tcPr>
                  <w:tcW w:w="739" w:type="pct"/>
                  <w:shd w:val="clear" w:color="auto" w:fill="A4A4A4"/>
                  <w:noWrap w:val="0"/>
                  <w:vAlign w:val="center"/>
                </w:tcPr>
                <w:p w14:paraId="60185B7A">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kern w:val="2"/>
                      <w:sz w:val="21"/>
                      <w:szCs w:val="24"/>
                      <w:highlight w:val="none"/>
                      <w:lang w:val="en-US" w:eastAsia="zh-CN" w:bidi="ar-SA"/>
                    </w:rPr>
                  </w:pPr>
                  <w:r>
                    <w:rPr>
                      <w:rFonts w:hint="default" w:ascii="Times New Roman" w:hAnsi="Times New Roman" w:cs="Times New Roman"/>
                      <w:color w:val="auto"/>
                      <w:highlight w:val="none"/>
                    </w:rPr>
                    <w:t>4</w:t>
                  </w:r>
                </w:p>
              </w:tc>
              <w:tc>
                <w:tcPr>
                  <w:tcW w:w="715" w:type="pct"/>
                  <w:noWrap w:val="0"/>
                  <w:vAlign w:val="center"/>
                </w:tcPr>
                <w:p w14:paraId="0C076879">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kern w:val="2"/>
                      <w:sz w:val="21"/>
                      <w:szCs w:val="24"/>
                      <w:highlight w:val="none"/>
                      <w:lang w:val="en-US" w:eastAsia="zh-CN" w:bidi="ar-SA"/>
                    </w:rPr>
                  </w:pPr>
                  <w:r>
                    <w:rPr>
                      <w:rFonts w:hint="default" w:ascii="Times New Roman" w:hAnsi="Times New Roman" w:cs="Times New Roman"/>
                      <w:color w:val="auto"/>
                      <w:highlight w:val="none"/>
                    </w:rPr>
                    <w:t>6</w:t>
                  </w:r>
                </w:p>
              </w:tc>
              <w:tc>
                <w:tcPr>
                  <w:tcW w:w="717" w:type="pct"/>
                  <w:noWrap w:val="0"/>
                  <w:vAlign w:val="center"/>
                </w:tcPr>
                <w:p w14:paraId="2C211012">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10</w:t>
                  </w:r>
                </w:p>
              </w:tc>
            </w:tr>
            <w:tr w14:paraId="3A3AF4A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578" w:type="pct"/>
                  <w:shd w:val="clear" w:color="auto" w:fill="auto"/>
                  <w:noWrap w:val="0"/>
                  <w:vAlign w:val="center"/>
                </w:tcPr>
                <w:p w14:paraId="6EE4206A">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6</w:t>
                  </w:r>
                </w:p>
              </w:tc>
              <w:tc>
                <w:tcPr>
                  <w:tcW w:w="1484" w:type="pct"/>
                  <w:shd w:val="clear" w:color="auto" w:fill="auto"/>
                  <w:noWrap w:val="0"/>
                  <w:vAlign w:val="center"/>
                </w:tcPr>
                <w:p w14:paraId="3E5EAA45">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石油类</w:t>
                  </w:r>
                  <w:r>
                    <w:rPr>
                      <w:rFonts w:hint="default" w:ascii="Times New Roman" w:hAnsi="Times New Roman" w:cs="Times New Roman"/>
                      <w:color w:val="auto"/>
                      <w:highlight w:val="none"/>
                    </w:rPr>
                    <w:t>≤</w:t>
                  </w:r>
                </w:p>
              </w:tc>
              <w:tc>
                <w:tcPr>
                  <w:tcW w:w="764" w:type="pct"/>
                  <w:shd w:val="clear" w:color="auto" w:fill="auto"/>
                  <w:noWrap w:val="0"/>
                  <w:vAlign w:val="center"/>
                </w:tcPr>
                <w:p w14:paraId="09FF41D8">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0.05</w:t>
                  </w:r>
                </w:p>
              </w:tc>
              <w:tc>
                <w:tcPr>
                  <w:tcW w:w="739" w:type="pct"/>
                  <w:shd w:val="clear" w:color="auto" w:fill="A4A4A4"/>
                  <w:noWrap w:val="0"/>
                  <w:vAlign w:val="center"/>
                </w:tcPr>
                <w:p w14:paraId="274209CC">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0.05</w:t>
                  </w:r>
                </w:p>
              </w:tc>
              <w:tc>
                <w:tcPr>
                  <w:tcW w:w="715" w:type="pct"/>
                  <w:noWrap w:val="0"/>
                  <w:vAlign w:val="center"/>
                </w:tcPr>
                <w:p w14:paraId="6FD0A7CE">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0.5</w:t>
                  </w:r>
                </w:p>
              </w:tc>
              <w:tc>
                <w:tcPr>
                  <w:tcW w:w="717" w:type="pct"/>
                  <w:noWrap w:val="0"/>
                  <w:vAlign w:val="center"/>
                </w:tcPr>
                <w:p w14:paraId="5BC2AB23">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1.0</w:t>
                  </w:r>
                </w:p>
              </w:tc>
            </w:tr>
            <w:tr w14:paraId="34290E6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578" w:type="pct"/>
                  <w:shd w:val="clear" w:color="auto" w:fill="auto"/>
                  <w:noWrap w:val="0"/>
                  <w:vAlign w:val="center"/>
                </w:tcPr>
                <w:p w14:paraId="30F449DF">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p>
              </w:tc>
              <w:tc>
                <w:tcPr>
                  <w:tcW w:w="1484" w:type="pct"/>
                  <w:shd w:val="clear" w:color="auto" w:fill="auto"/>
                  <w:noWrap w:val="0"/>
                  <w:vAlign w:val="center"/>
                </w:tcPr>
                <w:p w14:paraId="6667462E">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Times New Roman" w:hAnsi="Times New Roman" w:cs="Times New Roman"/>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TP</w:t>
                  </w:r>
                  <w:r>
                    <w:rPr>
                      <w:rFonts w:hint="default" w:ascii="Times New Roman" w:hAnsi="Times New Roman" w:cs="Times New Roman"/>
                      <w:color w:val="auto"/>
                      <w:highlight w:val="none"/>
                    </w:rPr>
                    <w:t>≤</w:t>
                  </w:r>
                </w:p>
              </w:tc>
              <w:tc>
                <w:tcPr>
                  <w:tcW w:w="764" w:type="pct"/>
                  <w:shd w:val="clear" w:color="auto" w:fill="auto"/>
                  <w:noWrap w:val="0"/>
                  <w:vAlign w:val="center"/>
                </w:tcPr>
                <w:p w14:paraId="5557839E">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0.1</w:t>
                  </w:r>
                </w:p>
              </w:tc>
              <w:tc>
                <w:tcPr>
                  <w:tcW w:w="739" w:type="pct"/>
                  <w:shd w:val="clear" w:color="auto" w:fill="A4A4A4"/>
                  <w:noWrap w:val="0"/>
                  <w:vAlign w:val="center"/>
                </w:tcPr>
                <w:p w14:paraId="5DFC6F5A">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0.2</w:t>
                  </w:r>
                </w:p>
              </w:tc>
              <w:tc>
                <w:tcPr>
                  <w:tcW w:w="715" w:type="pct"/>
                  <w:noWrap w:val="0"/>
                  <w:vAlign w:val="center"/>
                </w:tcPr>
                <w:p w14:paraId="2B59ECD4">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0.3</w:t>
                  </w:r>
                </w:p>
              </w:tc>
              <w:tc>
                <w:tcPr>
                  <w:tcW w:w="717" w:type="pct"/>
                  <w:noWrap w:val="0"/>
                  <w:vAlign w:val="center"/>
                </w:tcPr>
                <w:p w14:paraId="1A2D3694">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default" w:ascii="Times New Roman" w:hAnsi="Times New Roman" w:cs="Times New Roman"/>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0.4</w:t>
                  </w:r>
                </w:p>
              </w:tc>
            </w:tr>
          </w:tbl>
          <w:p w14:paraId="4AD6AC09">
            <w:pPr>
              <w:rPr>
                <w:rFonts w:hint="eastAsia"/>
                <w:b/>
                <w:bCs/>
                <w:color w:val="auto"/>
                <w:sz w:val="28"/>
                <w:szCs w:val="28"/>
              </w:rPr>
            </w:pPr>
            <w:r>
              <w:rPr>
                <w:rFonts w:hint="eastAsia"/>
                <w:b/>
                <w:bCs/>
                <w:color w:val="auto"/>
                <w:sz w:val="28"/>
                <w:szCs w:val="28"/>
              </w:rPr>
              <w:t>3.2.2</w:t>
            </w:r>
            <w:r>
              <w:rPr>
                <w:b/>
                <w:bCs/>
                <w:color w:val="auto"/>
                <w:sz w:val="28"/>
                <w:szCs w:val="28"/>
              </w:rPr>
              <w:t>地表水环境质量</w:t>
            </w:r>
            <w:r>
              <w:rPr>
                <w:rFonts w:hint="eastAsia"/>
                <w:b/>
                <w:bCs/>
                <w:color w:val="auto"/>
                <w:sz w:val="28"/>
                <w:szCs w:val="28"/>
              </w:rPr>
              <w:t>现状</w:t>
            </w:r>
          </w:p>
          <w:p w14:paraId="33CF221D">
            <w:pPr>
              <w:adjustRightInd w:val="0"/>
              <w:spacing w:line="360" w:lineRule="auto"/>
              <w:ind w:firstLine="480" w:firstLineChars="200"/>
              <w:contextualSpacing/>
              <w:rPr>
                <w:rFonts w:hint="eastAsia"/>
                <w:color w:val="auto"/>
                <w:sz w:val="24"/>
                <w:szCs w:val="24"/>
                <w:lang w:val="en-US" w:eastAsia="zh-CN"/>
              </w:rPr>
            </w:pPr>
            <w:r>
              <w:rPr>
                <w:color w:val="auto"/>
                <w:sz w:val="24"/>
                <w:szCs w:val="24"/>
              </w:rPr>
              <w:t>为了解项目周边水域环境现状，本项目引用</w:t>
            </w:r>
            <w:r>
              <w:rPr>
                <w:rFonts w:hint="eastAsia"/>
                <w:color w:val="auto"/>
                <w:sz w:val="24"/>
                <w:szCs w:val="24"/>
              </w:rPr>
              <w:t>《</w:t>
            </w:r>
            <w:r>
              <w:rPr>
                <w:rFonts w:ascii="Times New Roman" w:hAnsi="Times New Roman" w:eastAsia="宋体" w:cs="Times New Roman"/>
                <w:b w:val="0"/>
                <w:bCs w:val="0"/>
                <w:i w:val="0"/>
                <w:iCs w:val="0"/>
                <w:caps w:val="0"/>
                <w:color w:val="auto"/>
                <w:spacing w:val="0"/>
                <w:sz w:val="24"/>
                <w:szCs w:val="24"/>
                <w:shd w:val="clear" w:color="auto" w:fill="auto"/>
              </w:rPr>
              <w:t>202</w:t>
            </w:r>
            <w:r>
              <w:rPr>
                <w:rFonts w:hint="eastAsia" w:ascii="Times New Roman" w:hAnsi="Times New Roman" w:eastAsia="宋体" w:cs="Times New Roman"/>
                <w:b w:val="0"/>
                <w:bCs w:val="0"/>
                <w:i w:val="0"/>
                <w:iCs w:val="0"/>
                <w:caps w:val="0"/>
                <w:color w:val="auto"/>
                <w:spacing w:val="0"/>
                <w:sz w:val="24"/>
                <w:szCs w:val="24"/>
                <w:shd w:val="clear" w:color="auto" w:fill="auto"/>
                <w:lang w:val="en-US" w:eastAsia="zh-CN"/>
              </w:rPr>
              <w:t>4</w:t>
            </w:r>
            <w:r>
              <w:rPr>
                <w:rFonts w:ascii="Times New Roman" w:hAnsi="Times New Roman" w:eastAsia="宋体" w:cs="Times New Roman"/>
                <w:b w:val="0"/>
                <w:bCs w:val="0"/>
                <w:i w:val="0"/>
                <w:iCs w:val="0"/>
                <w:caps w:val="0"/>
                <w:color w:val="auto"/>
                <w:spacing w:val="0"/>
                <w:sz w:val="24"/>
                <w:szCs w:val="24"/>
                <w:shd w:val="clear" w:color="auto" w:fill="auto"/>
              </w:rPr>
              <w:t>年福建省生态环境状况公报</w:t>
            </w:r>
            <w:r>
              <w:rPr>
                <w:rFonts w:hint="eastAsia"/>
                <w:color w:val="auto"/>
                <w:sz w:val="24"/>
                <w:szCs w:val="24"/>
              </w:rPr>
              <w:t>》</w:t>
            </w:r>
            <w:r>
              <w:rPr>
                <w:rFonts w:hint="eastAsia"/>
                <w:color w:val="auto"/>
                <w:sz w:val="24"/>
                <w:szCs w:val="24"/>
                <w:lang w:val="en-US" w:eastAsia="zh-CN"/>
              </w:rPr>
              <w:t>，纳入国家地表水环境质量考核的105个国控断面，按《地表水环境质量标准》(GB3838-2002)及《地表水环境质量评价办法(试行)》(环办(2011]22号)评价，水质状况为优，1-I类水质比例100%，同比上升1.0个百分点;其中I-I类水质比例77.1%，同比上升8.5个百分点;无W类、V类和劣V类断面。</w:t>
            </w:r>
          </w:p>
          <w:p w14:paraId="1422556C">
            <w:pPr>
              <w:adjustRightInd w:val="0"/>
              <w:spacing w:line="360" w:lineRule="auto"/>
              <w:ind w:firstLine="480" w:firstLineChars="200"/>
              <w:contextualSpacing/>
              <w:rPr>
                <w:rFonts w:hint="eastAsia"/>
                <w:color w:val="auto"/>
                <w:sz w:val="24"/>
                <w:szCs w:val="24"/>
                <w:lang w:val="en-US" w:eastAsia="zh-CN"/>
              </w:rPr>
            </w:pPr>
            <w:r>
              <w:rPr>
                <w:rFonts w:hint="eastAsia"/>
                <w:color w:val="auto"/>
                <w:sz w:val="24"/>
                <w:szCs w:val="24"/>
                <w:lang w:val="en-US" w:eastAsia="zh-CN"/>
              </w:rPr>
              <w:t>纳入福建省地表水环境质量考核的375个国省控断面，按照评价标准，I~重类水质比例99.7%，同比上升0.2个百分点;其中I-II类水质比例80.0%，同比上升14.7个百分点;IV类占0.3%;无V类和劣V类断面。</w:t>
            </w:r>
          </w:p>
          <w:p w14:paraId="1C463C65">
            <w:pPr>
              <w:pStyle w:val="26"/>
              <w:ind w:left="0" w:leftChars="0" w:firstLine="480" w:firstLineChars="200"/>
              <w:rPr>
                <w:b/>
                <w:bCs/>
                <w:color w:val="auto"/>
                <w:kern w:val="0"/>
                <w:sz w:val="24"/>
                <w:szCs w:val="24"/>
              </w:rPr>
            </w:pPr>
            <w:r>
              <w:rPr>
                <w:color w:val="auto"/>
                <w:sz w:val="24"/>
                <w:szCs w:val="24"/>
              </w:rPr>
              <w:t>从以上数据可以看出，</w:t>
            </w:r>
            <w:r>
              <w:rPr>
                <w:rFonts w:hint="eastAsia"/>
                <w:color w:val="auto"/>
                <w:sz w:val="24"/>
                <w:szCs w:val="24"/>
                <w:lang w:val="en-US" w:eastAsia="zh-CN"/>
              </w:rPr>
              <w:t>本项目周边水域</w:t>
            </w:r>
            <w:r>
              <w:rPr>
                <w:rFonts w:hint="eastAsia"/>
                <w:color w:val="auto"/>
                <w:sz w:val="24"/>
                <w:szCs w:val="24"/>
              </w:rPr>
              <w:t>可符合</w:t>
            </w:r>
            <w:r>
              <w:rPr>
                <w:color w:val="auto"/>
                <w:sz w:val="24"/>
                <w:szCs w:val="24"/>
              </w:rPr>
              <w:t>《地表水环境质量标准》（GB</w:t>
            </w:r>
            <w:r>
              <w:rPr>
                <w:rFonts w:ascii="Times New Roman" w:hAnsi="Times New Roman" w:cs="Times New Roman"/>
                <w:color w:val="auto"/>
                <w:sz w:val="24"/>
                <w:szCs w:val="24"/>
              </w:rPr>
              <w:t>3838</w:t>
            </w:r>
            <w:r>
              <w:rPr>
                <w:color w:val="auto"/>
                <w:sz w:val="24"/>
                <w:szCs w:val="24"/>
              </w:rPr>
              <w:t>-</w:t>
            </w:r>
            <w:r>
              <w:rPr>
                <w:rFonts w:ascii="Times New Roman" w:hAnsi="Times New Roman" w:cs="Times New Roman"/>
                <w:color w:val="auto"/>
                <w:sz w:val="24"/>
                <w:szCs w:val="24"/>
              </w:rPr>
              <w:t>2002</w:t>
            </w:r>
            <w:r>
              <w:rPr>
                <w:color w:val="auto"/>
                <w:sz w:val="24"/>
                <w:szCs w:val="24"/>
              </w:rPr>
              <w:t>）</w:t>
            </w:r>
            <w:r>
              <w:rPr>
                <w:rFonts w:hint="default" w:ascii="Times New Roman" w:hAnsi="Times New Roman" w:cs="Times New Roman"/>
                <w:color w:val="auto"/>
                <w:sz w:val="24"/>
                <w:szCs w:val="24"/>
              </w:rPr>
              <w:t>Ⅲ</w:t>
            </w:r>
            <w:r>
              <w:rPr>
                <w:color w:val="auto"/>
                <w:sz w:val="24"/>
                <w:szCs w:val="24"/>
              </w:rPr>
              <w:t>类标准，说明</w:t>
            </w:r>
            <w:r>
              <w:rPr>
                <w:rFonts w:hint="eastAsia"/>
                <w:color w:val="auto"/>
                <w:sz w:val="24"/>
                <w:szCs w:val="24"/>
              </w:rPr>
              <w:t>项目所在地</w:t>
            </w:r>
            <w:r>
              <w:rPr>
                <w:color w:val="auto"/>
                <w:sz w:val="24"/>
                <w:szCs w:val="24"/>
              </w:rPr>
              <w:t>目前水质质量现状良好。</w:t>
            </w:r>
          </w:p>
          <w:p w14:paraId="4E826BC1">
            <w:pPr>
              <w:pStyle w:val="3"/>
              <w:ind w:left="0"/>
              <w:rPr>
                <w:color w:val="auto"/>
                <w:sz w:val="30"/>
                <w:szCs w:val="30"/>
              </w:rPr>
            </w:pPr>
            <w:bookmarkStart w:id="8" w:name="OLE_LINK36"/>
            <w:r>
              <w:rPr>
                <w:color w:val="auto"/>
                <w:sz w:val="30"/>
                <w:szCs w:val="30"/>
              </w:rPr>
              <w:t>3.3声环境质量现状</w:t>
            </w:r>
          </w:p>
          <w:p w14:paraId="361659D9">
            <w:pPr>
              <w:pStyle w:val="4"/>
              <w:rPr>
                <w:color w:val="auto"/>
              </w:rPr>
            </w:pPr>
            <w:r>
              <w:rPr>
                <w:color w:val="auto"/>
              </w:rPr>
              <w:t>3.3.1声环境功能区划</w:t>
            </w:r>
          </w:p>
          <w:p w14:paraId="5690C682">
            <w:pPr>
              <w:keepNext/>
              <w:overflowPunct w:val="0"/>
              <w:snapToGrid w:val="0"/>
              <w:spacing w:line="360" w:lineRule="auto"/>
              <w:ind w:firstLine="480" w:firstLineChars="200"/>
              <w:jc w:val="left"/>
              <w:rPr>
                <w:rFonts w:hint="eastAsia"/>
                <w:color w:val="auto"/>
                <w:sz w:val="24"/>
              </w:rPr>
            </w:pPr>
            <w:r>
              <w:rPr>
                <w:rFonts w:hint="eastAsia" w:ascii="宋体" w:hAnsi="宋体" w:eastAsia="宋体" w:cs="宋体"/>
                <w:color w:val="auto"/>
                <w:kern w:val="0"/>
                <w:sz w:val="24"/>
                <w:lang w:bidi="ar"/>
              </w:rPr>
              <w:t>项目位于</w:t>
            </w:r>
            <w:r>
              <w:rPr>
                <w:rFonts w:hint="eastAsia" w:ascii="宋体" w:hAnsi="宋体" w:eastAsia="宋体" w:cs="宋体"/>
                <w:color w:val="auto"/>
                <w:kern w:val="0"/>
                <w:sz w:val="24"/>
                <w:lang w:eastAsia="zh-CN" w:bidi="ar"/>
              </w:rPr>
              <w:t>福建省闽侯县尚干镇洋中村桥头东1号</w:t>
            </w:r>
            <w:r>
              <w:rPr>
                <w:rFonts w:hint="eastAsia" w:ascii="宋体" w:hAnsi="宋体" w:eastAsia="宋体" w:cs="宋体"/>
                <w:color w:val="auto"/>
                <w:kern w:val="0"/>
                <w:sz w:val="24"/>
                <w:lang w:bidi="ar"/>
              </w:rPr>
              <w:t>，根据《福州市声环境功能区划》，本项目区的声环境功能区为</w:t>
            </w:r>
            <w:r>
              <w:rPr>
                <w:rFonts w:hint="eastAsia" w:ascii="宋体" w:hAnsi="宋体" w:eastAsia="宋体" w:cs="宋体"/>
                <w:color w:val="auto"/>
                <w:kern w:val="0"/>
                <w:sz w:val="24"/>
                <w:lang w:val="en-US" w:eastAsia="zh-CN" w:bidi="ar"/>
              </w:rPr>
              <w:t>2</w:t>
            </w:r>
            <w:r>
              <w:rPr>
                <w:rFonts w:hint="eastAsia" w:ascii="宋体" w:hAnsi="宋体" w:eastAsia="宋体" w:cs="宋体"/>
                <w:color w:val="auto"/>
                <w:kern w:val="0"/>
                <w:sz w:val="24"/>
                <w:lang w:bidi="ar"/>
              </w:rPr>
              <w:t>类区，且东</w:t>
            </w:r>
            <w:r>
              <w:rPr>
                <w:rFonts w:hint="eastAsia" w:ascii="宋体" w:hAnsi="宋体" w:eastAsia="宋体" w:cs="宋体"/>
                <w:color w:val="auto"/>
                <w:kern w:val="0"/>
                <w:sz w:val="24"/>
                <w:lang w:val="en-US" w:eastAsia="zh-CN" w:bidi="ar"/>
              </w:rPr>
              <w:t>侧厂</w:t>
            </w:r>
            <w:r>
              <w:rPr>
                <w:rFonts w:hint="eastAsia" w:ascii="5SW77cqp+SimSun" w:hAnsi="5SW77cqp+SimSun" w:eastAsia="5SW77cqp+SimSun"/>
                <w:color w:val="auto"/>
                <w:sz w:val="24"/>
                <w:lang w:val="en-US" w:eastAsia="zh-CN"/>
              </w:rPr>
              <w:t>界</w:t>
            </w:r>
            <w:r>
              <w:rPr>
                <w:rFonts w:ascii="5SW77cqp+SimSun" w:hAnsi="5SW77cqp+SimSun" w:eastAsia="5SW77cqp+SimSun"/>
                <w:color w:val="auto"/>
                <w:spacing w:val="2"/>
                <w:sz w:val="24"/>
              </w:rPr>
              <w:t>临</w:t>
            </w:r>
            <w:r>
              <w:rPr>
                <w:rFonts w:hint="eastAsia" w:ascii="TimesNewRomanPSMT" w:hAnsi="TimesNewRomanPSMT" w:eastAsia="宋体"/>
                <w:color w:val="auto"/>
                <w:sz w:val="24"/>
                <w:lang w:val="en-US" w:eastAsia="zh-CN"/>
              </w:rPr>
              <w:t>沈海高速</w:t>
            </w:r>
            <w:r>
              <w:rPr>
                <w:rFonts w:ascii="5SW77cqp+SimSun" w:hAnsi="5SW77cqp+SimSun" w:eastAsia="5SW77cqp+SimSun"/>
                <w:color w:val="auto"/>
                <w:sz w:val="24"/>
              </w:rPr>
              <w:t>，</w:t>
            </w:r>
            <w:r>
              <w:rPr>
                <w:rFonts w:ascii="5SW77cqp+SimSun" w:hAnsi="5SW77cqp+SimSun" w:eastAsia="5SW77cqp+SimSun"/>
                <w:color w:val="auto"/>
                <w:spacing w:val="2"/>
                <w:sz w:val="24"/>
              </w:rPr>
              <w:t>因</w:t>
            </w:r>
            <w:r>
              <w:rPr>
                <w:rFonts w:ascii="5SW77cqp+SimSun" w:hAnsi="5SW77cqp+SimSun" w:eastAsia="5SW77cqp+SimSun"/>
                <w:color w:val="auto"/>
                <w:sz w:val="24"/>
              </w:rPr>
              <w:t>此，东</w:t>
            </w:r>
            <w:r>
              <w:rPr>
                <w:rFonts w:hint="eastAsia" w:ascii="5SW77cqp+SimSun" w:hAnsi="5SW77cqp+SimSun" w:eastAsia="5SW77cqp+SimSun"/>
                <w:color w:val="auto"/>
                <w:sz w:val="24"/>
                <w:lang w:val="en-US" w:eastAsia="zh-CN"/>
              </w:rPr>
              <w:t>侧</w:t>
            </w:r>
            <w:r>
              <w:rPr>
                <w:rFonts w:ascii="5SW77cqp+SimSun" w:hAnsi="5SW77cqp+SimSun" w:eastAsia="5SW77cqp+SimSun"/>
                <w:color w:val="auto"/>
                <w:sz w:val="24"/>
              </w:rPr>
              <w:t>厂界声环</w:t>
            </w:r>
            <w:r>
              <w:rPr>
                <w:rFonts w:ascii="5SW77cqp+SimSun" w:hAnsi="5SW77cqp+SimSun" w:eastAsia="5SW77cqp+SimSun"/>
                <w:color w:val="auto"/>
                <w:spacing w:val="4"/>
                <w:sz w:val="24"/>
              </w:rPr>
              <w:t>境</w:t>
            </w:r>
            <w:r>
              <w:rPr>
                <w:rFonts w:ascii="5SW77cqp+SimSun" w:hAnsi="5SW77cqp+SimSun" w:eastAsia="5SW77cqp+SimSun"/>
                <w:color w:val="auto"/>
                <w:sz w:val="24"/>
              </w:rPr>
              <w:t>质量</w:t>
            </w:r>
            <w:r>
              <w:rPr>
                <w:rFonts w:ascii="5SW77cqp+SimSun" w:hAnsi="5SW77cqp+SimSun" w:eastAsia="5SW77cqp+SimSun"/>
                <w:color w:val="auto"/>
                <w:spacing w:val="2"/>
                <w:sz w:val="24"/>
              </w:rPr>
              <w:t>执</w:t>
            </w:r>
            <w:r>
              <w:rPr>
                <w:rFonts w:ascii="5SW77cqp+SimSun" w:hAnsi="5SW77cqp+SimSun" w:eastAsia="5SW77cqp+SimSun"/>
                <w:color w:val="auto"/>
                <w:sz w:val="24"/>
              </w:rPr>
              <w:t>行</w:t>
            </w:r>
            <w:r>
              <w:rPr>
                <w:rFonts w:ascii="5SW77cqp+SimSun" w:hAnsi="5SW77cqp+SimSun" w:eastAsia="5SW77cqp+SimSun"/>
                <w:color w:val="auto"/>
                <w:spacing w:val="2"/>
                <w:sz w:val="24"/>
              </w:rPr>
              <w:t>《</w:t>
            </w:r>
            <w:r>
              <w:rPr>
                <w:rFonts w:ascii="5SW77cqp+SimSun" w:hAnsi="5SW77cqp+SimSun" w:eastAsia="5SW77cqp+SimSun"/>
                <w:color w:val="auto"/>
                <w:sz w:val="24"/>
              </w:rPr>
              <w:t>声</w:t>
            </w:r>
            <w:r>
              <w:rPr>
                <w:rFonts w:ascii="5SW77cqp+SimSun" w:hAnsi="5SW77cqp+SimSun" w:eastAsia="5SW77cqp+SimSun"/>
                <w:color w:val="auto"/>
                <w:spacing w:val="2"/>
                <w:sz w:val="24"/>
              </w:rPr>
              <w:t>环</w:t>
            </w:r>
            <w:r>
              <w:rPr>
                <w:rFonts w:ascii="5SW77cqp+SimSun" w:hAnsi="5SW77cqp+SimSun" w:eastAsia="5SW77cqp+SimSun"/>
                <w:color w:val="auto"/>
                <w:sz w:val="24"/>
              </w:rPr>
              <w:t>境质</w:t>
            </w:r>
            <w:r>
              <w:rPr>
                <w:rFonts w:ascii="5SW77cqp+SimSun" w:hAnsi="5SW77cqp+SimSun" w:eastAsia="5SW77cqp+SimSun"/>
                <w:color w:val="auto"/>
                <w:spacing w:val="2"/>
                <w:sz w:val="24"/>
              </w:rPr>
              <w:t>量</w:t>
            </w:r>
            <w:r>
              <w:rPr>
                <w:rFonts w:ascii="5SW77cqp+SimSun" w:hAnsi="5SW77cqp+SimSun" w:eastAsia="5SW77cqp+SimSun"/>
                <w:color w:val="auto"/>
                <w:sz w:val="24"/>
              </w:rPr>
              <w:t>标准</w:t>
            </w:r>
            <w:r>
              <w:rPr>
                <w:rFonts w:ascii="5SW77cqp+SimSun" w:hAnsi="5SW77cqp+SimSun" w:eastAsia="5SW77cqp+SimSun"/>
                <w:color w:val="auto"/>
                <w:spacing w:val="2"/>
                <w:sz w:val="24"/>
              </w:rPr>
              <w:t>》（</w:t>
            </w:r>
            <w:r>
              <w:rPr>
                <w:rFonts w:ascii="TimesNewRomanPSMT" w:hAnsi="TimesNewRomanPSMT" w:eastAsia="TimesNewRomanPSMT"/>
                <w:color w:val="auto"/>
                <w:sz w:val="24"/>
              </w:rPr>
              <w:t>GB3096-2008</w:t>
            </w:r>
            <w:r>
              <w:rPr>
                <w:rFonts w:ascii="5SW77cqp+SimSun" w:hAnsi="5SW77cqp+SimSun" w:eastAsia="5SW77cqp+SimSun"/>
                <w:color w:val="auto"/>
                <w:spacing w:val="2"/>
                <w:sz w:val="24"/>
              </w:rPr>
              <w:t>）</w:t>
            </w:r>
            <w:r>
              <w:rPr>
                <w:rFonts w:ascii="5SW77cqp+SimSun" w:hAnsi="5SW77cqp+SimSun" w:eastAsia="5SW77cqp+SimSun"/>
                <w:color w:val="auto"/>
                <w:sz w:val="24"/>
              </w:rPr>
              <w:t>中</w:t>
            </w:r>
            <w:r>
              <w:rPr>
                <w:rFonts w:ascii="TimesNewRomanPSMT" w:hAnsi="TimesNewRomanPSMT" w:eastAsia="TimesNewRomanPSMT"/>
                <w:color w:val="auto"/>
                <w:sz w:val="24"/>
              </w:rPr>
              <w:t>4a</w:t>
            </w:r>
            <w:r>
              <w:rPr>
                <w:rFonts w:ascii="5SW77cqp+SimSun" w:hAnsi="5SW77cqp+SimSun" w:eastAsia="5SW77cqp+SimSun"/>
                <w:color w:val="auto"/>
                <w:sz w:val="24"/>
              </w:rPr>
              <w:t>类</w:t>
            </w:r>
            <w:r>
              <w:rPr>
                <w:rFonts w:ascii="5SW77cqp+SimSun" w:hAnsi="5SW77cqp+SimSun" w:eastAsia="5SW77cqp+SimSun"/>
                <w:color w:val="auto"/>
                <w:spacing w:val="2"/>
                <w:sz w:val="24"/>
              </w:rPr>
              <w:t>标</w:t>
            </w:r>
            <w:r>
              <w:rPr>
                <w:rFonts w:ascii="5SW77cqp+SimSun" w:hAnsi="5SW77cqp+SimSun" w:eastAsia="5SW77cqp+SimSun"/>
                <w:color w:val="auto"/>
                <w:sz w:val="24"/>
              </w:rPr>
              <w:t>准</w:t>
            </w:r>
            <w:r>
              <w:rPr>
                <w:rFonts w:ascii="5SW77cqp+SimSun" w:hAnsi="5SW77cqp+SimSun" w:eastAsia="5SW77cqp+SimSun"/>
                <w:color w:val="auto"/>
                <w:spacing w:val="2"/>
                <w:sz w:val="24"/>
              </w:rPr>
              <w:t>，</w:t>
            </w:r>
            <w:r>
              <w:rPr>
                <w:rFonts w:ascii="5SW77cqp+SimSun" w:hAnsi="5SW77cqp+SimSun" w:eastAsia="5SW77cqp+SimSun"/>
                <w:color w:val="auto"/>
                <w:sz w:val="24"/>
              </w:rPr>
              <w:t>其余</w:t>
            </w:r>
            <w:r>
              <w:rPr>
                <w:rFonts w:ascii="5SW77cqp+SimSun" w:hAnsi="5SW77cqp+SimSun" w:eastAsia="5SW77cqp+SimSun"/>
                <w:color w:val="auto"/>
                <w:spacing w:val="2"/>
                <w:sz w:val="24"/>
              </w:rPr>
              <w:t>面</w:t>
            </w:r>
            <w:r>
              <w:rPr>
                <w:rFonts w:ascii="5SW77cqp+SimSun" w:hAnsi="5SW77cqp+SimSun" w:eastAsia="5SW77cqp+SimSun"/>
                <w:color w:val="auto"/>
                <w:sz w:val="24"/>
              </w:rPr>
              <w:t>厂界</w:t>
            </w:r>
            <w:r>
              <w:rPr>
                <w:rFonts w:ascii="5SW77cqp+SimSun" w:hAnsi="5SW77cqp+SimSun" w:eastAsia="5SW77cqp+SimSun"/>
                <w:color w:val="auto"/>
                <w:spacing w:val="2"/>
                <w:sz w:val="24"/>
              </w:rPr>
              <w:t>声</w:t>
            </w:r>
            <w:r>
              <w:rPr>
                <w:rFonts w:ascii="5SW77cqp+SimSun" w:hAnsi="5SW77cqp+SimSun" w:eastAsia="5SW77cqp+SimSun"/>
                <w:color w:val="auto"/>
                <w:sz w:val="24"/>
              </w:rPr>
              <w:t>环境质量执行《声环境质量标准》</w:t>
            </w:r>
            <w:r>
              <w:rPr>
                <w:rFonts w:ascii="5SW77cqp+SimSun" w:hAnsi="5SW77cqp+SimSun" w:eastAsia="5SW77cqp+SimSun"/>
                <w:color w:val="auto"/>
                <w:spacing w:val="2"/>
                <w:sz w:val="24"/>
              </w:rPr>
              <w:t>（</w:t>
            </w:r>
            <w:r>
              <w:rPr>
                <w:rFonts w:ascii="TimesNewRomanPSMT" w:hAnsi="TimesNewRomanPSMT" w:eastAsia="TimesNewRomanPSMT"/>
                <w:color w:val="auto"/>
                <w:sz w:val="24"/>
              </w:rPr>
              <w:t>G</w:t>
            </w:r>
            <w:r>
              <w:rPr>
                <w:rFonts w:ascii="TimesNewRomanPSMT" w:hAnsi="TimesNewRomanPSMT" w:eastAsia="TimesNewRomanPSMT"/>
                <w:color w:val="auto"/>
                <w:spacing w:val="-2"/>
                <w:sz w:val="24"/>
              </w:rPr>
              <w:t>B</w:t>
            </w:r>
            <w:r>
              <w:rPr>
                <w:rFonts w:ascii="TimesNewRomanPSMT" w:hAnsi="TimesNewRomanPSMT" w:eastAsia="TimesNewRomanPSMT"/>
                <w:color w:val="auto"/>
                <w:sz w:val="24"/>
              </w:rPr>
              <w:t>3096-2008</w:t>
            </w:r>
            <w:r>
              <w:rPr>
                <w:rFonts w:ascii="5SW77cqp+SimSun" w:hAnsi="5SW77cqp+SimSun" w:eastAsia="5SW77cqp+SimSun"/>
                <w:color w:val="auto"/>
                <w:sz w:val="24"/>
              </w:rPr>
              <w:t>）中</w:t>
            </w:r>
            <w:r>
              <w:rPr>
                <w:rFonts w:hint="eastAsia" w:ascii="TimesNewRomanPSMT" w:hAnsi="TimesNewRomanPSMT" w:eastAsia="宋体"/>
                <w:color w:val="auto"/>
                <w:sz w:val="24"/>
                <w:lang w:val="en-US" w:eastAsia="zh-CN"/>
              </w:rPr>
              <w:t>2</w:t>
            </w:r>
            <w:r>
              <w:rPr>
                <w:rFonts w:ascii="5SW77cqp+SimSun" w:hAnsi="5SW77cqp+SimSun" w:eastAsia="5SW77cqp+SimSun"/>
                <w:color w:val="auto"/>
                <w:sz w:val="24"/>
              </w:rPr>
              <w:t>类标准</w:t>
            </w:r>
            <w:r>
              <w:rPr>
                <w:rFonts w:hint="eastAsia"/>
                <w:color w:val="auto"/>
                <w:sz w:val="24"/>
              </w:rPr>
              <w:t>详见表3.3-1</w:t>
            </w:r>
          </w:p>
          <w:p w14:paraId="3306A665">
            <w:pPr>
              <w:spacing w:line="360" w:lineRule="auto"/>
              <w:jc w:val="center"/>
              <w:rPr>
                <w:b/>
                <w:bCs/>
                <w:color w:val="auto"/>
                <w:kern w:val="0"/>
                <w:sz w:val="24"/>
                <w:szCs w:val="20"/>
              </w:rPr>
            </w:pPr>
            <w:r>
              <w:rPr>
                <w:b/>
                <w:bCs/>
                <w:color w:val="auto"/>
                <w:kern w:val="0"/>
                <w:sz w:val="24"/>
                <w:szCs w:val="20"/>
              </w:rPr>
              <w:t>表3.3</w:t>
            </w:r>
            <w:r>
              <w:rPr>
                <w:rFonts w:hint="eastAsia"/>
                <w:b/>
                <w:bCs/>
                <w:color w:val="auto"/>
                <w:kern w:val="0"/>
                <w:sz w:val="24"/>
                <w:szCs w:val="20"/>
              </w:rPr>
              <w:t>-</w:t>
            </w:r>
            <w:r>
              <w:rPr>
                <w:b/>
                <w:bCs/>
                <w:color w:val="auto"/>
                <w:kern w:val="0"/>
                <w:sz w:val="24"/>
                <w:szCs w:val="20"/>
              </w:rPr>
              <w:t>1</w:t>
            </w:r>
            <w:r>
              <w:rPr>
                <w:b/>
                <w:bCs/>
                <w:color w:val="auto"/>
                <w:sz w:val="24"/>
              </w:rPr>
              <w:t>《</w:t>
            </w:r>
            <w:r>
              <w:rPr>
                <w:b/>
                <w:bCs/>
                <w:color w:val="auto"/>
                <w:kern w:val="0"/>
                <w:sz w:val="24"/>
                <w:szCs w:val="20"/>
              </w:rPr>
              <w:t>声环境质量标准</w:t>
            </w:r>
            <w:r>
              <w:rPr>
                <w:b/>
                <w:bCs/>
                <w:color w:val="auto"/>
                <w:sz w:val="24"/>
              </w:rPr>
              <w:t>》</w:t>
            </w:r>
            <w:r>
              <w:rPr>
                <w:b/>
                <w:bCs/>
                <w:color w:val="auto"/>
                <w:kern w:val="0"/>
                <w:sz w:val="24"/>
                <w:szCs w:val="20"/>
              </w:rPr>
              <w:t>（GB3096-2008）单位：dB(A)</w:t>
            </w:r>
          </w:p>
          <w:tbl>
            <w:tblPr>
              <w:tblStyle w:val="17"/>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2720"/>
              <w:gridCol w:w="2978"/>
            </w:tblGrid>
            <w:tr w14:paraId="5B31D9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603" w:type="pct"/>
                  <w:tcBorders>
                    <w:tl2br w:val="nil"/>
                    <w:tr2bl w:val="nil"/>
                  </w:tcBorders>
                  <w:noWrap w:val="0"/>
                  <w:vAlign w:val="center"/>
                </w:tcPr>
                <w:p w14:paraId="250BBEB0">
                  <w:pPr>
                    <w:pStyle w:val="36"/>
                    <w:tabs>
                      <w:tab w:val="left" w:pos="1980"/>
                      <w:tab w:val="left" w:pos="3825"/>
                      <w:tab w:val="left" w:pos="4680"/>
                      <w:tab w:val="clear" w:pos="0"/>
                    </w:tabs>
                    <w:rPr>
                      <w:rFonts w:ascii="Times New Roman" w:hAnsi="Times New Roman" w:eastAsia="宋体" w:cs="Times New Roman"/>
                      <w:color w:val="auto"/>
                    </w:rPr>
                  </w:pPr>
                  <w:r>
                    <w:rPr>
                      <w:rFonts w:ascii="Times New Roman" w:hAnsi="Times New Roman" w:eastAsia="宋体" w:cs="Times New Roman"/>
                      <w:color w:val="auto"/>
                    </w:rPr>
                    <w:t>类别</w:t>
                  </w:r>
                </w:p>
              </w:tc>
              <w:tc>
                <w:tcPr>
                  <w:tcW w:w="1621" w:type="pct"/>
                  <w:tcBorders>
                    <w:tl2br w:val="nil"/>
                    <w:tr2bl w:val="nil"/>
                  </w:tcBorders>
                  <w:noWrap w:val="0"/>
                  <w:vAlign w:val="center"/>
                </w:tcPr>
                <w:p w14:paraId="70E3C19B">
                  <w:pPr>
                    <w:pStyle w:val="36"/>
                    <w:tabs>
                      <w:tab w:val="left" w:pos="1980"/>
                      <w:tab w:val="left" w:pos="3825"/>
                      <w:tab w:val="left" w:pos="4680"/>
                      <w:tab w:val="clear" w:pos="0"/>
                    </w:tabs>
                    <w:rPr>
                      <w:rFonts w:ascii="Times New Roman" w:hAnsi="Times New Roman" w:eastAsia="宋体" w:cs="Times New Roman"/>
                      <w:color w:val="auto"/>
                    </w:rPr>
                  </w:pPr>
                  <w:r>
                    <w:rPr>
                      <w:rFonts w:ascii="Times New Roman" w:hAnsi="Times New Roman" w:eastAsia="宋体" w:cs="Times New Roman"/>
                      <w:color w:val="auto"/>
                    </w:rPr>
                    <w:t>昼间</w:t>
                  </w:r>
                </w:p>
              </w:tc>
              <w:tc>
                <w:tcPr>
                  <w:tcW w:w="1775" w:type="pct"/>
                  <w:tcBorders>
                    <w:tl2br w:val="nil"/>
                    <w:tr2bl w:val="nil"/>
                  </w:tcBorders>
                  <w:noWrap w:val="0"/>
                  <w:vAlign w:val="center"/>
                </w:tcPr>
                <w:p w14:paraId="675C6F99">
                  <w:pPr>
                    <w:pStyle w:val="36"/>
                    <w:tabs>
                      <w:tab w:val="left" w:pos="1980"/>
                      <w:tab w:val="left" w:pos="3825"/>
                      <w:tab w:val="left" w:pos="4680"/>
                      <w:tab w:val="clear" w:pos="0"/>
                    </w:tabs>
                    <w:rPr>
                      <w:rFonts w:ascii="Times New Roman" w:hAnsi="Times New Roman" w:eastAsia="宋体" w:cs="Times New Roman"/>
                      <w:color w:val="auto"/>
                    </w:rPr>
                  </w:pPr>
                  <w:r>
                    <w:rPr>
                      <w:rFonts w:ascii="Times New Roman" w:hAnsi="Times New Roman" w:eastAsia="宋体" w:cs="Times New Roman"/>
                      <w:color w:val="auto"/>
                    </w:rPr>
                    <w:t>夜间</w:t>
                  </w:r>
                </w:p>
              </w:tc>
            </w:tr>
            <w:tr w14:paraId="3D7E4B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603" w:type="pct"/>
                  <w:tcBorders>
                    <w:tl2br w:val="nil"/>
                    <w:tr2bl w:val="nil"/>
                  </w:tcBorders>
                  <w:noWrap w:val="0"/>
                  <w:vAlign w:val="center"/>
                </w:tcPr>
                <w:p w14:paraId="6ACA4C4F">
                  <w:pPr>
                    <w:pStyle w:val="36"/>
                    <w:tabs>
                      <w:tab w:val="left" w:pos="1980"/>
                      <w:tab w:val="left" w:pos="3825"/>
                      <w:tab w:val="left" w:pos="4680"/>
                      <w:tab w:val="clear" w:pos="0"/>
                    </w:tabs>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类</w:t>
                  </w:r>
                </w:p>
              </w:tc>
              <w:tc>
                <w:tcPr>
                  <w:tcW w:w="1621" w:type="pct"/>
                  <w:tcBorders>
                    <w:tl2br w:val="nil"/>
                    <w:tr2bl w:val="nil"/>
                  </w:tcBorders>
                  <w:noWrap w:val="0"/>
                  <w:vAlign w:val="center"/>
                </w:tcPr>
                <w:p w14:paraId="6A538E29">
                  <w:pPr>
                    <w:pStyle w:val="36"/>
                    <w:tabs>
                      <w:tab w:val="left" w:pos="1980"/>
                      <w:tab w:val="left" w:pos="3825"/>
                      <w:tab w:val="left" w:pos="4680"/>
                      <w:tab w:val="clear" w:pos="0"/>
                    </w:tabs>
                    <w:rPr>
                      <w:rFonts w:hint="eastAsia" w:ascii="Times New Roman" w:hAnsi="Times New Roman" w:eastAsia="宋体" w:cs="Times New Roman"/>
                      <w:color w:val="auto"/>
                      <w:lang w:eastAsia="zh-CN"/>
                    </w:rPr>
                  </w:pPr>
                  <w:r>
                    <w:rPr>
                      <w:rFonts w:ascii="Times New Roman" w:hAnsi="Times New Roman" w:eastAsia="宋体" w:cs="Times New Roman"/>
                      <w:color w:val="auto"/>
                    </w:rPr>
                    <w:t>6</w:t>
                  </w:r>
                  <w:r>
                    <w:rPr>
                      <w:rFonts w:hint="eastAsia" w:ascii="Times New Roman" w:hAnsi="Times New Roman" w:eastAsia="宋体" w:cs="Times New Roman"/>
                      <w:color w:val="auto"/>
                      <w:lang w:val="en-US" w:eastAsia="zh-CN"/>
                    </w:rPr>
                    <w:t>0</w:t>
                  </w:r>
                </w:p>
              </w:tc>
              <w:tc>
                <w:tcPr>
                  <w:tcW w:w="1775" w:type="pct"/>
                  <w:tcBorders>
                    <w:tl2br w:val="nil"/>
                    <w:tr2bl w:val="nil"/>
                  </w:tcBorders>
                  <w:noWrap w:val="0"/>
                  <w:vAlign w:val="center"/>
                </w:tcPr>
                <w:p w14:paraId="09FFD186">
                  <w:pPr>
                    <w:pStyle w:val="36"/>
                    <w:tabs>
                      <w:tab w:val="left" w:pos="1980"/>
                      <w:tab w:val="left" w:pos="3825"/>
                      <w:tab w:val="left" w:pos="4680"/>
                      <w:tab w:val="clear" w:pos="0"/>
                    </w:tabs>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50</w:t>
                  </w:r>
                </w:p>
              </w:tc>
            </w:tr>
            <w:tr w14:paraId="4F24FA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603" w:type="pct"/>
                  <w:tcBorders>
                    <w:tl2br w:val="nil"/>
                    <w:tr2bl w:val="nil"/>
                  </w:tcBorders>
                  <w:noWrap w:val="0"/>
                  <w:vAlign w:val="center"/>
                </w:tcPr>
                <w:p w14:paraId="049A5B81">
                  <w:pPr>
                    <w:pStyle w:val="36"/>
                    <w:tabs>
                      <w:tab w:val="left" w:pos="1980"/>
                      <w:tab w:val="left" w:pos="3825"/>
                      <w:tab w:val="left" w:pos="4680"/>
                      <w:tab w:val="clear" w:pos="0"/>
                    </w:tabs>
                    <w:rPr>
                      <w:rFonts w:hint="eastAsia" w:ascii="Times New Roman" w:hAnsi="Times New Roman" w:eastAsia="宋体" w:cs="Times New Roman"/>
                      <w:color w:val="auto"/>
                      <w:lang w:val="en-US" w:eastAsia="zh-CN"/>
                    </w:rPr>
                  </w:pPr>
                  <w:r>
                    <w:rPr>
                      <w:rFonts w:ascii="Times New Roman" w:hAnsi="Times New Roman" w:eastAsia="宋体" w:cs="Times New Roman"/>
                      <w:color w:val="auto"/>
                    </w:rPr>
                    <w:t>4a</w:t>
                  </w:r>
                  <w:r>
                    <w:rPr>
                      <w:rFonts w:hint="eastAsia" w:ascii="Times New Roman" w:hAnsi="Times New Roman" w:eastAsia="宋体" w:cs="Times New Roman"/>
                      <w:color w:val="auto"/>
                    </w:rPr>
                    <w:t>类</w:t>
                  </w:r>
                </w:p>
              </w:tc>
              <w:tc>
                <w:tcPr>
                  <w:tcW w:w="1621" w:type="pct"/>
                  <w:tcBorders>
                    <w:tl2br w:val="nil"/>
                    <w:tr2bl w:val="nil"/>
                  </w:tcBorders>
                  <w:noWrap w:val="0"/>
                  <w:vAlign w:val="center"/>
                </w:tcPr>
                <w:p w14:paraId="54628419">
                  <w:pPr>
                    <w:pStyle w:val="36"/>
                    <w:tabs>
                      <w:tab w:val="left" w:pos="1980"/>
                      <w:tab w:val="left" w:pos="3825"/>
                      <w:tab w:val="left" w:pos="4680"/>
                      <w:tab w:val="clear" w:pos="0"/>
                    </w:tabs>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70</w:t>
                  </w:r>
                </w:p>
              </w:tc>
              <w:tc>
                <w:tcPr>
                  <w:tcW w:w="1775" w:type="pct"/>
                  <w:tcBorders>
                    <w:tl2br w:val="nil"/>
                    <w:tr2bl w:val="nil"/>
                  </w:tcBorders>
                  <w:noWrap w:val="0"/>
                  <w:vAlign w:val="center"/>
                </w:tcPr>
                <w:p w14:paraId="44CB6FB5">
                  <w:pPr>
                    <w:pStyle w:val="36"/>
                    <w:tabs>
                      <w:tab w:val="left" w:pos="1980"/>
                      <w:tab w:val="left" w:pos="3825"/>
                      <w:tab w:val="left" w:pos="4680"/>
                      <w:tab w:val="clear" w:pos="0"/>
                    </w:tabs>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55</w:t>
                  </w:r>
                </w:p>
              </w:tc>
            </w:tr>
          </w:tbl>
          <w:p w14:paraId="0DA5A357">
            <w:pPr>
              <w:spacing w:line="360" w:lineRule="auto"/>
              <w:jc w:val="left"/>
              <w:rPr>
                <w:b/>
                <w:bCs/>
                <w:color w:val="auto"/>
                <w:sz w:val="24"/>
              </w:rPr>
            </w:pPr>
            <w:r>
              <w:rPr>
                <w:b/>
                <w:bCs/>
                <w:color w:val="auto"/>
                <w:sz w:val="28"/>
                <w:szCs w:val="28"/>
              </w:rPr>
              <w:t>3.3.2声环境质量现状</w:t>
            </w:r>
          </w:p>
          <w:p w14:paraId="048BDA3F">
            <w:pPr>
              <w:widowControl/>
              <w:spacing w:line="360" w:lineRule="auto"/>
              <w:ind w:firstLine="480" w:firstLineChars="200"/>
              <w:jc w:val="left"/>
              <w:rPr>
                <w:rFonts w:hint="eastAsia" w:eastAsia="宋体"/>
                <w:color w:val="auto"/>
                <w:lang w:eastAsia="zh-CN"/>
              </w:rPr>
            </w:pPr>
            <w:r>
              <w:rPr>
                <w:rFonts w:hint="eastAsia" w:ascii="宋体" w:hAnsi="宋体" w:cs="宋体"/>
                <w:color w:val="auto"/>
                <w:kern w:val="0"/>
                <w:sz w:val="24"/>
                <w:lang w:bidi="ar"/>
              </w:rPr>
              <w:t>根据《建设项目环境影响报告表编制技术指南</w:t>
            </w:r>
            <w:r>
              <w:rPr>
                <w:color w:val="auto"/>
                <w:kern w:val="0"/>
                <w:sz w:val="24"/>
                <w:lang w:bidi="ar"/>
              </w:rPr>
              <w:t>(</w:t>
            </w:r>
            <w:r>
              <w:rPr>
                <w:rFonts w:hint="eastAsia" w:ascii="宋体" w:hAnsi="宋体" w:cs="宋体"/>
                <w:color w:val="auto"/>
                <w:kern w:val="0"/>
                <w:sz w:val="24"/>
                <w:lang w:bidi="ar"/>
              </w:rPr>
              <w:t>污染影响类</w:t>
            </w:r>
            <w:r>
              <w:rPr>
                <w:color w:val="auto"/>
                <w:kern w:val="0"/>
                <w:sz w:val="24"/>
                <w:lang w:bidi="ar"/>
              </w:rPr>
              <w:t>)(</w:t>
            </w:r>
            <w:r>
              <w:rPr>
                <w:rFonts w:hint="eastAsia" w:ascii="宋体" w:hAnsi="宋体" w:cs="宋体"/>
                <w:color w:val="auto"/>
                <w:kern w:val="0"/>
                <w:sz w:val="24"/>
                <w:lang w:bidi="ar"/>
              </w:rPr>
              <w:t>试行</w:t>
            </w:r>
            <w:r>
              <w:rPr>
                <w:color w:val="auto"/>
                <w:kern w:val="0"/>
                <w:sz w:val="24"/>
                <w:lang w:bidi="ar"/>
              </w:rPr>
              <w:t>)</w:t>
            </w:r>
            <w:r>
              <w:rPr>
                <w:rFonts w:hint="eastAsia" w:ascii="宋体" w:hAnsi="宋体" w:cs="宋体"/>
                <w:color w:val="auto"/>
                <w:kern w:val="0"/>
                <w:sz w:val="24"/>
                <w:lang w:bidi="ar"/>
              </w:rPr>
              <w:t>》</w:t>
            </w:r>
            <w:r>
              <w:rPr>
                <w:color w:val="auto"/>
                <w:kern w:val="0"/>
                <w:sz w:val="24"/>
                <w:lang w:bidi="ar"/>
              </w:rPr>
              <w:t>(</w:t>
            </w:r>
            <w:r>
              <w:rPr>
                <w:rFonts w:hint="eastAsia" w:ascii="宋体" w:hAnsi="宋体" w:cs="宋体"/>
                <w:color w:val="auto"/>
                <w:kern w:val="0"/>
                <w:sz w:val="24"/>
                <w:lang w:bidi="ar"/>
              </w:rPr>
              <w:t>环办</w:t>
            </w:r>
          </w:p>
          <w:p w14:paraId="4BBF2F0C">
            <w:pPr>
              <w:widowControl/>
              <w:spacing w:line="360" w:lineRule="auto"/>
              <w:jc w:val="left"/>
              <w:rPr>
                <w:rFonts w:hint="default" w:ascii="宋体" w:hAnsi="宋体" w:eastAsia="宋体" w:cs="宋体"/>
                <w:color w:val="FF0000"/>
                <w:kern w:val="0"/>
                <w:sz w:val="24"/>
                <w:lang w:val="en-US" w:eastAsia="zh-CN" w:bidi="ar"/>
              </w:rPr>
            </w:pPr>
            <w:r>
              <w:rPr>
                <w:rFonts w:hint="eastAsia" w:ascii="宋体" w:hAnsi="宋体" w:cs="宋体"/>
                <w:color w:val="auto"/>
                <w:kern w:val="0"/>
                <w:sz w:val="24"/>
                <w:lang w:bidi="ar"/>
              </w:rPr>
              <w:t>环评〔</w:t>
            </w:r>
            <w:r>
              <w:rPr>
                <w:color w:val="auto"/>
                <w:kern w:val="0"/>
                <w:sz w:val="24"/>
                <w:lang w:bidi="ar"/>
              </w:rPr>
              <w:t>2020</w:t>
            </w:r>
            <w:r>
              <w:rPr>
                <w:rFonts w:hint="eastAsia" w:ascii="宋体" w:hAnsi="宋体" w:cs="宋体"/>
                <w:color w:val="auto"/>
                <w:kern w:val="0"/>
                <w:sz w:val="24"/>
                <w:lang w:bidi="ar"/>
              </w:rPr>
              <w:t>〕</w:t>
            </w:r>
            <w:r>
              <w:rPr>
                <w:color w:val="auto"/>
                <w:kern w:val="0"/>
                <w:sz w:val="24"/>
                <w:lang w:bidi="ar"/>
              </w:rPr>
              <w:t>33</w:t>
            </w:r>
            <w:r>
              <w:rPr>
                <w:rFonts w:hint="eastAsia" w:ascii="宋体" w:hAnsi="宋体" w:cs="宋体"/>
                <w:color w:val="auto"/>
                <w:kern w:val="0"/>
                <w:sz w:val="24"/>
                <w:lang w:bidi="ar"/>
              </w:rPr>
              <w:t>号</w:t>
            </w:r>
            <w:r>
              <w:rPr>
                <w:color w:val="auto"/>
                <w:kern w:val="0"/>
                <w:sz w:val="24"/>
                <w:lang w:bidi="ar"/>
              </w:rPr>
              <w:t>)</w:t>
            </w:r>
            <w:r>
              <w:rPr>
                <w:rFonts w:hint="eastAsia" w:ascii="宋体" w:hAnsi="宋体" w:cs="宋体"/>
                <w:color w:val="auto"/>
                <w:kern w:val="0"/>
                <w:sz w:val="24"/>
                <w:lang w:bidi="ar"/>
              </w:rPr>
              <w:t>的要求：厂界外周边</w:t>
            </w:r>
            <w:r>
              <w:rPr>
                <w:color w:val="auto"/>
                <w:kern w:val="0"/>
                <w:sz w:val="24"/>
                <w:lang w:bidi="ar"/>
              </w:rPr>
              <w:t>50</w:t>
            </w:r>
            <w:r>
              <w:rPr>
                <w:rFonts w:hint="eastAsia" w:ascii="宋体" w:hAnsi="宋体" w:cs="宋体"/>
                <w:color w:val="auto"/>
                <w:kern w:val="0"/>
                <w:sz w:val="24"/>
                <w:lang w:bidi="ar"/>
              </w:rPr>
              <w:t>米范围内存在声环境保护目标的建设项目，应监测保护目标声环境质量现状并评价达标情况。根据环境影响评价网</w:t>
            </w:r>
            <w:r>
              <w:rPr>
                <w:color w:val="auto"/>
                <w:kern w:val="0"/>
                <w:sz w:val="24"/>
                <w:lang w:bidi="ar"/>
              </w:rPr>
              <w:t>(</w:t>
            </w:r>
            <w:r>
              <w:rPr>
                <w:rFonts w:hint="eastAsia" w:ascii="宋体" w:hAnsi="宋体" w:cs="宋体"/>
                <w:color w:val="auto"/>
                <w:kern w:val="0"/>
                <w:sz w:val="24"/>
                <w:lang w:bidi="ar"/>
              </w:rPr>
              <w:t>生态环境部环境工程评估中心</w:t>
            </w:r>
            <w:r>
              <w:rPr>
                <w:color w:val="auto"/>
                <w:kern w:val="0"/>
                <w:sz w:val="24"/>
                <w:lang w:bidi="ar"/>
              </w:rPr>
              <w:t>)</w:t>
            </w:r>
            <w:r>
              <w:rPr>
                <w:rFonts w:hint="eastAsia" w:ascii="宋体" w:hAnsi="宋体" w:cs="宋体"/>
                <w:color w:val="auto"/>
                <w:kern w:val="0"/>
                <w:sz w:val="24"/>
                <w:lang w:bidi="ar"/>
              </w:rPr>
              <w:t>关于《建设项目环境影响报告表》内容、格式及编制技术指南常见问题解答：“厂界外周边</w:t>
            </w:r>
            <w:r>
              <w:rPr>
                <w:color w:val="auto"/>
                <w:kern w:val="0"/>
                <w:sz w:val="24"/>
                <w:lang w:bidi="ar"/>
              </w:rPr>
              <w:t>50</w:t>
            </w:r>
            <w:r>
              <w:rPr>
                <w:rFonts w:hint="eastAsia" w:ascii="宋体" w:hAnsi="宋体" w:cs="宋体"/>
                <w:color w:val="auto"/>
                <w:kern w:val="0"/>
                <w:sz w:val="24"/>
                <w:lang w:bidi="ar"/>
              </w:rPr>
              <w:t>米范围内存在声环境保护目标的建设项目，应监测声环境质量现状，</w:t>
            </w:r>
            <w:r>
              <w:rPr>
                <w:rFonts w:hint="default" w:ascii="Times New Roman" w:hAnsi="Times New Roman" w:cs="Times New Roman"/>
                <w:color w:val="000000"/>
                <w:kern w:val="0"/>
                <w:sz w:val="24"/>
                <w:lang w:bidi="ar"/>
              </w:rPr>
              <w:t>监测点位为声环境保护目标处。根据现场调查，项目厂界外50m范围内</w:t>
            </w:r>
            <w:r>
              <w:rPr>
                <w:rFonts w:hint="default" w:ascii="Times New Roman" w:hAnsi="Times New Roman" w:cs="Times New Roman"/>
                <w:color w:val="000000"/>
                <w:kern w:val="0"/>
                <w:sz w:val="24"/>
                <w:lang w:val="en-US" w:eastAsia="zh-CN" w:bidi="ar"/>
              </w:rPr>
              <w:t>有</w:t>
            </w:r>
            <w:r>
              <w:rPr>
                <w:rFonts w:hint="default" w:ascii="Times New Roman" w:hAnsi="Times New Roman" w:cs="Times New Roman"/>
                <w:color w:val="000000"/>
                <w:kern w:val="0"/>
                <w:sz w:val="24"/>
                <w:lang w:bidi="ar"/>
              </w:rPr>
              <w:t>声环境保护目标，</w:t>
            </w:r>
            <w:r>
              <w:rPr>
                <w:rFonts w:hint="default" w:ascii="Times New Roman" w:hAnsi="Times New Roman" w:eastAsia="宋体" w:cs="Times New Roman"/>
                <w:color w:val="000000"/>
                <w:kern w:val="0"/>
                <w:sz w:val="24"/>
                <w:lang w:bidi="ar"/>
              </w:rPr>
              <w:t>因此，本评价</w:t>
            </w:r>
            <w:r>
              <w:rPr>
                <w:rFonts w:hint="default" w:ascii="Times New Roman" w:hAnsi="Times New Roman" w:eastAsia="宋体" w:cs="Times New Roman"/>
                <w:color w:val="000000"/>
                <w:kern w:val="0"/>
                <w:sz w:val="24"/>
                <w:lang w:val="en-US" w:eastAsia="zh-CN" w:bidi="ar"/>
              </w:rPr>
              <w:t xml:space="preserve">委托福建九五检测技术 服务有限公司于2026年03月09 </w:t>
            </w:r>
            <w:r>
              <w:rPr>
                <w:rFonts w:hint="default" w:ascii="Times New Roman" w:hAnsi="Times New Roman" w:cs="Times New Roman"/>
                <w:color w:val="000000"/>
                <w:kern w:val="0"/>
                <w:sz w:val="24"/>
                <w:lang w:val="en-US" w:eastAsia="zh-CN" w:bidi="ar"/>
              </w:rPr>
              <w:t>对项目厂界四周及敏感点</w:t>
            </w:r>
            <w:r>
              <w:rPr>
                <w:rFonts w:hint="default" w:ascii="Times New Roman" w:hAnsi="Times New Roman" w:cs="Times New Roman"/>
                <w:color w:val="000000"/>
                <w:kern w:val="0"/>
                <w:sz w:val="24"/>
                <w:lang w:bidi="ar"/>
              </w:rPr>
              <w:t>进行声环境质量现状</w:t>
            </w:r>
            <w:r>
              <w:rPr>
                <w:rFonts w:hint="default" w:ascii="Times New Roman" w:hAnsi="Times New Roman" w:cs="Times New Roman"/>
                <w:color w:val="000000"/>
                <w:kern w:val="0"/>
                <w:sz w:val="24"/>
                <w:lang w:val="en-US" w:eastAsia="zh-CN" w:bidi="ar"/>
              </w:rPr>
              <w:t>检测</w:t>
            </w:r>
            <w:r>
              <w:rPr>
                <w:rFonts w:hint="default" w:ascii="Times New Roman" w:hAnsi="Times New Roman" w:cs="Times New Roman"/>
                <w:color w:val="000000"/>
                <w:kern w:val="0"/>
                <w:sz w:val="24"/>
                <w:lang w:eastAsia="zh-CN" w:bidi="ar"/>
              </w:rPr>
              <w:t>，</w:t>
            </w:r>
            <w:r>
              <w:rPr>
                <w:rFonts w:hint="default" w:ascii="Times New Roman" w:hAnsi="Times New Roman" w:cs="Times New Roman"/>
                <w:color w:val="000000"/>
                <w:kern w:val="0"/>
                <w:sz w:val="24"/>
                <w:lang w:val="en-US" w:eastAsia="zh-CN" w:bidi="ar"/>
              </w:rPr>
              <w:t>检测结果如表3.3-2</w:t>
            </w:r>
            <w:r>
              <w:rPr>
                <w:rFonts w:hint="default" w:ascii="Times New Roman" w:hAnsi="Times New Roman" w:cs="Times New Roman"/>
                <w:color w:val="000000"/>
                <w:kern w:val="0"/>
                <w:sz w:val="24"/>
                <w:lang w:bidi="ar"/>
              </w:rPr>
              <w:t>。</w:t>
            </w:r>
            <w:r>
              <w:rPr>
                <w:rFonts w:hint="default" w:ascii="Times New Roman" w:hAnsi="Times New Roman" w:cs="Times New Roman"/>
                <w:color w:val="000000"/>
                <w:kern w:val="0"/>
                <w:sz w:val="24"/>
                <w:lang w:val="en-US" w:eastAsia="zh-CN" w:bidi="ar"/>
              </w:rPr>
              <w:t>检测结果显示</w:t>
            </w:r>
            <w:r>
              <w:rPr>
                <w:rFonts w:hint="default" w:ascii="Times New Roman" w:hAnsi="Times New Roman" w:cs="Times New Roman"/>
                <w:color w:val="000000"/>
                <w:kern w:val="0"/>
                <w:sz w:val="24"/>
                <w:szCs w:val="24"/>
                <w:lang w:val="en-US" w:eastAsia="zh-CN" w:bidi="ar"/>
              </w:rPr>
              <w:t>，</w:t>
            </w:r>
            <w:r>
              <w:rPr>
                <w:rFonts w:hint="default" w:ascii="Times New Roman" w:hAnsi="Times New Roman" w:cs="Times New Roman"/>
                <w:spacing w:val="-3"/>
                <w:sz w:val="24"/>
                <w:szCs w:val="24"/>
              </w:rPr>
              <w:t>厂</w:t>
            </w:r>
            <w:r>
              <w:rPr>
                <w:spacing w:val="-3"/>
                <w:sz w:val="24"/>
                <w:szCs w:val="24"/>
              </w:rPr>
              <w:t>界东侧</w:t>
            </w:r>
            <w:r>
              <w:rPr>
                <w:rFonts w:hint="eastAsia"/>
                <w:spacing w:val="-3"/>
                <w:sz w:val="24"/>
                <w:szCs w:val="24"/>
                <w:lang w:val="en-US" w:eastAsia="zh-CN"/>
              </w:rPr>
              <w:t>满足</w:t>
            </w:r>
            <w:r>
              <w:rPr>
                <w:color w:val="auto"/>
                <w:sz w:val="24"/>
                <w:szCs w:val="24"/>
              </w:rPr>
              <w:t>《工业企业厂界环境噪声排放标准》（GB12348-2008）</w:t>
            </w:r>
            <w:r>
              <w:rPr>
                <w:rFonts w:hint="eastAsia"/>
                <w:color w:val="auto"/>
                <w:sz w:val="24"/>
                <w:szCs w:val="24"/>
                <w:lang w:val="en-US" w:eastAsia="zh-CN"/>
              </w:rPr>
              <w:t>4a</w:t>
            </w:r>
            <w:r>
              <w:rPr>
                <w:color w:val="auto"/>
                <w:sz w:val="24"/>
                <w:szCs w:val="24"/>
              </w:rPr>
              <w:t>类标准，</w:t>
            </w:r>
            <w:r>
              <w:rPr>
                <w:rFonts w:hint="eastAsia"/>
                <w:spacing w:val="-7"/>
                <w:sz w:val="24"/>
                <w:szCs w:val="24"/>
                <w:lang w:val="en-US" w:eastAsia="zh-CN"/>
              </w:rPr>
              <w:t>其余</w:t>
            </w:r>
            <w:r>
              <w:rPr>
                <w:color w:val="auto"/>
                <w:sz w:val="24"/>
                <w:szCs w:val="24"/>
              </w:rPr>
              <w:t>《工业企业厂界环境噪声排放标准》（GB12348-2008）</w:t>
            </w:r>
            <w:r>
              <w:rPr>
                <w:rFonts w:ascii="Times New Roman" w:hAnsi="Times New Roman" w:eastAsia="Times New Roman" w:cs="Times New Roman"/>
                <w:spacing w:val="-7"/>
                <w:sz w:val="24"/>
                <w:szCs w:val="24"/>
              </w:rPr>
              <w:t>2</w:t>
            </w:r>
            <w:r>
              <w:rPr>
                <w:rFonts w:ascii="Times New Roman" w:hAnsi="Times New Roman" w:eastAsia="Times New Roman" w:cs="Times New Roman"/>
                <w:spacing w:val="18"/>
                <w:sz w:val="24"/>
                <w:szCs w:val="24"/>
              </w:rPr>
              <w:t xml:space="preserve"> </w:t>
            </w:r>
            <w:r>
              <w:rPr>
                <w:spacing w:val="-7"/>
                <w:sz w:val="24"/>
                <w:szCs w:val="24"/>
              </w:rPr>
              <w:t>类标准</w:t>
            </w:r>
            <w:r>
              <w:rPr>
                <w:rFonts w:hint="eastAsia"/>
                <w:spacing w:val="-7"/>
                <w:sz w:val="24"/>
                <w:szCs w:val="24"/>
                <w:lang w:eastAsia="zh-CN"/>
              </w:rPr>
              <w:t>，</w:t>
            </w:r>
            <w:r>
              <w:rPr>
                <w:rFonts w:hint="eastAsia"/>
                <w:spacing w:val="-7"/>
                <w:sz w:val="24"/>
                <w:szCs w:val="24"/>
                <w:lang w:val="en-US" w:eastAsia="zh-CN"/>
              </w:rPr>
              <w:t>敏感点满足</w:t>
            </w:r>
            <w:r>
              <w:rPr>
                <w:spacing w:val="-7"/>
                <w:sz w:val="24"/>
                <w:szCs w:val="24"/>
              </w:rPr>
              <w:t>《声环境质量标准》（</w:t>
            </w:r>
            <w:r>
              <w:rPr>
                <w:rFonts w:ascii="Times New Roman" w:hAnsi="Times New Roman" w:eastAsia="Times New Roman" w:cs="Times New Roman"/>
                <w:spacing w:val="-7"/>
                <w:sz w:val="24"/>
                <w:szCs w:val="24"/>
              </w:rPr>
              <w:t>GB 3096-2008</w:t>
            </w:r>
            <w:r>
              <w:rPr>
                <w:spacing w:val="-7"/>
                <w:sz w:val="24"/>
                <w:szCs w:val="24"/>
              </w:rPr>
              <w:t>）</w:t>
            </w:r>
            <w:r>
              <w:rPr>
                <w:rFonts w:ascii="Times New Roman" w:hAnsi="Times New Roman" w:eastAsia="Times New Roman" w:cs="Times New Roman"/>
                <w:spacing w:val="-7"/>
                <w:sz w:val="24"/>
                <w:szCs w:val="24"/>
              </w:rPr>
              <w:t>2</w:t>
            </w:r>
            <w:r>
              <w:rPr>
                <w:rFonts w:ascii="Times New Roman" w:hAnsi="Times New Roman" w:eastAsia="Times New Roman" w:cs="Times New Roman"/>
                <w:spacing w:val="18"/>
                <w:sz w:val="24"/>
                <w:szCs w:val="24"/>
              </w:rPr>
              <w:t xml:space="preserve"> </w:t>
            </w:r>
            <w:r>
              <w:rPr>
                <w:spacing w:val="-7"/>
                <w:sz w:val="24"/>
                <w:szCs w:val="24"/>
              </w:rPr>
              <w:t>类标准。</w:t>
            </w:r>
          </w:p>
          <w:p w14:paraId="2E71DC41">
            <w:pPr>
              <w:spacing w:line="360" w:lineRule="auto"/>
              <w:jc w:val="center"/>
              <w:rPr>
                <w:rFonts w:hint="eastAsia" w:ascii="宋体" w:hAnsi="宋体" w:cs="宋体"/>
                <w:color w:val="FF0000"/>
                <w:kern w:val="0"/>
                <w:sz w:val="24"/>
                <w:lang w:bidi="ar"/>
              </w:rPr>
            </w:pPr>
            <w:r>
              <w:rPr>
                <w:b/>
                <w:bCs/>
                <w:color w:val="auto"/>
                <w:kern w:val="0"/>
                <w:sz w:val="24"/>
                <w:szCs w:val="20"/>
              </w:rPr>
              <w:t>表3.3</w:t>
            </w:r>
            <w:r>
              <w:rPr>
                <w:rFonts w:hint="eastAsia"/>
                <w:b/>
                <w:bCs/>
                <w:color w:val="auto"/>
                <w:kern w:val="0"/>
                <w:sz w:val="24"/>
                <w:szCs w:val="20"/>
              </w:rPr>
              <w:t>-</w:t>
            </w:r>
            <w:r>
              <w:rPr>
                <w:rFonts w:hint="eastAsia"/>
                <w:b/>
                <w:bCs/>
                <w:color w:val="auto"/>
                <w:kern w:val="0"/>
                <w:sz w:val="24"/>
                <w:szCs w:val="20"/>
                <w:lang w:val="en-US" w:eastAsia="zh-CN"/>
              </w:rPr>
              <w:t>2</w:t>
            </w:r>
            <w:r>
              <w:rPr>
                <w:b/>
                <w:bCs/>
                <w:spacing w:val="-5"/>
                <w:sz w:val="24"/>
                <w:szCs w:val="24"/>
              </w:rPr>
              <w:t>噪声检测结果</w:t>
            </w:r>
            <w:r>
              <w:rPr>
                <w:b/>
                <w:bCs/>
                <w:color w:val="auto"/>
                <w:kern w:val="0"/>
                <w:sz w:val="24"/>
                <w:szCs w:val="20"/>
              </w:rPr>
              <w:t>单位：dB(A)</w:t>
            </w:r>
          </w:p>
          <w:tbl>
            <w:tblPr>
              <w:tblStyle w:val="32"/>
              <w:tblW w:w="4998" w:type="pct"/>
              <w:tblInd w:w="12"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041"/>
              <w:gridCol w:w="2756"/>
              <w:gridCol w:w="1097"/>
              <w:gridCol w:w="1097"/>
              <w:gridCol w:w="1102"/>
              <w:gridCol w:w="1293"/>
            </w:tblGrid>
            <w:tr w14:paraId="04FBC80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621" w:type="pct"/>
                  <w:vMerge w:val="restart"/>
                  <w:tcBorders>
                    <w:tl2br w:val="nil"/>
                    <w:tr2bl w:val="nil"/>
                  </w:tcBorders>
                  <w:noWrap w:val="0"/>
                  <w:vAlign w:val="top"/>
                </w:tcPr>
                <w:p w14:paraId="6E0AAFA7">
                  <w:pPr>
                    <w:keepNext w:val="0"/>
                    <w:keepLines w:val="0"/>
                    <w:pageBreakBefore w:val="0"/>
                    <w:widowControl w:val="0"/>
                    <w:kinsoku/>
                    <w:wordWrap/>
                    <w:overflowPunct/>
                    <w:topLinePunct w:val="0"/>
                    <w:autoSpaceDE/>
                    <w:autoSpaceDN/>
                    <w:bidi w:val="0"/>
                    <w:adjustRightInd/>
                    <w:snapToGrid/>
                    <w:spacing w:line="374" w:lineRule="auto"/>
                    <w:ind w:firstLine="0"/>
                    <w:textAlignment w:val="auto"/>
                    <w:rPr>
                      <w:rFonts w:ascii="Arial"/>
                      <w:sz w:val="20"/>
                      <w:szCs w:val="22"/>
                    </w:rPr>
                  </w:pPr>
                </w:p>
                <w:p w14:paraId="3AB7EF14">
                  <w:pPr>
                    <w:pStyle w:val="30"/>
                    <w:keepNext w:val="0"/>
                    <w:keepLines w:val="0"/>
                    <w:pageBreakBefore w:val="0"/>
                    <w:widowControl w:val="0"/>
                    <w:kinsoku/>
                    <w:wordWrap/>
                    <w:overflowPunct/>
                    <w:topLinePunct w:val="0"/>
                    <w:autoSpaceDE/>
                    <w:autoSpaceDN/>
                    <w:bidi w:val="0"/>
                    <w:adjustRightInd/>
                    <w:snapToGrid/>
                    <w:spacing w:before="78" w:line="220" w:lineRule="auto"/>
                    <w:ind w:left="125" w:firstLine="0"/>
                    <w:textAlignment w:val="auto"/>
                    <w:rPr>
                      <w:sz w:val="22"/>
                      <w:szCs w:val="22"/>
                    </w:rPr>
                  </w:pPr>
                  <w:r>
                    <w:rPr>
                      <w:spacing w:val="-5"/>
                      <w:sz w:val="22"/>
                      <w:szCs w:val="22"/>
                    </w:rPr>
                    <w:t>检测日期</w:t>
                  </w:r>
                </w:p>
              </w:tc>
              <w:tc>
                <w:tcPr>
                  <w:tcW w:w="1643" w:type="pct"/>
                  <w:vMerge w:val="restart"/>
                  <w:tcBorders>
                    <w:tl2br w:val="nil"/>
                    <w:tr2bl w:val="nil"/>
                  </w:tcBorders>
                  <w:noWrap w:val="0"/>
                  <w:vAlign w:val="top"/>
                </w:tcPr>
                <w:p w14:paraId="70818825">
                  <w:pPr>
                    <w:keepNext w:val="0"/>
                    <w:keepLines w:val="0"/>
                    <w:pageBreakBefore w:val="0"/>
                    <w:widowControl w:val="0"/>
                    <w:kinsoku/>
                    <w:wordWrap/>
                    <w:overflowPunct/>
                    <w:topLinePunct w:val="0"/>
                    <w:autoSpaceDE/>
                    <w:autoSpaceDN/>
                    <w:bidi w:val="0"/>
                    <w:adjustRightInd/>
                    <w:snapToGrid/>
                    <w:spacing w:line="374" w:lineRule="auto"/>
                    <w:ind w:firstLine="0"/>
                    <w:textAlignment w:val="auto"/>
                    <w:rPr>
                      <w:rFonts w:ascii="Arial"/>
                      <w:sz w:val="20"/>
                      <w:szCs w:val="22"/>
                    </w:rPr>
                  </w:pPr>
                </w:p>
                <w:p w14:paraId="51DC5CA9">
                  <w:pPr>
                    <w:pStyle w:val="30"/>
                    <w:keepNext w:val="0"/>
                    <w:keepLines w:val="0"/>
                    <w:pageBreakBefore w:val="0"/>
                    <w:widowControl w:val="0"/>
                    <w:kinsoku/>
                    <w:wordWrap/>
                    <w:overflowPunct/>
                    <w:topLinePunct w:val="0"/>
                    <w:autoSpaceDE/>
                    <w:autoSpaceDN/>
                    <w:bidi w:val="0"/>
                    <w:adjustRightInd/>
                    <w:snapToGrid/>
                    <w:spacing w:before="78" w:line="220" w:lineRule="auto"/>
                    <w:ind w:left="1114" w:firstLine="0"/>
                    <w:textAlignment w:val="auto"/>
                    <w:rPr>
                      <w:sz w:val="22"/>
                      <w:szCs w:val="22"/>
                    </w:rPr>
                  </w:pPr>
                  <w:r>
                    <w:rPr>
                      <w:spacing w:val="-5"/>
                      <w:sz w:val="22"/>
                      <w:szCs w:val="22"/>
                    </w:rPr>
                    <w:t>检测点位</w:t>
                  </w:r>
                </w:p>
              </w:tc>
              <w:tc>
                <w:tcPr>
                  <w:tcW w:w="1965" w:type="pct"/>
                  <w:gridSpan w:val="3"/>
                  <w:tcBorders>
                    <w:tl2br w:val="nil"/>
                    <w:tr2bl w:val="nil"/>
                  </w:tcBorders>
                  <w:noWrap w:val="0"/>
                  <w:vAlign w:val="top"/>
                </w:tcPr>
                <w:p w14:paraId="321BD6E2">
                  <w:pPr>
                    <w:pStyle w:val="30"/>
                    <w:keepNext w:val="0"/>
                    <w:keepLines w:val="0"/>
                    <w:pageBreakBefore w:val="0"/>
                    <w:widowControl w:val="0"/>
                    <w:kinsoku/>
                    <w:wordWrap/>
                    <w:overflowPunct/>
                    <w:topLinePunct w:val="0"/>
                    <w:autoSpaceDE/>
                    <w:autoSpaceDN/>
                    <w:bidi w:val="0"/>
                    <w:adjustRightInd/>
                    <w:snapToGrid/>
                    <w:spacing w:before="166" w:line="220" w:lineRule="auto"/>
                    <w:ind w:left="727" w:firstLine="0"/>
                    <w:textAlignment w:val="auto"/>
                    <w:rPr>
                      <w:sz w:val="22"/>
                      <w:szCs w:val="22"/>
                    </w:rPr>
                  </w:pPr>
                  <w:r>
                    <w:rPr>
                      <w:spacing w:val="-2"/>
                      <w:sz w:val="22"/>
                      <w:szCs w:val="22"/>
                    </w:rPr>
                    <w:t>检测结果（</w:t>
                  </w:r>
                  <w:r>
                    <w:rPr>
                      <w:rFonts w:ascii="Times New Roman" w:hAnsi="Times New Roman" w:eastAsia="Times New Roman" w:cs="Times New Roman"/>
                      <w:spacing w:val="-2"/>
                      <w:sz w:val="22"/>
                      <w:szCs w:val="22"/>
                    </w:rPr>
                    <w:t>dB</w:t>
                  </w:r>
                  <w:r>
                    <w:rPr>
                      <w:spacing w:val="-2"/>
                      <w:sz w:val="22"/>
                      <w:szCs w:val="22"/>
                    </w:rPr>
                    <w:t>（</w:t>
                  </w:r>
                  <w:r>
                    <w:rPr>
                      <w:rFonts w:ascii="Times New Roman" w:hAnsi="Times New Roman" w:eastAsia="Times New Roman" w:cs="Times New Roman"/>
                      <w:spacing w:val="-2"/>
                      <w:sz w:val="22"/>
                      <w:szCs w:val="22"/>
                    </w:rPr>
                    <w:t>A</w:t>
                  </w:r>
                  <w:r>
                    <w:rPr>
                      <w:spacing w:val="-1"/>
                      <w:sz w:val="22"/>
                      <w:szCs w:val="22"/>
                    </w:rPr>
                    <w:t>））</w:t>
                  </w:r>
                </w:p>
              </w:tc>
              <w:tc>
                <w:tcPr>
                  <w:tcW w:w="769" w:type="pct"/>
                  <w:vMerge w:val="restart"/>
                  <w:tcBorders>
                    <w:tl2br w:val="nil"/>
                    <w:tr2bl w:val="nil"/>
                  </w:tcBorders>
                  <w:noWrap w:val="0"/>
                  <w:vAlign w:val="top"/>
                </w:tcPr>
                <w:p w14:paraId="50B6511B">
                  <w:pPr>
                    <w:pStyle w:val="30"/>
                    <w:keepNext w:val="0"/>
                    <w:keepLines w:val="0"/>
                    <w:pageBreakBefore w:val="0"/>
                    <w:widowControl w:val="0"/>
                    <w:kinsoku/>
                    <w:wordWrap/>
                    <w:overflowPunct/>
                    <w:topLinePunct w:val="0"/>
                    <w:autoSpaceDE/>
                    <w:autoSpaceDN/>
                    <w:bidi w:val="0"/>
                    <w:adjustRightInd/>
                    <w:snapToGrid/>
                    <w:spacing w:before="299" w:line="243" w:lineRule="auto"/>
                    <w:ind w:left="53" w:right="46" w:firstLine="0"/>
                    <w:textAlignment w:val="auto"/>
                    <w:rPr>
                      <w:sz w:val="22"/>
                      <w:szCs w:val="22"/>
                    </w:rPr>
                  </w:pPr>
                  <w:r>
                    <w:rPr>
                      <w:spacing w:val="-3"/>
                      <w:sz w:val="22"/>
                      <w:szCs w:val="22"/>
                    </w:rPr>
                    <w:t>标准限值</w:t>
                  </w:r>
                  <w:r>
                    <w:rPr>
                      <w:spacing w:val="-50"/>
                      <w:sz w:val="22"/>
                      <w:szCs w:val="22"/>
                    </w:rPr>
                    <w:t xml:space="preserve"> </w:t>
                  </w:r>
                  <w:r>
                    <w:rPr>
                      <w:rFonts w:ascii="Times New Roman" w:hAnsi="Times New Roman" w:eastAsia="Times New Roman" w:cs="Times New Roman"/>
                      <w:spacing w:val="-3"/>
                      <w:sz w:val="22"/>
                      <w:szCs w:val="22"/>
                    </w:rPr>
                    <w:t>L</w:t>
                  </w:r>
                  <w:r>
                    <w:rPr>
                      <w:rFonts w:ascii="Times New Roman" w:hAnsi="Times New Roman" w:eastAsia="Times New Roman" w:cs="Times New Roman"/>
                      <w:spacing w:val="-3"/>
                      <w:position w:val="-1"/>
                      <w:sz w:val="13"/>
                      <w:szCs w:val="13"/>
                    </w:rPr>
                    <w:t>eq</w:t>
                  </w:r>
                  <w:r>
                    <w:rPr>
                      <w:rFonts w:ascii="Times New Roman" w:hAnsi="Times New Roman" w:eastAsia="Times New Roman" w:cs="Times New Roman"/>
                      <w:position w:val="-1"/>
                      <w:sz w:val="13"/>
                      <w:szCs w:val="13"/>
                    </w:rPr>
                    <w:t xml:space="preserve"> </w:t>
                  </w:r>
                  <w:r>
                    <w:rPr>
                      <w:spacing w:val="-5"/>
                      <w:sz w:val="22"/>
                      <w:szCs w:val="22"/>
                    </w:rPr>
                    <w:t>（</w:t>
                  </w:r>
                  <w:r>
                    <w:rPr>
                      <w:rFonts w:ascii="Times New Roman" w:hAnsi="Times New Roman" w:eastAsia="Times New Roman" w:cs="Times New Roman"/>
                      <w:spacing w:val="-5"/>
                      <w:sz w:val="22"/>
                      <w:szCs w:val="22"/>
                    </w:rPr>
                    <w:t>dB</w:t>
                  </w:r>
                  <w:r>
                    <w:rPr>
                      <w:spacing w:val="-5"/>
                      <w:sz w:val="22"/>
                      <w:szCs w:val="22"/>
                    </w:rPr>
                    <w:t>（</w:t>
                  </w:r>
                  <w:r>
                    <w:rPr>
                      <w:rFonts w:ascii="Times New Roman" w:hAnsi="Times New Roman" w:eastAsia="Times New Roman" w:cs="Times New Roman"/>
                      <w:spacing w:val="-5"/>
                      <w:sz w:val="22"/>
                      <w:szCs w:val="22"/>
                    </w:rPr>
                    <w:t>A</w:t>
                  </w:r>
                  <w:r>
                    <w:rPr>
                      <w:spacing w:val="-10"/>
                      <w:sz w:val="22"/>
                      <w:szCs w:val="22"/>
                    </w:rPr>
                    <w:t>））</w:t>
                  </w:r>
                </w:p>
              </w:tc>
            </w:tr>
            <w:tr w14:paraId="42D79AE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621" w:type="pct"/>
                  <w:vMerge w:val="continue"/>
                  <w:tcBorders>
                    <w:tl2br w:val="nil"/>
                    <w:tr2bl w:val="nil"/>
                  </w:tcBorders>
                  <w:noWrap w:val="0"/>
                  <w:vAlign w:val="top"/>
                </w:tcPr>
                <w:p w14:paraId="26CBD3F9">
                  <w:pPr>
                    <w:keepNext w:val="0"/>
                    <w:keepLines w:val="0"/>
                    <w:pageBreakBefore w:val="0"/>
                    <w:widowControl w:val="0"/>
                    <w:kinsoku/>
                    <w:wordWrap/>
                    <w:overflowPunct/>
                    <w:topLinePunct w:val="0"/>
                    <w:autoSpaceDE/>
                    <w:autoSpaceDN/>
                    <w:bidi w:val="0"/>
                    <w:adjustRightInd/>
                    <w:snapToGrid/>
                    <w:ind w:firstLine="0"/>
                    <w:textAlignment w:val="auto"/>
                    <w:rPr>
                      <w:rFonts w:ascii="Arial"/>
                      <w:sz w:val="20"/>
                      <w:szCs w:val="22"/>
                    </w:rPr>
                  </w:pPr>
                </w:p>
              </w:tc>
              <w:tc>
                <w:tcPr>
                  <w:tcW w:w="1643" w:type="pct"/>
                  <w:vMerge w:val="continue"/>
                  <w:tcBorders>
                    <w:tl2br w:val="nil"/>
                    <w:tr2bl w:val="nil"/>
                  </w:tcBorders>
                  <w:noWrap w:val="0"/>
                  <w:vAlign w:val="top"/>
                </w:tcPr>
                <w:p w14:paraId="6B2AE835">
                  <w:pPr>
                    <w:keepNext w:val="0"/>
                    <w:keepLines w:val="0"/>
                    <w:pageBreakBefore w:val="0"/>
                    <w:widowControl w:val="0"/>
                    <w:kinsoku/>
                    <w:wordWrap/>
                    <w:overflowPunct/>
                    <w:topLinePunct w:val="0"/>
                    <w:autoSpaceDE/>
                    <w:autoSpaceDN/>
                    <w:bidi w:val="0"/>
                    <w:adjustRightInd/>
                    <w:snapToGrid/>
                    <w:ind w:firstLine="0"/>
                    <w:textAlignment w:val="auto"/>
                    <w:rPr>
                      <w:rFonts w:ascii="Arial"/>
                      <w:sz w:val="20"/>
                      <w:szCs w:val="22"/>
                    </w:rPr>
                  </w:pPr>
                </w:p>
              </w:tc>
              <w:tc>
                <w:tcPr>
                  <w:tcW w:w="654" w:type="pct"/>
                  <w:tcBorders>
                    <w:tl2br w:val="nil"/>
                    <w:tr2bl w:val="nil"/>
                  </w:tcBorders>
                  <w:noWrap w:val="0"/>
                  <w:vAlign w:val="top"/>
                </w:tcPr>
                <w:p w14:paraId="4E893195">
                  <w:pPr>
                    <w:pStyle w:val="30"/>
                    <w:keepNext w:val="0"/>
                    <w:keepLines w:val="0"/>
                    <w:pageBreakBefore w:val="0"/>
                    <w:widowControl w:val="0"/>
                    <w:kinsoku/>
                    <w:wordWrap/>
                    <w:overflowPunct/>
                    <w:topLinePunct w:val="0"/>
                    <w:autoSpaceDE/>
                    <w:autoSpaceDN/>
                    <w:bidi w:val="0"/>
                    <w:adjustRightInd/>
                    <w:snapToGrid/>
                    <w:spacing w:before="163" w:line="220" w:lineRule="auto"/>
                    <w:ind w:left="228" w:firstLine="0"/>
                    <w:textAlignment w:val="auto"/>
                    <w:rPr>
                      <w:rFonts w:ascii="Times New Roman" w:hAnsi="Times New Roman" w:eastAsia="Times New Roman" w:cs="Times New Roman"/>
                      <w:sz w:val="13"/>
                      <w:szCs w:val="13"/>
                    </w:rPr>
                  </w:pPr>
                  <w:r>
                    <w:rPr>
                      <w:spacing w:val="-3"/>
                      <w:sz w:val="22"/>
                      <w:szCs w:val="22"/>
                    </w:rPr>
                    <w:t>昼间</w:t>
                  </w:r>
                  <w:r>
                    <w:rPr>
                      <w:spacing w:val="-56"/>
                      <w:sz w:val="22"/>
                      <w:szCs w:val="22"/>
                    </w:rPr>
                    <w:t xml:space="preserve"> </w:t>
                  </w:r>
                  <w:r>
                    <w:rPr>
                      <w:rFonts w:ascii="Times New Roman" w:hAnsi="Times New Roman" w:eastAsia="Times New Roman" w:cs="Times New Roman"/>
                      <w:spacing w:val="-3"/>
                      <w:sz w:val="22"/>
                      <w:szCs w:val="22"/>
                    </w:rPr>
                    <w:t>L</w:t>
                  </w:r>
                  <w:r>
                    <w:rPr>
                      <w:rFonts w:ascii="Times New Roman" w:hAnsi="Times New Roman" w:eastAsia="Times New Roman" w:cs="Times New Roman"/>
                      <w:spacing w:val="-3"/>
                      <w:position w:val="-1"/>
                      <w:sz w:val="13"/>
                      <w:szCs w:val="13"/>
                    </w:rPr>
                    <w:t>eq</w:t>
                  </w:r>
                </w:p>
              </w:tc>
              <w:tc>
                <w:tcPr>
                  <w:tcW w:w="654" w:type="pct"/>
                  <w:tcBorders>
                    <w:tl2br w:val="nil"/>
                    <w:tr2bl w:val="nil"/>
                  </w:tcBorders>
                  <w:noWrap w:val="0"/>
                  <w:vAlign w:val="top"/>
                </w:tcPr>
                <w:p w14:paraId="168AF8A3">
                  <w:pPr>
                    <w:pStyle w:val="30"/>
                    <w:keepNext w:val="0"/>
                    <w:keepLines w:val="0"/>
                    <w:pageBreakBefore w:val="0"/>
                    <w:widowControl w:val="0"/>
                    <w:kinsoku/>
                    <w:wordWrap/>
                    <w:overflowPunct/>
                    <w:topLinePunct w:val="0"/>
                    <w:autoSpaceDE/>
                    <w:autoSpaceDN/>
                    <w:bidi w:val="0"/>
                    <w:adjustRightInd/>
                    <w:snapToGrid/>
                    <w:spacing w:before="163" w:line="220" w:lineRule="auto"/>
                    <w:ind w:left="230" w:firstLine="0"/>
                    <w:textAlignment w:val="auto"/>
                    <w:rPr>
                      <w:rFonts w:ascii="Times New Roman" w:hAnsi="Times New Roman" w:eastAsia="Times New Roman" w:cs="Times New Roman"/>
                      <w:sz w:val="13"/>
                      <w:szCs w:val="13"/>
                    </w:rPr>
                  </w:pPr>
                  <w:r>
                    <w:rPr>
                      <w:spacing w:val="-3"/>
                      <w:sz w:val="22"/>
                      <w:szCs w:val="22"/>
                    </w:rPr>
                    <w:t>夜间</w:t>
                  </w:r>
                  <w:r>
                    <w:rPr>
                      <w:spacing w:val="-56"/>
                      <w:sz w:val="22"/>
                      <w:szCs w:val="22"/>
                    </w:rPr>
                    <w:t xml:space="preserve"> </w:t>
                  </w:r>
                  <w:r>
                    <w:rPr>
                      <w:rFonts w:ascii="Times New Roman" w:hAnsi="Times New Roman" w:eastAsia="Times New Roman" w:cs="Times New Roman"/>
                      <w:spacing w:val="-3"/>
                      <w:sz w:val="22"/>
                      <w:szCs w:val="22"/>
                    </w:rPr>
                    <w:t>L</w:t>
                  </w:r>
                  <w:r>
                    <w:rPr>
                      <w:rFonts w:ascii="Times New Roman" w:hAnsi="Times New Roman" w:eastAsia="Times New Roman" w:cs="Times New Roman"/>
                      <w:spacing w:val="-3"/>
                      <w:position w:val="-1"/>
                      <w:sz w:val="13"/>
                      <w:szCs w:val="13"/>
                    </w:rPr>
                    <w:t>eq</w:t>
                  </w:r>
                </w:p>
              </w:tc>
              <w:tc>
                <w:tcPr>
                  <w:tcW w:w="656" w:type="pct"/>
                  <w:tcBorders>
                    <w:tl2br w:val="nil"/>
                    <w:tr2bl w:val="nil"/>
                  </w:tcBorders>
                  <w:noWrap w:val="0"/>
                  <w:vAlign w:val="top"/>
                </w:tcPr>
                <w:p w14:paraId="4C4E4863">
                  <w:pPr>
                    <w:pStyle w:val="30"/>
                    <w:keepNext w:val="0"/>
                    <w:keepLines w:val="0"/>
                    <w:pageBreakBefore w:val="0"/>
                    <w:widowControl w:val="0"/>
                    <w:kinsoku/>
                    <w:wordWrap/>
                    <w:overflowPunct/>
                    <w:topLinePunct w:val="0"/>
                    <w:autoSpaceDE/>
                    <w:autoSpaceDN/>
                    <w:bidi w:val="0"/>
                    <w:adjustRightInd/>
                    <w:snapToGrid/>
                    <w:spacing w:before="164" w:line="222" w:lineRule="auto"/>
                    <w:ind w:left="174" w:firstLine="0"/>
                    <w:textAlignment w:val="auto"/>
                    <w:rPr>
                      <w:rFonts w:ascii="Times New Roman" w:hAnsi="Times New Roman" w:eastAsia="Times New Roman" w:cs="Times New Roman"/>
                      <w:sz w:val="13"/>
                      <w:szCs w:val="13"/>
                    </w:rPr>
                  </w:pPr>
                  <w:r>
                    <w:rPr>
                      <w:spacing w:val="-2"/>
                      <w:sz w:val="22"/>
                      <w:szCs w:val="22"/>
                    </w:rPr>
                    <w:t>夜间</w:t>
                  </w:r>
                  <w:r>
                    <w:rPr>
                      <w:spacing w:val="-56"/>
                      <w:sz w:val="22"/>
                      <w:szCs w:val="22"/>
                    </w:rPr>
                    <w:t xml:space="preserve"> </w:t>
                  </w:r>
                  <w:r>
                    <w:rPr>
                      <w:rFonts w:ascii="Times New Roman" w:hAnsi="Times New Roman" w:eastAsia="Times New Roman" w:cs="Times New Roman"/>
                      <w:spacing w:val="-2"/>
                      <w:sz w:val="22"/>
                      <w:szCs w:val="22"/>
                    </w:rPr>
                    <w:t>L</w:t>
                  </w:r>
                  <w:r>
                    <w:rPr>
                      <w:rFonts w:ascii="Times New Roman" w:hAnsi="Times New Roman" w:eastAsia="Times New Roman" w:cs="Times New Roman"/>
                      <w:spacing w:val="-2"/>
                      <w:position w:val="-1"/>
                      <w:sz w:val="13"/>
                      <w:szCs w:val="13"/>
                    </w:rPr>
                    <w:t>max</w:t>
                  </w:r>
                </w:p>
              </w:tc>
              <w:tc>
                <w:tcPr>
                  <w:tcW w:w="769" w:type="pct"/>
                  <w:vMerge w:val="continue"/>
                  <w:tcBorders>
                    <w:tl2br w:val="nil"/>
                    <w:tr2bl w:val="nil"/>
                  </w:tcBorders>
                  <w:noWrap w:val="0"/>
                  <w:vAlign w:val="top"/>
                </w:tcPr>
                <w:p w14:paraId="1931271B">
                  <w:pPr>
                    <w:keepNext w:val="0"/>
                    <w:keepLines w:val="0"/>
                    <w:pageBreakBefore w:val="0"/>
                    <w:widowControl w:val="0"/>
                    <w:kinsoku/>
                    <w:wordWrap/>
                    <w:overflowPunct/>
                    <w:topLinePunct w:val="0"/>
                    <w:autoSpaceDE/>
                    <w:autoSpaceDN/>
                    <w:bidi w:val="0"/>
                    <w:adjustRightInd/>
                    <w:snapToGrid/>
                    <w:ind w:firstLine="0"/>
                    <w:textAlignment w:val="auto"/>
                    <w:rPr>
                      <w:rFonts w:ascii="Arial"/>
                      <w:sz w:val="20"/>
                      <w:szCs w:val="22"/>
                    </w:rPr>
                  </w:pPr>
                </w:p>
              </w:tc>
            </w:tr>
            <w:tr w14:paraId="4A1FF8D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621" w:type="pct"/>
                  <w:vMerge w:val="restart"/>
                  <w:tcBorders>
                    <w:tl2br w:val="nil"/>
                    <w:tr2bl w:val="nil"/>
                  </w:tcBorders>
                  <w:noWrap w:val="0"/>
                  <w:vAlign w:val="top"/>
                </w:tcPr>
                <w:p w14:paraId="06A05D16">
                  <w:pPr>
                    <w:keepNext w:val="0"/>
                    <w:keepLines w:val="0"/>
                    <w:pageBreakBefore w:val="0"/>
                    <w:widowControl w:val="0"/>
                    <w:kinsoku/>
                    <w:wordWrap/>
                    <w:overflowPunct/>
                    <w:topLinePunct w:val="0"/>
                    <w:autoSpaceDE/>
                    <w:autoSpaceDN/>
                    <w:bidi w:val="0"/>
                    <w:adjustRightInd/>
                    <w:snapToGrid/>
                    <w:spacing w:line="284" w:lineRule="auto"/>
                    <w:ind w:firstLine="0"/>
                    <w:textAlignment w:val="auto"/>
                    <w:rPr>
                      <w:rFonts w:ascii="Arial"/>
                      <w:sz w:val="20"/>
                      <w:szCs w:val="22"/>
                    </w:rPr>
                  </w:pPr>
                </w:p>
                <w:p w14:paraId="01B88E64">
                  <w:pPr>
                    <w:keepNext w:val="0"/>
                    <w:keepLines w:val="0"/>
                    <w:pageBreakBefore w:val="0"/>
                    <w:widowControl w:val="0"/>
                    <w:kinsoku/>
                    <w:wordWrap/>
                    <w:overflowPunct/>
                    <w:topLinePunct w:val="0"/>
                    <w:autoSpaceDE/>
                    <w:autoSpaceDN/>
                    <w:bidi w:val="0"/>
                    <w:adjustRightInd/>
                    <w:snapToGrid/>
                    <w:spacing w:line="284" w:lineRule="auto"/>
                    <w:ind w:firstLine="0"/>
                    <w:textAlignment w:val="auto"/>
                    <w:rPr>
                      <w:rFonts w:ascii="Arial"/>
                      <w:sz w:val="20"/>
                      <w:szCs w:val="22"/>
                    </w:rPr>
                  </w:pPr>
                </w:p>
                <w:p w14:paraId="0088A8C2">
                  <w:pPr>
                    <w:keepNext w:val="0"/>
                    <w:keepLines w:val="0"/>
                    <w:pageBreakBefore w:val="0"/>
                    <w:widowControl w:val="0"/>
                    <w:kinsoku/>
                    <w:wordWrap/>
                    <w:overflowPunct/>
                    <w:topLinePunct w:val="0"/>
                    <w:autoSpaceDE/>
                    <w:autoSpaceDN/>
                    <w:bidi w:val="0"/>
                    <w:adjustRightInd/>
                    <w:snapToGrid/>
                    <w:spacing w:line="284" w:lineRule="auto"/>
                    <w:ind w:firstLine="0"/>
                    <w:textAlignment w:val="auto"/>
                    <w:rPr>
                      <w:rFonts w:ascii="Arial"/>
                      <w:sz w:val="20"/>
                      <w:szCs w:val="22"/>
                    </w:rPr>
                  </w:pPr>
                </w:p>
                <w:p w14:paraId="544B1D62">
                  <w:pPr>
                    <w:keepNext w:val="0"/>
                    <w:keepLines w:val="0"/>
                    <w:pageBreakBefore w:val="0"/>
                    <w:widowControl w:val="0"/>
                    <w:kinsoku/>
                    <w:wordWrap/>
                    <w:overflowPunct/>
                    <w:topLinePunct w:val="0"/>
                    <w:autoSpaceDE/>
                    <w:autoSpaceDN/>
                    <w:bidi w:val="0"/>
                    <w:adjustRightInd/>
                    <w:snapToGrid/>
                    <w:spacing w:line="285" w:lineRule="auto"/>
                    <w:ind w:firstLine="0"/>
                    <w:textAlignment w:val="auto"/>
                    <w:rPr>
                      <w:rFonts w:ascii="Arial"/>
                      <w:sz w:val="20"/>
                      <w:szCs w:val="22"/>
                    </w:rPr>
                  </w:pPr>
                </w:p>
                <w:p w14:paraId="47FAC98B">
                  <w:pPr>
                    <w:pStyle w:val="30"/>
                    <w:keepNext w:val="0"/>
                    <w:keepLines w:val="0"/>
                    <w:pageBreakBefore w:val="0"/>
                    <w:widowControl w:val="0"/>
                    <w:kinsoku/>
                    <w:wordWrap/>
                    <w:overflowPunct/>
                    <w:topLinePunct w:val="0"/>
                    <w:autoSpaceDE/>
                    <w:autoSpaceDN/>
                    <w:bidi w:val="0"/>
                    <w:adjustRightInd/>
                    <w:snapToGrid/>
                    <w:spacing w:before="78" w:line="222" w:lineRule="auto"/>
                    <w:textAlignment w:val="auto"/>
                    <w:rPr>
                      <w:sz w:val="22"/>
                      <w:szCs w:val="22"/>
                    </w:rPr>
                  </w:pPr>
                  <w:r>
                    <w:rPr>
                      <w:rFonts w:ascii="Times New Roman" w:hAnsi="Times New Roman" w:eastAsia="Times New Roman" w:cs="Times New Roman"/>
                      <w:spacing w:val="-2"/>
                      <w:sz w:val="22"/>
                      <w:szCs w:val="22"/>
                    </w:rPr>
                    <w:t>2026</w:t>
                  </w:r>
                  <w:r>
                    <w:rPr>
                      <w:spacing w:val="-2"/>
                      <w:sz w:val="22"/>
                      <w:szCs w:val="22"/>
                    </w:rPr>
                    <w:t>年</w:t>
                  </w:r>
                </w:p>
                <w:p w14:paraId="584BD7F2">
                  <w:pPr>
                    <w:pStyle w:val="30"/>
                    <w:keepNext w:val="0"/>
                    <w:keepLines w:val="0"/>
                    <w:pageBreakBefore w:val="0"/>
                    <w:widowControl w:val="0"/>
                    <w:kinsoku/>
                    <w:wordWrap/>
                    <w:overflowPunct/>
                    <w:topLinePunct w:val="0"/>
                    <w:autoSpaceDE/>
                    <w:autoSpaceDN/>
                    <w:bidi w:val="0"/>
                    <w:adjustRightInd/>
                    <w:snapToGrid/>
                    <w:spacing w:before="23" w:line="223" w:lineRule="auto"/>
                    <w:ind w:firstLine="0"/>
                    <w:jc w:val="both"/>
                    <w:textAlignment w:val="auto"/>
                    <w:rPr>
                      <w:sz w:val="22"/>
                      <w:szCs w:val="22"/>
                    </w:rPr>
                  </w:pPr>
                  <w:r>
                    <w:rPr>
                      <w:rFonts w:ascii="Times New Roman" w:hAnsi="Times New Roman" w:eastAsia="Times New Roman" w:cs="Times New Roman"/>
                      <w:spacing w:val="-19"/>
                      <w:sz w:val="22"/>
                      <w:szCs w:val="22"/>
                    </w:rPr>
                    <w:t>03</w:t>
                  </w:r>
                  <w:r>
                    <w:rPr>
                      <w:spacing w:val="-19"/>
                      <w:sz w:val="22"/>
                      <w:szCs w:val="22"/>
                    </w:rPr>
                    <w:t>月</w:t>
                  </w:r>
                  <w:r>
                    <w:rPr>
                      <w:spacing w:val="-52"/>
                      <w:sz w:val="22"/>
                      <w:szCs w:val="22"/>
                    </w:rPr>
                    <w:t xml:space="preserve"> </w:t>
                  </w:r>
                  <w:r>
                    <w:rPr>
                      <w:rFonts w:ascii="Times New Roman" w:hAnsi="Times New Roman" w:eastAsia="Times New Roman" w:cs="Times New Roman"/>
                      <w:spacing w:val="-19"/>
                      <w:sz w:val="22"/>
                      <w:szCs w:val="22"/>
                    </w:rPr>
                    <w:t>09</w:t>
                  </w:r>
                  <w:r>
                    <w:rPr>
                      <w:rFonts w:ascii="Times New Roman" w:hAnsi="Times New Roman" w:eastAsia="Times New Roman" w:cs="Times New Roman"/>
                      <w:spacing w:val="3"/>
                      <w:sz w:val="22"/>
                      <w:szCs w:val="22"/>
                    </w:rPr>
                    <w:t xml:space="preserve"> </w:t>
                  </w:r>
                  <w:r>
                    <w:rPr>
                      <w:spacing w:val="-19"/>
                      <w:sz w:val="22"/>
                      <w:szCs w:val="22"/>
                    </w:rPr>
                    <w:t>日</w:t>
                  </w:r>
                </w:p>
              </w:tc>
              <w:tc>
                <w:tcPr>
                  <w:tcW w:w="1643" w:type="pct"/>
                  <w:tcBorders>
                    <w:tl2br w:val="nil"/>
                    <w:tr2bl w:val="nil"/>
                  </w:tcBorders>
                  <w:noWrap w:val="0"/>
                  <w:vAlign w:val="top"/>
                </w:tcPr>
                <w:p w14:paraId="34555623">
                  <w:pPr>
                    <w:pStyle w:val="30"/>
                    <w:keepNext w:val="0"/>
                    <w:keepLines w:val="0"/>
                    <w:pageBreakBefore w:val="0"/>
                    <w:widowControl w:val="0"/>
                    <w:kinsoku/>
                    <w:wordWrap/>
                    <w:overflowPunct/>
                    <w:topLinePunct w:val="0"/>
                    <w:autoSpaceDE/>
                    <w:autoSpaceDN/>
                    <w:bidi w:val="0"/>
                    <w:adjustRightInd/>
                    <w:snapToGrid/>
                    <w:spacing w:before="197" w:line="222" w:lineRule="auto"/>
                    <w:jc w:val="center"/>
                    <w:textAlignment w:val="auto"/>
                    <w:rPr>
                      <w:sz w:val="22"/>
                      <w:szCs w:val="22"/>
                    </w:rPr>
                  </w:pPr>
                  <w:r>
                    <w:rPr>
                      <w:rFonts w:ascii="Times New Roman" w:hAnsi="Times New Roman" w:eastAsia="Times New Roman" w:cs="Times New Roman"/>
                      <w:spacing w:val="-2"/>
                      <w:sz w:val="22"/>
                      <w:szCs w:val="22"/>
                    </w:rPr>
                    <w:t>N1</w:t>
                  </w:r>
                  <w:r>
                    <w:rPr>
                      <w:rFonts w:ascii="Times New Roman" w:hAnsi="Times New Roman" w:eastAsia="Times New Roman" w:cs="Times New Roman"/>
                      <w:spacing w:val="15"/>
                      <w:sz w:val="22"/>
                      <w:szCs w:val="22"/>
                    </w:rPr>
                    <w:t xml:space="preserve"> </w:t>
                  </w:r>
                  <w:r>
                    <w:rPr>
                      <w:spacing w:val="-2"/>
                      <w:sz w:val="22"/>
                      <w:szCs w:val="22"/>
                    </w:rPr>
                    <w:t>厂界东北侧</w:t>
                  </w:r>
                </w:p>
              </w:tc>
              <w:tc>
                <w:tcPr>
                  <w:tcW w:w="654" w:type="pct"/>
                  <w:tcBorders>
                    <w:tl2br w:val="nil"/>
                    <w:tr2bl w:val="nil"/>
                  </w:tcBorders>
                  <w:noWrap w:val="0"/>
                  <w:vAlign w:val="top"/>
                </w:tcPr>
                <w:p w14:paraId="333D803C">
                  <w:pPr>
                    <w:keepNext w:val="0"/>
                    <w:keepLines w:val="0"/>
                    <w:pageBreakBefore w:val="0"/>
                    <w:widowControl w:val="0"/>
                    <w:kinsoku/>
                    <w:wordWrap/>
                    <w:overflowPunct/>
                    <w:topLinePunct w:val="0"/>
                    <w:autoSpaceDE/>
                    <w:autoSpaceDN/>
                    <w:bidi w:val="0"/>
                    <w:adjustRightInd/>
                    <w:snapToGrid/>
                    <w:spacing w:before="238" w:line="188" w:lineRule="auto"/>
                    <w:ind w:left="430" w:firstLine="0"/>
                    <w:textAlignment w:val="auto"/>
                    <w:rPr>
                      <w:rFonts w:ascii="Times New Roman" w:hAnsi="Times New Roman" w:eastAsia="Times New Roman" w:cs="Times New Roman"/>
                      <w:sz w:val="22"/>
                      <w:szCs w:val="22"/>
                    </w:rPr>
                  </w:pPr>
                </w:p>
              </w:tc>
              <w:tc>
                <w:tcPr>
                  <w:tcW w:w="654" w:type="pct"/>
                  <w:tcBorders>
                    <w:tl2br w:val="nil"/>
                    <w:tr2bl w:val="nil"/>
                  </w:tcBorders>
                  <w:noWrap w:val="0"/>
                  <w:vAlign w:val="top"/>
                </w:tcPr>
                <w:p w14:paraId="197205AD">
                  <w:pPr>
                    <w:keepNext w:val="0"/>
                    <w:keepLines w:val="0"/>
                    <w:pageBreakBefore w:val="0"/>
                    <w:widowControl w:val="0"/>
                    <w:kinsoku/>
                    <w:wordWrap/>
                    <w:overflowPunct/>
                    <w:topLinePunct w:val="0"/>
                    <w:autoSpaceDE/>
                    <w:autoSpaceDN/>
                    <w:bidi w:val="0"/>
                    <w:adjustRightInd/>
                    <w:snapToGrid/>
                    <w:spacing w:before="238" w:line="188" w:lineRule="auto"/>
                    <w:ind w:left="427" w:firstLine="0"/>
                    <w:textAlignment w:val="auto"/>
                    <w:rPr>
                      <w:rFonts w:ascii="Times New Roman" w:hAnsi="Times New Roman" w:eastAsia="Times New Roman" w:cs="Times New Roman"/>
                      <w:sz w:val="22"/>
                      <w:szCs w:val="22"/>
                    </w:rPr>
                  </w:pPr>
                </w:p>
              </w:tc>
              <w:tc>
                <w:tcPr>
                  <w:tcW w:w="656" w:type="pct"/>
                  <w:tcBorders>
                    <w:tl2br w:val="nil"/>
                    <w:tr2bl w:val="nil"/>
                  </w:tcBorders>
                  <w:noWrap w:val="0"/>
                  <w:vAlign w:val="top"/>
                </w:tcPr>
                <w:p w14:paraId="38DDAE63">
                  <w:pPr>
                    <w:keepNext w:val="0"/>
                    <w:keepLines w:val="0"/>
                    <w:pageBreakBefore w:val="0"/>
                    <w:widowControl w:val="0"/>
                    <w:kinsoku/>
                    <w:wordWrap/>
                    <w:overflowPunct/>
                    <w:topLinePunct w:val="0"/>
                    <w:autoSpaceDE/>
                    <w:autoSpaceDN/>
                    <w:bidi w:val="0"/>
                    <w:adjustRightInd/>
                    <w:snapToGrid/>
                    <w:spacing w:before="238" w:line="188" w:lineRule="auto"/>
                    <w:ind w:left="436" w:firstLine="0"/>
                    <w:textAlignment w:val="auto"/>
                    <w:rPr>
                      <w:rFonts w:ascii="Times New Roman" w:hAnsi="Times New Roman" w:eastAsia="Times New Roman" w:cs="Times New Roman"/>
                      <w:sz w:val="22"/>
                      <w:szCs w:val="22"/>
                    </w:rPr>
                  </w:pPr>
                </w:p>
              </w:tc>
              <w:tc>
                <w:tcPr>
                  <w:tcW w:w="769" w:type="pct"/>
                  <w:tcBorders>
                    <w:tl2br w:val="nil"/>
                    <w:tr2bl w:val="nil"/>
                  </w:tcBorders>
                  <w:noWrap w:val="0"/>
                  <w:vAlign w:val="top"/>
                </w:tcPr>
                <w:p w14:paraId="14554B07">
                  <w:pPr>
                    <w:pStyle w:val="30"/>
                    <w:keepNext w:val="0"/>
                    <w:keepLines w:val="0"/>
                    <w:pageBreakBefore w:val="0"/>
                    <w:widowControl w:val="0"/>
                    <w:kinsoku/>
                    <w:wordWrap/>
                    <w:overflowPunct/>
                    <w:topLinePunct w:val="0"/>
                    <w:autoSpaceDE/>
                    <w:autoSpaceDN/>
                    <w:bidi w:val="0"/>
                    <w:adjustRightInd/>
                    <w:snapToGrid/>
                    <w:spacing w:before="40" w:line="223" w:lineRule="auto"/>
                    <w:ind w:left="273" w:firstLine="0"/>
                    <w:textAlignment w:val="auto"/>
                    <w:rPr>
                      <w:rFonts w:ascii="Times New Roman" w:hAnsi="Times New Roman" w:eastAsia="Times New Roman" w:cs="Times New Roman"/>
                      <w:sz w:val="22"/>
                      <w:szCs w:val="22"/>
                    </w:rPr>
                  </w:pPr>
                  <w:r>
                    <w:rPr>
                      <w:spacing w:val="-4"/>
                      <w:sz w:val="22"/>
                      <w:szCs w:val="22"/>
                    </w:rPr>
                    <w:t>昼间≤</w:t>
                  </w:r>
                  <w:r>
                    <w:rPr>
                      <w:rFonts w:ascii="Times New Roman" w:hAnsi="Times New Roman" w:eastAsia="Times New Roman" w:cs="Times New Roman"/>
                      <w:spacing w:val="-4"/>
                      <w:sz w:val="22"/>
                      <w:szCs w:val="22"/>
                    </w:rPr>
                    <w:t>60</w:t>
                  </w:r>
                </w:p>
                <w:p w14:paraId="51FD4AC8">
                  <w:pPr>
                    <w:pStyle w:val="30"/>
                    <w:keepNext w:val="0"/>
                    <w:keepLines w:val="0"/>
                    <w:pageBreakBefore w:val="0"/>
                    <w:widowControl w:val="0"/>
                    <w:kinsoku/>
                    <w:wordWrap/>
                    <w:overflowPunct/>
                    <w:topLinePunct w:val="0"/>
                    <w:autoSpaceDE/>
                    <w:autoSpaceDN/>
                    <w:bidi w:val="0"/>
                    <w:adjustRightInd/>
                    <w:snapToGrid/>
                    <w:spacing w:before="21" w:line="201" w:lineRule="auto"/>
                    <w:ind w:left="273" w:firstLine="0"/>
                    <w:textAlignment w:val="auto"/>
                    <w:rPr>
                      <w:rFonts w:ascii="Times New Roman" w:hAnsi="Times New Roman" w:eastAsia="Times New Roman" w:cs="Times New Roman"/>
                      <w:sz w:val="22"/>
                      <w:szCs w:val="22"/>
                    </w:rPr>
                  </w:pPr>
                  <w:r>
                    <w:rPr>
                      <w:spacing w:val="-4"/>
                      <w:sz w:val="22"/>
                      <w:szCs w:val="22"/>
                    </w:rPr>
                    <w:t>夜间≤</w:t>
                  </w:r>
                  <w:r>
                    <w:rPr>
                      <w:rFonts w:ascii="Times New Roman" w:hAnsi="Times New Roman" w:eastAsia="Times New Roman" w:cs="Times New Roman"/>
                      <w:spacing w:val="-4"/>
                      <w:sz w:val="22"/>
                      <w:szCs w:val="22"/>
                    </w:rPr>
                    <w:t>50</w:t>
                  </w:r>
                </w:p>
              </w:tc>
            </w:tr>
            <w:tr w14:paraId="4D0CFE7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621" w:type="pct"/>
                  <w:vMerge w:val="continue"/>
                  <w:tcBorders>
                    <w:tl2br w:val="nil"/>
                    <w:tr2bl w:val="nil"/>
                  </w:tcBorders>
                  <w:noWrap w:val="0"/>
                  <w:vAlign w:val="top"/>
                </w:tcPr>
                <w:p w14:paraId="00B190A3">
                  <w:pPr>
                    <w:keepNext w:val="0"/>
                    <w:keepLines w:val="0"/>
                    <w:pageBreakBefore w:val="0"/>
                    <w:widowControl w:val="0"/>
                    <w:kinsoku/>
                    <w:wordWrap/>
                    <w:overflowPunct/>
                    <w:topLinePunct w:val="0"/>
                    <w:autoSpaceDE/>
                    <w:autoSpaceDN/>
                    <w:bidi w:val="0"/>
                    <w:adjustRightInd/>
                    <w:snapToGrid/>
                    <w:ind w:firstLine="0"/>
                    <w:textAlignment w:val="auto"/>
                    <w:rPr>
                      <w:rFonts w:ascii="Arial"/>
                      <w:sz w:val="20"/>
                      <w:szCs w:val="22"/>
                    </w:rPr>
                  </w:pPr>
                </w:p>
              </w:tc>
              <w:tc>
                <w:tcPr>
                  <w:tcW w:w="1643" w:type="pct"/>
                  <w:tcBorders>
                    <w:tl2br w:val="nil"/>
                    <w:tr2bl w:val="nil"/>
                  </w:tcBorders>
                  <w:noWrap w:val="0"/>
                  <w:vAlign w:val="top"/>
                </w:tcPr>
                <w:p w14:paraId="1D8EAA3A">
                  <w:pPr>
                    <w:pStyle w:val="30"/>
                    <w:keepNext w:val="0"/>
                    <w:keepLines w:val="0"/>
                    <w:pageBreakBefore w:val="0"/>
                    <w:widowControl w:val="0"/>
                    <w:kinsoku/>
                    <w:wordWrap/>
                    <w:overflowPunct/>
                    <w:topLinePunct w:val="0"/>
                    <w:autoSpaceDE/>
                    <w:autoSpaceDN/>
                    <w:bidi w:val="0"/>
                    <w:adjustRightInd/>
                    <w:snapToGrid/>
                    <w:spacing w:before="199" w:line="223" w:lineRule="auto"/>
                    <w:jc w:val="center"/>
                    <w:textAlignment w:val="auto"/>
                    <w:rPr>
                      <w:sz w:val="22"/>
                      <w:szCs w:val="22"/>
                    </w:rPr>
                  </w:pPr>
                  <w:r>
                    <w:rPr>
                      <w:rFonts w:ascii="Times New Roman" w:hAnsi="Times New Roman" w:eastAsia="Times New Roman" w:cs="Times New Roman"/>
                      <w:spacing w:val="-3"/>
                      <w:sz w:val="22"/>
                      <w:szCs w:val="22"/>
                    </w:rPr>
                    <w:t>N2</w:t>
                  </w:r>
                  <w:r>
                    <w:rPr>
                      <w:rFonts w:ascii="Times New Roman" w:hAnsi="Times New Roman" w:eastAsia="Times New Roman" w:cs="Times New Roman"/>
                      <w:spacing w:val="19"/>
                      <w:sz w:val="22"/>
                      <w:szCs w:val="22"/>
                    </w:rPr>
                    <w:t xml:space="preserve"> </w:t>
                  </w:r>
                  <w:r>
                    <w:rPr>
                      <w:spacing w:val="-3"/>
                      <w:sz w:val="22"/>
                      <w:szCs w:val="22"/>
                    </w:rPr>
                    <w:t>厂界东侧</w:t>
                  </w:r>
                </w:p>
              </w:tc>
              <w:tc>
                <w:tcPr>
                  <w:tcW w:w="654" w:type="pct"/>
                  <w:tcBorders>
                    <w:tl2br w:val="nil"/>
                    <w:tr2bl w:val="nil"/>
                  </w:tcBorders>
                  <w:noWrap w:val="0"/>
                  <w:vAlign w:val="top"/>
                </w:tcPr>
                <w:p w14:paraId="31518CD5">
                  <w:pPr>
                    <w:keepNext w:val="0"/>
                    <w:keepLines w:val="0"/>
                    <w:pageBreakBefore w:val="0"/>
                    <w:widowControl w:val="0"/>
                    <w:kinsoku/>
                    <w:wordWrap/>
                    <w:overflowPunct/>
                    <w:topLinePunct w:val="0"/>
                    <w:autoSpaceDE/>
                    <w:autoSpaceDN/>
                    <w:bidi w:val="0"/>
                    <w:adjustRightInd/>
                    <w:snapToGrid/>
                    <w:spacing w:before="240" w:line="188" w:lineRule="auto"/>
                    <w:ind w:left="430" w:firstLine="0"/>
                    <w:textAlignment w:val="auto"/>
                    <w:rPr>
                      <w:rFonts w:ascii="Times New Roman" w:hAnsi="Times New Roman" w:eastAsia="Times New Roman" w:cs="Times New Roman"/>
                      <w:sz w:val="22"/>
                      <w:szCs w:val="22"/>
                    </w:rPr>
                  </w:pPr>
                </w:p>
              </w:tc>
              <w:tc>
                <w:tcPr>
                  <w:tcW w:w="654" w:type="pct"/>
                  <w:tcBorders>
                    <w:tl2br w:val="nil"/>
                    <w:tr2bl w:val="nil"/>
                  </w:tcBorders>
                  <w:noWrap w:val="0"/>
                  <w:vAlign w:val="top"/>
                </w:tcPr>
                <w:p w14:paraId="273B8287">
                  <w:pPr>
                    <w:keepNext w:val="0"/>
                    <w:keepLines w:val="0"/>
                    <w:pageBreakBefore w:val="0"/>
                    <w:widowControl w:val="0"/>
                    <w:kinsoku/>
                    <w:wordWrap/>
                    <w:overflowPunct/>
                    <w:topLinePunct w:val="0"/>
                    <w:autoSpaceDE/>
                    <w:autoSpaceDN/>
                    <w:bidi w:val="0"/>
                    <w:adjustRightInd/>
                    <w:snapToGrid/>
                    <w:spacing w:before="240" w:line="188" w:lineRule="auto"/>
                    <w:ind w:left="434" w:firstLine="0"/>
                    <w:textAlignment w:val="auto"/>
                    <w:rPr>
                      <w:rFonts w:ascii="Times New Roman" w:hAnsi="Times New Roman" w:eastAsia="Times New Roman" w:cs="Times New Roman"/>
                      <w:sz w:val="22"/>
                      <w:szCs w:val="22"/>
                    </w:rPr>
                  </w:pPr>
                </w:p>
              </w:tc>
              <w:tc>
                <w:tcPr>
                  <w:tcW w:w="656" w:type="pct"/>
                  <w:tcBorders>
                    <w:tl2br w:val="nil"/>
                    <w:tr2bl w:val="nil"/>
                  </w:tcBorders>
                  <w:noWrap w:val="0"/>
                  <w:vAlign w:val="top"/>
                </w:tcPr>
                <w:p w14:paraId="4F59D295">
                  <w:pPr>
                    <w:keepNext w:val="0"/>
                    <w:keepLines w:val="0"/>
                    <w:pageBreakBefore w:val="0"/>
                    <w:widowControl w:val="0"/>
                    <w:kinsoku/>
                    <w:wordWrap/>
                    <w:overflowPunct/>
                    <w:topLinePunct w:val="0"/>
                    <w:autoSpaceDE/>
                    <w:autoSpaceDN/>
                    <w:bidi w:val="0"/>
                    <w:adjustRightInd/>
                    <w:snapToGrid/>
                    <w:spacing w:before="240" w:line="188" w:lineRule="auto"/>
                    <w:ind w:left="436" w:firstLine="0"/>
                    <w:textAlignment w:val="auto"/>
                    <w:rPr>
                      <w:rFonts w:ascii="Times New Roman" w:hAnsi="Times New Roman" w:eastAsia="Times New Roman" w:cs="Times New Roman"/>
                      <w:sz w:val="22"/>
                      <w:szCs w:val="22"/>
                    </w:rPr>
                  </w:pPr>
                </w:p>
              </w:tc>
              <w:tc>
                <w:tcPr>
                  <w:tcW w:w="769" w:type="pct"/>
                  <w:tcBorders>
                    <w:tl2br w:val="nil"/>
                    <w:tr2bl w:val="nil"/>
                  </w:tcBorders>
                  <w:noWrap w:val="0"/>
                  <w:vAlign w:val="top"/>
                </w:tcPr>
                <w:p w14:paraId="5AFED0B5">
                  <w:pPr>
                    <w:pStyle w:val="30"/>
                    <w:keepNext w:val="0"/>
                    <w:keepLines w:val="0"/>
                    <w:pageBreakBefore w:val="0"/>
                    <w:widowControl w:val="0"/>
                    <w:kinsoku/>
                    <w:wordWrap/>
                    <w:overflowPunct/>
                    <w:topLinePunct w:val="0"/>
                    <w:autoSpaceDE/>
                    <w:autoSpaceDN/>
                    <w:bidi w:val="0"/>
                    <w:adjustRightInd/>
                    <w:snapToGrid/>
                    <w:spacing w:before="45" w:line="223" w:lineRule="auto"/>
                    <w:ind w:left="273" w:firstLine="0"/>
                    <w:textAlignment w:val="auto"/>
                    <w:rPr>
                      <w:rFonts w:ascii="Times New Roman" w:hAnsi="Times New Roman" w:eastAsia="Times New Roman" w:cs="Times New Roman"/>
                      <w:sz w:val="22"/>
                      <w:szCs w:val="22"/>
                    </w:rPr>
                  </w:pPr>
                  <w:r>
                    <w:rPr>
                      <w:spacing w:val="-4"/>
                      <w:sz w:val="22"/>
                      <w:szCs w:val="22"/>
                    </w:rPr>
                    <w:t>昼间≤</w:t>
                  </w:r>
                  <w:r>
                    <w:rPr>
                      <w:rFonts w:ascii="Times New Roman" w:hAnsi="Times New Roman" w:eastAsia="Times New Roman" w:cs="Times New Roman"/>
                      <w:spacing w:val="-4"/>
                      <w:sz w:val="22"/>
                      <w:szCs w:val="22"/>
                    </w:rPr>
                    <w:t>70</w:t>
                  </w:r>
                </w:p>
                <w:p w14:paraId="25069EA8">
                  <w:pPr>
                    <w:pStyle w:val="30"/>
                    <w:keepNext w:val="0"/>
                    <w:keepLines w:val="0"/>
                    <w:pageBreakBefore w:val="0"/>
                    <w:widowControl w:val="0"/>
                    <w:kinsoku/>
                    <w:wordWrap/>
                    <w:overflowPunct/>
                    <w:topLinePunct w:val="0"/>
                    <w:autoSpaceDE/>
                    <w:autoSpaceDN/>
                    <w:bidi w:val="0"/>
                    <w:adjustRightInd/>
                    <w:snapToGrid/>
                    <w:spacing w:before="19" w:line="200" w:lineRule="auto"/>
                    <w:ind w:left="273" w:firstLine="0"/>
                    <w:textAlignment w:val="auto"/>
                    <w:rPr>
                      <w:rFonts w:ascii="Times New Roman" w:hAnsi="Times New Roman" w:eastAsia="Times New Roman" w:cs="Times New Roman"/>
                      <w:sz w:val="22"/>
                      <w:szCs w:val="22"/>
                    </w:rPr>
                  </w:pPr>
                  <w:r>
                    <w:rPr>
                      <w:spacing w:val="-4"/>
                      <w:sz w:val="22"/>
                      <w:szCs w:val="22"/>
                    </w:rPr>
                    <w:t>夜间≤</w:t>
                  </w:r>
                  <w:r>
                    <w:rPr>
                      <w:rFonts w:ascii="Times New Roman" w:hAnsi="Times New Roman" w:eastAsia="Times New Roman" w:cs="Times New Roman"/>
                      <w:spacing w:val="-4"/>
                      <w:sz w:val="22"/>
                      <w:szCs w:val="22"/>
                    </w:rPr>
                    <w:t>55</w:t>
                  </w:r>
                </w:p>
              </w:tc>
            </w:tr>
            <w:tr w14:paraId="18C9301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621" w:type="pct"/>
                  <w:vMerge w:val="continue"/>
                  <w:tcBorders>
                    <w:tl2br w:val="nil"/>
                    <w:tr2bl w:val="nil"/>
                  </w:tcBorders>
                  <w:noWrap w:val="0"/>
                  <w:vAlign w:val="top"/>
                </w:tcPr>
                <w:p w14:paraId="34C0F399">
                  <w:pPr>
                    <w:keepNext w:val="0"/>
                    <w:keepLines w:val="0"/>
                    <w:pageBreakBefore w:val="0"/>
                    <w:widowControl w:val="0"/>
                    <w:kinsoku/>
                    <w:wordWrap/>
                    <w:overflowPunct/>
                    <w:topLinePunct w:val="0"/>
                    <w:autoSpaceDE/>
                    <w:autoSpaceDN/>
                    <w:bidi w:val="0"/>
                    <w:adjustRightInd/>
                    <w:snapToGrid/>
                    <w:ind w:firstLine="0"/>
                    <w:textAlignment w:val="auto"/>
                    <w:rPr>
                      <w:rFonts w:ascii="Arial"/>
                      <w:sz w:val="20"/>
                      <w:szCs w:val="22"/>
                    </w:rPr>
                  </w:pPr>
                </w:p>
              </w:tc>
              <w:tc>
                <w:tcPr>
                  <w:tcW w:w="1643" w:type="pct"/>
                  <w:tcBorders>
                    <w:tl2br w:val="nil"/>
                    <w:tr2bl w:val="nil"/>
                  </w:tcBorders>
                  <w:noWrap w:val="0"/>
                  <w:vAlign w:val="top"/>
                </w:tcPr>
                <w:p w14:paraId="77A8C3F9">
                  <w:pPr>
                    <w:pStyle w:val="30"/>
                    <w:keepNext w:val="0"/>
                    <w:keepLines w:val="0"/>
                    <w:pageBreakBefore w:val="0"/>
                    <w:widowControl w:val="0"/>
                    <w:kinsoku/>
                    <w:wordWrap/>
                    <w:overflowPunct/>
                    <w:topLinePunct w:val="0"/>
                    <w:autoSpaceDE/>
                    <w:autoSpaceDN/>
                    <w:bidi w:val="0"/>
                    <w:adjustRightInd/>
                    <w:snapToGrid/>
                    <w:spacing w:before="173" w:line="223" w:lineRule="auto"/>
                    <w:jc w:val="center"/>
                    <w:textAlignment w:val="auto"/>
                    <w:rPr>
                      <w:sz w:val="22"/>
                      <w:szCs w:val="22"/>
                    </w:rPr>
                  </w:pPr>
                  <w:r>
                    <w:rPr>
                      <w:rFonts w:ascii="Times New Roman" w:hAnsi="Times New Roman" w:eastAsia="Times New Roman" w:cs="Times New Roman"/>
                      <w:spacing w:val="-3"/>
                      <w:sz w:val="22"/>
                      <w:szCs w:val="22"/>
                    </w:rPr>
                    <w:t>N3</w:t>
                  </w:r>
                  <w:r>
                    <w:rPr>
                      <w:rFonts w:ascii="Times New Roman" w:hAnsi="Times New Roman" w:eastAsia="Times New Roman" w:cs="Times New Roman"/>
                      <w:spacing w:val="19"/>
                      <w:sz w:val="22"/>
                      <w:szCs w:val="22"/>
                    </w:rPr>
                    <w:t xml:space="preserve"> </w:t>
                  </w:r>
                  <w:r>
                    <w:rPr>
                      <w:spacing w:val="-3"/>
                      <w:sz w:val="22"/>
                      <w:szCs w:val="22"/>
                    </w:rPr>
                    <w:t>厂界南侧</w:t>
                  </w:r>
                </w:p>
              </w:tc>
              <w:tc>
                <w:tcPr>
                  <w:tcW w:w="654" w:type="pct"/>
                  <w:tcBorders>
                    <w:tl2br w:val="nil"/>
                    <w:tr2bl w:val="nil"/>
                  </w:tcBorders>
                  <w:noWrap w:val="0"/>
                  <w:vAlign w:val="top"/>
                </w:tcPr>
                <w:p w14:paraId="0A56E1EA">
                  <w:pPr>
                    <w:keepNext w:val="0"/>
                    <w:keepLines w:val="0"/>
                    <w:pageBreakBefore w:val="0"/>
                    <w:widowControl w:val="0"/>
                    <w:kinsoku/>
                    <w:wordWrap/>
                    <w:overflowPunct/>
                    <w:topLinePunct w:val="0"/>
                    <w:autoSpaceDE/>
                    <w:autoSpaceDN/>
                    <w:bidi w:val="0"/>
                    <w:adjustRightInd/>
                    <w:snapToGrid/>
                    <w:spacing w:before="215" w:line="188" w:lineRule="auto"/>
                    <w:ind w:left="430" w:firstLine="0"/>
                    <w:textAlignment w:val="auto"/>
                    <w:rPr>
                      <w:rFonts w:ascii="Times New Roman" w:hAnsi="Times New Roman" w:eastAsia="Times New Roman" w:cs="Times New Roman"/>
                      <w:sz w:val="22"/>
                      <w:szCs w:val="22"/>
                    </w:rPr>
                  </w:pPr>
                </w:p>
              </w:tc>
              <w:tc>
                <w:tcPr>
                  <w:tcW w:w="654" w:type="pct"/>
                  <w:tcBorders>
                    <w:tl2br w:val="nil"/>
                    <w:tr2bl w:val="nil"/>
                  </w:tcBorders>
                  <w:noWrap w:val="0"/>
                  <w:vAlign w:val="top"/>
                </w:tcPr>
                <w:p w14:paraId="52EDD953">
                  <w:pPr>
                    <w:keepNext w:val="0"/>
                    <w:keepLines w:val="0"/>
                    <w:pageBreakBefore w:val="0"/>
                    <w:widowControl w:val="0"/>
                    <w:kinsoku/>
                    <w:wordWrap/>
                    <w:overflowPunct/>
                    <w:topLinePunct w:val="0"/>
                    <w:autoSpaceDE/>
                    <w:autoSpaceDN/>
                    <w:bidi w:val="0"/>
                    <w:adjustRightInd/>
                    <w:snapToGrid/>
                    <w:spacing w:before="215" w:line="188" w:lineRule="auto"/>
                    <w:ind w:left="427" w:firstLine="0"/>
                    <w:textAlignment w:val="auto"/>
                    <w:rPr>
                      <w:rFonts w:ascii="Times New Roman" w:hAnsi="Times New Roman" w:eastAsia="Times New Roman" w:cs="Times New Roman"/>
                      <w:sz w:val="22"/>
                      <w:szCs w:val="22"/>
                    </w:rPr>
                  </w:pPr>
                </w:p>
              </w:tc>
              <w:tc>
                <w:tcPr>
                  <w:tcW w:w="656" w:type="pct"/>
                  <w:tcBorders>
                    <w:tl2br w:val="nil"/>
                    <w:tr2bl w:val="nil"/>
                  </w:tcBorders>
                  <w:noWrap w:val="0"/>
                  <w:vAlign w:val="top"/>
                </w:tcPr>
                <w:p w14:paraId="7126FD99">
                  <w:pPr>
                    <w:keepNext w:val="0"/>
                    <w:keepLines w:val="0"/>
                    <w:pageBreakBefore w:val="0"/>
                    <w:widowControl w:val="0"/>
                    <w:kinsoku/>
                    <w:wordWrap/>
                    <w:overflowPunct/>
                    <w:topLinePunct w:val="0"/>
                    <w:autoSpaceDE/>
                    <w:autoSpaceDN/>
                    <w:bidi w:val="0"/>
                    <w:adjustRightInd/>
                    <w:snapToGrid/>
                    <w:spacing w:before="215" w:line="188" w:lineRule="auto"/>
                    <w:ind w:left="436" w:firstLine="0"/>
                    <w:textAlignment w:val="auto"/>
                    <w:rPr>
                      <w:rFonts w:ascii="Times New Roman" w:hAnsi="Times New Roman" w:eastAsia="Times New Roman" w:cs="Times New Roman"/>
                      <w:sz w:val="22"/>
                      <w:szCs w:val="22"/>
                    </w:rPr>
                  </w:pPr>
                </w:p>
              </w:tc>
              <w:tc>
                <w:tcPr>
                  <w:tcW w:w="769" w:type="pct"/>
                  <w:vMerge w:val="restart"/>
                  <w:tcBorders>
                    <w:tl2br w:val="nil"/>
                    <w:tr2bl w:val="nil"/>
                  </w:tcBorders>
                  <w:noWrap w:val="0"/>
                  <w:vAlign w:val="top"/>
                </w:tcPr>
                <w:p w14:paraId="7BFF211F">
                  <w:pPr>
                    <w:keepNext w:val="0"/>
                    <w:keepLines w:val="0"/>
                    <w:pageBreakBefore w:val="0"/>
                    <w:widowControl w:val="0"/>
                    <w:kinsoku/>
                    <w:wordWrap/>
                    <w:overflowPunct/>
                    <w:topLinePunct w:val="0"/>
                    <w:autoSpaceDE/>
                    <w:autoSpaceDN/>
                    <w:bidi w:val="0"/>
                    <w:adjustRightInd/>
                    <w:snapToGrid/>
                    <w:spacing w:line="257" w:lineRule="auto"/>
                    <w:ind w:firstLine="0"/>
                    <w:textAlignment w:val="auto"/>
                    <w:rPr>
                      <w:rFonts w:ascii="Arial"/>
                      <w:sz w:val="20"/>
                      <w:szCs w:val="22"/>
                    </w:rPr>
                  </w:pPr>
                </w:p>
                <w:p w14:paraId="5E05955E">
                  <w:pPr>
                    <w:keepNext w:val="0"/>
                    <w:keepLines w:val="0"/>
                    <w:pageBreakBefore w:val="0"/>
                    <w:widowControl w:val="0"/>
                    <w:kinsoku/>
                    <w:wordWrap/>
                    <w:overflowPunct/>
                    <w:topLinePunct w:val="0"/>
                    <w:autoSpaceDE/>
                    <w:autoSpaceDN/>
                    <w:bidi w:val="0"/>
                    <w:adjustRightInd/>
                    <w:snapToGrid/>
                    <w:spacing w:line="258" w:lineRule="auto"/>
                    <w:ind w:firstLine="0"/>
                    <w:textAlignment w:val="auto"/>
                    <w:rPr>
                      <w:rFonts w:ascii="Arial"/>
                      <w:sz w:val="20"/>
                      <w:szCs w:val="22"/>
                    </w:rPr>
                  </w:pPr>
                </w:p>
                <w:p w14:paraId="13232A42">
                  <w:pPr>
                    <w:pStyle w:val="30"/>
                    <w:keepNext w:val="0"/>
                    <w:keepLines w:val="0"/>
                    <w:pageBreakBefore w:val="0"/>
                    <w:widowControl w:val="0"/>
                    <w:kinsoku/>
                    <w:wordWrap/>
                    <w:overflowPunct/>
                    <w:topLinePunct w:val="0"/>
                    <w:autoSpaceDE/>
                    <w:autoSpaceDN/>
                    <w:bidi w:val="0"/>
                    <w:adjustRightInd/>
                    <w:snapToGrid/>
                    <w:spacing w:before="78" w:line="223" w:lineRule="auto"/>
                    <w:ind w:left="273" w:firstLine="0"/>
                    <w:textAlignment w:val="auto"/>
                    <w:rPr>
                      <w:rFonts w:ascii="Times New Roman" w:hAnsi="Times New Roman" w:eastAsia="Times New Roman" w:cs="Times New Roman"/>
                      <w:sz w:val="22"/>
                      <w:szCs w:val="22"/>
                    </w:rPr>
                  </w:pPr>
                  <w:r>
                    <w:rPr>
                      <w:spacing w:val="-4"/>
                      <w:sz w:val="22"/>
                      <w:szCs w:val="22"/>
                    </w:rPr>
                    <w:t>昼间≤</w:t>
                  </w:r>
                  <w:r>
                    <w:rPr>
                      <w:rFonts w:ascii="Times New Roman" w:hAnsi="Times New Roman" w:eastAsia="Times New Roman" w:cs="Times New Roman"/>
                      <w:spacing w:val="-4"/>
                      <w:sz w:val="22"/>
                      <w:szCs w:val="22"/>
                    </w:rPr>
                    <w:t>60</w:t>
                  </w:r>
                </w:p>
                <w:p w14:paraId="1FA5893F">
                  <w:pPr>
                    <w:pStyle w:val="30"/>
                    <w:keepNext w:val="0"/>
                    <w:keepLines w:val="0"/>
                    <w:pageBreakBefore w:val="0"/>
                    <w:widowControl w:val="0"/>
                    <w:kinsoku/>
                    <w:wordWrap/>
                    <w:overflowPunct/>
                    <w:topLinePunct w:val="0"/>
                    <w:autoSpaceDE/>
                    <w:autoSpaceDN/>
                    <w:bidi w:val="0"/>
                    <w:adjustRightInd/>
                    <w:snapToGrid/>
                    <w:spacing w:before="20" w:line="222" w:lineRule="auto"/>
                    <w:ind w:left="273" w:firstLine="0"/>
                    <w:textAlignment w:val="auto"/>
                    <w:rPr>
                      <w:rFonts w:ascii="Times New Roman" w:hAnsi="Times New Roman" w:eastAsia="Times New Roman" w:cs="Times New Roman"/>
                      <w:sz w:val="22"/>
                      <w:szCs w:val="22"/>
                    </w:rPr>
                  </w:pPr>
                  <w:r>
                    <w:rPr>
                      <w:spacing w:val="-4"/>
                      <w:sz w:val="22"/>
                      <w:szCs w:val="22"/>
                    </w:rPr>
                    <w:t>夜间≤</w:t>
                  </w:r>
                  <w:r>
                    <w:rPr>
                      <w:rFonts w:ascii="Times New Roman" w:hAnsi="Times New Roman" w:eastAsia="Times New Roman" w:cs="Times New Roman"/>
                      <w:spacing w:val="-4"/>
                      <w:sz w:val="22"/>
                      <w:szCs w:val="22"/>
                    </w:rPr>
                    <w:t>50</w:t>
                  </w:r>
                </w:p>
              </w:tc>
            </w:tr>
            <w:tr w14:paraId="24011DB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621" w:type="pct"/>
                  <w:vMerge w:val="continue"/>
                  <w:tcBorders>
                    <w:tl2br w:val="nil"/>
                    <w:tr2bl w:val="nil"/>
                  </w:tcBorders>
                  <w:noWrap w:val="0"/>
                  <w:vAlign w:val="top"/>
                </w:tcPr>
                <w:p w14:paraId="752C9028">
                  <w:pPr>
                    <w:keepNext w:val="0"/>
                    <w:keepLines w:val="0"/>
                    <w:pageBreakBefore w:val="0"/>
                    <w:widowControl w:val="0"/>
                    <w:kinsoku/>
                    <w:wordWrap/>
                    <w:overflowPunct/>
                    <w:topLinePunct w:val="0"/>
                    <w:autoSpaceDE/>
                    <w:autoSpaceDN/>
                    <w:bidi w:val="0"/>
                    <w:adjustRightInd/>
                    <w:snapToGrid/>
                    <w:ind w:firstLine="0"/>
                    <w:textAlignment w:val="auto"/>
                    <w:rPr>
                      <w:rFonts w:ascii="Arial"/>
                      <w:sz w:val="20"/>
                      <w:szCs w:val="22"/>
                    </w:rPr>
                  </w:pPr>
                </w:p>
              </w:tc>
              <w:tc>
                <w:tcPr>
                  <w:tcW w:w="1643" w:type="pct"/>
                  <w:tcBorders>
                    <w:tl2br w:val="nil"/>
                    <w:tr2bl w:val="nil"/>
                  </w:tcBorders>
                  <w:noWrap w:val="0"/>
                  <w:vAlign w:val="top"/>
                </w:tcPr>
                <w:p w14:paraId="6B83979F">
                  <w:pPr>
                    <w:pStyle w:val="30"/>
                    <w:keepNext w:val="0"/>
                    <w:keepLines w:val="0"/>
                    <w:pageBreakBefore w:val="0"/>
                    <w:widowControl w:val="0"/>
                    <w:kinsoku/>
                    <w:wordWrap/>
                    <w:overflowPunct/>
                    <w:topLinePunct w:val="0"/>
                    <w:autoSpaceDE/>
                    <w:autoSpaceDN/>
                    <w:bidi w:val="0"/>
                    <w:adjustRightInd/>
                    <w:snapToGrid/>
                    <w:spacing w:before="175" w:line="223" w:lineRule="auto"/>
                    <w:jc w:val="center"/>
                    <w:textAlignment w:val="auto"/>
                    <w:rPr>
                      <w:sz w:val="22"/>
                      <w:szCs w:val="22"/>
                    </w:rPr>
                  </w:pPr>
                  <w:r>
                    <w:rPr>
                      <w:rFonts w:ascii="Times New Roman" w:hAnsi="Times New Roman" w:eastAsia="Times New Roman" w:cs="Times New Roman"/>
                      <w:spacing w:val="-3"/>
                      <w:sz w:val="22"/>
                      <w:szCs w:val="22"/>
                    </w:rPr>
                    <w:t>N4</w:t>
                  </w:r>
                  <w:r>
                    <w:rPr>
                      <w:rFonts w:ascii="Times New Roman" w:hAnsi="Times New Roman" w:eastAsia="Times New Roman" w:cs="Times New Roman"/>
                      <w:spacing w:val="19"/>
                      <w:sz w:val="22"/>
                      <w:szCs w:val="22"/>
                    </w:rPr>
                    <w:t xml:space="preserve"> </w:t>
                  </w:r>
                  <w:r>
                    <w:rPr>
                      <w:spacing w:val="-3"/>
                      <w:sz w:val="22"/>
                      <w:szCs w:val="22"/>
                    </w:rPr>
                    <w:t>厂界西侧</w:t>
                  </w:r>
                </w:p>
              </w:tc>
              <w:tc>
                <w:tcPr>
                  <w:tcW w:w="654" w:type="pct"/>
                  <w:tcBorders>
                    <w:tl2br w:val="nil"/>
                    <w:tr2bl w:val="nil"/>
                  </w:tcBorders>
                  <w:noWrap w:val="0"/>
                  <w:vAlign w:val="top"/>
                </w:tcPr>
                <w:p w14:paraId="6BA063E4">
                  <w:pPr>
                    <w:keepNext w:val="0"/>
                    <w:keepLines w:val="0"/>
                    <w:pageBreakBefore w:val="0"/>
                    <w:widowControl w:val="0"/>
                    <w:kinsoku/>
                    <w:wordWrap/>
                    <w:overflowPunct/>
                    <w:topLinePunct w:val="0"/>
                    <w:autoSpaceDE/>
                    <w:autoSpaceDN/>
                    <w:bidi w:val="0"/>
                    <w:adjustRightInd/>
                    <w:snapToGrid/>
                    <w:spacing w:before="217" w:line="188" w:lineRule="auto"/>
                    <w:ind w:left="430" w:firstLine="0"/>
                    <w:textAlignment w:val="auto"/>
                    <w:rPr>
                      <w:rFonts w:ascii="Times New Roman" w:hAnsi="Times New Roman" w:eastAsia="Times New Roman" w:cs="Times New Roman"/>
                      <w:sz w:val="22"/>
                      <w:szCs w:val="22"/>
                    </w:rPr>
                  </w:pPr>
                </w:p>
              </w:tc>
              <w:tc>
                <w:tcPr>
                  <w:tcW w:w="654" w:type="pct"/>
                  <w:tcBorders>
                    <w:tl2br w:val="nil"/>
                    <w:tr2bl w:val="nil"/>
                  </w:tcBorders>
                  <w:noWrap w:val="0"/>
                  <w:vAlign w:val="top"/>
                </w:tcPr>
                <w:p w14:paraId="43F16B6D">
                  <w:pPr>
                    <w:keepNext w:val="0"/>
                    <w:keepLines w:val="0"/>
                    <w:pageBreakBefore w:val="0"/>
                    <w:widowControl w:val="0"/>
                    <w:kinsoku/>
                    <w:wordWrap/>
                    <w:overflowPunct/>
                    <w:topLinePunct w:val="0"/>
                    <w:autoSpaceDE/>
                    <w:autoSpaceDN/>
                    <w:bidi w:val="0"/>
                    <w:adjustRightInd/>
                    <w:snapToGrid/>
                    <w:spacing w:before="217" w:line="188" w:lineRule="auto"/>
                    <w:ind w:left="427" w:firstLine="0"/>
                    <w:textAlignment w:val="auto"/>
                    <w:rPr>
                      <w:rFonts w:ascii="Times New Roman" w:hAnsi="Times New Roman" w:eastAsia="Times New Roman" w:cs="Times New Roman"/>
                      <w:sz w:val="22"/>
                      <w:szCs w:val="22"/>
                    </w:rPr>
                  </w:pPr>
                </w:p>
              </w:tc>
              <w:tc>
                <w:tcPr>
                  <w:tcW w:w="656" w:type="pct"/>
                  <w:tcBorders>
                    <w:tl2br w:val="nil"/>
                    <w:tr2bl w:val="nil"/>
                  </w:tcBorders>
                  <w:noWrap w:val="0"/>
                  <w:vAlign w:val="top"/>
                </w:tcPr>
                <w:p w14:paraId="0FF956E8">
                  <w:pPr>
                    <w:keepNext w:val="0"/>
                    <w:keepLines w:val="0"/>
                    <w:pageBreakBefore w:val="0"/>
                    <w:widowControl w:val="0"/>
                    <w:kinsoku/>
                    <w:wordWrap/>
                    <w:overflowPunct/>
                    <w:topLinePunct w:val="0"/>
                    <w:autoSpaceDE/>
                    <w:autoSpaceDN/>
                    <w:bidi w:val="0"/>
                    <w:adjustRightInd/>
                    <w:snapToGrid/>
                    <w:spacing w:before="217" w:line="188" w:lineRule="auto"/>
                    <w:ind w:left="436" w:firstLine="0"/>
                    <w:textAlignment w:val="auto"/>
                    <w:rPr>
                      <w:rFonts w:ascii="Times New Roman" w:hAnsi="Times New Roman" w:eastAsia="Times New Roman" w:cs="Times New Roman"/>
                      <w:sz w:val="22"/>
                      <w:szCs w:val="22"/>
                    </w:rPr>
                  </w:pPr>
                </w:p>
              </w:tc>
              <w:tc>
                <w:tcPr>
                  <w:tcW w:w="769" w:type="pct"/>
                  <w:vMerge w:val="continue"/>
                  <w:tcBorders>
                    <w:tl2br w:val="nil"/>
                    <w:tr2bl w:val="nil"/>
                  </w:tcBorders>
                  <w:noWrap w:val="0"/>
                  <w:vAlign w:val="top"/>
                </w:tcPr>
                <w:p w14:paraId="46FB7E6D">
                  <w:pPr>
                    <w:keepNext w:val="0"/>
                    <w:keepLines w:val="0"/>
                    <w:pageBreakBefore w:val="0"/>
                    <w:widowControl w:val="0"/>
                    <w:kinsoku/>
                    <w:wordWrap/>
                    <w:overflowPunct/>
                    <w:topLinePunct w:val="0"/>
                    <w:autoSpaceDE/>
                    <w:autoSpaceDN/>
                    <w:bidi w:val="0"/>
                    <w:adjustRightInd/>
                    <w:snapToGrid/>
                    <w:ind w:firstLine="0"/>
                    <w:textAlignment w:val="auto"/>
                    <w:rPr>
                      <w:rFonts w:ascii="Arial"/>
                      <w:sz w:val="20"/>
                      <w:szCs w:val="22"/>
                    </w:rPr>
                  </w:pPr>
                </w:p>
              </w:tc>
            </w:tr>
            <w:tr w14:paraId="61283BC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621" w:type="pct"/>
                  <w:vMerge w:val="continue"/>
                  <w:tcBorders>
                    <w:tl2br w:val="nil"/>
                    <w:tr2bl w:val="nil"/>
                  </w:tcBorders>
                  <w:noWrap w:val="0"/>
                  <w:vAlign w:val="top"/>
                </w:tcPr>
                <w:p w14:paraId="64D73A1F">
                  <w:pPr>
                    <w:keepNext w:val="0"/>
                    <w:keepLines w:val="0"/>
                    <w:pageBreakBefore w:val="0"/>
                    <w:widowControl w:val="0"/>
                    <w:kinsoku/>
                    <w:wordWrap/>
                    <w:overflowPunct/>
                    <w:topLinePunct w:val="0"/>
                    <w:autoSpaceDE/>
                    <w:autoSpaceDN/>
                    <w:bidi w:val="0"/>
                    <w:adjustRightInd/>
                    <w:snapToGrid/>
                    <w:ind w:firstLine="0"/>
                    <w:textAlignment w:val="auto"/>
                    <w:rPr>
                      <w:rFonts w:ascii="Arial"/>
                      <w:sz w:val="20"/>
                      <w:szCs w:val="22"/>
                    </w:rPr>
                  </w:pPr>
                </w:p>
              </w:tc>
              <w:tc>
                <w:tcPr>
                  <w:tcW w:w="1643" w:type="pct"/>
                  <w:tcBorders>
                    <w:tl2br w:val="nil"/>
                    <w:tr2bl w:val="nil"/>
                  </w:tcBorders>
                  <w:noWrap w:val="0"/>
                  <w:vAlign w:val="top"/>
                </w:tcPr>
                <w:p w14:paraId="1AA2C469">
                  <w:pPr>
                    <w:pStyle w:val="30"/>
                    <w:keepNext w:val="0"/>
                    <w:keepLines w:val="0"/>
                    <w:pageBreakBefore w:val="0"/>
                    <w:widowControl w:val="0"/>
                    <w:kinsoku/>
                    <w:wordWrap/>
                    <w:overflowPunct/>
                    <w:topLinePunct w:val="0"/>
                    <w:autoSpaceDE/>
                    <w:autoSpaceDN/>
                    <w:bidi w:val="0"/>
                    <w:adjustRightInd/>
                    <w:snapToGrid/>
                    <w:spacing w:before="179" w:line="222" w:lineRule="auto"/>
                    <w:jc w:val="center"/>
                    <w:textAlignment w:val="auto"/>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N5</w:t>
                  </w:r>
                  <w:r>
                    <w:rPr>
                      <w:spacing w:val="-6"/>
                      <w:sz w:val="22"/>
                      <w:szCs w:val="22"/>
                    </w:rPr>
                    <w:t>医院左侧居民楼前</w:t>
                  </w:r>
                  <w:r>
                    <w:rPr>
                      <w:spacing w:val="-32"/>
                      <w:sz w:val="22"/>
                      <w:szCs w:val="22"/>
                    </w:rPr>
                    <w:t xml:space="preserve"> </w:t>
                  </w:r>
                  <w:r>
                    <w:rPr>
                      <w:rFonts w:ascii="Times New Roman" w:hAnsi="Times New Roman" w:eastAsia="Times New Roman" w:cs="Times New Roman"/>
                      <w:spacing w:val="-6"/>
                      <w:sz w:val="22"/>
                      <w:szCs w:val="22"/>
                    </w:rPr>
                    <w:t>1m</w:t>
                  </w:r>
                </w:p>
              </w:tc>
              <w:tc>
                <w:tcPr>
                  <w:tcW w:w="654" w:type="pct"/>
                  <w:tcBorders>
                    <w:tl2br w:val="nil"/>
                    <w:tr2bl w:val="nil"/>
                  </w:tcBorders>
                  <w:noWrap w:val="0"/>
                  <w:vAlign w:val="top"/>
                </w:tcPr>
                <w:p w14:paraId="6483C0B5">
                  <w:pPr>
                    <w:keepNext w:val="0"/>
                    <w:keepLines w:val="0"/>
                    <w:pageBreakBefore w:val="0"/>
                    <w:widowControl w:val="0"/>
                    <w:kinsoku/>
                    <w:wordWrap/>
                    <w:overflowPunct/>
                    <w:topLinePunct w:val="0"/>
                    <w:autoSpaceDE/>
                    <w:autoSpaceDN/>
                    <w:bidi w:val="0"/>
                    <w:adjustRightInd/>
                    <w:snapToGrid/>
                    <w:spacing w:before="221" w:line="188" w:lineRule="auto"/>
                    <w:ind w:left="430" w:firstLine="0"/>
                    <w:textAlignment w:val="auto"/>
                    <w:rPr>
                      <w:rFonts w:ascii="Times New Roman" w:hAnsi="Times New Roman" w:eastAsia="Times New Roman" w:cs="Times New Roman"/>
                      <w:sz w:val="22"/>
                      <w:szCs w:val="22"/>
                    </w:rPr>
                  </w:pPr>
                </w:p>
              </w:tc>
              <w:tc>
                <w:tcPr>
                  <w:tcW w:w="654" w:type="pct"/>
                  <w:tcBorders>
                    <w:tl2br w:val="nil"/>
                    <w:tr2bl w:val="nil"/>
                  </w:tcBorders>
                  <w:noWrap w:val="0"/>
                  <w:vAlign w:val="top"/>
                </w:tcPr>
                <w:p w14:paraId="6B2438EC">
                  <w:pPr>
                    <w:keepNext w:val="0"/>
                    <w:keepLines w:val="0"/>
                    <w:pageBreakBefore w:val="0"/>
                    <w:widowControl w:val="0"/>
                    <w:kinsoku/>
                    <w:wordWrap/>
                    <w:overflowPunct/>
                    <w:topLinePunct w:val="0"/>
                    <w:autoSpaceDE/>
                    <w:autoSpaceDN/>
                    <w:bidi w:val="0"/>
                    <w:adjustRightInd/>
                    <w:snapToGrid/>
                    <w:spacing w:before="221" w:line="188" w:lineRule="auto"/>
                    <w:ind w:left="427" w:firstLine="0"/>
                    <w:textAlignment w:val="auto"/>
                    <w:rPr>
                      <w:rFonts w:ascii="Times New Roman" w:hAnsi="Times New Roman" w:eastAsia="Times New Roman" w:cs="Times New Roman"/>
                      <w:sz w:val="22"/>
                      <w:szCs w:val="22"/>
                    </w:rPr>
                  </w:pPr>
                </w:p>
              </w:tc>
              <w:tc>
                <w:tcPr>
                  <w:tcW w:w="656" w:type="pct"/>
                  <w:tcBorders>
                    <w:tl2br w:val="nil"/>
                    <w:tr2bl w:val="nil"/>
                  </w:tcBorders>
                  <w:noWrap w:val="0"/>
                  <w:vAlign w:val="top"/>
                </w:tcPr>
                <w:p w14:paraId="3FD64246">
                  <w:pPr>
                    <w:keepNext w:val="0"/>
                    <w:keepLines w:val="0"/>
                    <w:pageBreakBefore w:val="0"/>
                    <w:widowControl w:val="0"/>
                    <w:kinsoku/>
                    <w:wordWrap/>
                    <w:overflowPunct/>
                    <w:topLinePunct w:val="0"/>
                    <w:autoSpaceDE/>
                    <w:autoSpaceDN/>
                    <w:bidi w:val="0"/>
                    <w:adjustRightInd/>
                    <w:snapToGrid/>
                    <w:spacing w:before="221" w:line="188" w:lineRule="auto"/>
                    <w:ind w:left="429" w:firstLine="0"/>
                    <w:textAlignment w:val="auto"/>
                    <w:rPr>
                      <w:rFonts w:ascii="Times New Roman" w:hAnsi="Times New Roman" w:eastAsia="Times New Roman" w:cs="Times New Roman"/>
                      <w:sz w:val="22"/>
                      <w:szCs w:val="22"/>
                    </w:rPr>
                  </w:pPr>
                </w:p>
              </w:tc>
              <w:tc>
                <w:tcPr>
                  <w:tcW w:w="769" w:type="pct"/>
                  <w:vMerge w:val="continue"/>
                  <w:tcBorders>
                    <w:tl2br w:val="nil"/>
                    <w:tr2bl w:val="nil"/>
                  </w:tcBorders>
                  <w:noWrap w:val="0"/>
                  <w:vAlign w:val="top"/>
                </w:tcPr>
                <w:p w14:paraId="78ED0580">
                  <w:pPr>
                    <w:keepNext w:val="0"/>
                    <w:keepLines w:val="0"/>
                    <w:pageBreakBefore w:val="0"/>
                    <w:widowControl w:val="0"/>
                    <w:kinsoku/>
                    <w:wordWrap/>
                    <w:overflowPunct/>
                    <w:topLinePunct w:val="0"/>
                    <w:autoSpaceDE/>
                    <w:autoSpaceDN/>
                    <w:bidi w:val="0"/>
                    <w:adjustRightInd/>
                    <w:snapToGrid/>
                    <w:ind w:firstLine="0"/>
                    <w:textAlignment w:val="auto"/>
                    <w:rPr>
                      <w:rFonts w:ascii="Arial"/>
                      <w:sz w:val="20"/>
                      <w:szCs w:val="22"/>
                    </w:rPr>
                  </w:pPr>
                </w:p>
              </w:tc>
            </w:tr>
            <w:tr w14:paraId="29FDC16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621" w:type="pct"/>
                  <w:tcBorders>
                    <w:tl2br w:val="nil"/>
                    <w:tr2bl w:val="nil"/>
                  </w:tcBorders>
                  <w:noWrap w:val="0"/>
                  <w:vAlign w:val="top"/>
                </w:tcPr>
                <w:p w14:paraId="121FAD11">
                  <w:pPr>
                    <w:pStyle w:val="30"/>
                    <w:keepNext w:val="0"/>
                    <w:keepLines w:val="0"/>
                    <w:pageBreakBefore w:val="0"/>
                    <w:widowControl w:val="0"/>
                    <w:kinsoku/>
                    <w:wordWrap/>
                    <w:overflowPunct/>
                    <w:topLinePunct w:val="0"/>
                    <w:autoSpaceDE/>
                    <w:autoSpaceDN/>
                    <w:bidi w:val="0"/>
                    <w:adjustRightInd/>
                    <w:snapToGrid/>
                    <w:spacing w:before="78" w:line="224" w:lineRule="auto"/>
                    <w:jc w:val="center"/>
                    <w:textAlignment w:val="auto"/>
                    <w:rPr>
                      <w:sz w:val="22"/>
                      <w:szCs w:val="22"/>
                    </w:rPr>
                  </w:pPr>
                  <w:r>
                    <w:rPr>
                      <w:spacing w:val="-9"/>
                      <w:sz w:val="22"/>
                      <w:szCs w:val="22"/>
                    </w:rPr>
                    <w:t>备注</w:t>
                  </w:r>
                </w:p>
              </w:tc>
              <w:tc>
                <w:tcPr>
                  <w:tcW w:w="4378" w:type="pct"/>
                  <w:gridSpan w:val="5"/>
                  <w:tcBorders>
                    <w:tl2br w:val="nil"/>
                    <w:tr2bl w:val="nil"/>
                  </w:tcBorders>
                  <w:noWrap w:val="0"/>
                  <w:vAlign w:val="top"/>
                </w:tcPr>
                <w:p w14:paraId="09B48D9A">
                  <w:pPr>
                    <w:pStyle w:val="30"/>
                    <w:keepNext w:val="0"/>
                    <w:keepLines w:val="0"/>
                    <w:pageBreakBefore w:val="0"/>
                    <w:widowControl w:val="0"/>
                    <w:kinsoku/>
                    <w:wordWrap/>
                    <w:overflowPunct/>
                    <w:topLinePunct w:val="0"/>
                    <w:autoSpaceDE/>
                    <w:autoSpaceDN/>
                    <w:bidi w:val="0"/>
                    <w:adjustRightInd/>
                    <w:snapToGrid/>
                    <w:spacing w:before="55" w:line="220" w:lineRule="auto"/>
                    <w:ind w:left="21" w:firstLine="0"/>
                    <w:textAlignment w:val="auto"/>
                    <w:rPr>
                      <w:sz w:val="22"/>
                      <w:szCs w:val="22"/>
                    </w:rPr>
                  </w:pPr>
                  <w:r>
                    <w:rPr>
                      <w:rFonts w:ascii="Times New Roman" w:hAnsi="Times New Roman" w:eastAsia="Times New Roman" w:cs="Times New Roman"/>
                      <w:spacing w:val="-3"/>
                      <w:sz w:val="22"/>
                      <w:szCs w:val="22"/>
                    </w:rPr>
                    <w:t>1</w:t>
                  </w:r>
                  <w:r>
                    <w:rPr>
                      <w:rFonts w:ascii="Times New Roman" w:hAnsi="Times New Roman" w:eastAsia="Times New Roman" w:cs="Times New Roman"/>
                      <w:spacing w:val="-24"/>
                      <w:sz w:val="22"/>
                      <w:szCs w:val="22"/>
                    </w:rPr>
                    <w:t xml:space="preserve"> </w:t>
                  </w:r>
                  <w:r>
                    <w:rPr>
                      <w:spacing w:val="-3"/>
                      <w:sz w:val="22"/>
                      <w:szCs w:val="22"/>
                    </w:rPr>
                    <w:t>、检测气象条件：天气多云，风速</w:t>
                  </w:r>
                  <w:r>
                    <w:rPr>
                      <w:rFonts w:ascii="Times New Roman" w:hAnsi="Times New Roman" w:eastAsia="Times New Roman" w:cs="Times New Roman"/>
                      <w:spacing w:val="-3"/>
                      <w:sz w:val="22"/>
                      <w:szCs w:val="22"/>
                    </w:rPr>
                    <w:t>&lt;5m/s</w:t>
                  </w:r>
                  <w:r>
                    <w:rPr>
                      <w:spacing w:val="-3"/>
                      <w:sz w:val="22"/>
                      <w:szCs w:val="22"/>
                    </w:rPr>
                    <w:t>；</w:t>
                  </w:r>
                </w:p>
              </w:tc>
            </w:tr>
          </w:tbl>
          <w:p w14:paraId="06212A85">
            <w:pPr>
              <w:widowControl/>
              <w:spacing w:line="360" w:lineRule="auto"/>
              <w:jc w:val="left"/>
              <w:rPr>
                <w:rFonts w:hint="eastAsia" w:ascii="宋体" w:hAnsi="宋体" w:cs="宋体"/>
                <w:color w:val="FF0000"/>
                <w:kern w:val="0"/>
                <w:sz w:val="24"/>
                <w:lang w:bidi="ar"/>
              </w:rPr>
            </w:pPr>
          </w:p>
          <w:bookmarkEnd w:id="8"/>
          <w:p w14:paraId="2F1D2B3A">
            <w:pPr>
              <w:pStyle w:val="3"/>
              <w:ind w:left="0"/>
              <w:jc w:val="left"/>
              <w:rPr>
                <w:color w:val="auto"/>
                <w:sz w:val="30"/>
                <w:szCs w:val="30"/>
              </w:rPr>
            </w:pPr>
            <w:r>
              <w:rPr>
                <w:color w:val="auto"/>
                <w:sz w:val="30"/>
                <w:szCs w:val="30"/>
              </w:rPr>
              <w:t>3.4生态环境现状调查</w:t>
            </w:r>
          </w:p>
          <w:p w14:paraId="0DE33EA1">
            <w:pPr>
              <w:spacing w:line="360" w:lineRule="auto"/>
              <w:ind w:firstLine="480" w:firstLineChars="200"/>
              <w:rPr>
                <w:bCs/>
                <w:color w:val="auto"/>
                <w:sz w:val="24"/>
              </w:rPr>
            </w:pPr>
            <w:r>
              <w:rPr>
                <w:bCs/>
                <w:color w:val="auto"/>
                <w:sz w:val="24"/>
              </w:rPr>
              <w:t>本</w:t>
            </w:r>
            <w:r>
              <w:rPr>
                <w:color w:val="auto"/>
                <w:sz w:val="24"/>
              </w:rPr>
              <w:t>项目位于</w:t>
            </w:r>
            <w:r>
              <w:rPr>
                <w:rFonts w:hint="eastAsia"/>
                <w:color w:val="auto"/>
                <w:sz w:val="24"/>
                <w:lang w:eastAsia="zh-CN"/>
              </w:rPr>
              <w:t>福建省闽侯县尚干镇洋中村桥头东1号</w:t>
            </w:r>
            <w:r>
              <w:rPr>
                <w:bCs/>
                <w:color w:val="auto"/>
                <w:sz w:val="24"/>
              </w:rPr>
              <w:t>，根据调查，</w:t>
            </w:r>
            <w:r>
              <w:rPr>
                <w:bCs/>
                <w:color w:val="auto"/>
                <w:sz w:val="24"/>
                <w:lang w:val="zh-CN"/>
              </w:rPr>
              <w:t>项目</w:t>
            </w:r>
            <w:r>
              <w:rPr>
                <w:rFonts w:hint="eastAsia"/>
                <w:color w:val="auto"/>
                <w:sz w:val="24"/>
                <w:szCs w:val="32"/>
              </w:rPr>
              <w:t>建设用地</w:t>
            </w:r>
            <w:r>
              <w:rPr>
                <w:bCs/>
                <w:color w:val="auto"/>
                <w:sz w:val="24"/>
                <w:lang w:val="en-GB"/>
              </w:rPr>
              <w:t>未发现名木古树，不涉及珍稀或濒危野生动植物资源自然分布。</w:t>
            </w:r>
          </w:p>
          <w:p w14:paraId="66103F50">
            <w:pPr>
              <w:spacing w:line="360" w:lineRule="auto"/>
              <w:ind w:firstLine="480" w:firstLineChars="200"/>
              <w:rPr>
                <w:bCs/>
                <w:color w:val="auto"/>
                <w:sz w:val="24"/>
                <w:lang w:val="zh-CN"/>
              </w:rPr>
            </w:pPr>
            <w:r>
              <w:rPr>
                <w:bCs/>
                <w:color w:val="auto"/>
                <w:sz w:val="24"/>
                <w:lang w:val="zh-CN"/>
              </w:rPr>
              <w:t>因此，本环评不对生态环境现状进行评价。</w:t>
            </w:r>
          </w:p>
          <w:p w14:paraId="1BDE3592">
            <w:pPr>
              <w:pStyle w:val="3"/>
              <w:spacing w:line="360" w:lineRule="auto"/>
              <w:ind w:left="0"/>
              <w:rPr>
                <w:color w:val="auto"/>
                <w:sz w:val="30"/>
                <w:szCs w:val="30"/>
              </w:rPr>
            </w:pPr>
            <w:r>
              <w:rPr>
                <w:color w:val="auto"/>
                <w:sz w:val="30"/>
                <w:szCs w:val="30"/>
              </w:rPr>
              <w:t>3.5地下水、土壤环境质量现状</w:t>
            </w:r>
          </w:p>
          <w:p w14:paraId="2CA977AC">
            <w:pPr>
              <w:adjustRightInd w:val="0"/>
              <w:snapToGrid w:val="0"/>
              <w:spacing w:line="360" w:lineRule="auto"/>
              <w:ind w:firstLine="480" w:firstLineChars="200"/>
              <w:rPr>
                <w:color w:val="auto"/>
                <w:sz w:val="24"/>
              </w:rPr>
            </w:pPr>
            <w:r>
              <w:rPr>
                <w:color w:val="auto"/>
                <w:sz w:val="24"/>
              </w:rPr>
              <w:t>根据《</w:t>
            </w:r>
            <w:bookmarkStart w:id="9" w:name="OLE_LINK6"/>
            <w:r>
              <w:rPr>
                <w:color w:val="auto"/>
                <w:sz w:val="24"/>
              </w:rPr>
              <w:t>建设项目环境影响报告表编制技术指南（污染影响类）</w:t>
            </w:r>
            <w:bookmarkEnd w:id="9"/>
            <w:r>
              <w:rPr>
                <w:color w:val="auto"/>
                <w:sz w:val="24"/>
              </w:rPr>
              <w:t>（试行）》（环办环评〔2020〕33号）规定，</w:t>
            </w:r>
            <w:r>
              <w:rPr>
                <w:rFonts w:hint="eastAsia"/>
                <w:color w:val="auto"/>
                <w:sz w:val="24"/>
              </w:rPr>
              <w:t>“</w:t>
            </w:r>
            <w:r>
              <w:rPr>
                <w:color w:val="auto"/>
                <w:sz w:val="24"/>
              </w:rPr>
              <w:t>原则上不开展环境质量现状调查。建设项目存在土壤、地下水环境污染途径的，应结合污染源、保护目标分布情况开展现状调查以留作背景值</w:t>
            </w:r>
            <w:r>
              <w:rPr>
                <w:rFonts w:hint="eastAsia"/>
                <w:color w:val="auto"/>
                <w:sz w:val="24"/>
              </w:rPr>
              <w:t>”</w:t>
            </w:r>
            <w:r>
              <w:rPr>
                <w:color w:val="auto"/>
                <w:sz w:val="24"/>
              </w:rPr>
              <w:t>。</w:t>
            </w:r>
          </w:p>
          <w:p w14:paraId="5F491735">
            <w:pPr>
              <w:pStyle w:val="16"/>
              <w:spacing w:line="360" w:lineRule="auto"/>
              <w:ind w:left="0" w:leftChars="0" w:firstLine="480"/>
              <w:rPr>
                <w:color w:val="auto"/>
              </w:rPr>
            </w:pPr>
            <w:r>
              <w:rPr>
                <w:color w:val="auto"/>
              </w:rPr>
              <w:t>项目位于</w:t>
            </w:r>
            <w:r>
              <w:rPr>
                <w:rFonts w:hint="eastAsia"/>
                <w:color w:val="auto"/>
                <w:szCs w:val="24"/>
                <w:lang w:eastAsia="zh-CN"/>
              </w:rPr>
              <w:t>福建省闽侯县尚干镇洋中村桥头东1号</w:t>
            </w:r>
            <w:r>
              <w:rPr>
                <w:color w:val="auto"/>
              </w:rPr>
              <w:t>，项目用地均采取地面硬化处理，项目对地下水和土壤环境影响很小，基本不存在地下水和土壤环境污染途径，因此，本评价不对项目地下水和土壤环境质量进行补充监测。</w:t>
            </w:r>
          </w:p>
          <w:p w14:paraId="19FBA2CE">
            <w:pPr>
              <w:pStyle w:val="37"/>
              <w:textAlignment w:val="center"/>
              <w:rPr>
                <w:rFonts w:ascii="宋体" w:hAnsi="宋体" w:eastAsia="宋体" w:cs="宋体"/>
                <w:b/>
                <w:bCs/>
                <w:color w:val="auto"/>
                <w:kern w:val="2"/>
                <w:sz w:val="30"/>
                <w:szCs w:val="30"/>
                <w:lang w:val="zh-CN" w:eastAsia="zh-CN" w:bidi="zh-CN"/>
              </w:rPr>
            </w:pPr>
            <w:r>
              <w:rPr>
                <w:rFonts w:hint="eastAsia" w:ascii="宋体" w:hAnsi="宋体" w:eastAsia="宋体" w:cs="宋体"/>
                <w:b/>
                <w:bCs/>
                <w:color w:val="auto"/>
                <w:kern w:val="2"/>
                <w:sz w:val="30"/>
                <w:szCs w:val="30"/>
                <w:lang w:val="en-US" w:eastAsia="zh-CN" w:bidi="zh-CN"/>
              </w:rPr>
              <w:t>3.6</w:t>
            </w:r>
            <w:r>
              <w:rPr>
                <w:rFonts w:ascii="宋体" w:hAnsi="宋体" w:eastAsia="宋体" w:cs="宋体"/>
                <w:b/>
                <w:bCs/>
                <w:color w:val="auto"/>
                <w:kern w:val="2"/>
                <w:sz w:val="30"/>
                <w:szCs w:val="30"/>
                <w:lang w:val="zh-CN" w:eastAsia="zh-CN" w:bidi="zh-CN"/>
              </w:rPr>
              <w:t>电磁辐射质量现状</w:t>
            </w:r>
          </w:p>
          <w:p w14:paraId="38959DB2">
            <w:pPr>
              <w:adjustRightInd w:val="0"/>
              <w:snapToGrid w:val="0"/>
              <w:spacing w:line="360" w:lineRule="auto"/>
              <w:ind w:firstLine="480" w:firstLineChars="200"/>
            </w:pPr>
            <w:r>
              <w:rPr>
                <w:rFonts w:hint="eastAsia" w:ascii="宋体" w:hAnsi="宋体" w:cs="宋体"/>
                <w:color w:val="auto"/>
                <w:kern w:val="0"/>
                <w:sz w:val="24"/>
              </w:rPr>
              <w:t>本项目不涉及广播电台、差转台、电视塔台、卫星地球上行站、雷达等电磁辐射，不对电磁辐射现状进行评价。</w:t>
            </w:r>
          </w:p>
        </w:tc>
      </w:tr>
      <w:tr w14:paraId="27F2A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251" w:type="pct"/>
            <w:noWrap w:val="0"/>
            <w:vAlign w:val="center"/>
          </w:tcPr>
          <w:p w14:paraId="3AE74A93">
            <w:pPr>
              <w:adjustRightInd w:val="0"/>
              <w:snapToGrid w:val="0"/>
              <w:jc w:val="center"/>
              <w:rPr>
                <w:color w:val="auto"/>
                <w:kern w:val="0"/>
                <w:sz w:val="24"/>
              </w:rPr>
            </w:pPr>
            <w:r>
              <w:rPr>
                <w:color w:val="auto"/>
                <w:kern w:val="0"/>
                <w:sz w:val="24"/>
              </w:rPr>
              <w:t>环境</w:t>
            </w:r>
          </w:p>
          <w:p w14:paraId="2705ECA7">
            <w:pPr>
              <w:adjustRightInd w:val="0"/>
              <w:snapToGrid w:val="0"/>
              <w:jc w:val="center"/>
              <w:rPr>
                <w:color w:val="auto"/>
                <w:kern w:val="0"/>
                <w:sz w:val="24"/>
              </w:rPr>
            </w:pPr>
            <w:r>
              <w:rPr>
                <w:color w:val="auto"/>
                <w:kern w:val="0"/>
                <w:sz w:val="24"/>
              </w:rPr>
              <w:t>保护</w:t>
            </w:r>
          </w:p>
          <w:p w14:paraId="46A97D3D">
            <w:pPr>
              <w:adjustRightInd w:val="0"/>
              <w:snapToGrid w:val="0"/>
              <w:jc w:val="center"/>
              <w:rPr>
                <w:color w:val="auto"/>
                <w:kern w:val="0"/>
                <w:sz w:val="24"/>
              </w:rPr>
            </w:pPr>
            <w:r>
              <w:rPr>
                <w:color w:val="auto"/>
                <w:kern w:val="0"/>
                <w:sz w:val="24"/>
              </w:rPr>
              <w:t>目标</w:t>
            </w:r>
          </w:p>
        </w:tc>
        <w:tc>
          <w:tcPr>
            <w:tcW w:w="4748" w:type="pct"/>
            <w:noWrap w:val="0"/>
            <w:vAlign w:val="center"/>
          </w:tcPr>
          <w:p w14:paraId="3217E43A">
            <w:pPr>
              <w:pStyle w:val="3"/>
              <w:spacing w:before="120" w:line="360" w:lineRule="auto"/>
              <w:ind w:left="0"/>
              <w:rPr>
                <w:color w:val="auto"/>
                <w:sz w:val="30"/>
                <w:szCs w:val="30"/>
              </w:rPr>
            </w:pPr>
            <w:r>
              <w:rPr>
                <w:color w:val="auto"/>
                <w:sz w:val="30"/>
                <w:szCs w:val="30"/>
              </w:rPr>
              <w:t>3.</w:t>
            </w:r>
            <w:r>
              <w:rPr>
                <w:rFonts w:hint="eastAsia"/>
                <w:color w:val="auto"/>
                <w:sz w:val="30"/>
                <w:szCs w:val="30"/>
                <w:lang w:val="en-US" w:eastAsia="zh-CN"/>
              </w:rPr>
              <w:t>7</w:t>
            </w:r>
            <w:r>
              <w:rPr>
                <w:color w:val="auto"/>
                <w:sz w:val="30"/>
                <w:szCs w:val="30"/>
              </w:rPr>
              <w:t>环境保护目标</w:t>
            </w:r>
          </w:p>
          <w:p w14:paraId="03F50016">
            <w:pPr>
              <w:adjustRightInd w:val="0"/>
              <w:snapToGrid w:val="0"/>
              <w:spacing w:line="360" w:lineRule="auto"/>
              <w:ind w:firstLine="480" w:firstLineChars="200"/>
              <w:rPr>
                <w:color w:val="auto"/>
                <w:sz w:val="24"/>
                <w:highlight w:val="green"/>
              </w:rPr>
            </w:pPr>
            <w:r>
              <w:rPr>
                <w:color w:val="auto"/>
                <w:sz w:val="24"/>
              </w:rPr>
              <w:t>根据《建设项目环境影响报告表编制技术指南（污染影响类）（试行）》（环办环评〔2020〕33号），本项目的主要环境保护目标详见表3.</w:t>
            </w:r>
            <w:r>
              <w:rPr>
                <w:rFonts w:hint="eastAsia"/>
                <w:color w:val="auto"/>
                <w:sz w:val="24"/>
              </w:rPr>
              <w:t>6</w:t>
            </w:r>
            <w:r>
              <w:rPr>
                <w:color w:val="auto"/>
                <w:sz w:val="24"/>
              </w:rPr>
              <w:t>-1，项目环境保护目标示意图见附图</w:t>
            </w:r>
            <w:r>
              <w:rPr>
                <w:rFonts w:hint="eastAsia"/>
                <w:color w:val="auto"/>
                <w:sz w:val="24"/>
              </w:rPr>
              <w:t>5</w:t>
            </w:r>
            <w:r>
              <w:rPr>
                <w:color w:val="auto"/>
                <w:sz w:val="24"/>
              </w:rPr>
              <w:t>。</w:t>
            </w:r>
          </w:p>
          <w:p w14:paraId="7F56F5DE">
            <w:pPr>
              <w:pStyle w:val="38"/>
              <w:spacing w:before="0" w:beforeLines="0" w:line="360" w:lineRule="auto"/>
              <w:rPr>
                <w:b/>
                <w:bCs/>
                <w:color w:val="auto"/>
              </w:rPr>
            </w:pPr>
            <w:r>
              <w:rPr>
                <w:rFonts w:eastAsia="宋体"/>
                <w:b/>
                <w:bCs/>
                <w:color w:val="auto"/>
              </w:rPr>
              <w:t>表3.</w:t>
            </w:r>
            <w:r>
              <w:rPr>
                <w:rFonts w:hint="eastAsia" w:eastAsia="宋体"/>
                <w:b/>
                <w:bCs/>
                <w:color w:val="auto"/>
                <w:lang w:val="en-US" w:eastAsia="zh-CN"/>
              </w:rPr>
              <w:t>7</w:t>
            </w:r>
            <w:r>
              <w:rPr>
                <w:rFonts w:eastAsia="宋体"/>
                <w:b/>
                <w:bCs/>
                <w:color w:val="auto"/>
              </w:rPr>
              <w:t>-1项目周边主要环境保护目标</w:t>
            </w:r>
          </w:p>
          <w:tbl>
            <w:tblPr>
              <w:tblStyle w:val="1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1372"/>
              <w:gridCol w:w="640"/>
              <w:gridCol w:w="985"/>
              <w:gridCol w:w="1473"/>
              <w:gridCol w:w="3190"/>
            </w:tblGrid>
            <w:tr w14:paraId="27E049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Merge w:val="restart"/>
                  <w:noWrap w:val="0"/>
                  <w:vAlign w:val="center"/>
                </w:tcPr>
                <w:p w14:paraId="3A0BEA13">
                  <w:pPr>
                    <w:adjustRightInd w:val="0"/>
                    <w:snapToGrid w:val="0"/>
                    <w:spacing w:line="340" w:lineRule="exact"/>
                    <w:jc w:val="center"/>
                    <w:rPr>
                      <w:color w:val="auto"/>
                      <w:szCs w:val="18"/>
                    </w:rPr>
                  </w:pPr>
                  <w:r>
                    <w:rPr>
                      <w:color w:val="auto"/>
                      <w:szCs w:val="18"/>
                    </w:rPr>
                    <w:t>环境</w:t>
                  </w:r>
                </w:p>
                <w:p w14:paraId="296119AF">
                  <w:pPr>
                    <w:adjustRightInd w:val="0"/>
                    <w:snapToGrid w:val="0"/>
                    <w:spacing w:line="340" w:lineRule="exact"/>
                    <w:jc w:val="center"/>
                    <w:rPr>
                      <w:color w:val="auto"/>
                      <w:szCs w:val="18"/>
                    </w:rPr>
                  </w:pPr>
                  <w:r>
                    <w:rPr>
                      <w:color w:val="auto"/>
                      <w:szCs w:val="18"/>
                    </w:rPr>
                    <w:t>要素</w:t>
                  </w:r>
                </w:p>
              </w:tc>
              <w:tc>
                <w:tcPr>
                  <w:tcW w:w="1372" w:type="dxa"/>
                  <w:vMerge w:val="restart"/>
                  <w:noWrap w:val="0"/>
                  <w:vAlign w:val="center"/>
                </w:tcPr>
                <w:p w14:paraId="23F13D56">
                  <w:pPr>
                    <w:adjustRightInd w:val="0"/>
                    <w:snapToGrid w:val="0"/>
                    <w:spacing w:line="340" w:lineRule="exact"/>
                    <w:jc w:val="center"/>
                    <w:rPr>
                      <w:color w:val="auto"/>
                      <w:szCs w:val="18"/>
                    </w:rPr>
                  </w:pPr>
                  <w:r>
                    <w:rPr>
                      <w:color w:val="auto"/>
                      <w:szCs w:val="18"/>
                    </w:rPr>
                    <w:t>环境保护</w:t>
                  </w:r>
                </w:p>
                <w:p w14:paraId="45DEC552">
                  <w:pPr>
                    <w:adjustRightInd w:val="0"/>
                    <w:snapToGrid w:val="0"/>
                    <w:spacing w:line="340" w:lineRule="exact"/>
                    <w:jc w:val="center"/>
                    <w:rPr>
                      <w:color w:val="auto"/>
                      <w:szCs w:val="18"/>
                    </w:rPr>
                  </w:pPr>
                  <w:r>
                    <w:rPr>
                      <w:color w:val="auto"/>
                      <w:szCs w:val="18"/>
                    </w:rPr>
                    <w:t>目标</w:t>
                  </w:r>
                </w:p>
              </w:tc>
              <w:tc>
                <w:tcPr>
                  <w:tcW w:w="1625" w:type="dxa"/>
                  <w:gridSpan w:val="2"/>
                  <w:noWrap w:val="0"/>
                  <w:vAlign w:val="center"/>
                </w:tcPr>
                <w:p w14:paraId="3E5B2BDA">
                  <w:pPr>
                    <w:adjustRightInd w:val="0"/>
                    <w:snapToGrid w:val="0"/>
                    <w:spacing w:line="340" w:lineRule="exact"/>
                    <w:jc w:val="center"/>
                    <w:rPr>
                      <w:color w:val="auto"/>
                      <w:szCs w:val="18"/>
                    </w:rPr>
                  </w:pPr>
                  <w:r>
                    <w:rPr>
                      <w:color w:val="auto"/>
                      <w:szCs w:val="18"/>
                    </w:rPr>
                    <w:t>相对项目厂界</w:t>
                  </w:r>
                </w:p>
              </w:tc>
              <w:tc>
                <w:tcPr>
                  <w:tcW w:w="1473" w:type="dxa"/>
                  <w:vMerge w:val="restart"/>
                  <w:noWrap w:val="0"/>
                  <w:vAlign w:val="center"/>
                </w:tcPr>
                <w:p w14:paraId="5749DF3A">
                  <w:pPr>
                    <w:adjustRightInd w:val="0"/>
                    <w:snapToGrid w:val="0"/>
                    <w:spacing w:line="340" w:lineRule="exact"/>
                    <w:jc w:val="center"/>
                    <w:rPr>
                      <w:color w:val="auto"/>
                      <w:szCs w:val="18"/>
                    </w:rPr>
                  </w:pPr>
                  <w:r>
                    <w:rPr>
                      <w:color w:val="auto"/>
                      <w:szCs w:val="18"/>
                    </w:rPr>
                    <w:t>目标规模</w:t>
                  </w:r>
                </w:p>
              </w:tc>
              <w:tc>
                <w:tcPr>
                  <w:tcW w:w="3190" w:type="dxa"/>
                  <w:vMerge w:val="restart"/>
                  <w:noWrap w:val="0"/>
                  <w:vAlign w:val="center"/>
                </w:tcPr>
                <w:p w14:paraId="20382990">
                  <w:pPr>
                    <w:adjustRightInd w:val="0"/>
                    <w:snapToGrid w:val="0"/>
                    <w:spacing w:line="340" w:lineRule="exact"/>
                    <w:jc w:val="center"/>
                    <w:rPr>
                      <w:color w:val="auto"/>
                      <w:szCs w:val="18"/>
                    </w:rPr>
                  </w:pPr>
                  <w:r>
                    <w:rPr>
                      <w:color w:val="auto"/>
                      <w:szCs w:val="18"/>
                    </w:rPr>
                    <w:t>环境功能</w:t>
                  </w:r>
                </w:p>
              </w:tc>
            </w:tr>
            <w:tr w14:paraId="170FE3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Merge w:val="continue"/>
                  <w:noWrap w:val="0"/>
                  <w:vAlign w:val="center"/>
                </w:tcPr>
                <w:p w14:paraId="6674E676">
                  <w:pPr>
                    <w:adjustRightInd w:val="0"/>
                    <w:snapToGrid w:val="0"/>
                    <w:spacing w:line="340" w:lineRule="exact"/>
                    <w:jc w:val="center"/>
                    <w:rPr>
                      <w:color w:val="auto"/>
                      <w:szCs w:val="18"/>
                    </w:rPr>
                  </w:pPr>
                </w:p>
              </w:tc>
              <w:tc>
                <w:tcPr>
                  <w:tcW w:w="1372" w:type="dxa"/>
                  <w:vMerge w:val="continue"/>
                  <w:noWrap w:val="0"/>
                  <w:vAlign w:val="center"/>
                </w:tcPr>
                <w:p w14:paraId="0C2321D8">
                  <w:pPr>
                    <w:adjustRightInd w:val="0"/>
                    <w:snapToGrid w:val="0"/>
                    <w:spacing w:line="340" w:lineRule="exact"/>
                    <w:jc w:val="center"/>
                    <w:rPr>
                      <w:color w:val="auto"/>
                      <w:szCs w:val="18"/>
                    </w:rPr>
                  </w:pPr>
                </w:p>
              </w:tc>
              <w:tc>
                <w:tcPr>
                  <w:tcW w:w="640" w:type="dxa"/>
                  <w:noWrap w:val="0"/>
                  <w:vAlign w:val="center"/>
                </w:tcPr>
                <w:p w14:paraId="0FD3AD54">
                  <w:pPr>
                    <w:adjustRightInd w:val="0"/>
                    <w:snapToGrid w:val="0"/>
                    <w:spacing w:line="340" w:lineRule="exact"/>
                    <w:jc w:val="center"/>
                    <w:rPr>
                      <w:color w:val="auto"/>
                      <w:szCs w:val="18"/>
                    </w:rPr>
                  </w:pPr>
                  <w:r>
                    <w:rPr>
                      <w:color w:val="auto"/>
                      <w:szCs w:val="18"/>
                    </w:rPr>
                    <w:t>方位</w:t>
                  </w:r>
                </w:p>
              </w:tc>
              <w:tc>
                <w:tcPr>
                  <w:tcW w:w="985" w:type="dxa"/>
                  <w:noWrap w:val="0"/>
                  <w:vAlign w:val="center"/>
                </w:tcPr>
                <w:p w14:paraId="69B74828">
                  <w:pPr>
                    <w:adjustRightInd w:val="0"/>
                    <w:snapToGrid w:val="0"/>
                    <w:spacing w:line="340" w:lineRule="exact"/>
                    <w:jc w:val="center"/>
                    <w:rPr>
                      <w:color w:val="auto"/>
                      <w:szCs w:val="18"/>
                    </w:rPr>
                  </w:pPr>
                  <w:r>
                    <w:rPr>
                      <w:color w:val="auto"/>
                      <w:szCs w:val="18"/>
                    </w:rPr>
                    <w:t>最近距离(m)</w:t>
                  </w:r>
                </w:p>
              </w:tc>
              <w:tc>
                <w:tcPr>
                  <w:tcW w:w="1473" w:type="dxa"/>
                  <w:vMerge w:val="continue"/>
                  <w:noWrap w:val="0"/>
                  <w:vAlign w:val="center"/>
                </w:tcPr>
                <w:p w14:paraId="24347D93">
                  <w:pPr>
                    <w:adjustRightInd w:val="0"/>
                    <w:snapToGrid w:val="0"/>
                    <w:spacing w:line="340" w:lineRule="exact"/>
                    <w:jc w:val="center"/>
                    <w:rPr>
                      <w:color w:val="auto"/>
                      <w:szCs w:val="18"/>
                    </w:rPr>
                  </w:pPr>
                </w:p>
              </w:tc>
              <w:tc>
                <w:tcPr>
                  <w:tcW w:w="3190" w:type="dxa"/>
                  <w:vMerge w:val="continue"/>
                  <w:noWrap w:val="0"/>
                  <w:vAlign w:val="center"/>
                </w:tcPr>
                <w:p w14:paraId="43F0DBA0">
                  <w:pPr>
                    <w:adjustRightInd w:val="0"/>
                    <w:snapToGrid w:val="0"/>
                    <w:spacing w:line="340" w:lineRule="exact"/>
                    <w:jc w:val="center"/>
                    <w:rPr>
                      <w:color w:val="auto"/>
                      <w:szCs w:val="18"/>
                    </w:rPr>
                  </w:pPr>
                </w:p>
              </w:tc>
            </w:tr>
            <w:tr w14:paraId="747D9A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Merge w:val="restart"/>
                  <w:noWrap w:val="0"/>
                  <w:vAlign w:val="center"/>
                </w:tcPr>
                <w:p w14:paraId="4C9E71CC">
                  <w:pPr>
                    <w:adjustRightInd w:val="0"/>
                    <w:snapToGrid w:val="0"/>
                    <w:spacing w:line="340" w:lineRule="exact"/>
                    <w:jc w:val="center"/>
                    <w:rPr>
                      <w:color w:val="auto"/>
                      <w:szCs w:val="18"/>
                    </w:rPr>
                  </w:pPr>
                  <w:r>
                    <w:rPr>
                      <w:color w:val="auto"/>
                      <w:szCs w:val="18"/>
                    </w:rPr>
                    <w:t>环境</w:t>
                  </w:r>
                </w:p>
                <w:p w14:paraId="78E49E0A">
                  <w:pPr>
                    <w:adjustRightInd w:val="0"/>
                    <w:snapToGrid w:val="0"/>
                    <w:spacing w:line="340" w:lineRule="exact"/>
                    <w:jc w:val="center"/>
                    <w:rPr>
                      <w:color w:val="auto"/>
                      <w:szCs w:val="18"/>
                    </w:rPr>
                  </w:pPr>
                  <w:r>
                    <w:rPr>
                      <w:color w:val="auto"/>
                      <w:szCs w:val="18"/>
                    </w:rPr>
                    <w:t>空气</w:t>
                  </w:r>
                </w:p>
                <w:p w14:paraId="3799B22D">
                  <w:pPr>
                    <w:adjustRightInd w:val="0"/>
                    <w:snapToGrid w:val="0"/>
                    <w:spacing w:line="340" w:lineRule="exact"/>
                    <w:jc w:val="center"/>
                    <w:rPr>
                      <w:color w:val="auto"/>
                      <w:szCs w:val="18"/>
                    </w:rPr>
                  </w:pPr>
                </w:p>
              </w:tc>
              <w:tc>
                <w:tcPr>
                  <w:tcW w:w="1372" w:type="dxa"/>
                  <w:noWrap w:val="0"/>
                  <w:vAlign w:val="center"/>
                </w:tcPr>
                <w:p w14:paraId="5582FE9B">
                  <w:pPr>
                    <w:adjustRightInd w:val="0"/>
                    <w:snapToGrid w:val="0"/>
                    <w:spacing w:line="340" w:lineRule="exact"/>
                    <w:jc w:val="center"/>
                    <w:rPr>
                      <w:rFonts w:hint="default"/>
                      <w:color w:val="auto"/>
                      <w:szCs w:val="18"/>
                      <w:lang w:val="en-US" w:eastAsia="zh-CN"/>
                    </w:rPr>
                  </w:pPr>
                  <w:r>
                    <w:rPr>
                      <w:rFonts w:hint="eastAsia"/>
                      <w:color w:val="auto"/>
                      <w:szCs w:val="18"/>
                      <w:lang w:val="en-US" w:eastAsia="zh-CN"/>
                    </w:rPr>
                    <w:t>西侧居民楼（洋中村）</w:t>
                  </w:r>
                </w:p>
              </w:tc>
              <w:tc>
                <w:tcPr>
                  <w:tcW w:w="640" w:type="dxa"/>
                  <w:noWrap w:val="0"/>
                  <w:vAlign w:val="center"/>
                </w:tcPr>
                <w:p w14:paraId="510751F2">
                  <w:pPr>
                    <w:adjustRightInd w:val="0"/>
                    <w:snapToGrid w:val="0"/>
                    <w:spacing w:line="340" w:lineRule="exact"/>
                    <w:jc w:val="center"/>
                    <w:rPr>
                      <w:rFonts w:hint="default"/>
                      <w:color w:val="auto"/>
                      <w:szCs w:val="18"/>
                      <w:lang w:val="en-US" w:eastAsia="zh-CN"/>
                    </w:rPr>
                  </w:pPr>
                  <w:r>
                    <w:rPr>
                      <w:rFonts w:hint="eastAsia"/>
                      <w:color w:val="auto"/>
                      <w:szCs w:val="18"/>
                      <w:lang w:val="en-US" w:eastAsia="zh-CN"/>
                    </w:rPr>
                    <w:t>西</w:t>
                  </w:r>
                </w:p>
              </w:tc>
              <w:tc>
                <w:tcPr>
                  <w:tcW w:w="985" w:type="dxa"/>
                  <w:noWrap w:val="0"/>
                  <w:vAlign w:val="center"/>
                </w:tcPr>
                <w:p w14:paraId="77F768E6">
                  <w:pPr>
                    <w:adjustRightInd w:val="0"/>
                    <w:snapToGrid w:val="0"/>
                    <w:spacing w:line="340" w:lineRule="exact"/>
                    <w:jc w:val="center"/>
                    <w:rPr>
                      <w:rFonts w:hint="default"/>
                      <w:color w:val="auto"/>
                      <w:szCs w:val="18"/>
                      <w:lang w:val="en-US" w:eastAsia="zh-CN"/>
                    </w:rPr>
                  </w:pPr>
                  <w:r>
                    <w:rPr>
                      <w:rFonts w:hint="eastAsia"/>
                      <w:color w:val="auto"/>
                      <w:szCs w:val="18"/>
                      <w:lang w:val="en-US" w:eastAsia="zh-CN"/>
                    </w:rPr>
                    <w:t>45</w:t>
                  </w:r>
                </w:p>
              </w:tc>
              <w:tc>
                <w:tcPr>
                  <w:tcW w:w="1473" w:type="dxa"/>
                  <w:noWrap w:val="0"/>
                  <w:vAlign w:val="center"/>
                </w:tcPr>
                <w:p w14:paraId="52601ADF">
                  <w:pPr>
                    <w:adjustRightInd w:val="0"/>
                    <w:snapToGrid w:val="0"/>
                    <w:spacing w:line="340" w:lineRule="exact"/>
                    <w:jc w:val="center"/>
                    <w:rPr>
                      <w:rFonts w:hint="default"/>
                      <w:color w:val="auto"/>
                      <w:szCs w:val="18"/>
                      <w:lang w:val="en-US" w:eastAsia="zh-CN"/>
                    </w:rPr>
                  </w:pPr>
                  <w:r>
                    <w:rPr>
                      <w:rFonts w:hint="eastAsia"/>
                      <w:color w:val="auto"/>
                      <w:szCs w:val="18"/>
                      <w:lang w:val="en-US" w:eastAsia="zh-CN"/>
                    </w:rPr>
                    <w:t>50</w:t>
                  </w:r>
                </w:p>
              </w:tc>
              <w:tc>
                <w:tcPr>
                  <w:tcW w:w="3190" w:type="dxa"/>
                  <w:vMerge w:val="restart"/>
                  <w:noWrap w:val="0"/>
                  <w:vAlign w:val="center"/>
                </w:tcPr>
                <w:p w14:paraId="7AEC3A25">
                  <w:pPr>
                    <w:adjustRightInd w:val="0"/>
                    <w:snapToGrid w:val="0"/>
                    <w:spacing w:line="340" w:lineRule="exact"/>
                    <w:jc w:val="center"/>
                    <w:rPr>
                      <w:color w:val="auto"/>
                      <w:szCs w:val="18"/>
                    </w:rPr>
                  </w:pPr>
                  <w:r>
                    <w:rPr>
                      <w:color w:val="auto"/>
                      <w:szCs w:val="18"/>
                    </w:rPr>
                    <w:t>《环境空气质量标准》（</w:t>
                  </w:r>
                  <w:r>
                    <w:rPr>
                      <w:rFonts w:hint="eastAsia"/>
                      <w:color w:val="auto"/>
                      <w:szCs w:val="18"/>
                      <w:lang w:eastAsia="zh-CN"/>
                    </w:rPr>
                    <w:t>GB3095-2026</w:t>
                  </w:r>
                  <w:r>
                    <w:rPr>
                      <w:color w:val="auto"/>
                      <w:szCs w:val="18"/>
                    </w:rPr>
                    <w:t>）</w:t>
                  </w:r>
                </w:p>
                <w:p w14:paraId="451DD657">
                  <w:pPr>
                    <w:adjustRightInd w:val="0"/>
                    <w:snapToGrid w:val="0"/>
                    <w:spacing w:line="340" w:lineRule="exact"/>
                    <w:jc w:val="center"/>
                    <w:rPr>
                      <w:color w:val="0000FF"/>
                      <w:sz w:val="22"/>
                      <w:szCs w:val="21"/>
                    </w:rPr>
                  </w:pPr>
                  <w:r>
                    <w:rPr>
                      <w:rFonts w:hint="eastAsia"/>
                      <w:color w:val="auto"/>
                      <w:szCs w:val="18"/>
                      <w:lang w:val="en-US" w:eastAsia="zh-CN"/>
                    </w:rPr>
                    <w:t>过渡阶段</w:t>
                  </w:r>
                  <w:r>
                    <w:rPr>
                      <w:color w:val="auto"/>
                      <w:szCs w:val="18"/>
                    </w:rPr>
                    <w:t>二级标准</w:t>
                  </w:r>
                </w:p>
              </w:tc>
            </w:tr>
            <w:tr w14:paraId="4553CD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Merge w:val="continue"/>
                  <w:noWrap w:val="0"/>
                  <w:vAlign w:val="center"/>
                </w:tcPr>
                <w:p w14:paraId="40E9746A">
                  <w:pPr>
                    <w:adjustRightInd w:val="0"/>
                    <w:snapToGrid w:val="0"/>
                    <w:spacing w:line="340" w:lineRule="exact"/>
                    <w:jc w:val="center"/>
                    <w:rPr>
                      <w:color w:val="auto"/>
                      <w:szCs w:val="18"/>
                    </w:rPr>
                  </w:pPr>
                </w:p>
              </w:tc>
              <w:tc>
                <w:tcPr>
                  <w:tcW w:w="1372" w:type="dxa"/>
                  <w:noWrap w:val="0"/>
                  <w:vAlign w:val="center"/>
                </w:tcPr>
                <w:p w14:paraId="6354CDAC">
                  <w:pPr>
                    <w:adjustRightInd w:val="0"/>
                    <w:snapToGrid w:val="0"/>
                    <w:spacing w:line="340" w:lineRule="exact"/>
                    <w:jc w:val="center"/>
                    <w:rPr>
                      <w:rFonts w:hint="default" w:eastAsia="宋体"/>
                      <w:color w:val="auto"/>
                      <w:szCs w:val="18"/>
                      <w:lang w:val="en-US" w:eastAsia="zh-CN"/>
                    </w:rPr>
                  </w:pPr>
                  <w:r>
                    <w:rPr>
                      <w:rFonts w:hint="eastAsia"/>
                      <w:color w:val="auto"/>
                      <w:szCs w:val="18"/>
                      <w:lang w:val="en-US" w:eastAsia="zh-CN"/>
                    </w:rPr>
                    <w:t>洋中农民公寓</w:t>
                  </w:r>
                </w:p>
              </w:tc>
              <w:tc>
                <w:tcPr>
                  <w:tcW w:w="640" w:type="dxa"/>
                  <w:noWrap w:val="0"/>
                  <w:vAlign w:val="center"/>
                </w:tcPr>
                <w:p w14:paraId="2B2336FF">
                  <w:pPr>
                    <w:adjustRightInd w:val="0"/>
                    <w:snapToGrid w:val="0"/>
                    <w:spacing w:line="340" w:lineRule="exact"/>
                    <w:jc w:val="center"/>
                    <w:rPr>
                      <w:color w:val="auto"/>
                      <w:szCs w:val="18"/>
                    </w:rPr>
                  </w:pPr>
                  <w:r>
                    <w:rPr>
                      <w:rFonts w:hint="eastAsia"/>
                      <w:color w:val="auto"/>
                      <w:szCs w:val="18"/>
                      <w:lang w:val="en-US" w:eastAsia="zh-CN"/>
                    </w:rPr>
                    <w:t>西侧</w:t>
                  </w:r>
                </w:p>
              </w:tc>
              <w:tc>
                <w:tcPr>
                  <w:tcW w:w="985" w:type="dxa"/>
                  <w:noWrap w:val="0"/>
                  <w:vAlign w:val="center"/>
                </w:tcPr>
                <w:p w14:paraId="4AE6CBAA">
                  <w:pPr>
                    <w:adjustRightInd w:val="0"/>
                    <w:snapToGrid w:val="0"/>
                    <w:spacing w:line="340" w:lineRule="exact"/>
                    <w:jc w:val="center"/>
                    <w:rPr>
                      <w:rFonts w:hint="default" w:eastAsia="宋体"/>
                      <w:color w:val="auto"/>
                      <w:szCs w:val="18"/>
                      <w:lang w:val="en-US" w:eastAsia="zh-CN"/>
                    </w:rPr>
                  </w:pPr>
                  <w:r>
                    <w:rPr>
                      <w:rFonts w:hint="eastAsia"/>
                      <w:color w:val="auto"/>
                      <w:szCs w:val="18"/>
                      <w:lang w:val="en-US" w:eastAsia="zh-CN"/>
                    </w:rPr>
                    <w:t>490</w:t>
                  </w:r>
                </w:p>
              </w:tc>
              <w:tc>
                <w:tcPr>
                  <w:tcW w:w="1473" w:type="dxa"/>
                  <w:noWrap w:val="0"/>
                  <w:vAlign w:val="center"/>
                </w:tcPr>
                <w:p w14:paraId="3A166BB0">
                  <w:pPr>
                    <w:adjustRightInd w:val="0"/>
                    <w:snapToGrid w:val="0"/>
                    <w:spacing w:line="340" w:lineRule="exact"/>
                    <w:jc w:val="center"/>
                    <w:rPr>
                      <w:rFonts w:hint="default" w:eastAsia="宋体"/>
                      <w:color w:val="auto"/>
                      <w:szCs w:val="18"/>
                      <w:lang w:val="en-US" w:eastAsia="zh-CN"/>
                    </w:rPr>
                  </w:pPr>
                  <w:r>
                    <w:rPr>
                      <w:rFonts w:hint="eastAsia"/>
                      <w:color w:val="auto"/>
                      <w:szCs w:val="18"/>
                      <w:lang w:val="en-US" w:eastAsia="zh-CN"/>
                    </w:rPr>
                    <w:t>20</w:t>
                  </w:r>
                </w:p>
              </w:tc>
              <w:tc>
                <w:tcPr>
                  <w:tcW w:w="3190" w:type="dxa"/>
                  <w:vMerge w:val="continue"/>
                  <w:noWrap w:val="0"/>
                  <w:vAlign w:val="center"/>
                </w:tcPr>
                <w:p w14:paraId="26352099">
                  <w:pPr>
                    <w:adjustRightInd w:val="0"/>
                    <w:snapToGrid w:val="0"/>
                    <w:spacing w:line="340" w:lineRule="exact"/>
                    <w:jc w:val="center"/>
                    <w:rPr>
                      <w:color w:val="0000FF"/>
                      <w:sz w:val="22"/>
                      <w:szCs w:val="21"/>
                    </w:rPr>
                  </w:pPr>
                </w:p>
              </w:tc>
            </w:tr>
            <w:tr w14:paraId="092460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Merge w:val="continue"/>
                  <w:noWrap w:val="0"/>
                  <w:vAlign w:val="center"/>
                </w:tcPr>
                <w:p w14:paraId="1F8DA1F1">
                  <w:pPr>
                    <w:adjustRightInd w:val="0"/>
                    <w:snapToGrid w:val="0"/>
                    <w:spacing w:line="340" w:lineRule="exact"/>
                    <w:jc w:val="center"/>
                    <w:rPr>
                      <w:color w:val="auto"/>
                      <w:szCs w:val="18"/>
                    </w:rPr>
                  </w:pPr>
                </w:p>
              </w:tc>
              <w:tc>
                <w:tcPr>
                  <w:tcW w:w="1372" w:type="dxa"/>
                  <w:noWrap w:val="0"/>
                  <w:vAlign w:val="center"/>
                </w:tcPr>
                <w:p w14:paraId="6B032058">
                  <w:pPr>
                    <w:adjustRightInd w:val="0"/>
                    <w:snapToGrid w:val="0"/>
                    <w:spacing w:line="340" w:lineRule="exact"/>
                    <w:jc w:val="center"/>
                    <w:rPr>
                      <w:rFonts w:hint="default" w:eastAsia="宋体"/>
                      <w:color w:val="auto"/>
                      <w:szCs w:val="18"/>
                      <w:lang w:val="en-US" w:eastAsia="zh-CN"/>
                    </w:rPr>
                  </w:pPr>
                  <w:r>
                    <w:rPr>
                      <w:rFonts w:hint="eastAsia"/>
                      <w:color w:val="auto"/>
                      <w:szCs w:val="18"/>
                      <w:lang w:val="en-US" w:eastAsia="zh-CN"/>
                    </w:rPr>
                    <w:t>后村新农村建设小区</w:t>
                  </w:r>
                </w:p>
              </w:tc>
              <w:tc>
                <w:tcPr>
                  <w:tcW w:w="640" w:type="dxa"/>
                  <w:noWrap w:val="0"/>
                  <w:vAlign w:val="center"/>
                </w:tcPr>
                <w:p w14:paraId="37E15CB8">
                  <w:pPr>
                    <w:adjustRightInd w:val="0"/>
                    <w:snapToGrid w:val="0"/>
                    <w:spacing w:line="340" w:lineRule="exact"/>
                    <w:jc w:val="center"/>
                    <w:rPr>
                      <w:rFonts w:hint="eastAsia"/>
                      <w:color w:val="auto"/>
                      <w:szCs w:val="18"/>
                    </w:rPr>
                  </w:pPr>
                  <w:r>
                    <w:rPr>
                      <w:rFonts w:hint="eastAsia"/>
                      <w:color w:val="auto"/>
                      <w:szCs w:val="18"/>
                      <w:lang w:val="en-US" w:eastAsia="zh-CN"/>
                    </w:rPr>
                    <w:t>西侧</w:t>
                  </w:r>
                </w:p>
              </w:tc>
              <w:tc>
                <w:tcPr>
                  <w:tcW w:w="985" w:type="dxa"/>
                  <w:noWrap w:val="0"/>
                  <w:vAlign w:val="center"/>
                </w:tcPr>
                <w:p w14:paraId="00A2F0A2">
                  <w:pPr>
                    <w:adjustRightInd w:val="0"/>
                    <w:snapToGrid w:val="0"/>
                    <w:spacing w:line="340" w:lineRule="exact"/>
                    <w:jc w:val="center"/>
                    <w:rPr>
                      <w:rFonts w:hint="default" w:eastAsia="宋体"/>
                      <w:color w:val="auto"/>
                      <w:szCs w:val="18"/>
                      <w:lang w:val="en-US" w:eastAsia="zh-CN"/>
                    </w:rPr>
                  </w:pPr>
                  <w:r>
                    <w:rPr>
                      <w:rFonts w:hint="eastAsia"/>
                      <w:color w:val="auto"/>
                      <w:szCs w:val="18"/>
                      <w:lang w:val="en-US" w:eastAsia="zh-CN"/>
                    </w:rPr>
                    <w:t>425</w:t>
                  </w:r>
                </w:p>
              </w:tc>
              <w:tc>
                <w:tcPr>
                  <w:tcW w:w="1473" w:type="dxa"/>
                  <w:noWrap w:val="0"/>
                  <w:vAlign w:val="center"/>
                </w:tcPr>
                <w:p w14:paraId="5684088F">
                  <w:pPr>
                    <w:adjustRightInd w:val="0"/>
                    <w:snapToGrid w:val="0"/>
                    <w:spacing w:line="340" w:lineRule="exact"/>
                    <w:jc w:val="center"/>
                    <w:rPr>
                      <w:rFonts w:hint="default" w:eastAsia="宋体"/>
                      <w:color w:val="auto"/>
                      <w:szCs w:val="18"/>
                      <w:lang w:val="en-US" w:eastAsia="zh-CN"/>
                    </w:rPr>
                  </w:pPr>
                  <w:r>
                    <w:rPr>
                      <w:rFonts w:hint="eastAsia"/>
                      <w:color w:val="auto"/>
                      <w:szCs w:val="18"/>
                      <w:lang w:val="en-US" w:eastAsia="zh-CN"/>
                    </w:rPr>
                    <w:t>100</w:t>
                  </w:r>
                </w:p>
              </w:tc>
              <w:tc>
                <w:tcPr>
                  <w:tcW w:w="3190" w:type="dxa"/>
                  <w:vMerge w:val="continue"/>
                  <w:noWrap w:val="0"/>
                  <w:vAlign w:val="center"/>
                </w:tcPr>
                <w:p w14:paraId="5166F1E9">
                  <w:pPr>
                    <w:adjustRightInd w:val="0"/>
                    <w:snapToGrid w:val="0"/>
                    <w:spacing w:line="340" w:lineRule="exact"/>
                    <w:jc w:val="center"/>
                    <w:rPr>
                      <w:color w:val="0000FF"/>
                      <w:szCs w:val="18"/>
                    </w:rPr>
                  </w:pPr>
                </w:p>
              </w:tc>
            </w:tr>
            <w:tr w14:paraId="3EE725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Merge w:val="continue"/>
                  <w:noWrap w:val="0"/>
                  <w:vAlign w:val="center"/>
                </w:tcPr>
                <w:p w14:paraId="39F1B959">
                  <w:pPr>
                    <w:adjustRightInd w:val="0"/>
                    <w:snapToGrid w:val="0"/>
                    <w:spacing w:line="340" w:lineRule="exact"/>
                    <w:jc w:val="center"/>
                    <w:rPr>
                      <w:color w:val="auto"/>
                      <w:szCs w:val="18"/>
                    </w:rPr>
                  </w:pPr>
                </w:p>
              </w:tc>
              <w:tc>
                <w:tcPr>
                  <w:tcW w:w="1372" w:type="dxa"/>
                  <w:noWrap w:val="0"/>
                  <w:vAlign w:val="center"/>
                </w:tcPr>
                <w:p w14:paraId="17D96811">
                  <w:pPr>
                    <w:adjustRightInd w:val="0"/>
                    <w:snapToGrid w:val="0"/>
                    <w:spacing w:line="340" w:lineRule="exact"/>
                    <w:jc w:val="center"/>
                    <w:rPr>
                      <w:rFonts w:hint="default"/>
                      <w:color w:val="auto"/>
                      <w:szCs w:val="18"/>
                      <w:lang w:val="en-US" w:eastAsia="zh-CN"/>
                    </w:rPr>
                  </w:pPr>
                  <w:r>
                    <w:rPr>
                      <w:rFonts w:hint="eastAsia"/>
                      <w:color w:val="auto"/>
                      <w:szCs w:val="18"/>
                      <w:lang w:val="en-US" w:eastAsia="zh-CN"/>
                    </w:rPr>
                    <w:t>江畔芳庭小区</w:t>
                  </w:r>
                </w:p>
              </w:tc>
              <w:tc>
                <w:tcPr>
                  <w:tcW w:w="640" w:type="dxa"/>
                  <w:noWrap w:val="0"/>
                  <w:vAlign w:val="center"/>
                </w:tcPr>
                <w:p w14:paraId="75881C8C">
                  <w:pPr>
                    <w:adjustRightInd w:val="0"/>
                    <w:snapToGrid w:val="0"/>
                    <w:spacing w:line="340" w:lineRule="exact"/>
                    <w:jc w:val="center"/>
                    <w:rPr>
                      <w:rFonts w:hint="eastAsia"/>
                      <w:color w:val="auto"/>
                      <w:szCs w:val="18"/>
                      <w:lang w:val="en-US" w:eastAsia="zh-CN"/>
                    </w:rPr>
                  </w:pPr>
                  <w:r>
                    <w:rPr>
                      <w:rFonts w:hint="eastAsia"/>
                      <w:color w:val="auto"/>
                      <w:szCs w:val="18"/>
                      <w:lang w:val="en-US" w:eastAsia="zh-CN"/>
                    </w:rPr>
                    <w:t>西侧</w:t>
                  </w:r>
                </w:p>
              </w:tc>
              <w:tc>
                <w:tcPr>
                  <w:tcW w:w="985" w:type="dxa"/>
                  <w:noWrap w:val="0"/>
                  <w:vAlign w:val="center"/>
                </w:tcPr>
                <w:p w14:paraId="5458098C">
                  <w:pPr>
                    <w:adjustRightInd w:val="0"/>
                    <w:snapToGrid w:val="0"/>
                    <w:spacing w:line="340" w:lineRule="exact"/>
                    <w:jc w:val="center"/>
                    <w:rPr>
                      <w:rFonts w:hint="default" w:eastAsia="宋体"/>
                      <w:color w:val="auto"/>
                      <w:szCs w:val="18"/>
                      <w:lang w:val="en-US" w:eastAsia="zh-CN"/>
                    </w:rPr>
                  </w:pPr>
                  <w:r>
                    <w:rPr>
                      <w:rFonts w:hint="eastAsia"/>
                      <w:color w:val="auto"/>
                      <w:szCs w:val="18"/>
                      <w:lang w:val="en-US" w:eastAsia="zh-CN"/>
                    </w:rPr>
                    <w:t>356</w:t>
                  </w:r>
                </w:p>
              </w:tc>
              <w:tc>
                <w:tcPr>
                  <w:tcW w:w="1473" w:type="dxa"/>
                  <w:noWrap w:val="0"/>
                  <w:vAlign w:val="center"/>
                </w:tcPr>
                <w:p w14:paraId="69BA945E">
                  <w:pPr>
                    <w:adjustRightInd w:val="0"/>
                    <w:snapToGrid w:val="0"/>
                    <w:spacing w:line="340" w:lineRule="exact"/>
                    <w:jc w:val="center"/>
                    <w:rPr>
                      <w:rFonts w:hint="default" w:eastAsia="宋体"/>
                      <w:color w:val="auto"/>
                      <w:szCs w:val="18"/>
                      <w:lang w:val="en-US" w:eastAsia="zh-CN"/>
                    </w:rPr>
                  </w:pPr>
                  <w:r>
                    <w:rPr>
                      <w:rFonts w:hint="eastAsia"/>
                      <w:color w:val="auto"/>
                      <w:szCs w:val="18"/>
                      <w:lang w:val="en-US" w:eastAsia="zh-CN"/>
                    </w:rPr>
                    <w:t>100</w:t>
                  </w:r>
                </w:p>
              </w:tc>
              <w:tc>
                <w:tcPr>
                  <w:tcW w:w="3190" w:type="dxa"/>
                  <w:vMerge w:val="continue"/>
                  <w:noWrap w:val="0"/>
                  <w:vAlign w:val="center"/>
                </w:tcPr>
                <w:p w14:paraId="6A8127B8">
                  <w:pPr>
                    <w:adjustRightInd w:val="0"/>
                    <w:snapToGrid w:val="0"/>
                    <w:spacing w:line="340" w:lineRule="exact"/>
                    <w:jc w:val="center"/>
                    <w:rPr>
                      <w:color w:val="0000FF"/>
                      <w:szCs w:val="18"/>
                    </w:rPr>
                  </w:pPr>
                </w:p>
              </w:tc>
            </w:tr>
            <w:tr w14:paraId="2E42E3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vMerge w:val="continue"/>
                  <w:noWrap w:val="0"/>
                  <w:vAlign w:val="center"/>
                </w:tcPr>
                <w:p w14:paraId="7AD2CE41">
                  <w:pPr>
                    <w:adjustRightInd w:val="0"/>
                    <w:snapToGrid w:val="0"/>
                    <w:spacing w:line="340" w:lineRule="exact"/>
                    <w:jc w:val="center"/>
                    <w:rPr>
                      <w:color w:val="auto"/>
                      <w:szCs w:val="18"/>
                    </w:rPr>
                  </w:pPr>
                </w:p>
              </w:tc>
              <w:tc>
                <w:tcPr>
                  <w:tcW w:w="1372" w:type="dxa"/>
                  <w:noWrap w:val="0"/>
                  <w:vAlign w:val="center"/>
                </w:tcPr>
                <w:p w14:paraId="7738F31C">
                  <w:pPr>
                    <w:adjustRightInd w:val="0"/>
                    <w:snapToGrid w:val="0"/>
                    <w:spacing w:line="340" w:lineRule="exact"/>
                    <w:jc w:val="center"/>
                    <w:rPr>
                      <w:rFonts w:hint="default"/>
                      <w:color w:val="auto"/>
                      <w:szCs w:val="18"/>
                      <w:lang w:val="en-US" w:eastAsia="zh-CN"/>
                    </w:rPr>
                  </w:pPr>
                  <w:r>
                    <w:rPr>
                      <w:rFonts w:hint="eastAsia"/>
                      <w:color w:val="auto"/>
                      <w:szCs w:val="18"/>
                      <w:lang w:val="en-US" w:eastAsia="zh-CN"/>
                    </w:rPr>
                    <w:t>淘江新村</w:t>
                  </w:r>
                </w:p>
              </w:tc>
              <w:tc>
                <w:tcPr>
                  <w:tcW w:w="640" w:type="dxa"/>
                  <w:noWrap w:val="0"/>
                  <w:vAlign w:val="center"/>
                </w:tcPr>
                <w:p w14:paraId="020D649F">
                  <w:pPr>
                    <w:adjustRightInd w:val="0"/>
                    <w:snapToGrid w:val="0"/>
                    <w:spacing w:line="340" w:lineRule="exact"/>
                    <w:jc w:val="center"/>
                    <w:rPr>
                      <w:rFonts w:hint="eastAsia"/>
                      <w:color w:val="auto"/>
                      <w:szCs w:val="18"/>
                      <w:lang w:val="en-US" w:eastAsia="zh-CN"/>
                    </w:rPr>
                  </w:pPr>
                  <w:r>
                    <w:rPr>
                      <w:rFonts w:hint="eastAsia"/>
                      <w:color w:val="auto"/>
                      <w:szCs w:val="18"/>
                      <w:lang w:val="en-US" w:eastAsia="zh-CN"/>
                    </w:rPr>
                    <w:t>西侧</w:t>
                  </w:r>
                </w:p>
              </w:tc>
              <w:tc>
                <w:tcPr>
                  <w:tcW w:w="985" w:type="dxa"/>
                  <w:noWrap w:val="0"/>
                  <w:vAlign w:val="center"/>
                </w:tcPr>
                <w:p w14:paraId="543D2DC0">
                  <w:pPr>
                    <w:adjustRightInd w:val="0"/>
                    <w:snapToGrid w:val="0"/>
                    <w:spacing w:line="340" w:lineRule="exact"/>
                    <w:jc w:val="center"/>
                    <w:rPr>
                      <w:rFonts w:hint="default"/>
                      <w:color w:val="auto"/>
                      <w:szCs w:val="18"/>
                      <w:lang w:val="en-US" w:eastAsia="zh-CN"/>
                    </w:rPr>
                  </w:pPr>
                  <w:r>
                    <w:rPr>
                      <w:rFonts w:hint="eastAsia"/>
                      <w:color w:val="auto"/>
                      <w:szCs w:val="18"/>
                      <w:lang w:val="en-US" w:eastAsia="zh-CN"/>
                    </w:rPr>
                    <w:t>470</w:t>
                  </w:r>
                </w:p>
              </w:tc>
              <w:tc>
                <w:tcPr>
                  <w:tcW w:w="1473" w:type="dxa"/>
                  <w:noWrap w:val="0"/>
                  <w:vAlign w:val="center"/>
                </w:tcPr>
                <w:p w14:paraId="55445E30">
                  <w:pPr>
                    <w:adjustRightInd w:val="0"/>
                    <w:snapToGrid w:val="0"/>
                    <w:spacing w:line="340" w:lineRule="exact"/>
                    <w:jc w:val="center"/>
                    <w:rPr>
                      <w:rFonts w:hint="default"/>
                      <w:color w:val="auto"/>
                      <w:szCs w:val="18"/>
                      <w:lang w:val="en-US" w:eastAsia="zh-CN"/>
                    </w:rPr>
                  </w:pPr>
                  <w:r>
                    <w:rPr>
                      <w:rFonts w:hint="eastAsia"/>
                      <w:color w:val="auto"/>
                      <w:szCs w:val="18"/>
                      <w:lang w:val="en-US" w:eastAsia="zh-CN"/>
                    </w:rPr>
                    <w:t>20</w:t>
                  </w:r>
                </w:p>
              </w:tc>
              <w:tc>
                <w:tcPr>
                  <w:tcW w:w="3190" w:type="dxa"/>
                  <w:vMerge w:val="continue"/>
                  <w:noWrap w:val="0"/>
                  <w:vAlign w:val="center"/>
                </w:tcPr>
                <w:p w14:paraId="2E9F23E1">
                  <w:pPr>
                    <w:adjustRightInd w:val="0"/>
                    <w:snapToGrid w:val="0"/>
                    <w:spacing w:line="340" w:lineRule="exact"/>
                    <w:jc w:val="center"/>
                    <w:rPr>
                      <w:color w:val="0000FF"/>
                      <w:szCs w:val="18"/>
                    </w:rPr>
                  </w:pPr>
                </w:p>
              </w:tc>
            </w:tr>
            <w:tr w14:paraId="11A490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5" w:hRule="atLeast"/>
                <w:jc w:val="center"/>
              </w:trPr>
              <w:tc>
                <w:tcPr>
                  <w:tcW w:w="729" w:type="dxa"/>
                  <w:vMerge w:val="continue"/>
                  <w:noWrap w:val="0"/>
                  <w:vAlign w:val="center"/>
                </w:tcPr>
                <w:p w14:paraId="6C8BC733">
                  <w:pPr>
                    <w:adjustRightInd w:val="0"/>
                    <w:snapToGrid w:val="0"/>
                    <w:spacing w:line="340" w:lineRule="exact"/>
                    <w:jc w:val="center"/>
                    <w:rPr>
                      <w:color w:val="auto"/>
                      <w:szCs w:val="18"/>
                    </w:rPr>
                  </w:pPr>
                </w:p>
              </w:tc>
              <w:tc>
                <w:tcPr>
                  <w:tcW w:w="1372" w:type="dxa"/>
                  <w:noWrap w:val="0"/>
                  <w:vAlign w:val="center"/>
                </w:tcPr>
                <w:p w14:paraId="03990659">
                  <w:pPr>
                    <w:adjustRightInd w:val="0"/>
                    <w:snapToGrid w:val="0"/>
                    <w:spacing w:line="340" w:lineRule="exact"/>
                    <w:jc w:val="center"/>
                    <w:rPr>
                      <w:rFonts w:hint="default"/>
                      <w:color w:val="auto"/>
                      <w:szCs w:val="18"/>
                      <w:lang w:val="en-US" w:eastAsia="zh-CN"/>
                    </w:rPr>
                  </w:pPr>
                  <w:r>
                    <w:rPr>
                      <w:rFonts w:hint="eastAsia" w:ascii="Times New Roman" w:hAnsi="Times New Roman" w:eastAsia="宋体" w:cs="Times New Roman"/>
                      <w:color w:val="auto"/>
                      <w:szCs w:val="18"/>
                      <w:lang w:val="en-US" w:eastAsia="zh-CN"/>
                    </w:rPr>
                    <w:t>祥谦派</w:t>
                  </w:r>
                  <w:r>
                    <w:rPr>
                      <w:rFonts w:hint="eastAsia"/>
                      <w:color w:val="auto"/>
                      <w:szCs w:val="18"/>
                      <w:lang w:val="en-US" w:eastAsia="zh-CN"/>
                    </w:rPr>
                    <w:t>出所</w:t>
                  </w:r>
                </w:p>
              </w:tc>
              <w:tc>
                <w:tcPr>
                  <w:tcW w:w="640" w:type="dxa"/>
                  <w:noWrap w:val="0"/>
                  <w:vAlign w:val="center"/>
                </w:tcPr>
                <w:p w14:paraId="3A3BFA5F">
                  <w:pPr>
                    <w:adjustRightInd w:val="0"/>
                    <w:snapToGrid w:val="0"/>
                    <w:spacing w:line="340" w:lineRule="exact"/>
                    <w:jc w:val="center"/>
                    <w:rPr>
                      <w:rFonts w:hint="default"/>
                      <w:color w:val="auto"/>
                      <w:szCs w:val="18"/>
                      <w:lang w:val="en-US" w:eastAsia="zh-CN"/>
                    </w:rPr>
                  </w:pPr>
                  <w:r>
                    <w:rPr>
                      <w:rFonts w:hint="eastAsia"/>
                      <w:color w:val="auto"/>
                      <w:szCs w:val="18"/>
                      <w:lang w:val="en-US" w:eastAsia="zh-CN"/>
                    </w:rPr>
                    <w:t>北</w:t>
                  </w:r>
                </w:p>
              </w:tc>
              <w:tc>
                <w:tcPr>
                  <w:tcW w:w="985" w:type="dxa"/>
                  <w:noWrap w:val="0"/>
                  <w:vAlign w:val="center"/>
                </w:tcPr>
                <w:p w14:paraId="3CD84BD4">
                  <w:pPr>
                    <w:adjustRightInd w:val="0"/>
                    <w:snapToGrid w:val="0"/>
                    <w:spacing w:line="340" w:lineRule="exact"/>
                    <w:jc w:val="center"/>
                    <w:rPr>
                      <w:rFonts w:hint="default" w:eastAsia="宋体"/>
                      <w:color w:val="auto"/>
                      <w:szCs w:val="18"/>
                      <w:lang w:val="en-US" w:eastAsia="zh-CN"/>
                    </w:rPr>
                  </w:pPr>
                  <w:r>
                    <w:rPr>
                      <w:rFonts w:hint="eastAsia"/>
                      <w:color w:val="auto"/>
                      <w:szCs w:val="18"/>
                      <w:lang w:val="en-US" w:eastAsia="zh-CN"/>
                    </w:rPr>
                    <w:t>110</w:t>
                  </w:r>
                </w:p>
              </w:tc>
              <w:tc>
                <w:tcPr>
                  <w:tcW w:w="1473" w:type="dxa"/>
                  <w:noWrap w:val="0"/>
                  <w:vAlign w:val="center"/>
                </w:tcPr>
                <w:p w14:paraId="2AA57092">
                  <w:pPr>
                    <w:adjustRightInd w:val="0"/>
                    <w:snapToGrid w:val="0"/>
                    <w:spacing w:line="340" w:lineRule="exact"/>
                    <w:jc w:val="center"/>
                    <w:rPr>
                      <w:rFonts w:hint="default" w:eastAsia="宋体"/>
                      <w:color w:val="auto"/>
                      <w:szCs w:val="18"/>
                      <w:lang w:val="en-US" w:eastAsia="zh-CN"/>
                    </w:rPr>
                  </w:pPr>
                  <w:r>
                    <w:rPr>
                      <w:rFonts w:hint="eastAsia"/>
                      <w:color w:val="auto"/>
                      <w:szCs w:val="18"/>
                      <w:lang w:val="en-US" w:eastAsia="zh-CN"/>
                    </w:rPr>
                    <w:t>30</w:t>
                  </w:r>
                </w:p>
              </w:tc>
              <w:tc>
                <w:tcPr>
                  <w:tcW w:w="3190" w:type="dxa"/>
                  <w:vMerge w:val="continue"/>
                  <w:noWrap w:val="0"/>
                  <w:vAlign w:val="center"/>
                </w:tcPr>
                <w:p w14:paraId="23852600">
                  <w:pPr>
                    <w:adjustRightInd w:val="0"/>
                    <w:snapToGrid w:val="0"/>
                    <w:spacing w:line="340" w:lineRule="exact"/>
                    <w:jc w:val="center"/>
                    <w:rPr>
                      <w:color w:val="0000FF"/>
                      <w:szCs w:val="18"/>
                    </w:rPr>
                  </w:pPr>
                </w:p>
              </w:tc>
            </w:tr>
            <w:tr w14:paraId="4F4931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29" w:type="dxa"/>
                  <w:vMerge w:val="continue"/>
                  <w:noWrap w:val="0"/>
                  <w:vAlign w:val="center"/>
                </w:tcPr>
                <w:p w14:paraId="44940F32">
                  <w:pPr>
                    <w:adjustRightInd w:val="0"/>
                    <w:snapToGrid w:val="0"/>
                    <w:spacing w:line="340" w:lineRule="exact"/>
                    <w:jc w:val="center"/>
                    <w:rPr>
                      <w:color w:val="auto"/>
                      <w:szCs w:val="18"/>
                    </w:rPr>
                  </w:pPr>
                </w:p>
              </w:tc>
              <w:tc>
                <w:tcPr>
                  <w:tcW w:w="1372" w:type="dxa"/>
                  <w:noWrap w:val="0"/>
                  <w:vAlign w:val="center"/>
                </w:tcPr>
                <w:p w14:paraId="36CF0E1D">
                  <w:pPr>
                    <w:adjustRightInd w:val="0"/>
                    <w:snapToGrid w:val="0"/>
                    <w:spacing w:line="340" w:lineRule="exact"/>
                    <w:jc w:val="center"/>
                    <w:rPr>
                      <w:rFonts w:hint="eastAsia" w:ascii="Times New Roman" w:hAnsi="Times New Roman" w:eastAsia="宋体" w:cs="Times New Roman"/>
                      <w:color w:val="auto"/>
                      <w:szCs w:val="18"/>
                      <w:lang w:val="en-US" w:eastAsia="zh-CN"/>
                    </w:rPr>
                  </w:pPr>
                  <w:r>
                    <w:rPr>
                      <w:rFonts w:hint="eastAsia" w:ascii="Times New Roman" w:hAnsi="Times New Roman" w:eastAsia="宋体" w:cs="Times New Roman"/>
                      <w:color w:val="auto"/>
                      <w:szCs w:val="18"/>
                      <w:lang w:val="en-US" w:eastAsia="zh-CN"/>
                    </w:rPr>
                    <w:t>尚干镇市场监督管理所</w:t>
                  </w:r>
                </w:p>
              </w:tc>
              <w:tc>
                <w:tcPr>
                  <w:tcW w:w="640" w:type="dxa"/>
                  <w:noWrap w:val="0"/>
                  <w:vAlign w:val="center"/>
                </w:tcPr>
                <w:p w14:paraId="278030A6">
                  <w:pPr>
                    <w:adjustRightInd w:val="0"/>
                    <w:snapToGrid w:val="0"/>
                    <w:spacing w:line="340" w:lineRule="exact"/>
                    <w:jc w:val="center"/>
                    <w:rPr>
                      <w:rFonts w:hint="eastAsia"/>
                      <w:color w:val="auto"/>
                      <w:szCs w:val="18"/>
                      <w:lang w:val="en-US" w:eastAsia="zh-CN"/>
                    </w:rPr>
                  </w:pPr>
                  <w:r>
                    <w:rPr>
                      <w:rFonts w:hint="eastAsia"/>
                      <w:color w:val="auto"/>
                      <w:szCs w:val="18"/>
                      <w:lang w:val="en-US" w:eastAsia="zh-CN"/>
                    </w:rPr>
                    <w:t>西侧</w:t>
                  </w:r>
                </w:p>
              </w:tc>
              <w:tc>
                <w:tcPr>
                  <w:tcW w:w="985" w:type="dxa"/>
                  <w:noWrap w:val="0"/>
                  <w:vAlign w:val="center"/>
                </w:tcPr>
                <w:p w14:paraId="48743963">
                  <w:pPr>
                    <w:adjustRightInd w:val="0"/>
                    <w:snapToGrid w:val="0"/>
                    <w:spacing w:line="340" w:lineRule="exact"/>
                    <w:jc w:val="center"/>
                    <w:rPr>
                      <w:rFonts w:hint="default"/>
                      <w:color w:val="auto"/>
                      <w:szCs w:val="18"/>
                      <w:lang w:val="en-US" w:eastAsia="zh-CN"/>
                    </w:rPr>
                  </w:pPr>
                  <w:r>
                    <w:rPr>
                      <w:rFonts w:hint="eastAsia"/>
                      <w:color w:val="auto"/>
                      <w:szCs w:val="18"/>
                      <w:lang w:val="en-US" w:eastAsia="zh-CN"/>
                    </w:rPr>
                    <w:t>401</w:t>
                  </w:r>
                </w:p>
              </w:tc>
              <w:tc>
                <w:tcPr>
                  <w:tcW w:w="1473" w:type="dxa"/>
                  <w:noWrap w:val="0"/>
                  <w:vAlign w:val="center"/>
                </w:tcPr>
                <w:p w14:paraId="3A509C3F">
                  <w:pPr>
                    <w:adjustRightInd w:val="0"/>
                    <w:snapToGrid w:val="0"/>
                    <w:spacing w:line="340" w:lineRule="exact"/>
                    <w:jc w:val="center"/>
                    <w:rPr>
                      <w:rFonts w:hint="default"/>
                      <w:color w:val="auto"/>
                      <w:szCs w:val="18"/>
                      <w:lang w:val="en-US" w:eastAsia="zh-CN"/>
                    </w:rPr>
                  </w:pPr>
                  <w:r>
                    <w:rPr>
                      <w:rFonts w:hint="eastAsia"/>
                      <w:color w:val="auto"/>
                      <w:szCs w:val="18"/>
                      <w:lang w:val="en-US" w:eastAsia="zh-CN"/>
                    </w:rPr>
                    <w:t>20</w:t>
                  </w:r>
                </w:p>
              </w:tc>
              <w:tc>
                <w:tcPr>
                  <w:tcW w:w="3190" w:type="dxa"/>
                  <w:vMerge w:val="continue"/>
                  <w:noWrap w:val="0"/>
                  <w:vAlign w:val="center"/>
                </w:tcPr>
                <w:p w14:paraId="221427DC">
                  <w:pPr>
                    <w:adjustRightInd w:val="0"/>
                    <w:snapToGrid w:val="0"/>
                    <w:spacing w:line="340" w:lineRule="exact"/>
                    <w:jc w:val="center"/>
                    <w:rPr>
                      <w:color w:val="0000FF"/>
                      <w:szCs w:val="18"/>
                    </w:rPr>
                  </w:pPr>
                </w:p>
              </w:tc>
            </w:tr>
            <w:tr w14:paraId="7420E1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29" w:type="dxa"/>
                  <w:noWrap w:val="0"/>
                  <w:vAlign w:val="center"/>
                </w:tcPr>
                <w:p w14:paraId="69940A22">
                  <w:pPr>
                    <w:adjustRightInd w:val="0"/>
                    <w:snapToGrid w:val="0"/>
                    <w:spacing w:line="340" w:lineRule="exact"/>
                    <w:jc w:val="center"/>
                    <w:rPr>
                      <w:rFonts w:hint="default" w:eastAsia="宋体"/>
                      <w:color w:val="auto"/>
                      <w:szCs w:val="18"/>
                      <w:lang w:val="en-US" w:eastAsia="zh-CN"/>
                    </w:rPr>
                  </w:pPr>
                  <w:r>
                    <w:rPr>
                      <w:rFonts w:hint="eastAsia"/>
                      <w:color w:val="auto"/>
                      <w:szCs w:val="18"/>
                      <w:lang w:val="en-US" w:eastAsia="zh-CN"/>
                    </w:rPr>
                    <w:t>声环境</w:t>
                  </w:r>
                </w:p>
              </w:tc>
              <w:tc>
                <w:tcPr>
                  <w:tcW w:w="1372" w:type="dxa"/>
                  <w:noWrap w:val="0"/>
                  <w:vAlign w:val="center"/>
                </w:tcPr>
                <w:p w14:paraId="0DDC4AC4">
                  <w:pPr>
                    <w:adjustRightInd w:val="0"/>
                    <w:snapToGrid w:val="0"/>
                    <w:spacing w:line="340" w:lineRule="exact"/>
                    <w:jc w:val="center"/>
                    <w:rPr>
                      <w:rFonts w:hint="eastAsia" w:ascii="Times New Roman" w:hAnsi="Times New Roman" w:eastAsia="宋体" w:cs="Times New Roman"/>
                      <w:color w:val="auto"/>
                      <w:szCs w:val="18"/>
                      <w:lang w:val="en-US" w:eastAsia="zh-CN"/>
                    </w:rPr>
                  </w:pPr>
                  <w:r>
                    <w:rPr>
                      <w:rFonts w:hint="eastAsia"/>
                      <w:color w:val="auto"/>
                      <w:szCs w:val="18"/>
                      <w:lang w:val="en-US" w:eastAsia="zh-CN"/>
                    </w:rPr>
                    <w:t>西侧居民楼（洋中村）</w:t>
                  </w:r>
                </w:p>
              </w:tc>
              <w:tc>
                <w:tcPr>
                  <w:tcW w:w="640" w:type="dxa"/>
                  <w:noWrap w:val="0"/>
                  <w:vAlign w:val="center"/>
                </w:tcPr>
                <w:p w14:paraId="72F3E6B2">
                  <w:pPr>
                    <w:adjustRightInd w:val="0"/>
                    <w:snapToGrid w:val="0"/>
                    <w:spacing w:line="340" w:lineRule="exact"/>
                    <w:jc w:val="center"/>
                    <w:rPr>
                      <w:rFonts w:hint="eastAsia"/>
                      <w:color w:val="auto"/>
                      <w:szCs w:val="18"/>
                      <w:lang w:val="en-US" w:eastAsia="zh-CN"/>
                    </w:rPr>
                  </w:pPr>
                  <w:r>
                    <w:rPr>
                      <w:rFonts w:hint="eastAsia"/>
                      <w:color w:val="auto"/>
                      <w:szCs w:val="18"/>
                      <w:lang w:val="en-US" w:eastAsia="zh-CN"/>
                    </w:rPr>
                    <w:t>西</w:t>
                  </w:r>
                </w:p>
              </w:tc>
              <w:tc>
                <w:tcPr>
                  <w:tcW w:w="985" w:type="dxa"/>
                  <w:noWrap w:val="0"/>
                  <w:vAlign w:val="center"/>
                </w:tcPr>
                <w:p w14:paraId="384D73DB">
                  <w:pPr>
                    <w:adjustRightInd w:val="0"/>
                    <w:snapToGrid w:val="0"/>
                    <w:spacing w:line="340" w:lineRule="exact"/>
                    <w:jc w:val="center"/>
                    <w:rPr>
                      <w:rFonts w:hint="eastAsia"/>
                      <w:color w:val="auto"/>
                      <w:szCs w:val="18"/>
                      <w:lang w:val="en-US" w:eastAsia="zh-CN"/>
                    </w:rPr>
                  </w:pPr>
                  <w:r>
                    <w:rPr>
                      <w:rFonts w:hint="eastAsia"/>
                      <w:color w:val="auto"/>
                      <w:szCs w:val="18"/>
                      <w:lang w:val="en-US" w:eastAsia="zh-CN"/>
                    </w:rPr>
                    <w:t>45</w:t>
                  </w:r>
                </w:p>
              </w:tc>
              <w:tc>
                <w:tcPr>
                  <w:tcW w:w="1473" w:type="dxa"/>
                  <w:noWrap w:val="0"/>
                  <w:vAlign w:val="center"/>
                </w:tcPr>
                <w:p w14:paraId="1E8D5347">
                  <w:pPr>
                    <w:adjustRightInd w:val="0"/>
                    <w:snapToGrid w:val="0"/>
                    <w:spacing w:line="340" w:lineRule="exact"/>
                    <w:jc w:val="center"/>
                    <w:rPr>
                      <w:rFonts w:hint="eastAsia"/>
                      <w:color w:val="auto"/>
                      <w:szCs w:val="18"/>
                      <w:lang w:val="en-US" w:eastAsia="zh-CN"/>
                    </w:rPr>
                  </w:pPr>
                  <w:r>
                    <w:rPr>
                      <w:rFonts w:hint="eastAsia"/>
                      <w:color w:val="auto"/>
                      <w:szCs w:val="18"/>
                      <w:lang w:val="en-US" w:eastAsia="zh-CN"/>
                    </w:rPr>
                    <w:t>50</w:t>
                  </w:r>
                </w:p>
              </w:tc>
              <w:tc>
                <w:tcPr>
                  <w:tcW w:w="3190" w:type="dxa"/>
                  <w:noWrap w:val="0"/>
                  <w:vAlign w:val="center"/>
                </w:tcPr>
                <w:p w14:paraId="617EFB49">
                  <w:pPr>
                    <w:adjustRightInd w:val="0"/>
                    <w:snapToGrid w:val="0"/>
                    <w:spacing w:line="340" w:lineRule="exact"/>
                    <w:jc w:val="center"/>
                    <w:rPr>
                      <w:color w:val="0000FF"/>
                      <w:szCs w:val="18"/>
                    </w:rPr>
                  </w:pPr>
                  <w:r>
                    <w:rPr>
                      <w:rFonts w:ascii="5SW77cqp+SimSun" w:hAnsi="5SW77cqp+SimSun" w:eastAsia="5SW77cqp+SimSun"/>
                      <w:color w:val="auto"/>
                      <w:spacing w:val="2"/>
                      <w:sz w:val="24"/>
                    </w:rPr>
                    <w:t>《</w:t>
                  </w:r>
                  <w:r>
                    <w:rPr>
                      <w:rFonts w:ascii="5SW77cqp+SimSun" w:hAnsi="5SW77cqp+SimSun" w:eastAsia="5SW77cqp+SimSun"/>
                      <w:color w:val="auto"/>
                      <w:sz w:val="24"/>
                    </w:rPr>
                    <w:t>声</w:t>
                  </w:r>
                  <w:r>
                    <w:rPr>
                      <w:rFonts w:ascii="5SW77cqp+SimSun" w:hAnsi="5SW77cqp+SimSun" w:eastAsia="5SW77cqp+SimSun"/>
                      <w:color w:val="auto"/>
                      <w:spacing w:val="2"/>
                      <w:sz w:val="24"/>
                    </w:rPr>
                    <w:t>环</w:t>
                  </w:r>
                  <w:r>
                    <w:rPr>
                      <w:rFonts w:ascii="5SW77cqp+SimSun" w:hAnsi="5SW77cqp+SimSun" w:eastAsia="5SW77cqp+SimSun"/>
                      <w:color w:val="auto"/>
                      <w:sz w:val="24"/>
                    </w:rPr>
                    <w:t>境质</w:t>
                  </w:r>
                  <w:r>
                    <w:rPr>
                      <w:rFonts w:ascii="5SW77cqp+SimSun" w:hAnsi="5SW77cqp+SimSun" w:eastAsia="5SW77cqp+SimSun"/>
                      <w:color w:val="auto"/>
                      <w:spacing w:val="2"/>
                      <w:sz w:val="24"/>
                    </w:rPr>
                    <w:t>量</w:t>
                  </w:r>
                  <w:r>
                    <w:rPr>
                      <w:rFonts w:ascii="5SW77cqp+SimSun" w:hAnsi="5SW77cqp+SimSun" w:eastAsia="5SW77cqp+SimSun"/>
                      <w:color w:val="auto"/>
                      <w:sz w:val="24"/>
                    </w:rPr>
                    <w:t>标准</w:t>
                  </w:r>
                  <w:r>
                    <w:rPr>
                      <w:rFonts w:ascii="5SW77cqp+SimSun" w:hAnsi="5SW77cqp+SimSun" w:eastAsia="5SW77cqp+SimSun"/>
                      <w:color w:val="auto"/>
                      <w:spacing w:val="2"/>
                      <w:sz w:val="24"/>
                    </w:rPr>
                    <w:t>》（</w:t>
                  </w:r>
                  <w:r>
                    <w:rPr>
                      <w:rFonts w:ascii="TimesNewRomanPSMT" w:hAnsi="TimesNewRomanPSMT" w:eastAsia="TimesNewRomanPSMT"/>
                      <w:color w:val="auto"/>
                      <w:sz w:val="24"/>
                    </w:rPr>
                    <w:t>GB3096-2008</w:t>
                  </w:r>
                  <w:r>
                    <w:rPr>
                      <w:rFonts w:ascii="5SW77cqp+SimSun" w:hAnsi="5SW77cqp+SimSun" w:eastAsia="5SW77cqp+SimSun"/>
                      <w:color w:val="auto"/>
                      <w:spacing w:val="2"/>
                      <w:sz w:val="24"/>
                    </w:rPr>
                    <w:t>）</w:t>
                  </w:r>
                  <w:r>
                    <w:rPr>
                      <w:rFonts w:ascii="5SW77cqp+SimSun" w:hAnsi="5SW77cqp+SimSun" w:eastAsia="5SW77cqp+SimSun"/>
                      <w:color w:val="auto"/>
                      <w:sz w:val="24"/>
                    </w:rPr>
                    <w:t>中</w:t>
                  </w:r>
                  <w:r>
                    <w:rPr>
                      <w:rFonts w:hint="eastAsia" w:ascii="TimesNewRomanPSMT" w:hAnsi="TimesNewRomanPSMT" w:eastAsia="宋体"/>
                      <w:color w:val="auto"/>
                      <w:sz w:val="24"/>
                      <w:lang w:val="en-US" w:eastAsia="zh-CN"/>
                    </w:rPr>
                    <w:t>2</w:t>
                  </w:r>
                  <w:r>
                    <w:rPr>
                      <w:rFonts w:ascii="5SW77cqp+SimSun" w:hAnsi="5SW77cqp+SimSun" w:eastAsia="5SW77cqp+SimSun"/>
                      <w:color w:val="auto"/>
                      <w:sz w:val="24"/>
                    </w:rPr>
                    <w:t>类</w:t>
                  </w:r>
                  <w:r>
                    <w:rPr>
                      <w:rFonts w:ascii="5SW77cqp+SimSun" w:hAnsi="5SW77cqp+SimSun" w:eastAsia="5SW77cqp+SimSun"/>
                      <w:color w:val="auto"/>
                      <w:spacing w:val="2"/>
                      <w:sz w:val="24"/>
                    </w:rPr>
                    <w:t>标</w:t>
                  </w:r>
                  <w:r>
                    <w:rPr>
                      <w:rFonts w:ascii="5SW77cqp+SimSun" w:hAnsi="5SW77cqp+SimSun" w:eastAsia="5SW77cqp+SimSun"/>
                      <w:color w:val="auto"/>
                      <w:sz w:val="24"/>
                    </w:rPr>
                    <w:t>准</w:t>
                  </w:r>
                </w:p>
              </w:tc>
            </w:tr>
            <w:tr w14:paraId="726D4F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dxa"/>
                  <w:noWrap w:val="0"/>
                  <w:vAlign w:val="center"/>
                </w:tcPr>
                <w:p w14:paraId="2B80E5CB">
                  <w:pPr>
                    <w:adjustRightInd w:val="0"/>
                    <w:snapToGrid w:val="0"/>
                    <w:spacing w:line="340" w:lineRule="exact"/>
                    <w:jc w:val="center"/>
                    <w:rPr>
                      <w:color w:val="auto"/>
                      <w:szCs w:val="18"/>
                    </w:rPr>
                  </w:pPr>
                  <w:r>
                    <w:rPr>
                      <w:color w:val="auto"/>
                      <w:szCs w:val="18"/>
                    </w:rPr>
                    <w:t>地表水环境</w:t>
                  </w:r>
                </w:p>
              </w:tc>
              <w:tc>
                <w:tcPr>
                  <w:tcW w:w="1372" w:type="dxa"/>
                  <w:noWrap w:val="0"/>
                  <w:vAlign w:val="center"/>
                </w:tcPr>
                <w:p w14:paraId="635E0F41">
                  <w:pPr>
                    <w:adjustRightInd w:val="0"/>
                    <w:snapToGrid w:val="0"/>
                    <w:spacing w:line="340" w:lineRule="exact"/>
                    <w:jc w:val="center"/>
                    <w:rPr>
                      <w:rFonts w:hint="eastAsia" w:eastAsia="宋体"/>
                      <w:color w:val="auto"/>
                      <w:szCs w:val="18"/>
                      <w:lang w:eastAsia="zh-CN"/>
                    </w:rPr>
                  </w:pPr>
                  <w:r>
                    <w:rPr>
                      <w:rFonts w:hint="eastAsia" w:ascii="5SW77cqp+SimSun" w:hAnsi="5SW77cqp+SimSun" w:eastAsia="5SW77cqp+SimSun"/>
                      <w:color w:val="auto"/>
                      <w:spacing w:val="-4"/>
                      <w:sz w:val="21"/>
                      <w:lang w:val="en-US" w:eastAsia="zh-CN"/>
                    </w:rPr>
                    <w:t>淘</w:t>
                  </w:r>
                  <w:r>
                    <w:rPr>
                      <w:rFonts w:ascii="5SW77cqp+SimSun" w:hAnsi="5SW77cqp+SimSun" w:eastAsia="5SW77cqp+SimSun"/>
                      <w:color w:val="auto"/>
                      <w:spacing w:val="-4"/>
                      <w:sz w:val="21"/>
                    </w:rPr>
                    <w:t>江</w:t>
                  </w:r>
                </w:p>
              </w:tc>
              <w:tc>
                <w:tcPr>
                  <w:tcW w:w="640" w:type="dxa"/>
                  <w:noWrap w:val="0"/>
                  <w:vAlign w:val="center"/>
                </w:tcPr>
                <w:p w14:paraId="0C78ACBF">
                  <w:pPr>
                    <w:adjustRightInd w:val="0"/>
                    <w:snapToGrid w:val="0"/>
                    <w:spacing w:line="340" w:lineRule="exact"/>
                    <w:jc w:val="center"/>
                    <w:rPr>
                      <w:rFonts w:hint="eastAsia" w:eastAsia="宋体"/>
                      <w:color w:val="auto"/>
                      <w:szCs w:val="18"/>
                      <w:lang w:eastAsia="zh-CN"/>
                    </w:rPr>
                  </w:pPr>
                  <w:r>
                    <w:rPr>
                      <w:rFonts w:hint="eastAsia"/>
                      <w:color w:val="auto"/>
                      <w:szCs w:val="18"/>
                      <w:lang w:val="en-US" w:eastAsia="zh-CN"/>
                    </w:rPr>
                    <w:t>西侧</w:t>
                  </w:r>
                </w:p>
              </w:tc>
              <w:tc>
                <w:tcPr>
                  <w:tcW w:w="985" w:type="dxa"/>
                  <w:noWrap w:val="0"/>
                  <w:vAlign w:val="center"/>
                </w:tcPr>
                <w:p w14:paraId="029A0D35">
                  <w:pPr>
                    <w:adjustRightInd w:val="0"/>
                    <w:snapToGrid w:val="0"/>
                    <w:spacing w:line="340" w:lineRule="exact"/>
                    <w:jc w:val="center"/>
                    <w:rPr>
                      <w:rFonts w:hint="default" w:eastAsia="宋体"/>
                      <w:color w:val="auto"/>
                      <w:szCs w:val="18"/>
                      <w:lang w:val="en-US" w:eastAsia="zh-CN"/>
                    </w:rPr>
                  </w:pPr>
                  <w:r>
                    <w:rPr>
                      <w:rFonts w:hint="eastAsia"/>
                      <w:color w:val="auto"/>
                      <w:szCs w:val="18"/>
                      <w:lang w:val="en-US" w:eastAsia="zh-CN"/>
                    </w:rPr>
                    <w:t>245</w:t>
                  </w:r>
                </w:p>
              </w:tc>
              <w:tc>
                <w:tcPr>
                  <w:tcW w:w="1473" w:type="dxa"/>
                  <w:noWrap w:val="0"/>
                  <w:vAlign w:val="center"/>
                </w:tcPr>
                <w:p w14:paraId="4734F592">
                  <w:pPr>
                    <w:adjustRightInd w:val="0"/>
                    <w:snapToGrid w:val="0"/>
                    <w:spacing w:line="340" w:lineRule="exact"/>
                    <w:jc w:val="center"/>
                    <w:rPr>
                      <w:color w:val="auto"/>
                      <w:szCs w:val="18"/>
                    </w:rPr>
                  </w:pPr>
                  <w:r>
                    <w:rPr>
                      <w:color w:val="auto"/>
                      <w:szCs w:val="18"/>
                    </w:rPr>
                    <w:t>/</w:t>
                  </w:r>
                </w:p>
              </w:tc>
              <w:tc>
                <w:tcPr>
                  <w:tcW w:w="3190" w:type="dxa"/>
                  <w:noWrap w:val="0"/>
                  <w:vAlign w:val="center"/>
                </w:tcPr>
                <w:p w14:paraId="0C746B4F">
                  <w:pPr>
                    <w:adjustRightInd w:val="0"/>
                    <w:snapToGrid w:val="0"/>
                    <w:spacing w:line="340" w:lineRule="exact"/>
                    <w:jc w:val="center"/>
                    <w:rPr>
                      <w:color w:val="0000FF"/>
                      <w:szCs w:val="18"/>
                    </w:rPr>
                  </w:pPr>
                  <w:r>
                    <w:rPr>
                      <w:rFonts w:hint="default" w:ascii="Times New Roman" w:hAnsi="Times New Roman" w:eastAsia="宋体" w:cs="Times New Roman"/>
                      <w:color w:val="auto"/>
                      <w:spacing w:val="-2"/>
                      <w:sz w:val="21"/>
                    </w:rPr>
                    <w:t>《地</w:t>
                  </w:r>
                  <w:r>
                    <w:rPr>
                      <w:rFonts w:hint="default" w:ascii="Times New Roman" w:hAnsi="Times New Roman" w:eastAsia="宋体" w:cs="Times New Roman"/>
                      <w:color w:val="auto"/>
                      <w:spacing w:val="-4"/>
                      <w:sz w:val="21"/>
                    </w:rPr>
                    <w:t>表</w:t>
                  </w:r>
                  <w:r>
                    <w:rPr>
                      <w:rFonts w:hint="default" w:ascii="Times New Roman" w:hAnsi="Times New Roman" w:eastAsia="宋体" w:cs="Times New Roman"/>
                      <w:color w:val="auto"/>
                      <w:spacing w:val="-2"/>
                      <w:sz w:val="21"/>
                    </w:rPr>
                    <w:t>水</w:t>
                  </w:r>
                  <w:r>
                    <w:rPr>
                      <w:rFonts w:hint="default" w:ascii="Times New Roman" w:hAnsi="Times New Roman" w:eastAsia="宋体" w:cs="Times New Roman"/>
                      <w:color w:val="auto"/>
                      <w:spacing w:val="-4"/>
                      <w:sz w:val="21"/>
                    </w:rPr>
                    <w:t>环</w:t>
                  </w:r>
                  <w:r>
                    <w:rPr>
                      <w:rFonts w:hint="default" w:ascii="Times New Roman" w:hAnsi="Times New Roman" w:eastAsia="宋体" w:cs="Times New Roman"/>
                      <w:color w:val="auto"/>
                      <w:spacing w:val="-2"/>
                      <w:sz w:val="21"/>
                    </w:rPr>
                    <w:t>境</w:t>
                  </w:r>
                  <w:r>
                    <w:rPr>
                      <w:rFonts w:hint="default" w:ascii="Times New Roman" w:hAnsi="Times New Roman" w:eastAsia="宋体" w:cs="Times New Roman"/>
                      <w:color w:val="auto"/>
                      <w:spacing w:val="-4"/>
                      <w:sz w:val="21"/>
                    </w:rPr>
                    <w:t>质</w:t>
                  </w:r>
                  <w:r>
                    <w:rPr>
                      <w:rFonts w:hint="default" w:ascii="Times New Roman" w:hAnsi="Times New Roman" w:eastAsia="宋体" w:cs="Times New Roman"/>
                      <w:color w:val="auto"/>
                      <w:spacing w:val="-2"/>
                      <w:sz w:val="21"/>
                    </w:rPr>
                    <w:t>量</w:t>
                  </w:r>
                  <w:r>
                    <w:rPr>
                      <w:rFonts w:hint="default" w:ascii="Times New Roman" w:hAnsi="Times New Roman" w:eastAsia="宋体" w:cs="Times New Roman"/>
                      <w:color w:val="auto"/>
                      <w:spacing w:val="-4"/>
                      <w:sz w:val="21"/>
                    </w:rPr>
                    <w:t>标</w:t>
                  </w:r>
                  <w:r>
                    <w:rPr>
                      <w:rFonts w:hint="default" w:ascii="Times New Roman" w:hAnsi="Times New Roman" w:eastAsia="宋体" w:cs="Times New Roman"/>
                      <w:color w:val="auto"/>
                      <w:spacing w:val="-2"/>
                      <w:sz w:val="21"/>
                    </w:rPr>
                    <w:t>准</w:t>
                  </w:r>
                  <w:r>
                    <w:rPr>
                      <w:rFonts w:hint="default" w:ascii="Times New Roman" w:hAnsi="Times New Roman" w:eastAsia="宋体" w:cs="Times New Roman"/>
                      <w:color w:val="auto"/>
                      <w:spacing w:val="-110"/>
                      <w:sz w:val="21"/>
                    </w:rPr>
                    <w:t>》</w:t>
                  </w:r>
                  <w:r>
                    <w:rPr>
                      <w:rFonts w:hint="default" w:ascii="Times New Roman" w:hAnsi="Times New Roman" w:eastAsia="宋体" w:cs="Times New Roman"/>
                      <w:color w:val="auto"/>
                      <w:spacing w:val="-4"/>
                      <w:sz w:val="21"/>
                    </w:rPr>
                    <w:t>（</w:t>
                  </w:r>
                  <w:r>
                    <w:rPr>
                      <w:rFonts w:hint="default" w:ascii="Times New Roman" w:hAnsi="Times New Roman" w:eastAsia="宋体" w:cs="Times New Roman"/>
                      <w:color w:val="auto"/>
                      <w:sz w:val="21"/>
                    </w:rPr>
                    <w:t>GB3838</w:t>
                  </w:r>
                  <w:r>
                    <w:rPr>
                      <w:rFonts w:hint="default" w:ascii="Times New Roman" w:hAnsi="Times New Roman" w:eastAsia="宋体" w:cs="Times New Roman"/>
                      <w:color w:val="auto"/>
                      <w:spacing w:val="-2"/>
                      <w:sz w:val="21"/>
                    </w:rPr>
                    <w:t>-</w:t>
                  </w:r>
                  <w:r>
                    <w:rPr>
                      <w:rFonts w:hint="default" w:ascii="Times New Roman" w:hAnsi="Times New Roman" w:eastAsia="宋体" w:cs="Times New Roman"/>
                      <w:color w:val="auto"/>
                      <w:sz w:val="21"/>
                    </w:rPr>
                    <w:t>200</w:t>
                  </w:r>
                  <w:r>
                    <w:rPr>
                      <w:rFonts w:hint="default" w:ascii="Times New Roman" w:hAnsi="Times New Roman" w:eastAsia="宋体" w:cs="Times New Roman"/>
                      <w:color w:val="auto"/>
                      <w:spacing w:val="-2"/>
                      <w:sz w:val="21"/>
                    </w:rPr>
                    <w:t>2）</w:t>
                  </w:r>
                  <w:r>
                    <w:rPr>
                      <w:rFonts w:hint="default" w:ascii="Times New Roman" w:hAnsi="Times New Roman" w:eastAsia="宋体" w:cs="Times New Roman"/>
                      <w:bCs/>
                      <w:color w:val="auto"/>
                      <w:sz w:val="21"/>
                      <w:szCs w:val="21"/>
                      <w:highlight w:val="none"/>
                      <w:lang w:val="en-US" w:eastAsia="zh-CN"/>
                    </w:rPr>
                    <w:t>Ⅲ</w:t>
                  </w:r>
                  <w:r>
                    <w:rPr>
                      <w:rFonts w:hint="default" w:ascii="Times New Roman" w:hAnsi="Times New Roman" w:eastAsia="宋体" w:cs="Times New Roman"/>
                      <w:color w:val="auto"/>
                      <w:sz w:val="21"/>
                    </w:rPr>
                    <w:t>类标</w:t>
                  </w:r>
                  <w:r>
                    <w:rPr>
                      <w:rFonts w:hint="default" w:ascii="Times New Roman" w:hAnsi="Times New Roman" w:eastAsia="宋体" w:cs="Times New Roman"/>
                      <w:color w:val="auto"/>
                      <w:spacing w:val="-2"/>
                      <w:sz w:val="21"/>
                    </w:rPr>
                    <w:t>准</w:t>
                  </w:r>
                </w:p>
              </w:tc>
            </w:tr>
          </w:tbl>
          <w:p w14:paraId="64DF822A">
            <w:pPr>
              <w:pStyle w:val="23"/>
              <w:ind w:firstLine="0"/>
              <w:rPr>
                <w:rFonts w:cs="Times New Roman"/>
                <w:color w:val="auto"/>
                <w:szCs w:val="21"/>
              </w:rPr>
            </w:pPr>
            <w:r>
              <w:rPr>
                <w:rFonts w:cs="Times New Roman"/>
                <w:color w:val="auto"/>
                <w:szCs w:val="21"/>
              </w:rPr>
              <w:t>注：表中距离均为距离厂界的最近距离</w:t>
            </w:r>
          </w:p>
        </w:tc>
      </w:tr>
      <w:tr w14:paraId="22B66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251" w:type="pct"/>
            <w:noWrap w:val="0"/>
            <w:tcMar>
              <w:left w:w="28" w:type="dxa"/>
              <w:right w:w="28" w:type="dxa"/>
            </w:tcMar>
            <w:vAlign w:val="center"/>
          </w:tcPr>
          <w:p w14:paraId="3521215F">
            <w:pPr>
              <w:adjustRightInd w:val="0"/>
              <w:snapToGrid w:val="0"/>
              <w:jc w:val="center"/>
              <w:rPr>
                <w:color w:val="auto"/>
                <w:kern w:val="0"/>
                <w:szCs w:val="21"/>
              </w:rPr>
            </w:pPr>
            <w:r>
              <w:rPr>
                <w:color w:val="auto"/>
                <w:kern w:val="0"/>
                <w:szCs w:val="21"/>
              </w:rPr>
              <w:t>污染</w:t>
            </w:r>
          </w:p>
          <w:p w14:paraId="378B15BB">
            <w:pPr>
              <w:adjustRightInd w:val="0"/>
              <w:snapToGrid w:val="0"/>
              <w:jc w:val="center"/>
              <w:rPr>
                <w:color w:val="auto"/>
                <w:kern w:val="0"/>
                <w:szCs w:val="21"/>
              </w:rPr>
            </w:pPr>
            <w:r>
              <w:rPr>
                <w:color w:val="auto"/>
                <w:kern w:val="0"/>
                <w:szCs w:val="21"/>
              </w:rPr>
              <w:t>物排</w:t>
            </w:r>
          </w:p>
          <w:p w14:paraId="15543A51">
            <w:pPr>
              <w:adjustRightInd w:val="0"/>
              <w:snapToGrid w:val="0"/>
              <w:jc w:val="center"/>
              <w:rPr>
                <w:color w:val="auto"/>
                <w:kern w:val="0"/>
                <w:szCs w:val="21"/>
              </w:rPr>
            </w:pPr>
            <w:r>
              <w:rPr>
                <w:color w:val="auto"/>
                <w:kern w:val="0"/>
                <w:szCs w:val="21"/>
              </w:rPr>
              <w:t>放控</w:t>
            </w:r>
          </w:p>
          <w:p w14:paraId="1E4D4997">
            <w:pPr>
              <w:adjustRightInd w:val="0"/>
              <w:snapToGrid w:val="0"/>
              <w:jc w:val="center"/>
              <w:rPr>
                <w:color w:val="auto"/>
                <w:kern w:val="0"/>
                <w:szCs w:val="21"/>
              </w:rPr>
            </w:pPr>
            <w:r>
              <w:rPr>
                <w:color w:val="auto"/>
                <w:kern w:val="0"/>
                <w:szCs w:val="21"/>
              </w:rPr>
              <w:t>制标</w:t>
            </w:r>
          </w:p>
          <w:p w14:paraId="34CA6D91">
            <w:pPr>
              <w:adjustRightInd w:val="0"/>
              <w:snapToGrid w:val="0"/>
              <w:jc w:val="center"/>
              <w:rPr>
                <w:color w:val="auto"/>
                <w:kern w:val="0"/>
                <w:szCs w:val="21"/>
              </w:rPr>
            </w:pPr>
            <w:r>
              <w:rPr>
                <w:color w:val="auto"/>
                <w:kern w:val="0"/>
                <w:szCs w:val="21"/>
              </w:rPr>
              <w:t>准</w:t>
            </w:r>
          </w:p>
        </w:tc>
        <w:tc>
          <w:tcPr>
            <w:tcW w:w="4748" w:type="pct"/>
            <w:noWrap w:val="0"/>
            <w:vAlign w:val="center"/>
          </w:tcPr>
          <w:p w14:paraId="003A1FAF">
            <w:pPr>
              <w:pStyle w:val="3"/>
              <w:spacing w:before="120" w:line="360" w:lineRule="auto"/>
              <w:ind w:left="0"/>
              <w:rPr>
                <w:color w:val="auto"/>
              </w:rPr>
            </w:pPr>
            <w:r>
              <w:rPr>
                <w:color w:val="auto"/>
                <w:sz w:val="30"/>
                <w:szCs w:val="30"/>
              </w:rPr>
              <w:t>3.</w:t>
            </w:r>
            <w:r>
              <w:rPr>
                <w:rFonts w:hint="eastAsia"/>
                <w:color w:val="auto"/>
                <w:sz w:val="30"/>
                <w:szCs w:val="30"/>
                <w:lang w:val="en-US" w:eastAsia="zh-CN"/>
              </w:rPr>
              <w:t>8</w:t>
            </w:r>
            <w:r>
              <w:rPr>
                <w:color w:val="auto"/>
                <w:sz w:val="30"/>
                <w:szCs w:val="30"/>
              </w:rPr>
              <w:t>污染物排放标准</w:t>
            </w:r>
          </w:p>
          <w:p w14:paraId="57B2DF3C">
            <w:pPr>
              <w:pStyle w:val="4"/>
              <w:rPr>
                <w:color w:val="auto"/>
              </w:rPr>
            </w:pPr>
            <w:r>
              <w:rPr>
                <w:color w:val="auto"/>
              </w:rPr>
              <w:t>3.</w:t>
            </w:r>
            <w:r>
              <w:rPr>
                <w:rFonts w:hint="eastAsia"/>
                <w:color w:val="auto"/>
                <w:lang w:val="en-US" w:eastAsia="zh-CN"/>
              </w:rPr>
              <w:t>8</w:t>
            </w:r>
            <w:r>
              <w:rPr>
                <w:color w:val="auto"/>
              </w:rPr>
              <w:t>.1水污染物排放标准</w:t>
            </w:r>
          </w:p>
          <w:p w14:paraId="4D9BD2E7">
            <w:pPr>
              <w:pStyle w:val="39"/>
              <w:ind w:firstLine="480"/>
              <w:jc w:val="left"/>
              <w:rPr>
                <w:rFonts w:hint="default"/>
                <w:color w:val="auto"/>
                <w:lang w:val="en-US" w:eastAsia="zh-CN"/>
              </w:rPr>
            </w:pPr>
            <w:r>
              <w:rPr>
                <w:rFonts w:hint="eastAsia"/>
                <w:color w:val="auto"/>
                <w:lang w:val="en-US" w:eastAsia="zh-CN"/>
              </w:rPr>
              <w:t>①施工期：施工人员生活污水经租住所在地的化粪池处置。施工废水经收集、隔油、沉淀处理后回用于场地降尘，不外排。</w:t>
            </w:r>
          </w:p>
          <w:p w14:paraId="78C6EC8C">
            <w:pPr>
              <w:keepNext w:val="0"/>
              <w:keepLines w:val="0"/>
              <w:widowControl/>
              <w:suppressLineNumbers w:val="0"/>
              <w:spacing w:line="360" w:lineRule="auto"/>
              <w:ind w:firstLine="480" w:firstLineChars="200"/>
              <w:jc w:val="left"/>
              <w:rPr>
                <w:rFonts w:hint="eastAsia" w:ascii="Times New Roman" w:hAnsi="Times New Roman" w:eastAsia="宋体" w:cs="Times New Roman"/>
                <w:bCs/>
                <w:color w:val="auto"/>
                <w:kern w:val="2"/>
                <w:sz w:val="24"/>
                <w:szCs w:val="24"/>
                <w:lang w:val="en-US" w:eastAsia="zh-CN" w:bidi="ar-SA"/>
              </w:rPr>
            </w:pPr>
            <w:r>
              <w:rPr>
                <w:rFonts w:hint="eastAsia" w:ascii="Times New Roman" w:hAnsi="Times New Roman" w:eastAsia="宋体" w:cs="Times New Roman"/>
                <w:bCs/>
                <w:color w:val="auto"/>
                <w:kern w:val="2"/>
                <w:sz w:val="24"/>
                <w:szCs w:val="24"/>
                <w:lang w:val="en-US" w:eastAsia="zh-CN" w:bidi="ar-SA"/>
              </w:rPr>
              <w:t>②运营期：本项目产生的废水主要包括生活污水、餐厨废水和医疗废水。生活污水经化粪池预处理、部分医疗废水经沉淀池预处理、餐厨废水经隔油池 + 化粪池预处理后，一并进入处理规模为500t/d的污水处理站处理，</w:t>
            </w:r>
            <w:r>
              <w:rPr>
                <w:rFonts w:hint="default" w:ascii="Times New Roman" w:hAnsi="Times New Roman" w:eastAsia="宋体" w:cs="Times New Roman"/>
                <w:bCs/>
                <w:color w:val="auto"/>
                <w:kern w:val="2"/>
                <w:sz w:val="24"/>
                <w:szCs w:val="24"/>
                <w:lang w:val="en-US" w:eastAsia="zh-CN" w:bidi="ar-SA"/>
              </w:rPr>
              <w:t>达到《医疗机构水污染物排放标准》（GB18466-2005）表2预处理标准后，</w:t>
            </w:r>
            <w:r>
              <w:rPr>
                <w:rFonts w:hint="eastAsia" w:ascii="Times New Roman" w:hAnsi="Times New Roman" w:eastAsia="宋体" w:cs="Times New Roman"/>
                <w:bCs/>
                <w:color w:val="auto"/>
                <w:kern w:val="2"/>
                <w:sz w:val="24"/>
                <w:szCs w:val="24"/>
                <w:lang w:val="en-US" w:eastAsia="zh-CN" w:bidi="ar-SA"/>
              </w:rPr>
              <w:t xml:space="preserve">其中氨氮和总 </w:t>
            </w:r>
          </w:p>
          <w:p w14:paraId="0330CC96">
            <w:pPr>
              <w:keepNext w:val="0"/>
              <w:keepLines w:val="0"/>
              <w:widowControl/>
              <w:suppressLineNumbers w:val="0"/>
              <w:spacing w:line="360" w:lineRule="auto"/>
              <w:jc w:val="left"/>
              <w:rPr>
                <w:rFonts w:hint="eastAsia"/>
                <w:color w:val="auto"/>
                <w:sz w:val="24"/>
                <w:szCs w:val="24"/>
              </w:rPr>
            </w:pPr>
            <w:r>
              <w:rPr>
                <w:rFonts w:hint="eastAsia" w:ascii="Times New Roman" w:hAnsi="Times New Roman" w:eastAsia="宋体" w:cs="Times New Roman"/>
                <w:bCs/>
                <w:color w:val="auto"/>
                <w:kern w:val="2"/>
                <w:sz w:val="24"/>
                <w:szCs w:val="24"/>
                <w:lang w:val="en-US" w:eastAsia="zh-CN" w:bidi="ar-SA"/>
              </w:rPr>
              <w:t>磷等指标同时满足青口汽车工业开发区污水处理厂的接管要求。</w:t>
            </w:r>
            <w:r>
              <w:rPr>
                <w:rFonts w:hint="eastAsia"/>
                <w:color w:val="auto"/>
                <w:sz w:val="24"/>
                <w:szCs w:val="24"/>
                <w:lang w:val="en-US" w:eastAsia="zh-CN"/>
              </w:rPr>
              <w:t>处理</w:t>
            </w:r>
            <w:r>
              <w:rPr>
                <w:rFonts w:hint="eastAsia"/>
                <w:color w:val="auto"/>
                <w:sz w:val="24"/>
                <w:szCs w:val="24"/>
              </w:rPr>
              <w:t>达标后由密闭污水槽车清运至青口汽车工业开发区污水处理厂集中处置。</w:t>
            </w:r>
          </w:p>
          <w:p w14:paraId="46079B54">
            <w:pPr>
              <w:widowControl/>
              <w:spacing w:line="360" w:lineRule="auto"/>
              <w:ind w:firstLine="480" w:firstLineChars="200"/>
              <w:jc w:val="left"/>
              <w:rPr>
                <w:rFonts w:hint="eastAsia" w:eastAsia="宋体"/>
                <w:color w:val="auto"/>
                <w:sz w:val="24"/>
                <w:szCs w:val="32"/>
                <w:lang w:val="en-US" w:eastAsia="zh-CN"/>
              </w:rPr>
            </w:pPr>
            <w:r>
              <w:rPr>
                <w:rFonts w:hint="eastAsia"/>
                <w:color w:val="auto"/>
                <w:sz w:val="24"/>
                <w:szCs w:val="32"/>
              </w:rPr>
              <w:t>青口汽车工业开发区污水处理厂</w:t>
            </w:r>
            <w:r>
              <w:rPr>
                <w:color w:val="auto"/>
                <w:sz w:val="24"/>
                <w:szCs w:val="32"/>
              </w:rPr>
              <w:t>进一步处理</w:t>
            </w:r>
            <w:r>
              <w:rPr>
                <w:rFonts w:hint="eastAsia"/>
                <w:color w:val="auto"/>
                <w:sz w:val="24"/>
                <w:szCs w:val="32"/>
                <w:lang w:eastAsia="zh-CN"/>
              </w:rPr>
              <w:t>达到</w:t>
            </w:r>
            <w:r>
              <w:rPr>
                <w:color w:val="auto"/>
                <w:sz w:val="24"/>
                <w:szCs w:val="32"/>
              </w:rPr>
              <w:t>《城镇污水处理厂污染物排放标准》（GB18918-2002）中一级</w:t>
            </w:r>
            <w:r>
              <w:rPr>
                <w:rFonts w:hint="eastAsia"/>
                <w:color w:val="auto"/>
                <w:sz w:val="24"/>
                <w:szCs w:val="32"/>
              </w:rPr>
              <w:t>A</w:t>
            </w:r>
            <w:r>
              <w:rPr>
                <w:color w:val="auto"/>
                <w:sz w:val="24"/>
                <w:szCs w:val="32"/>
              </w:rPr>
              <w:t>标准后排入</w:t>
            </w:r>
            <w:r>
              <w:rPr>
                <w:rFonts w:hint="eastAsia"/>
                <w:snapToGrid w:val="0"/>
                <w:color w:val="auto"/>
                <w:kern w:val="0"/>
                <w:sz w:val="24"/>
                <w:szCs w:val="32"/>
                <w:lang w:val="en-US" w:eastAsia="zh-CN"/>
              </w:rPr>
              <w:t>淘</w:t>
            </w:r>
            <w:r>
              <w:rPr>
                <w:rFonts w:hint="eastAsia"/>
                <w:snapToGrid w:val="0"/>
                <w:color w:val="auto"/>
                <w:kern w:val="0"/>
                <w:sz w:val="24"/>
                <w:szCs w:val="32"/>
              </w:rPr>
              <w:t>江</w:t>
            </w:r>
            <w:r>
              <w:rPr>
                <w:rFonts w:hint="eastAsia"/>
                <w:color w:val="auto"/>
                <w:sz w:val="24"/>
                <w:szCs w:val="32"/>
                <w:lang w:eastAsia="zh-CN"/>
              </w:rPr>
              <w:t>。</w:t>
            </w:r>
            <w:r>
              <w:rPr>
                <w:color w:val="auto"/>
                <w:sz w:val="24"/>
                <w:szCs w:val="32"/>
              </w:rPr>
              <w:t>详见表3.</w:t>
            </w:r>
            <w:r>
              <w:rPr>
                <w:rFonts w:hint="eastAsia"/>
                <w:color w:val="auto"/>
                <w:sz w:val="24"/>
                <w:szCs w:val="32"/>
                <w:lang w:val="en-US" w:eastAsia="zh-CN"/>
              </w:rPr>
              <w:t>8</w:t>
            </w:r>
            <w:r>
              <w:rPr>
                <w:color w:val="auto"/>
                <w:sz w:val="24"/>
                <w:szCs w:val="32"/>
              </w:rPr>
              <w:t>-1</w:t>
            </w:r>
            <w:r>
              <w:rPr>
                <w:rFonts w:hint="eastAsia"/>
                <w:color w:val="auto"/>
                <w:sz w:val="24"/>
                <w:szCs w:val="32"/>
              </w:rPr>
              <w:t>、3.</w:t>
            </w:r>
            <w:r>
              <w:rPr>
                <w:rFonts w:hint="eastAsia"/>
                <w:color w:val="auto"/>
                <w:sz w:val="24"/>
                <w:szCs w:val="32"/>
                <w:lang w:val="en-US" w:eastAsia="zh-CN"/>
              </w:rPr>
              <w:t>8</w:t>
            </w:r>
            <w:r>
              <w:rPr>
                <w:rFonts w:hint="eastAsia"/>
                <w:color w:val="auto"/>
                <w:sz w:val="24"/>
                <w:szCs w:val="32"/>
              </w:rPr>
              <w:t>-2</w:t>
            </w:r>
            <w:r>
              <w:rPr>
                <w:rFonts w:hint="eastAsia"/>
                <w:color w:val="auto"/>
                <w:sz w:val="24"/>
                <w:szCs w:val="32"/>
                <w:lang w:eastAsia="zh-CN"/>
              </w:rPr>
              <w:t>。</w:t>
            </w:r>
          </w:p>
          <w:p w14:paraId="0A9D43DC">
            <w:pPr>
              <w:autoSpaceDE w:val="0"/>
              <w:autoSpaceDN w:val="0"/>
              <w:adjustRightInd w:val="0"/>
              <w:jc w:val="center"/>
              <w:rPr>
                <w:b/>
                <w:color w:val="auto"/>
                <w:sz w:val="24"/>
              </w:rPr>
            </w:pPr>
            <w:r>
              <w:rPr>
                <w:b/>
                <w:color w:val="auto"/>
                <w:sz w:val="24"/>
              </w:rPr>
              <w:t>表3</w:t>
            </w:r>
            <w:r>
              <w:rPr>
                <w:rFonts w:hint="eastAsia"/>
                <w:b/>
                <w:color w:val="auto"/>
                <w:sz w:val="24"/>
              </w:rPr>
              <w:t>.</w:t>
            </w:r>
            <w:r>
              <w:rPr>
                <w:rFonts w:hint="eastAsia"/>
                <w:b/>
                <w:color w:val="auto"/>
                <w:sz w:val="24"/>
                <w:lang w:val="en-US" w:eastAsia="zh-CN"/>
              </w:rPr>
              <w:t>8</w:t>
            </w:r>
            <w:r>
              <w:rPr>
                <w:b/>
                <w:color w:val="auto"/>
                <w:sz w:val="24"/>
              </w:rPr>
              <w:t>-</w:t>
            </w:r>
            <w:r>
              <w:rPr>
                <w:rFonts w:hint="eastAsia"/>
                <w:b/>
                <w:color w:val="auto"/>
                <w:sz w:val="24"/>
                <w:lang w:val="en-US" w:eastAsia="zh-CN"/>
              </w:rPr>
              <w:t>1</w:t>
            </w:r>
            <w:r>
              <w:rPr>
                <w:b/>
                <w:color w:val="auto"/>
                <w:sz w:val="24"/>
              </w:rPr>
              <w:t>综合医疗机构水污染物排放限值单位：mg/L</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8"/>
              <w:gridCol w:w="4493"/>
              <w:gridCol w:w="2746"/>
            </w:tblGrid>
            <w:tr w14:paraId="59EB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998" w:type="dxa"/>
                  <w:tcBorders>
                    <w:top w:val="single" w:color="000000" w:sz="12" w:space="0"/>
                    <w:left w:val="nil"/>
                    <w:bottom w:val="single" w:color="auto" w:sz="4" w:space="0"/>
                    <w:right w:val="single" w:color="auto" w:sz="4" w:space="0"/>
                  </w:tcBorders>
                  <w:shd w:val="clear" w:color="auto" w:fill="FFFFFF"/>
                  <w:noWrap w:val="0"/>
                  <w:vAlign w:val="center"/>
                </w:tcPr>
                <w:p w14:paraId="7AB35CF3">
                  <w:pPr>
                    <w:spacing w:line="340" w:lineRule="exact"/>
                    <w:jc w:val="center"/>
                    <w:rPr>
                      <w:bCs/>
                      <w:color w:val="auto"/>
                      <w:szCs w:val="21"/>
                    </w:rPr>
                  </w:pPr>
                  <w:r>
                    <w:rPr>
                      <w:bCs/>
                      <w:color w:val="auto"/>
                      <w:szCs w:val="21"/>
                    </w:rPr>
                    <w:t>序号</w:t>
                  </w:r>
                </w:p>
              </w:tc>
              <w:tc>
                <w:tcPr>
                  <w:tcW w:w="4493" w:type="dxa"/>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5D9F24B8">
                  <w:pPr>
                    <w:spacing w:line="340" w:lineRule="exact"/>
                    <w:jc w:val="center"/>
                    <w:rPr>
                      <w:bCs/>
                      <w:color w:val="auto"/>
                      <w:szCs w:val="21"/>
                    </w:rPr>
                  </w:pPr>
                  <w:r>
                    <w:rPr>
                      <w:bCs/>
                      <w:color w:val="auto"/>
                      <w:szCs w:val="21"/>
                    </w:rPr>
                    <w:t>控制项目</w:t>
                  </w:r>
                </w:p>
              </w:tc>
              <w:tc>
                <w:tcPr>
                  <w:tcW w:w="2746" w:type="dxa"/>
                  <w:tcBorders>
                    <w:top w:val="single" w:color="000000" w:sz="12" w:space="0"/>
                    <w:left w:val="single" w:color="auto" w:sz="4" w:space="0"/>
                    <w:bottom w:val="single" w:color="auto" w:sz="4" w:space="0"/>
                    <w:right w:val="nil"/>
                  </w:tcBorders>
                  <w:shd w:val="clear" w:color="auto" w:fill="FFFFFF"/>
                  <w:noWrap w:val="0"/>
                  <w:vAlign w:val="center"/>
                </w:tcPr>
                <w:p w14:paraId="289071EB">
                  <w:pPr>
                    <w:spacing w:line="340" w:lineRule="exact"/>
                    <w:jc w:val="center"/>
                    <w:rPr>
                      <w:bCs/>
                      <w:color w:val="auto"/>
                      <w:szCs w:val="21"/>
                    </w:rPr>
                  </w:pPr>
                  <w:r>
                    <w:rPr>
                      <w:bCs/>
                      <w:color w:val="auto"/>
                      <w:szCs w:val="21"/>
                    </w:rPr>
                    <w:t>预处理标准</w:t>
                  </w:r>
                </w:p>
              </w:tc>
            </w:tr>
            <w:tr w14:paraId="1E99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5180DC64">
                  <w:pPr>
                    <w:spacing w:line="340" w:lineRule="exact"/>
                    <w:jc w:val="center"/>
                    <w:rPr>
                      <w:color w:val="auto"/>
                      <w:szCs w:val="21"/>
                    </w:rPr>
                  </w:pPr>
                  <w:r>
                    <w:rPr>
                      <w:color w:val="auto"/>
                      <w:szCs w:val="21"/>
                    </w:rPr>
                    <w:t>1</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4FA790">
                  <w:pPr>
                    <w:spacing w:line="340" w:lineRule="exact"/>
                    <w:jc w:val="center"/>
                    <w:rPr>
                      <w:color w:val="auto"/>
                      <w:szCs w:val="21"/>
                    </w:rPr>
                  </w:pPr>
                  <w:r>
                    <w:rPr>
                      <w:color w:val="auto"/>
                      <w:szCs w:val="21"/>
                    </w:rPr>
                    <w:t>粪大肠菌群数（MPN/L）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0A20B4E0">
                  <w:pPr>
                    <w:spacing w:line="340" w:lineRule="exact"/>
                    <w:jc w:val="center"/>
                    <w:rPr>
                      <w:color w:val="auto"/>
                      <w:szCs w:val="21"/>
                    </w:rPr>
                  </w:pPr>
                  <w:r>
                    <w:rPr>
                      <w:color w:val="auto"/>
                      <w:szCs w:val="21"/>
                    </w:rPr>
                    <w:t>5000</w:t>
                  </w:r>
                </w:p>
              </w:tc>
            </w:tr>
            <w:tr w14:paraId="20EB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279C1EE8">
                  <w:pPr>
                    <w:spacing w:line="340" w:lineRule="exact"/>
                    <w:jc w:val="center"/>
                    <w:rPr>
                      <w:color w:val="auto"/>
                      <w:szCs w:val="21"/>
                    </w:rPr>
                  </w:pPr>
                  <w:r>
                    <w:rPr>
                      <w:color w:val="auto"/>
                      <w:szCs w:val="21"/>
                    </w:rPr>
                    <w:t>2</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C7B12F">
                  <w:pPr>
                    <w:spacing w:line="340" w:lineRule="exact"/>
                    <w:jc w:val="center"/>
                    <w:rPr>
                      <w:color w:val="auto"/>
                      <w:szCs w:val="21"/>
                    </w:rPr>
                  </w:pPr>
                  <w:r>
                    <w:rPr>
                      <w:color w:val="auto"/>
                      <w:szCs w:val="21"/>
                    </w:rPr>
                    <w:t>肠道致病菌</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26E4B7E9">
                  <w:pPr>
                    <w:spacing w:line="340" w:lineRule="exact"/>
                    <w:jc w:val="center"/>
                    <w:rPr>
                      <w:color w:val="auto"/>
                      <w:szCs w:val="21"/>
                    </w:rPr>
                  </w:pPr>
                  <w:r>
                    <w:rPr>
                      <w:color w:val="auto"/>
                      <w:szCs w:val="21"/>
                    </w:rPr>
                    <w:t>-</w:t>
                  </w:r>
                </w:p>
              </w:tc>
            </w:tr>
            <w:tr w14:paraId="59D1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0BF72866">
                  <w:pPr>
                    <w:spacing w:line="340" w:lineRule="exact"/>
                    <w:jc w:val="center"/>
                    <w:rPr>
                      <w:color w:val="auto"/>
                      <w:szCs w:val="21"/>
                    </w:rPr>
                  </w:pPr>
                  <w:r>
                    <w:rPr>
                      <w:color w:val="auto"/>
                      <w:szCs w:val="21"/>
                    </w:rPr>
                    <w:t>3</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C1D3B4">
                  <w:pPr>
                    <w:spacing w:line="340" w:lineRule="exact"/>
                    <w:jc w:val="center"/>
                    <w:rPr>
                      <w:color w:val="auto"/>
                      <w:szCs w:val="21"/>
                    </w:rPr>
                  </w:pPr>
                  <w:r>
                    <w:rPr>
                      <w:color w:val="auto"/>
                      <w:szCs w:val="21"/>
                    </w:rPr>
                    <w:t>肠道病毒</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42CF7ADD">
                  <w:pPr>
                    <w:spacing w:line="340" w:lineRule="exact"/>
                    <w:jc w:val="center"/>
                    <w:rPr>
                      <w:color w:val="auto"/>
                      <w:szCs w:val="21"/>
                    </w:rPr>
                  </w:pPr>
                  <w:r>
                    <w:rPr>
                      <w:color w:val="auto"/>
                      <w:szCs w:val="21"/>
                    </w:rPr>
                    <w:t>-</w:t>
                  </w:r>
                </w:p>
              </w:tc>
            </w:tr>
            <w:tr w14:paraId="7743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677D7D1C">
                  <w:pPr>
                    <w:spacing w:line="340" w:lineRule="exact"/>
                    <w:jc w:val="center"/>
                    <w:rPr>
                      <w:color w:val="auto"/>
                      <w:szCs w:val="21"/>
                    </w:rPr>
                  </w:pPr>
                  <w:r>
                    <w:rPr>
                      <w:color w:val="auto"/>
                      <w:szCs w:val="21"/>
                    </w:rPr>
                    <w:t>4</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91AE9D">
                  <w:pPr>
                    <w:spacing w:line="340" w:lineRule="exact"/>
                    <w:jc w:val="center"/>
                    <w:rPr>
                      <w:color w:val="auto"/>
                      <w:szCs w:val="21"/>
                    </w:rPr>
                  </w:pPr>
                  <w:r>
                    <w:rPr>
                      <w:color w:val="auto"/>
                      <w:szCs w:val="21"/>
                    </w:rPr>
                    <w:t>pH</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121F30C3">
                  <w:pPr>
                    <w:spacing w:line="340" w:lineRule="exact"/>
                    <w:jc w:val="center"/>
                    <w:rPr>
                      <w:color w:val="auto"/>
                      <w:szCs w:val="21"/>
                    </w:rPr>
                  </w:pPr>
                  <w:r>
                    <w:rPr>
                      <w:color w:val="auto"/>
                      <w:szCs w:val="21"/>
                    </w:rPr>
                    <w:t>6-9</w:t>
                  </w:r>
                </w:p>
              </w:tc>
            </w:tr>
            <w:tr w14:paraId="5C07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0CBC18DE">
                  <w:pPr>
                    <w:spacing w:line="340" w:lineRule="exact"/>
                    <w:jc w:val="center"/>
                    <w:rPr>
                      <w:color w:val="auto"/>
                      <w:szCs w:val="21"/>
                    </w:rPr>
                  </w:pPr>
                  <w:r>
                    <w:rPr>
                      <w:color w:val="auto"/>
                      <w:szCs w:val="21"/>
                    </w:rPr>
                    <w:t>5</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2B6B6D">
                  <w:pPr>
                    <w:spacing w:line="340" w:lineRule="exact"/>
                    <w:jc w:val="center"/>
                    <w:rPr>
                      <w:color w:val="auto"/>
                      <w:szCs w:val="21"/>
                    </w:rPr>
                  </w:pPr>
                  <w:r>
                    <w:rPr>
                      <w:color w:val="auto"/>
                      <w:szCs w:val="21"/>
                    </w:rPr>
                    <w:t>化学需氧量（COD）</w:t>
                  </w:r>
                </w:p>
                <w:p w14:paraId="432BA224">
                  <w:pPr>
                    <w:spacing w:line="340" w:lineRule="exact"/>
                    <w:ind w:firstLine="420" w:firstLineChars="200"/>
                    <w:jc w:val="center"/>
                    <w:rPr>
                      <w:color w:val="auto"/>
                      <w:szCs w:val="21"/>
                    </w:rPr>
                  </w:pPr>
                  <w:r>
                    <w:rPr>
                      <w:color w:val="auto"/>
                      <w:szCs w:val="21"/>
                    </w:rPr>
                    <w:t>浓度（mg/L）</w:t>
                  </w:r>
                </w:p>
                <w:p w14:paraId="1A6C23ED">
                  <w:pPr>
                    <w:spacing w:line="340" w:lineRule="exact"/>
                    <w:jc w:val="center"/>
                    <w:rPr>
                      <w:color w:val="auto"/>
                      <w:szCs w:val="21"/>
                    </w:rPr>
                  </w:pPr>
                  <w:r>
                    <w:rPr>
                      <w:color w:val="auto"/>
                      <w:szCs w:val="21"/>
                    </w:rPr>
                    <w:t>最高允许排放负荷（g/床位）</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3D5A8393">
                  <w:pPr>
                    <w:spacing w:line="340" w:lineRule="exact"/>
                    <w:jc w:val="center"/>
                    <w:rPr>
                      <w:color w:val="auto"/>
                      <w:szCs w:val="21"/>
                    </w:rPr>
                  </w:pPr>
                </w:p>
                <w:p w14:paraId="17A2C7D9">
                  <w:pPr>
                    <w:spacing w:line="340" w:lineRule="exact"/>
                    <w:jc w:val="center"/>
                    <w:rPr>
                      <w:color w:val="auto"/>
                      <w:szCs w:val="21"/>
                    </w:rPr>
                  </w:pPr>
                  <w:r>
                    <w:rPr>
                      <w:color w:val="auto"/>
                      <w:szCs w:val="21"/>
                    </w:rPr>
                    <w:t>250</w:t>
                  </w:r>
                </w:p>
                <w:p w14:paraId="7DEA2FB0">
                  <w:pPr>
                    <w:spacing w:line="340" w:lineRule="exact"/>
                    <w:jc w:val="center"/>
                    <w:rPr>
                      <w:color w:val="auto"/>
                      <w:szCs w:val="21"/>
                    </w:rPr>
                  </w:pPr>
                  <w:r>
                    <w:rPr>
                      <w:color w:val="auto"/>
                      <w:szCs w:val="21"/>
                    </w:rPr>
                    <w:t>250</w:t>
                  </w:r>
                </w:p>
              </w:tc>
            </w:tr>
            <w:tr w14:paraId="5C2E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53C9D033">
                  <w:pPr>
                    <w:spacing w:line="340" w:lineRule="exact"/>
                    <w:jc w:val="center"/>
                    <w:rPr>
                      <w:color w:val="auto"/>
                      <w:szCs w:val="21"/>
                    </w:rPr>
                  </w:pPr>
                  <w:r>
                    <w:rPr>
                      <w:color w:val="auto"/>
                      <w:szCs w:val="21"/>
                    </w:rPr>
                    <w:t>6</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9899D1">
                  <w:pPr>
                    <w:spacing w:line="340" w:lineRule="exact"/>
                    <w:jc w:val="center"/>
                    <w:rPr>
                      <w:color w:val="auto"/>
                      <w:szCs w:val="21"/>
                    </w:rPr>
                  </w:pPr>
                  <w:r>
                    <w:rPr>
                      <w:color w:val="auto"/>
                      <w:szCs w:val="21"/>
                    </w:rPr>
                    <w:t>生化需氧量（BOD）</w:t>
                  </w:r>
                </w:p>
                <w:p w14:paraId="61B2C123">
                  <w:pPr>
                    <w:spacing w:line="340" w:lineRule="exact"/>
                    <w:ind w:firstLine="420" w:firstLineChars="200"/>
                    <w:jc w:val="center"/>
                    <w:rPr>
                      <w:color w:val="auto"/>
                      <w:szCs w:val="21"/>
                    </w:rPr>
                  </w:pPr>
                  <w:r>
                    <w:rPr>
                      <w:color w:val="auto"/>
                      <w:szCs w:val="21"/>
                    </w:rPr>
                    <w:t>浓度（mg/L）</w:t>
                  </w:r>
                </w:p>
                <w:p w14:paraId="7E2532FF">
                  <w:pPr>
                    <w:spacing w:line="340" w:lineRule="exact"/>
                    <w:jc w:val="center"/>
                    <w:rPr>
                      <w:color w:val="auto"/>
                      <w:szCs w:val="21"/>
                    </w:rPr>
                  </w:pPr>
                  <w:r>
                    <w:rPr>
                      <w:color w:val="auto"/>
                      <w:szCs w:val="21"/>
                    </w:rPr>
                    <w:t>最高允许排放负荷（g/床位）</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6CE9430C">
                  <w:pPr>
                    <w:spacing w:line="340" w:lineRule="exact"/>
                    <w:jc w:val="center"/>
                    <w:rPr>
                      <w:color w:val="auto"/>
                      <w:szCs w:val="21"/>
                    </w:rPr>
                  </w:pPr>
                </w:p>
                <w:p w14:paraId="2DDA9C72">
                  <w:pPr>
                    <w:spacing w:line="340" w:lineRule="exact"/>
                    <w:jc w:val="center"/>
                    <w:rPr>
                      <w:color w:val="auto"/>
                      <w:szCs w:val="21"/>
                    </w:rPr>
                  </w:pPr>
                  <w:r>
                    <w:rPr>
                      <w:color w:val="auto"/>
                      <w:szCs w:val="21"/>
                    </w:rPr>
                    <w:t>100</w:t>
                  </w:r>
                </w:p>
                <w:p w14:paraId="7126075F">
                  <w:pPr>
                    <w:spacing w:line="340" w:lineRule="exact"/>
                    <w:jc w:val="center"/>
                    <w:rPr>
                      <w:color w:val="auto"/>
                      <w:szCs w:val="21"/>
                    </w:rPr>
                  </w:pPr>
                  <w:r>
                    <w:rPr>
                      <w:color w:val="auto"/>
                      <w:szCs w:val="21"/>
                    </w:rPr>
                    <w:t>100</w:t>
                  </w:r>
                </w:p>
              </w:tc>
            </w:tr>
            <w:tr w14:paraId="0876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4F3DB30C">
                  <w:pPr>
                    <w:spacing w:line="340" w:lineRule="exact"/>
                    <w:jc w:val="center"/>
                    <w:rPr>
                      <w:color w:val="auto"/>
                      <w:szCs w:val="21"/>
                    </w:rPr>
                  </w:pPr>
                  <w:r>
                    <w:rPr>
                      <w:color w:val="auto"/>
                      <w:szCs w:val="21"/>
                    </w:rPr>
                    <w:t>7</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652145">
                  <w:pPr>
                    <w:spacing w:line="340" w:lineRule="exact"/>
                    <w:jc w:val="center"/>
                    <w:rPr>
                      <w:color w:val="auto"/>
                      <w:szCs w:val="21"/>
                    </w:rPr>
                  </w:pPr>
                  <w:r>
                    <w:rPr>
                      <w:color w:val="auto"/>
                      <w:szCs w:val="21"/>
                    </w:rPr>
                    <w:t>悬浮物（SS）</w:t>
                  </w:r>
                </w:p>
                <w:p w14:paraId="58B5B778">
                  <w:pPr>
                    <w:spacing w:line="340" w:lineRule="exact"/>
                    <w:ind w:firstLine="420" w:firstLineChars="200"/>
                    <w:jc w:val="center"/>
                    <w:rPr>
                      <w:color w:val="auto"/>
                      <w:szCs w:val="21"/>
                    </w:rPr>
                  </w:pPr>
                  <w:r>
                    <w:rPr>
                      <w:color w:val="auto"/>
                      <w:szCs w:val="21"/>
                    </w:rPr>
                    <w:t>浓度（mg/L）</w:t>
                  </w:r>
                </w:p>
                <w:p w14:paraId="6F2B027C">
                  <w:pPr>
                    <w:spacing w:line="340" w:lineRule="exact"/>
                    <w:jc w:val="center"/>
                    <w:rPr>
                      <w:color w:val="auto"/>
                      <w:szCs w:val="21"/>
                    </w:rPr>
                  </w:pPr>
                  <w:r>
                    <w:rPr>
                      <w:color w:val="auto"/>
                      <w:szCs w:val="21"/>
                    </w:rPr>
                    <w:t>最高允许排放负荷（g/床位）</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4CD1DCA6">
                  <w:pPr>
                    <w:spacing w:line="340" w:lineRule="exact"/>
                    <w:jc w:val="center"/>
                    <w:rPr>
                      <w:color w:val="auto"/>
                      <w:szCs w:val="21"/>
                    </w:rPr>
                  </w:pPr>
                </w:p>
                <w:p w14:paraId="6322C691">
                  <w:pPr>
                    <w:spacing w:line="340" w:lineRule="exact"/>
                    <w:jc w:val="center"/>
                    <w:rPr>
                      <w:color w:val="auto"/>
                      <w:szCs w:val="21"/>
                    </w:rPr>
                  </w:pPr>
                  <w:r>
                    <w:rPr>
                      <w:color w:val="auto"/>
                      <w:szCs w:val="21"/>
                    </w:rPr>
                    <w:t>60</w:t>
                  </w:r>
                </w:p>
                <w:p w14:paraId="70D0F1DD">
                  <w:pPr>
                    <w:spacing w:line="340" w:lineRule="exact"/>
                    <w:jc w:val="center"/>
                    <w:rPr>
                      <w:color w:val="auto"/>
                      <w:szCs w:val="21"/>
                    </w:rPr>
                  </w:pPr>
                  <w:r>
                    <w:rPr>
                      <w:color w:val="auto"/>
                      <w:szCs w:val="21"/>
                    </w:rPr>
                    <w:t>60</w:t>
                  </w:r>
                </w:p>
              </w:tc>
            </w:tr>
            <w:tr w14:paraId="226E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4A6E174B">
                  <w:pPr>
                    <w:spacing w:line="340" w:lineRule="exact"/>
                    <w:jc w:val="center"/>
                    <w:rPr>
                      <w:color w:val="auto"/>
                      <w:szCs w:val="21"/>
                    </w:rPr>
                  </w:pPr>
                  <w:r>
                    <w:rPr>
                      <w:color w:val="auto"/>
                      <w:szCs w:val="21"/>
                    </w:rPr>
                    <w:t>8</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AEE501">
                  <w:pPr>
                    <w:spacing w:line="340" w:lineRule="exact"/>
                    <w:jc w:val="center"/>
                    <w:rPr>
                      <w:color w:val="auto"/>
                      <w:szCs w:val="21"/>
                    </w:rPr>
                  </w:pPr>
                  <w:r>
                    <w:rPr>
                      <w:color w:val="auto"/>
                      <w:szCs w:val="21"/>
                    </w:rPr>
                    <w:t>氨氮（mg/L）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6FDBDA3C">
                  <w:pPr>
                    <w:spacing w:line="340" w:lineRule="exact"/>
                    <w:jc w:val="center"/>
                    <w:rPr>
                      <w:rFonts w:hint="default" w:eastAsia="宋体"/>
                      <w:color w:val="auto"/>
                      <w:szCs w:val="21"/>
                      <w:lang w:val="en-US" w:eastAsia="zh-CN"/>
                    </w:rPr>
                  </w:pPr>
                  <w:r>
                    <w:rPr>
                      <w:rFonts w:hint="eastAsia"/>
                      <w:color w:val="FF0000"/>
                      <w:szCs w:val="21"/>
                      <w:lang w:val="en-US" w:eastAsia="zh-CN"/>
                    </w:rPr>
                    <w:t>-</w:t>
                  </w:r>
                </w:p>
              </w:tc>
            </w:tr>
            <w:tr w14:paraId="7B69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7BB95227">
                  <w:pPr>
                    <w:spacing w:line="340" w:lineRule="exact"/>
                    <w:jc w:val="center"/>
                    <w:rPr>
                      <w:color w:val="auto"/>
                      <w:szCs w:val="21"/>
                    </w:rPr>
                  </w:pPr>
                  <w:r>
                    <w:rPr>
                      <w:color w:val="auto"/>
                      <w:szCs w:val="21"/>
                    </w:rPr>
                    <w:t>9</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D8886B">
                  <w:pPr>
                    <w:spacing w:line="340" w:lineRule="exact"/>
                    <w:jc w:val="center"/>
                    <w:rPr>
                      <w:color w:val="auto"/>
                      <w:szCs w:val="21"/>
                    </w:rPr>
                  </w:pPr>
                  <w:r>
                    <w:rPr>
                      <w:color w:val="auto"/>
                      <w:szCs w:val="21"/>
                    </w:rPr>
                    <w:t>动植物油（mg/L）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73F38A2A">
                  <w:pPr>
                    <w:spacing w:line="340" w:lineRule="exact"/>
                    <w:jc w:val="center"/>
                    <w:rPr>
                      <w:color w:val="auto"/>
                      <w:szCs w:val="21"/>
                    </w:rPr>
                  </w:pPr>
                  <w:r>
                    <w:rPr>
                      <w:color w:val="auto"/>
                      <w:szCs w:val="21"/>
                    </w:rPr>
                    <w:t>20</w:t>
                  </w:r>
                </w:p>
              </w:tc>
            </w:tr>
            <w:tr w14:paraId="2159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4CD455C8">
                  <w:pPr>
                    <w:spacing w:line="340" w:lineRule="exact"/>
                    <w:jc w:val="center"/>
                    <w:rPr>
                      <w:color w:val="auto"/>
                      <w:szCs w:val="21"/>
                    </w:rPr>
                  </w:pPr>
                  <w:r>
                    <w:rPr>
                      <w:color w:val="auto"/>
                      <w:szCs w:val="21"/>
                    </w:rPr>
                    <w:t>10</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D1E564">
                  <w:pPr>
                    <w:spacing w:line="340" w:lineRule="exact"/>
                    <w:jc w:val="center"/>
                    <w:rPr>
                      <w:color w:val="auto"/>
                      <w:szCs w:val="21"/>
                    </w:rPr>
                  </w:pPr>
                  <w:r>
                    <w:rPr>
                      <w:color w:val="auto"/>
                      <w:szCs w:val="21"/>
                    </w:rPr>
                    <w:t>石油类（mg/L）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59025E96">
                  <w:pPr>
                    <w:spacing w:line="340" w:lineRule="exact"/>
                    <w:jc w:val="center"/>
                    <w:rPr>
                      <w:color w:val="auto"/>
                      <w:szCs w:val="21"/>
                    </w:rPr>
                  </w:pPr>
                  <w:r>
                    <w:rPr>
                      <w:color w:val="auto"/>
                      <w:szCs w:val="21"/>
                    </w:rPr>
                    <w:t>20</w:t>
                  </w:r>
                </w:p>
              </w:tc>
            </w:tr>
            <w:tr w14:paraId="44C4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066D53D4">
                  <w:pPr>
                    <w:spacing w:line="340" w:lineRule="exact"/>
                    <w:jc w:val="center"/>
                    <w:rPr>
                      <w:color w:val="auto"/>
                      <w:szCs w:val="21"/>
                    </w:rPr>
                  </w:pPr>
                  <w:r>
                    <w:rPr>
                      <w:color w:val="auto"/>
                      <w:szCs w:val="21"/>
                    </w:rPr>
                    <w:t>11</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678B92">
                  <w:pPr>
                    <w:spacing w:line="340" w:lineRule="exact"/>
                    <w:jc w:val="center"/>
                    <w:rPr>
                      <w:color w:val="auto"/>
                      <w:szCs w:val="21"/>
                    </w:rPr>
                  </w:pPr>
                  <w:r>
                    <w:rPr>
                      <w:color w:val="auto"/>
                      <w:szCs w:val="21"/>
                    </w:rPr>
                    <w:t>阴离子表面活性剂（mg/L）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61A6F3FC">
                  <w:pPr>
                    <w:spacing w:line="340" w:lineRule="exact"/>
                    <w:jc w:val="center"/>
                    <w:rPr>
                      <w:color w:val="auto"/>
                      <w:szCs w:val="21"/>
                    </w:rPr>
                  </w:pPr>
                  <w:r>
                    <w:rPr>
                      <w:color w:val="auto"/>
                      <w:szCs w:val="21"/>
                    </w:rPr>
                    <w:t>10</w:t>
                  </w:r>
                </w:p>
              </w:tc>
            </w:tr>
            <w:tr w14:paraId="58AA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661019E6">
                  <w:pPr>
                    <w:spacing w:line="340" w:lineRule="exact"/>
                    <w:jc w:val="center"/>
                    <w:rPr>
                      <w:color w:val="auto"/>
                      <w:szCs w:val="21"/>
                    </w:rPr>
                  </w:pPr>
                  <w:r>
                    <w:rPr>
                      <w:color w:val="auto"/>
                      <w:szCs w:val="21"/>
                    </w:rPr>
                    <w:t>12</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748A88">
                  <w:pPr>
                    <w:spacing w:line="340" w:lineRule="exact"/>
                    <w:jc w:val="center"/>
                    <w:rPr>
                      <w:color w:val="auto"/>
                      <w:szCs w:val="21"/>
                    </w:rPr>
                  </w:pPr>
                  <w:r>
                    <w:rPr>
                      <w:color w:val="auto"/>
                      <w:szCs w:val="21"/>
                    </w:rPr>
                    <w:t>色度（稀释倍数）</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2A2E2914">
                  <w:pPr>
                    <w:spacing w:line="340" w:lineRule="exact"/>
                    <w:jc w:val="center"/>
                    <w:rPr>
                      <w:color w:val="auto"/>
                      <w:szCs w:val="21"/>
                    </w:rPr>
                  </w:pPr>
                  <w:r>
                    <w:rPr>
                      <w:color w:val="auto"/>
                      <w:szCs w:val="21"/>
                    </w:rPr>
                    <w:t>-</w:t>
                  </w:r>
                </w:p>
              </w:tc>
            </w:tr>
            <w:tr w14:paraId="4381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704B932C">
                  <w:pPr>
                    <w:spacing w:line="340" w:lineRule="exact"/>
                    <w:jc w:val="center"/>
                    <w:rPr>
                      <w:color w:val="auto"/>
                      <w:szCs w:val="21"/>
                    </w:rPr>
                  </w:pPr>
                  <w:r>
                    <w:rPr>
                      <w:color w:val="auto"/>
                      <w:szCs w:val="21"/>
                    </w:rPr>
                    <w:t>13</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F2486B">
                  <w:pPr>
                    <w:spacing w:line="340" w:lineRule="exact"/>
                    <w:jc w:val="center"/>
                    <w:rPr>
                      <w:color w:val="auto"/>
                      <w:szCs w:val="21"/>
                    </w:rPr>
                  </w:pPr>
                  <w:r>
                    <w:rPr>
                      <w:color w:val="auto"/>
                      <w:szCs w:val="21"/>
                    </w:rPr>
                    <w:t>挥发酚（mg/L）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5EB13E79">
                  <w:pPr>
                    <w:spacing w:line="340" w:lineRule="exact"/>
                    <w:jc w:val="center"/>
                    <w:rPr>
                      <w:color w:val="auto"/>
                      <w:szCs w:val="21"/>
                    </w:rPr>
                  </w:pPr>
                  <w:r>
                    <w:rPr>
                      <w:color w:val="auto"/>
                      <w:szCs w:val="21"/>
                    </w:rPr>
                    <w:t>1.0</w:t>
                  </w:r>
                </w:p>
              </w:tc>
            </w:tr>
            <w:tr w14:paraId="2920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3098388E">
                  <w:pPr>
                    <w:spacing w:line="340" w:lineRule="exact"/>
                    <w:jc w:val="center"/>
                    <w:rPr>
                      <w:color w:val="auto"/>
                      <w:szCs w:val="21"/>
                    </w:rPr>
                  </w:pPr>
                  <w:r>
                    <w:rPr>
                      <w:color w:val="auto"/>
                      <w:szCs w:val="21"/>
                    </w:rPr>
                    <w:t>14</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A06FE4">
                  <w:pPr>
                    <w:spacing w:line="340" w:lineRule="exact"/>
                    <w:jc w:val="center"/>
                    <w:rPr>
                      <w:color w:val="auto"/>
                      <w:szCs w:val="21"/>
                    </w:rPr>
                  </w:pPr>
                  <w:r>
                    <w:rPr>
                      <w:color w:val="auto"/>
                      <w:szCs w:val="21"/>
                    </w:rPr>
                    <w:t>总氰化物（mg/L）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4A5F75C7">
                  <w:pPr>
                    <w:spacing w:line="340" w:lineRule="exact"/>
                    <w:jc w:val="center"/>
                    <w:rPr>
                      <w:color w:val="auto"/>
                      <w:szCs w:val="21"/>
                    </w:rPr>
                  </w:pPr>
                  <w:r>
                    <w:rPr>
                      <w:color w:val="auto"/>
                      <w:szCs w:val="21"/>
                    </w:rPr>
                    <w:t>0.5</w:t>
                  </w:r>
                </w:p>
              </w:tc>
            </w:tr>
            <w:tr w14:paraId="57AF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74C4BA6E">
                  <w:pPr>
                    <w:spacing w:line="340" w:lineRule="exact"/>
                    <w:jc w:val="center"/>
                    <w:rPr>
                      <w:color w:val="auto"/>
                      <w:szCs w:val="21"/>
                    </w:rPr>
                  </w:pPr>
                  <w:r>
                    <w:rPr>
                      <w:color w:val="auto"/>
                      <w:szCs w:val="21"/>
                    </w:rPr>
                    <w:t>15</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C89635">
                  <w:pPr>
                    <w:spacing w:line="340" w:lineRule="exact"/>
                    <w:jc w:val="center"/>
                    <w:rPr>
                      <w:color w:val="auto"/>
                      <w:szCs w:val="21"/>
                    </w:rPr>
                  </w:pPr>
                  <w:r>
                    <w:rPr>
                      <w:color w:val="auto"/>
                      <w:szCs w:val="21"/>
                    </w:rPr>
                    <w:t>总汞（mg/L）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561A49E1">
                  <w:pPr>
                    <w:spacing w:line="340" w:lineRule="exact"/>
                    <w:jc w:val="center"/>
                    <w:rPr>
                      <w:color w:val="auto"/>
                      <w:szCs w:val="21"/>
                    </w:rPr>
                  </w:pPr>
                  <w:r>
                    <w:rPr>
                      <w:color w:val="auto"/>
                      <w:szCs w:val="21"/>
                    </w:rPr>
                    <w:t>0.05</w:t>
                  </w:r>
                </w:p>
              </w:tc>
            </w:tr>
            <w:tr w14:paraId="2F3B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7C7ABCAF">
                  <w:pPr>
                    <w:spacing w:line="340" w:lineRule="exact"/>
                    <w:jc w:val="center"/>
                    <w:rPr>
                      <w:color w:val="auto"/>
                      <w:szCs w:val="21"/>
                    </w:rPr>
                  </w:pPr>
                  <w:r>
                    <w:rPr>
                      <w:color w:val="auto"/>
                      <w:szCs w:val="21"/>
                    </w:rPr>
                    <w:t>16</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509A5A5">
                  <w:pPr>
                    <w:spacing w:line="340" w:lineRule="exact"/>
                    <w:jc w:val="center"/>
                    <w:rPr>
                      <w:color w:val="auto"/>
                      <w:szCs w:val="21"/>
                    </w:rPr>
                  </w:pPr>
                  <w:r>
                    <w:rPr>
                      <w:color w:val="auto"/>
                      <w:szCs w:val="21"/>
                    </w:rPr>
                    <w:t>总镉（mg/L）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6E9E3F3A">
                  <w:pPr>
                    <w:spacing w:line="340" w:lineRule="exact"/>
                    <w:jc w:val="center"/>
                    <w:rPr>
                      <w:color w:val="auto"/>
                      <w:szCs w:val="21"/>
                    </w:rPr>
                  </w:pPr>
                  <w:r>
                    <w:rPr>
                      <w:color w:val="auto"/>
                      <w:szCs w:val="21"/>
                    </w:rPr>
                    <w:t>0.1</w:t>
                  </w:r>
                </w:p>
              </w:tc>
            </w:tr>
            <w:tr w14:paraId="2E1B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4BF9642A">
                  <w:pPr>
                    <w:spacing w:line="340" w:lineRule="exact"/>
                    <w:jc w:val="center"/>
                    <w:rPr>
                      <w:color w:val="auto"/>
                      <w:szCs w:val="21"/>
                    </w:rPr>
                  </w:pPr>
                  <w:r>
                    <w:rPr>
                      <w:color w:val="auto"/>
                      <w:szCs w:val="21"/>
                    </w:rPr>
                    <w:t>17</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1F4506">
                  <w:pPr>
                    <w:spacing w:line="340" w:lineRule="exact"/>
                    <w:jc w:val="center"/>
                    <w:rPr>
                      <w:color w:val="auto"/>
                      <w:szCs w:val="21"/>
                    </w:rPr>
                  </w:pPr>
                  <w:r>
                    <w:rPr>
                      <w:color w:val="auto"/>
                      <w:szCs w:val="21"/>
                    </w:rPr>
                    <w:t>总铬（mg/L）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398796B9">
                  <w:pPr>
                    <w:spacing w:line="340" w:lineRule="exact"/>
                    <w:jc w:val="center"/>
                    <w:rPr>
                      <w:color w:val="auto"/>
                      <w:szCs w:val="21"/>
                    </w:rPr>
                  </w:pPr>
                  <w:r>
                    <w:rPr>
                      <w:color w:val="auto"/>
                      <w:szCs w:val="21"/>
                    </w:rPr>
                    <w:t>1.5</w:t>
                  </w:r>
                </w:p>
              </w:tc>
            </w:tr>
            <w:tr w14:paraId="33C8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59A6F309">
                  <w:pPr>
                    <w:spacing w:line="340" w:lineRule="exact"/>
                    <w:jc w:val="center"/>
                    <w:rPr>
                      <w:color w:val="auto"/>
                      <w:szCs w:val="21"/>
                    </w:rPr>
                  </w:pPr>
                  <w:r>
                    <w:rPr>
                      <w:color w:val="auto"/>
                      <w:szCs w:val="21"/>
                    </w:rPr>
                    <w:t>18</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FFC5AC">
                  <w:pPr>
                    <w:spacing w:line="340" w:lineRule="exact"/>
                    <w:jc w:val="center"/>
                    <w:rPr>
                      <w:color w:val="auto"/>
                      <w:szCs w:val="21"/>
                    </w:rPr>
                  </w:pPr>
                  <w:r>
                    <w:rPr>
                      <w:color w:val="auto"/>
                      <w:szCs w:val="21"/>
                    </w:rPr>
                    <w:t>六价铬（mg/L）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192D64CF">
                  <w:pPr>
                    <w:spacing w:line="340" w:lineRule="exact"/>
                    <w:jc w:val="center"/>
                    <w:rPr>
                      <w:color w:val="auto"/>
                      <w:szCs w:val="21"/>
                    </w:rPr>
                  </w:pPr>
                  <w:r>
                    <w:rPr>
                      <w:color w:val="auto"/>
                      <w:szCs w:val="21"/>
                    </w:rPr>
                    <w:t>0.5</w:t>
                  </w:r>
                </w:p>
              </w:tc>
            </w:tr>
            <w:tr w14:paraId="678A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269114F7">
                  <w:pPr>
                    <w:spacing w:line="340" w:lineRule="exact"/>
                    <w:jc w:val="center"/>
                    <w:rPr>
                      <w:color w:val="auto"/>
                      <w:szCs w:val="21"/>
                    </w:rPr>
                  </w:pPr>
                  <w:r>
                    <w:rPr>
                      <w:color w:val="auto"/>
                      <w:szCs w:val="21"/>
                    </w:rPr>
                    <w:t>19</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C57E2A">
                  <w:pPr>
                    <w:spacing w:line="340" w:lineRule="exact"/>
                    <w:jc w:val="center"/>
                    <w:rPr>
                      <w:color w:val="auto"/>
                      <w:szCs w:val="21"/>
                    </w:rPr>
                  </w:pPr>
                  <w:r>
                    <w:rPr>
                      <w:color w:val="auto"/>
                      <w:szCs w:val="21"/>
                    </w:rPr>
                    <w:t>总砷（mg/L）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42091FA5">
                  <w:pPr>
                    <w:spacing w:line="340" w:lineRule="exact"/>
                    <w:jc w:val="center"/>
                    <w:rPr>
                      <w:color w:val="auto"/>
                      <w:szCs w:val="21"/>
                    </w:rPr>
                  </w:pPr>
                  <w:r>
                    <w:rPr>
                      <w:color w:val="auto"/>
                      <w:szCs w:val="21"/>
                    </w:rPr>
                    <w:t>0.5</w:t>
                  </w:r>
                </w:p>
              </w:tc>
            </w:tr>
            <w:tr w14:paraId="4B57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0D414EED">
                  <w:pPr>
                    <w:spacing w:line="340" w:lineRule="exact"/>
                    <w:jc w:val="center"/>
                    <w:rPr>
                      <w:color w:val="auto"/>
                      <w:szCs w:val="21"/>
                    </w:rPr>
                  </w:pPr>
                  <w:r>
                    <w:rPr>
                      <w:color w:val="auto"/>
                      <w:szCs w:val="21"/>
                    </w:rPr>
                    <w:t>20</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7005AD">
                  <w:pPr>
                    <w:spacing w:line="340" w:lineRule="exact"/>
                    <w:jc w:val="center"/>
                    <w:rPr>
                      <w:color w:val="auto"/>
                      <w:szCs w:val="21"/>
                    </w:rPr>
                  </w:pPr>
                  <w:r>
                    <w:rPr>
                      <w:color w:val="auto"/>
                      <w:szCs w:val="21"/>
                    </w:rPr>
                    <w:t>总铅（mg/L）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0E042EC8">
                  <w:pPr>
                    <w:spacing w:line="340" w:lineRule="exact"/>
                    <w:jc w:val="center"/>
                    <w:rPr>
                      <w:color w:val="auto"/>
                      <w:szCs w:val="21"/>
                    </w:rPr>
                  </w:pPr>
                  <w:r>
                    <w:rPr>
                      <w:color w:val="auto"/>
                      <w:szCs w:val="21"/>
                    </w:rPr>
                    <w:t>1.0</w:t>
                  </w:r>
                </w:p>
              </w:tc>
            </w:tr>
            <w:tr w14:paraId="0559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03B80A98">
                  <w:pPr>
                    <w:spacing w:line="340" w:lineRule="exact"/>
                    <w:jc w:val="center"/>
                    <w:rPr>
                      <w:color w:val="auto"/>
                      <w:szCs w:val="21"/>
                    </w:rPr>
                  </w:pPr>
                  <w:r>
                    <w:rPr>
                      <w:color w:val="auto"/>
                      <w:szCs w:val="21"/>
                    </w:rPr>
                    <w:t>21</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481E75">
                  <w:pPr>
                    <w:spacing w:line="340" w:lineRule="exact"/>
                    <w:jc w:val="center"/>
                    <w:rPr>
                      <w:color w:val="auto"/>
                      <w:szCs w:val="21"/>
                    </w:rPr>
                  </w:pPr>
                  <w:r>
                    <w:rPr>
                      <w:color w:val="auto"/>
                      <w:szCs w:val="21"/>
                    </w:rPr>
                    <w:t>总银（mg/L）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12B4AFAB">
                  <w:pPr>
                    <w:spacing w:line="340" w:lineRule="exact"/>
                    <w:jc w:val="center"/>
                    <w:rPr>
                      <w:color w:val="auto"/>
                      <w:szCs w:val="21"/>
                    </w:rPr>
                  </w:pPr>
                  <w:r>
                    <w:rPr>
                      <w:color w:val="auto"/>
                      <w:szCs w:val="21"/>
                    </w:rPr>
                    <w:t>0.5</w:t>
                  </w:r>
                </w:p>
              </w:tc>
            </w:tr>
            <w:tr w14:paraId="2A6E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5D01667A">
                  <w:pPr>
                    <w:spacing w:line="340" w:lineRule="exact"/>
                    <w:jc w:val="center"/>
                    <w:rPr>
                      <w:color w:val="auto"/>
                      <w:szCs w:val="21"/>
                    </w:rPr>
                  </w:pPr>
                  <w:r>
                    <w:rPr>
                      <w:color w:val="auto"/>
                      <w:szCs w:val="21"/>
                    </w:rPr>
                    <w:t>22</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026F32">
                  <w:pPr>
                    <w:spacing w:line="340" w:lineRule="exact"/>
                    <w:jc w:val="center"/>
                    <w:rPr>
                      <w:color w:val="auto"/>
                      <w:szCs w:val="21"/>
                    </w:rPr>
                  </w:pPr>
                  <w:r>
                    <w:rPr>
                      <w:color w:val="auto"/>
                      <w:szCs w:val="21"/>
                    </w:rPr>
                    <w:t>总α(Bq/L)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26F0FEEF">
                  <w:pPr>
                    <w:spacing w:line="340" w:lineRule="exact"/>
                    <w:jc w:val="center"/>
                    <w:rPr>
                      <w:color w:val="auto"/>
                      <w:szCs w:val="21"/>
                    </w:rPr>
                  </w:pPr>
                  <w:r>
                    <w:rPr>
                      <w:color w:val="auto"/>
                      <w:szCs w:val="21"/>
                    </w:rPr>
                    <w:t>1</w:t>
                  </w:r>
                </w:p>
              </w:tc>
            </w:tr>
            <w:tr w14:paraId="1019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4ED12415">
                  <w:pPr>
                    <w:spacing w:line="340" w:lineRule="exact"/>
                    <w:jc w:val="center"/>
                    <w:rPr>
                      <w:color w:val="auto"/>
                      <w:szCs w:val="21"/>
                    </w:rPr>
                  </w:pPr>
                  <w:r>
                    <w:rPr>
                      <w:color w:val="auto"/>
                      <w:szCs w:val="21"/>
                    </w:rPr>
                    <w:t>23</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3427B1">
                  <w:pPr>
                    <w:spacing w:line="340" w:lineRule="exact"/>
                    <w:jc w:val="center"/>
                    <w:rPr>
                      <w:color w:val="auto"/>
                      <w:szCs w:val="21"/>
                    </w:rPr>
                  </w:pPr>
                  <w:r>
                    <w:rPr>
                      <w:color w:val="auto"/>
                      <w:szCs w:val="21"/>
                    </w:rPr>
                    <w:t>总β(Bq/L)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3FBC3717">
                  <w:pPr>
                    <w:spacing w:line="340" w:lineRule="exact"/>
                    <w:jc w:val="center"/>
                    <w:rPr>
                      <w:color w:val="auto"/>
                      <w:szCs w:val="21"/>
                    </w:rPr>
                  </w:pPr>
                  <w:r>
                    <w:rPr>
                      <w:color w:val="auto"/>
                      <w:szCs w:val="21"/>
                    </w:rPr>
                    <w:t>10</w:t>
                  </w:r>
                </w:p>
              </w:tc>
            </w:tr>
            <w:tr w14:paraId="2AE4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998" w:type="dxa"/>
                  <w:tcBorders>
                    <w:top w:val="single" w:color="auto" w:sz="4" w:space="0"/>
                    <w:left w:val="nil"/>
                    <w:bottom w:val="single" w:color="auto" w:sz="4" w:space="0"/>
                    <w:right w:val="single" w:color="auto" w:sz="4" w:space="0"/>
                  </w:tcBorders>
                  <w:shd w:val="clear" w:color="auto" w:fill="FFFFFF"/>
                  <w:noWrap w:val="0"/>
                  <w:vAlign w:val="center"/>
                </w:tcPr>
                <w:p w14:paraId="2B281001">
                  <w:pPr>
                    <w:spacing w:line="340" w:lineRule="exact"/>
                    <w:jc w:val="center"/>
                    <w:rPr>
                      <w:color w:val="auto"/>
                      <w:szCs w:val="21"/>
                    </w:rPr>
                  </w:pPr>
                  <w:r>
                    <w:rPr>
                      <w:color w:val="auto"/>
                      <w:szCs w:val="21"/>
                    </w:rPr>
                    <w:t>24</w:t>
                  </w:r>
                </w:p>
              </w:tc>
              <w:tc>
                <w:tcPr>
                  <w:tcW w:w="44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5CCA90">
                  <w:pPr>
                    <w:spacing w:line="340" w:lineRule="exact"/>
                    <w:jc w:val="center"/>
                    <w:rPr>
                      <w:color w:val="auto"/>
                      <w:szCs w:val="21"/>
                    </w:rPr>
                  </w:pPr>
                  <w:r>
                    <w:rPr>
                      <w:color w:val="auto"/>
                      <w:szCs w:val="21"/>
                    </w:rPr>
                    <w:t>总余氯（mg/L）</w:t>
                  </w:r>
                </w:p>
              </w:tc>
              <w:tc>
                <w:tcPr>
                  <w:tcW w:w="2746" w:type="dxa"/>
                  <w:tcBorders>
                    <w:top w:val="single" w:color="auto" w:sz="4" w:space="0"/>
                    <w:left w:val="single" w:color="auto" w:sz="4" w:space="0"/>
                    <w:bottom w:val="single" w:color="auto" w:sz="4" w:space="0"/>
                    <w:right w:val="nil"/>
                  </w:tcBorders>
                  <w:shd w:val="clear" w:color="auto" w:fill="FFFFFF"/>
                  <w:noWrap w:val="0"/>
                  <w:vAlign w:val="center"/>
                </w:tcPr>
                <w:p w14:paraId="2AC82B8E">
                  <w:pPr>
                    <w:spacing w:line="340" w:lineRule="exact"/>
                    <w:jc w:val="center"/>
                    <w:rPr>
                      <w:color w:val="auto"/>
                      <w:szCs w:val="21"/>
                    </w:rPr>
                  </w:pPr>
                  <w:r>
                    <w:rPr>
                      <w:color w:val="auto"/>
                      <w:szCs w:val="21"/>
                    </w:rPr>
                    <w:t>-</w:t>
                  </w:r>
                </w:p>
              </w:tc>
            </w:tr>
            <w:tr w14:paraId="1137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8237" w:type="dxa"/>
                  <w:gridSpan w:val="3"/>
                  <w:tcBorders>
                    <w:top w:val="single" w:color="auto" w:sz="4" w:space="0"/>
                    <w:left w:val="nil"/>
                    <w:bottom w:val="single" w:color="000000" w:sz="12" w:space="0"/>
                    <w:right w:val="nil"/>
                  </w:tcBorders>
                  <w:shd w:val="clear" w:color="auto" w:fill="FFFFFF"/>
                  <w:noWrap w:val="0"/>
                  <w:vAlign w:val="center"/>
                </w:tcPr>
                <w:p w14:paraId="76B18968">
                  <w:pPr>
                    <w:spacing w:line="340" w:lineRule="exact"/>
                    <w:rPr>
                      <w:color w:val="auto"/>
                      <w:szCs w:val="21"/>
                    </w:rPr>
                  </w:pPr>
                  <w:r>
                    <w:rPr>
                      <w:color w:val="auto"/>
                      <w:szCs w:val="21"/>
                    </w:rPr>
                    <w:t>注：采用含氯消毒剂消毒的工艺控制要求为：预处理标准：消毒接触池接触时间为≥1h，接触池出口总余氯2~8mg/L。</w:t>
                  </w:r>
                </w:p>
              </w:tc>
            </w:tr>
          </w:tbl>
          <w:p w14:paraId="736FDFA8">
            <w:pPr>
              <w:spacing w:line="360" w:lineRule="auto"/>
              <w:ind w:firstLine="482" w:firstLineChars="200"/>
              <w:jc w:val="center"/>
              <w:rPr>
                <w:color w:val="auto"/>
                <w:sz w:val="24"/>
              </w:rPr>
            </w:pPr>
            <w:r>
              <w:rPr>
                <w:rFonts w:hint="eastAsia" w:ascii="Times New Roman" w:hAnsi="Times New Roman" w:eastAsia="宋体" w:cs="Times New Roman"/>
                <w:b/>
                <w:bCs/>
                <w:color w:val="auto"/>
                <w:sz w:val="24"/>
                <w:lang w:val="en-US" w:eastAsia="zh-CN"/>
              </w:rPr>
              <w:t>表3.8-2</w:t>
            </w:r>
            <w:r>
              <w:rPr>
                <w:rFonts w:hint="eastAsia" w:cs="Times New Roman"/>
                <w:b/>
                <w:bCs/>
                <w:color w:val="auto"/>
                <w:sz w:val="24"/>
                <w:lang w:val="en-US" w:eastAsia="zh-CN"/>
              </w:rPr>
              <w:t>污水处理厂</w:t>
            </w:r>
            <w:r>
              <w:rPr>
                <w:rFonts w:hint="default" w:ascii="Times New Roman" w:hAnsi="Times New Roman" w:eastAsia="宋体" w:cs="Times New Roman"/>
                <w:b/>
                <w:bCs/>
                <w:color w:val="auto"/>
                <w:sz w:val="24"/>
                <w:lang w:val="en-US" w:eastAsia="zh-CN"/>
              </w:rPr>
              <w:t>进出水水质标准</w:t>
            </w:r>
            <w:r>
              <w:rPr>
                <w:rFonts w:hint="eastAsia"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lang w:val="en-US" w:eastAsia="zh-CN"/>
              </w:rPr>
              <w:t>mg/L</w:t>
            </w:r>
            <w:r>
              <w:rPr>
                <w:rFonts w:hint="eastAsia" w:ascii="Times New Roman" w:hAnsi="Times New Roman" w:eastAsia="宋体" w:cs="Times New Roman"/>
                <w:b/>
                <w:bCs/>
                <w:color w:val="auto"/>
                <w:sz w:val="24"/>
                <w:lang w:val="en-US" w:eastAsia="zh-CN"/>
              </w:rPr>
              <w:t>pH除外)</w:t>
            </w:r>
          </w:p>
          <w:tbl>
            <w:tblPr>
              <w:tblStyle w:val="41"/>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01"/>
              <w:gridCol w:w="1341"/>
              <w:gridCol w:w="1091"/>
              <w:gridCol w:w="987"/>
              <w:gridCol w:w="1052"/>
              <w:gridCol w:w="973"/>
              <w:gridCol w:w="974"/>
              <w:gridCol w:w="870"/>
            </w:tblGrid>
            <w:tr w14:paraId="3CA2A0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56" w:type="pct"/>
                  <w:noWrap w:val="0"/>
                  <w:vAlign w:val="center"/>
                </w:tcPr>
                <w:p w14:paraId="2BB69E7D">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水质指标</w:t>
                  </w:r>
                </w:p>
              </w:tc>
              <w:tc>
                <w:tcPr>
                  <w:tcW w:w="799" w:type="pct"/>
                  <w:noWrap w:val="0"/>
                  <w:vAlign w:val="center"/>
                </w:tcPr>
                <w:p w14:paraId="16253F4A">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pH</w:t>
                  </w:r>
                </w:p>
              </w:tc>
              <w:tc>
                <w:tcPr>
                  <w:tcW w:w="650" w:type="pct"/>
                  <w:noWrap w:val="0"/>
                  <w:vAlign w:val="center"/>
                </w:tcPr>
                <w:p w14:paraId="454015EC">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COD</w:t>
                  </w:r>
                </w:p>
              </w:tc>
              <w:tc>
                <w:tcPr>
                  <w:tcW w:w="588" w:type="pct"/>
                  <w:noWrap w:val="0"/>
                  <w:vAlign w:val="center"/>
                </w:tcPr>
                <w:p w14:paraId="7DBCE0D8">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BOD</w:t>
                  </w:r>
                  <w:r>
                    <w:rPr>
                      <w:rFonts w:hint="default" w:ascii="Times New Roman" w:hAnsi="Times New Roman" w:eastAsia="宋体" w:cs="Times New Roman"/>
                      <w:color w:val="auto"/>
                      <w:kern w:val="2"/>
                      <w:sz w:val="21"/>
                      <w:szCs w:val="21"/>
                      <w:highlight w:val="none"/>
                      <w:vertAlign w:val="subscript"/>
                      <w:lang w:val="en-US" w:eastAsia="zh-CN" w:bidi="ar-SA"/>
                    </w:rPr>
                    <w:t>5</w:t>
                  </w:r>
                </w:p>
              </w:tc>
              <w:tc>
                <w:tcPr>
                  <w:tcW w:w="627" w:type="pct"/>
                  <w:noWrap w:val="0"/>
                  <w:vAlign w:val="center"/>
                </w:tcPr>
                <w:p w14:paraId="3D9B5765">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SS</w:t>
                  </w:r>
                </w:p>
              </w:tc>
              <w:tc>
                <w:tcPr>
                  <w:tcW w:w="580" w:type="pct"/>
                  <w:noWrap w:val="0"/>
                  <w:vAlign w:val="center"/>
                </w:tcPr>
                <w:p w14:paraId="28B2984E">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NH</w:t>
                  </w:r>
                  <w:r>
                    <w:rPr>
                      <w:rFonts w:hint="default" w:ascii="Times New Roman" w:hAnsi="Times New Roman" w:eastAsia="宋体" w:cs="Times New Roman"/>
                      <w:color w:val="auto"/>
                      <w:kern w:val="2"/>
                      <w:sz w:val="21"/>
                      <w:szCs w:val="21"/>
                      <w:highlight w:val="none"/>
                      <w:vertAlign w:val="subscript"/>
                      <w:lang w:val="en-US" w:eastAsia="zh-CN" w:bidi="ar-SA"/>
                    </w:rPr>
                    <w:t>3</w:t>
                  </w:r>
                  <w:r>
                    <w:rPr>
                      <w:rFonts w:hint="default" w:ascii="Times New Roman" w:hAnsi="Times New Roman" w:eastAsia="宋体" w:cs="Times New Roman"/>
                      <w:color w:val="auto"/>
                      <w:kern w:val="2"/>
                      <w:sz w:val="21"/>
                      <w:szCs w:val="21"/>
                      <w:highlight w:val="none"/>
                      <w:lang w:val="en-US" w:eastAsia="zh-CN" w:bidi="ar-SA"/>
                    </w:rPr>
                    <w:t>-N</w:t>
                  </w:r>
                </w:p>
              </w:tc>
              <w:tc>
                <w:tcPr>
                  <w:tcW w:w="580" w:type="pct"/>
                  <w:noWrap w:val="0"/>
                  <w:vAlign w:val="center"/>
                </w:tcPr>
                <w:p w14:paraId="4F8ED2F1">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TN</w:t>
                  </w:r>
                </w:p>
              </w:tc>
              <w:tc>
                <w:tcPr>
                  <w:tcW w:w="518" w:type="pct"/>
                  <w:noWrap w:val="0"/>
                  <w:vAlign w:val="center"/>
                </w:tcPr>
                <w:p w14:paraId="7AC0E71F">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TP</w:t>
                  </w:r>
                </w:p>
              </w:tc>
            </w:tr>
            <w:tr w14:paraId="526867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6" w:type="pct"/>
                  <w:noWrap w:val="0"/>
                  <w:vAlign w:val="center"/>
                </w:tcPr>
                <w:p w14:paraId="52328D53">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进水水质</w:t>
                  </w:r>
                </w:p>
              </w:tc>
              <w:tc>
                <w:tcPr>
                  <w:tcW w:w="799" w:type="pct"/>
                  <w:noWrap w:val="0"/>
                  <w:vAlign w:val="center"/>
                </w:tcPr>
                <w:p w14:paraId="4072166A">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6~9(无量纲)</w:t>
                  </w:r>
                </w:p>
              </w:tc>
              <w:tc>
                <w:tcPr>
                  <w:tcW w:w="1091" w:type="dxa"/>
                  <w:noWrap w:val="0"/>
                  <w:vAlign w:val="center"/>
                </w:tcPr>
                <w:p w14:paraId="2D9621D2">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450</w:t>
                  </w:r>
                </w:p>
              </w:tc>
              <w:tc>
                <w:tcPr>
                  <w:tcW w:w="987" w:type="dxa"/>
                  <w:noWrap w:val="0"/>
                  <w:vAlign w:val="center"/>
                </w:tcPr>
                <w:p w14:paraId="322D7981">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200</w:t>
                  </w:r>
                </w:p>
              </w:tc>
              <w:tc>
                <w:tcPr>
                  <w:tcW w:w="1052" w:type="dxa"/>
                  <w:noWrap w:val="0"/>
                  <w:vAlign w:val="center"/>
                </w:tcPr>
                <w:p w14:paraId="3C21C926">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3</w:t>
                  </w:r>
                  <w:r>
                    <w:rPr>
                      <w:rFonts w:hint="default" w:ascii="Times New Roman" w:hAnsi="Times New Roman" w:eastAsia="宋体" w:cs="Times New Roman"/>
                      <w:color w:val="auto"/>
                      <w:kern w:val="2"/>
                      <w:sz w:val="21"/>
                      <w:szCs w:val="21"/>
                      <w:highlight w:val="none"/>
                      <w:lang w:val="en-US" w:eastAsia="zh-CN" w:bidi="ar-SA"/>
                    </w:rPr>
                    <w:t>00</w:t>
                  </w:r>
                </w:p>
              </w:tc>
              <w:tc>
                <w:tcPr>
                  <w:tcW w:w="973" w:type="dxa"/>
                  <w:noWrap w:val="0"/>
                  <w:vAlign w:val="center"/>
                </w:tcPr>
                <w:p w14:paraId="7489AE76">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35</w:t>
                  </w:r>
                </w:p>
              </w:tc>
              <w:tc>
                <w:tcPr>
                  <w:tcW w:w="974" w:type="dxa"/>
                  <w:noWrap w:val="0"/>
                  <w:vAlign w:val="center"/>
                </w:tcPr>
                <w:p w14:paraId="5964BBB7">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35</w:t>
                  </w:r>
                </w:p>
              </w:tc>
              <w:tc>
                <w:tcPr>
                  <w:tcW w:w="870" w:type="dxa"/>
                  <w:noWrap w:val="0"/>
                  <w:vAlign w:val="center"/>
                </w:tcPr>
                <w:p w14:paraId="50713AF1">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8</w:t>
                  </w:r>
                </w:p>
              </w:tc>
            </w:tr>
            <w:tr w14:paraId="60C3FA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6" w:type="pct"/>
                  <w:noWrap w:val="0"/>
                  <w:vAlign w:val="center"/>
                </w:tcPr>
                <w:p w14:paraId="3D898CD9">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出水标准</w:t>
                  </w:r>
                </w:p>
              </w:tc>
              <w:tc>
                <w:tcPr>
                  <w:tcW w:w="799" w:type="pct"/>
                  <w:noWrap w:val="0"/>
                  <w:vAlign w:val="center"/>
                </w:tcPr>
                <w:p w14:paraId="5DFB32E7">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6~9(无量纲)</w:t>
                  </w:r>
                </w:p>
              </w:tc>
              <w:tc>
                <w:tcPr>
                  <w:tcW w:w="650" w:type="pct"/>
                  <w:noWrap w:val="0"/>
                  <w:vAlign w:val="center"/>
                </w:tcPr>
                <w:p w14:paraId="2E314391">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50</w:t>
                  </w:r>
                </w:p>
              </w:tc>
              <w:tc>
                <w:tcPr>
                  <w:tcW w:w="588" w:type="pct"/>
                  <w:noWrap w:val="0"/>
                  <w:vAlign w:val="center"/>
                </w:tcPr>
                <w:p w14:paraId="0B6A0AF2">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50</w:t>
                  </w:r>
                </w:p>
              </w:tc>
              <w:tc>
                <w:tcPr>
                  <w:tcW w:w="627" w:type="pct"/>
                  <w:noWrap w:val="0"/>
                  <w:vAlign w:val="center"/>
                </w:tcPr>
                <w:p w14:paraId="6196129A">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10</w:t>
                  </w:r>
                </w:p>
              </w:tc>
              <w:tc>
                <w:tcPr>
                  <w:tcW w:w="580" w:type="pct"/>
                  <w:noWrap w:val="0"/>
                  <w:vAlign w:val="center"/>
                </w:tcPr>
                <w:p w14:paraId="48DC37CD">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5</w:t>
                  </w:r>
                </w:p>
              </w:tc>
              <w:tc>
                <w:tcPr>
                  <w:tcW w:w="580" w:type="pct"/>
                  <w:noWrap w:val="0"/>
                  <w:vAlign w:val="center"/>
                </w:tcPr>
                <w:p w14:paraId="1E635B56">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FF0000"/>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15</w:t>
                  </w:r>
                </w:p>
              </w:tc>
              <w:tc>
                <w:tcPr>
                  <w:tcW w:w="518" w:type="pct"/>
                  <w:noWrap w:val="0"/>
                  <w:vAlign w:val="center"/>
                </w:tcPr>
                <w:p w14:paraId="6FFA8D9E">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0.5</w:t>
                  </w:r>
                </w:p>
              </w:tc>
            </w:tr>
          </w:tbl>
          <w:p w14:paraId="7EE688C7">
            <w:pPr>
              <w:pStyle w:val="39"/>
              <w:ind w:firstLine="480"/>
              <w:jc w:val="left"/>
              <w:rPr>
                <w:color w:val="auto"/>
              </w:rPr>
            </w:pPr>
          </w:p>
          <w:p w14:paraId="139C476E">
            <w:pPr>
              <w:autoSpaceDE w:val="0"/>
              <w:autoSpaceDN w:val="0"/>
              <w:adjustRightInd w:val="0"/>
              <w:snapToGrid w:val="0"/>
              <w:spacing w:before="120" w:beforeLines="50" w:line="360" w:lineRule="auto"/>
              <w:textAlignment w:val="bottom"/>
              <w:rPr>
                <w:rStyle w:val="42"/>
                <w:color w:val="auto"/>
              </w:rPr>
            </w:pPr>
            <w:r>
              <w:rPr>
                <w:rStyle w:val="42"/>
                <w:color w:val="auto"/>
              </w:rPr>
              <w:t>3.</w:t>
            </w:r>
            <w:r>
              <w:rPr>
                <w:rStyle w:val="42"/>
                <w:rFonts w:hint="eastAsia" w:eastAsia="宋体"/>
                <w:color w:val="auto"/>
                <w:lang w:val="en-US" w:eastAsia="zh-CN"/>
              </w:rPr>
              <w:t>8</w:t>
            </w:r>
            <w:r>
              <w:rPr>
                <w:rStyle w:val="42"/>
                <w:color w:val="auto"/>
              </w:rPr>
              <w:t>.2大气污染物排放标准</w:t>
            </w:r>
          </w:p>
          <w:p w14:paraId="4F048065">
            <w:pPr>
              <w:pStyle w:val="39"/>
              <w:ind w:firstLine="480"/>
              <w:jc w:val="left"/>
              <w:rPr>
                <w:rFonts w:hint="eastAsia"/>
                <w:color w:val="auto"/>
                <w:spacing w:val="-6"/>
              </w:rPr>
            </w:pPr>
            <w:r>
              <w:rPr>
                <w:rFonts w:hint="eastAsia"/>
                <w:color w:val="auto"/>
                <w:lang w:val="en-US" w:eastAsia="zh-CN"/>
              </w:rPr>
              <w:t>①施工期：</w:t>
            </w:r>
            <w:r>
              <w:rPr>
                <w:color w:val="auto"/>
                <w:spacing w:val="1"/>
              </w:rPr>
              <w:t>本项目施工期废气主要包括施工机械废气和施工扬尘等，属</w:t>
            </w:r>
            <w:r>
              <w:rPr>
                <w:color w:val="auto"/>
                <w:spacing w:val="-6"/>
              </w:rPr>
              <w:t>无组织排放，执行《大气污染物综合排放标准》（</w:t>
            </w:r>
            <w:r>
              <w:rPr>
                <w:rFonts w:ascii="Times New Roman" w:hAnsi="Times New Roman" w:eastAsia="Times New Roman" w:cs="Times New Roman"/>
                <w:color w:val="auto"/>
                <w:spacing w:val="-6"/>
              </w:rPr>
              <w:t>GB16297-1996</w:t>
            </w:r>
            <w:r>
              <w:rPr>
                <w:color w:val="auto"/>
                <w:spacing w:val="-6"/>
              </w:rPr>
              <w:t>）中无组织排</w:t>
            </w:r>
            <w:r>
              <w:rPr>
                <w:rFonts w:hint="eastAsia"/>
                <w:color w:val="auto"/>
                <w:spacing w:val="-6"/>
              </w:rPr>
              <w:t>放限值要求，详见表3.</w:t>
            </w:r>
            <w:r>
              <w:rPr>
                <w:rFonts w:hint="eastAsia"/>
                <w:color w:val="auto"/>
                <w:spacing w:val="-6"/>
                <w:lang w:val="en-US" w:eastAsia="zh-CN"/>
              </w:rPr>
              <w:t>8</w:t>
            </w:r>
            <w:r>
              <w:rPr>
                <w:rFonts w:hint="eastAsia"/>
                <w:color w:val="auto"/>
                <w:spacing w:val="-6"/>
              </w:rPr>
              <w:t>-</w:t>
            </w:r>
            <w:r>
              <w:rPr>
                <w:rFonts w:hint="eastAsia"/>
                <w:color w:val="auto"/>
                <w:spacing w:val="-6"/>
                <w:lang w:val="en-US" w:eastAsia="zh-CN"/>
              </w:rPr>
              <w:t>4</w:t>
            </w:r>
            <w:r>
              <w:rPr>
                <w:rFonts w:hint="eastAsia"/>
                <w:color w:val="auto"/>
                <w:spacing w:val="-6"/>
              </w:rPr>
              <w:t>。</w:t>
            </w:r>
          </w:p>
          <w:p w14:paraId="085B88E9">
            <w:pPr>
              <w:pStyle w:val="39"/>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color w:val="auto"/>
                <w:spacing w:val="-6"/>
              </w:rPr>
            </w:pPr>
            <w:r>
              <w:rPr>
                <w:b/>
                <w:bCs/>
                <w:color w:val="auto"/>
                <w:spacing w:val="-1"/>
              </w:rPr>
              <w:t>表</w:t>
            </w:r>
            <w:r>
              <w:rPr>
                <w:rFonts w:ascii="Times New Roman" w:hAnsi="Times New Roman" w:eastAsia="Times New Roman" w:cs="Times New Roman"/>
                <w:b/>
                <w:bCs/>
                <w:color w:val="auto"/>
                <w:spacing w:val="-1"/>
              </w:rPr>
              <w:t>3.</w:t>
            </w:r>
            <w:r>
              <w:rPr>
                <w:rFonts w:hint="eastAsia" w:eastAsia="宋体" w:cs="Times New Roman"/>
                <w:b/>
                <w:bCs/>
                <w:color w:val="auto"/>
                <w:spacing w:val="-1"/>
                <w:lang w:val="en-US" w:eastAsia="zh-CN"/>
              </w:rPr>
              <w:t>8</w:t>
            </w:r>
            <w:r>
              <w:rPr>
                <w:rFonts w:ascii="Times New Roman" w:hAnsi="Times New Roman" w:eastAsia="Times New Roman" w:cs="Times New Roman"/>
                <w:b/>
                <w:bCs/>
                <w:color w:val="auto"/>
                <w:spacing w:val="-1"/>
              </w:rPr>
              <w:t>-</w:t>
            </w:r>
            <w:r>
              <w:rPr>
                <w:rFonts w:hint="eastAsia" w:eastAsia="宋体" w:cs="Times New Roman"/>
                <w:b/>
                <w:bCs/>
                <w:color w:val="auto"/>
                <w:spacing w:val="-1"/>
                <w:lang w:val="en-US" w:eastAsia="zh-CN"/>
              </w:rPr>
              <w:t>4</w:t>
            </w:r>
            <w:r>
              <w:rPr>
                <w:b/>
                <w:bCs/>
                <w:color w:val="auto"/>
                <w:spacing w:val="-1"/>
              </w:rPr>
              <w:t>《大气污染物综合排放标准》</w:t>
            </w:r>
            <w:r>
              <w:rPr>
                <w:rFonts w:ascii="Times New Roman" w:hAnsi="Times New Roman" w:eastAsia="Times New Roman" w:cs="Times New Roman"/>
                <w:b/>
                <w:bCs/>
                <w:color w:val="auto"/>
                <w:spacing w:val="-1"/>
              </w:rPr>
              <w:t>(GB16297-1996)</w:t>
            </w:r>
          </w:p>
          <w:tbl>
            <w:tblPr>
              <w:tblStyle w:val="32"/>
              <w:tblW w:w="8399"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687"/>
              <w:gridCol w:w="3191"/>
              <w:gridCol w:w="2521"/>
            </w:tblGrid>
            <w:tr w14:paraId="50EC7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687" w:type="dxa"/>
                  <w:vMerge w:val="restart"/>
                  <w:tcBorders>
                    <w:top w:val="single" w:color="000000" w:sz="12" w:space="0"/>
                    <w:left w:val="nil"/>
                    <w:bottom w:val="single" w:color="auto" w:sz="4" w:space="0"/>
                    <w:right w:val="single" w:color="auto" w:sz="4" w:space="0"/>
                    <w:tl2br w:val="nil"/>
                  </w:tcBorders>
                  <w:shd w:val="clear" w:color="auto" w:fill="FFFFFF"/>
                  <w:noWrap w:val="0"/>
                  <w:vAlign w:val="top"/>
                </w:tcPr>
                <w:p w14:paraId="6947C069">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b w:val="0"/>
                      <w:color w:val="auto"/>
                      <w:sz w:val="21"/>
                      <w:szCs w:val="21"/>
                    </w:rPr>
                  </w:pPr>
                  <w:r>
                    <w:rPr>
                      <w:b w:val="0"/>
                      <w:color w:val="auto"/>
                      <w:spacing w:val="-1"/>
                      <w:sz w:val="21"/>
                      <w:szCs w:val="21"/>
                    </w:rPr>
                    <w:t>污染物名称</w:t>
                  </w:r>
                </w:p>
              </w:tc>
              <w:tc>
                <w:tcPr>
                  <w:tcW w:w="5712" w:type="dxa"/>
                  <w:gridSpan w:val="2"/>
                  <w:tcBorders>
                    <w:top w:val="single" w:color="000000" w:sz="12" w:space="0"/>
                    <w:left w:val="single" w:color="auto" w:sz="4" w:space="0"/>
                    <w:bottom w:val="single" w:color="auto" w:sz="4" w:space="0"/>
                    <w:right w:val="nil"/>
                  </w:tcBorders>
                  <w:shd w:val="clear" w:color="auto" w:fill="FFFFFF"/>
                  <w:noWrap w:val="0"/>
                  <w:vAlign w:val="top"/>
                </w:tcPr>
                <w:p w14:paraId="20A971ED">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b w:val="0"/>
                      <w:color w:val="auto"/>
                      <w:sz w:val="21"/>
                      <w:szCs w:val="21"/>
                    </w:rPr>
                  </w:pPr>
                  <w:r>
                    <w:rPr>
                      <w:b w:val="0"/>
                      <w:color w:val="auto"/>
                      <w:spacing w:val="-1"/>
                      <w:sz w:val="21"/>
                      <w:szCs w:val="21"/>
                    </w:rPr>
                    <w:t>无组织排放监控</w:t>
                  </w:r>
                </w:p>
              </w:tc>
            </w:tr>
            <w:tr w14:paraId="0EB08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2687" w:type="dxa"/>
                  <w:vMerge w:val="continue"/>
                  <w:tcBorders>
                    <w:top w:val="single" w:color="auto" w:sz="4" w:space="0"/>
                    <w:left w:val="nil"/>
                    <w:bottom w:val="single" w:color="auto" w:sz="4" w:space="0"/>
                    <w:right w:val="single" w:color="auto" w:sz="4" w:space="0"/>
                  </w:tcBorders>
                  <w:shd w:val="clear" w:color="auto" w:fill="FFFFFF"/>
                  <w:noWrap w:val="0"/>
                  <w:vAlign w:val="top"/>
                </w:tcPr>
                <w:p w14:paraId="501CD5A1">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Arial"/>
                      <w:b w:val="0"/>
                      <w:color w:val="auto"/>
                      <w:sz w:val="21"/>
                    </w:rPr>
                  </w:pPr>
                </w:p>
              </w:tc>
              <w:tc>
                <w:tcPr>
                  <w:tcW w:w="3191"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7ACCC297">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b w:val="0"/>
                      <w:color w:val="auto"/>
                      <w:sz w:val="21"/>
                      <w:szCs w:val="21"/>
                    </w:rPr>
                  </w:pPr>
                  <w:r>
                    <w:rPr>
                      <w:b w:val="0"/>
                      <w:color w:val="auto"/>
                      <w:spacing w:val="-2"/>
                      <w:sz w:val="21"/>
                      <w:szCs w:val="21"/>
                    </w:rPr>
                    <w:t>监控点</w:t>
                  </w:r>
                </w:p>
              </w:tc>
              <w:tc>
                <w:tcPr>
                  <w:tcW w:w="2521" w:type="dxa"/>
                  <w:tcBorders>
                    <w:top w:val="single" w:color="auto" w:sz="4" w:space="0"/>
                    <w:left w:val="single" w:color="auto" w:sz="4" w:space="0"/>
                    <w:bottom w:val="single" w:color="auto" w:sz="4" w:space="0"/>
                    <w:right w:val="nil"/>
                  </w:tcBorders>
                  <w:shd w:val="clear" w:color="auto" w:fill="FFFFFF"/>
                  <w:noWrap w:val="0"/>
                  <w:vAlign w:val="top"/>
                </w:tcPr>
                <w:p w14:paraId="4E42DFD5">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Times New Roman" w:hAnsi="Times New Roman" w:eastAsia="Times New Roman" w:cs="Times New Roman"/>
                      <w:b w:val="0"/>
                      <w:color w:val="auto"/>
                      <w:sz w:val="21"/>
                      <w:szCs w:val="21"/>
                    </w:rPr>
                  </w:pPr>
                  <w:r>
                    <w:rPr>
                      <w:b w:val="0"/>
                      <w:color w:val="auto"/>
                      <w:spacing w:val="-2"/>
                      <w:sz w:val="21"/>
                      <w:szCs w:val="21"/>
                    </w:rPr>
                    <w:t>浓度</w:t>
                  </w:r>
                  <w:r>
                    <w:rPr>
                      <w:rFonts w:ascii="Times New Roman" w:hAnsi="Times New Roman" w:eastAsia="Times New Roman" w:cs="Times New Roman"/>
                      <w:b w:val="0"/>
                      <w:color w:val="auto"/>
                      <w:spacing w:val="-2"/>
                      <w:sz w:val="21"/>
                      <w:szCs w:val="21"/>
                    </w:rPr>
                    <w:t>(mg/m</w:t>
                  </w:r>
                  <w:r>
                    <w:rPr>
                      <w:rFonts w:ascii="Times New Roman" w:hAnsi="Times New Roman" w:eastAsia="Times New Roman" w:cs="Times New Roman"/>
                      <w:b w:val="0"/>
                      <w:color w:val="auto"/>
                      <w:spacing w:val="-2"/>
                      <w:position w:val="9"/>
                      <w:sz w:val="13"/>
                      <w:szCs w:val="13"/>
                    </w:rPr>
                    <w:t>3</w:t>
                  </w:r>
                  <w:r>
                    <w:rPr>
                      <w:rFonts w:ascii="Times New Roman" w:hAnsi="Times New Roman" w:eastAsia="Times New Roman" w:cs="Times New Roman"/>
                      <w:b w:val="0"/>
                      <w:color w:val="auto"/>
                      <w:spacing w:val="-2"/>
                      <w:sz w:val="21"/>
                      <w:szCs w:val="21"/>
                    </w:rPr>
                    <w:t>)</w:t>
                  </w:r>
                </w:p>
              </w:tc>
            </w:tr>
            <w:tr w14:paraId="29CC4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687" w:type="dxa"/>
                  <w:tcBorders>
                    <w:top w:val="single" w:color="auto" w:sz="4" w:space="0"/>
                    <w:left w:val="nil"/>
                    <w:bottom w:val="single" w:color="auto" w:sz="4" w:space="0"/>
                    <w:right w:val="single" w:color="auto" w:sz="4" w:space="0"/>
                  </w:tcBorders>
                  <w:shd w:val="clear" w:color="auto" w:fill="FFFFFF"/>
                  <w:noWrap w:val="0"/>
                  <w:vAlign w:val="top"/>
                </w:tcPr>
                <w:p w14:paraId="5587926F">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b w:val="0"/>
                      <w:color w:val="auto"/>
                      <w:sz w:val="21"/>
                      <w:szCs w:val="21"/>
                    </w:rPr>
                  </w:pPr>
                  <w:r>
                    <w:rPr>
                      <w:b w:val="0"/>
                      <w:color w:val="auto"/>
                      <w:spacing w:val="-1"/>
                      <w:sz w:val="21"/>
                      <w:szCs w:val="21"/>
                    </w:rPr>
                    <w:t>颗粒物</w:t>
                  </w:r>
                </w:p>
              </w:tc>
              <w:tc>
                <w:tcPr>
                  <w:tcW w:w="3191"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3799CD37">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hint="eastAsia" w:eastAsia="宋体"/>
                      <w:b w:val="0"/>
                      <w:color w:val="auto"/>
                      <w:sz w:val="21"/>
                      <w:szCs w:val="21"/>
                      <w:lang w:val="en-US" w:eastAsia="zh-CN"/>
                    </w:rPr>
                  </w:pPr>
                  <w:r>
                    <w:rPr>
                      <w:b w:val="0"/>
                      <w:color w:val="auto"/>
                      <w:spacing w:val="-1"/>
                      <w:sz w:val="21"/>
                      <w:szCs w:val="21"/>
                    </w:rPr>
                    <w:t>周界外浓度最高点</w:t>
                  </w:r>
                </w:p>
              </w:tc>
              <w:tc>
                <w:tcPr>
                  <w:tcW w:w="2521" w:type="dxa"/>
                  <w:tcBorders>
                    <w:top w:val="single" w:color="auto" w:sz="4" w:space="0"/>
                    <w:left w:val="single" w:color="auto" w:sz="4" w:space="0"/>
                    <w:bottom w:val="single" w:color="auto" w:sz="4" w:space="0"/>
                    <w:right w:val="nil"/>
                  </w:tcBorders>
                  <w:shd w:val="clear" w:color="auto" w:fill="FFFFFF"/>
                  <w:noWrap w:val="0"/>
                  <w:vAlign w:val="top"/>
                </w:tcPr>
                <w:p w14:paraId="0B9C2946">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Times New Roman" w:hAnsi="Times New Roman" w:eastAsia="Times New Roman" w:cs="Times New Roman"/>
                      <w:b w:val="0"/>
                      <w:color w:val="auto"/>
                      <w:sz w:val="21"/>
                      <w:szCs w:val="21"/>
                    </w:rPr>
                  </w:pPr>
                  <w:r>
                    <w:rPr>
                      <w:rFonts w:ascii="Times New Roman" w:hAnsi="Times New Roman" w:eastAsia="Times New Roman" w:cs="Times New Roman"/>
                      <w:b w:val="0"/>
                      <w:color w:val="auto"/>
                      <w:spacing w:val="-5"/>
                      <w:sz w:val="21"/>
                      <w:szCs w:val="21"/>
                    </w:rPr>
                    <w:t>1.0</w:t>
                  </w:r>
                </w:p>
              </w:tc>
            </w:tr>
            <w:tr w14:paraId="2B3B7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687" w:type="dxa"/>
                  <w:tcBorders>
                    <w:top w:val="single" w:color="auto" w:sz="4" w:space="0"/>
                    <w:left w:val="nil"/>
                    <w:bottom w:val="single" w:color="auto" w:sz="4" w:space="0"/>
                    <w:right w:val="single" w:color="auto" w:sz="4" w:space="0"/>
                  </w:tcBorders>
                  <w:shd w:val="clear" w:color="auto" w:fill="FFFFFF"/>
                  <w:noWrap w:val="0"/>
                  <w:vAlign w:val="top"/>
                </w:tcPr>
                <w:p w14:paraId="141F19AF">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Times New Roman" w:hAnsi="Times New Roman" w:eastAsia="Times New Roman" w:cs="Times New Roman"/>
                      <w:b w:val="0"/>
                      <w:color w:val="auto"/>
                      <w:sz w:val="13"/>
                      <w:szCs w:val="13"/>
                    </w:rPr>
                  </w:pPr>
                  <w:r>
                    <w:rPr>
                      <w:rFonts w:ascii="Times New Roman" w:hAnsi="Times New Roman" w:eastAsia="Times New Roman" w:cs="Times New Roman"/>
                      <w:b w:val="0"/>
                      <w:color w:val="auto"/>
                      <w:spacing w:val="-3"/>
                      <w:sz w:val="21"/>
                      <w:szCs w:val="21"/>
                    </w:rPr>
                    <w:t>SO</w:t>
                  </w:r>
                  <w:r>
                    <w:rPr>
                      <w:rFonts w:ascii="Times New Roman" w:hAnsi="Times New Roman" w:eastAsia="Times New Roman" w:cs="Times New Roman"/>
                      <w:b w:val="0"/>
                      <w:color w:val="auto"/>
                      <w:spacing w:val="-3"/>
                      <w:position w:val="-2"/>
                      <w:sz w:val="13"/>
                      <w:szCs w:val="13"/>
                    </w:rPr>
                    <w:t>2</w:t>
                  </w:r>
                </w:p>
              </w:tc>
              <w:tc>
                <w:tcPr>
                  <w:tcW w:w="3191"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3DF78E5B">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b w:val="0"/>
                      <w:color w:val="auto"/>
                      <w:sz w:val="21"/>
                      <w:szCs w:val="21"/>
                    </w:rPr>
                  </w:pPr>
                  <w:r>
                    <w:rPr>
                      <w:b w:val="0"/>
                      <w:color w:val="auto"/>
                      <w:spacing w:val="-1"/>
                      <w:sz w:val="21"/>
                      <w:szCs w:val="21"/>
                    </w:rPr>
                    <w:t>周界外浓度最高点</w:t>
                  </w:r>
                </w:p>
              </w:tc>
              <w:tc>
                <w:tcPr>
                  <w:tcW w:w="2521" w:type="dxa"/>
                  <w:tcBorders>
                    <w:top w:val="single" w:color="auto" w:sz="4" w:space="0"/>
                    <w:left w:val="single" w:color="auto" w:sz="4" w:space="0"/>
                    <w:bottom w:val="single" w:color="auto" w:sz="4" w:space="0"/>
                    <w:right w:val="nil"/>
                  </w:tcBorders>
                  <w:shd w:val="clear" w:color="auto" w:fill="FFFFFF"/>
                  <w:noWrap w:val="0"/>
                  <w:vAlign w:val="top"/>
                </w:tcPr>
                <w:p w14:paraId="11E177D0">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Times New Roman" w:hAnsi="Times New Roman" w:eastAsia="Times New Roman" w:cs="Times New Roman"/>
                      <w:b w:val="0"/>
                      <w:color w:val="auto"/>
                      <w:sz w:val="21"/>
                      <w:szCs w:val="21"/>
                    </w:rPr>
                  </w:pPr>
                  <w:r>
                    <w:rPr>
                      <w:rFonts w:ascii="Times New Roman" w:hAnsi="Times New Roman" w:eastAsia="Times New Roman" w:cs="Times New Roman"/>
                      <w:b w:val="0"/>
                      <w:color w:val="auto"/>
                      <w:spacing w:val="-1"/>
                      <w:sz w:val="21"/>
                      <w:szCs w:val="21"/>
                    </w:rPr>
                    <w:t>0.40</w:t>
                  </w:r>
                </w:p>
              </w:tc>
            </w:tr>
            <w:tr w14:paraId="01026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2687" w:type="dxa"/>
                  <w:tcBorders>
                    <w:top w:val="single" w:color="auto" w:sz="4" w:space="0"/>
                    <w:left w:val="nil"/>
                    <w:bottom w:val="single" w:color="000000" w:sz="12" w:space="0"/>
                    <w:right w:val="single" w:color="auto" w:sz="4" w:space="0"/>
                  </w:tcBorders>
                  <w:shd w:val="clear" w:color="auto" w:fill="FFFFFF"/>
                  <w:noWrap w:val="0"/>
                  <w:vAlign w:val="top"/>
                </w:tcPr>
                <w:p w14:paraId="33C89D86">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Times New Roman" w:hAnsi="Times New Roman" w:eastAsia="Times New Roman" w:cs="Times New Roman"/>
                      <w:b w:val="0"/>
                      <w:color w:val="auto"/>
                      <w:sz w:val="13"/>
                      <w:szCs w:val="13"/>
                    </w:rPr>
                  </w:pPr>
                  <w:r>
                    <w:rPr>
                      <w:rFonts w:ascii="Times New Roman" w:hAnsi="Times New Roman" w:eastAsia="Times New Roman" w:cs="Times New Roman"/>
                      <w:b w:val="0"/>
                      <w:color w:val="auto"/>
                      <w:spacing w:val="4"/>
                      <w:sz w:val="21"/>
                      <w:szCs w:val="21"/>
                    </w:rPr>
                    <w:t>NO</w:t>
                  </w:r>
                  <w:r>
                    <w:rPr>
                      <w:rFonts w:ascii="Times New Roman" w:hAnsi="Times New Roman" w:eastAsia="Times New Roman" w:cs="Times New Roman"/>
                      <w:b w:val="0"/>
                      <w:color w:val="auto"/>
                      <w:spacing w:val="4"/>
                      <w:position w:val="-2"/>
                      <w:sz w:val="13"/>
                      <w:szCs w:val="13"/>
                    </w:rPr>
                    <w:t>X</w:t>
                  </w:r>
                </w:p>
              </w:tc>
              <w:tc>
                <w:tcPr>
                  <w:tcW w:w="3191" w:type="dxa"/>
                  <w:tcBorders>
                    <w:top w:val="single" w:color="auto" w:sz="4" w:space="0"/>
                    <w:left w:val="single" w:color="auto" w:sz="4" w:space="0"/>
                    <w:bottom w:val="single" w:color="000000" w:sz="12" w:space="0"/>
                    <w:right w:val="single" w:color="auto" w:sz="4" w:space="0"/>
                  </w:tcBorders>
                  <w:shd w:val="clear" w:color="auto" w:fill="FFFFFF"/>
                  <w:noWrap w:val="0"/>
                  <w:vAlign w:val="top"/>
                </w:tcPr>
                <w:p w14:paraId="40294F33">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b w:val="0"/>
                      <w:color w:val="auto"/>
                      <w:sz w:val="21"/>
                      <w:szCs w:val="21"/>
                    </w:rPr>
                  </w:pPr>
                  <w:r>
                    <w:rPr>
                      <w:b w:val="0"/>
                      <w:color w:val="auto"/>
                      <w:spacing w:val="-1"/>
                      <w:sz w:val="21"/>
                      <w:szCs w:val="21"/>
                    </w:rPr>
                    <w:t>周界外浓度最高点</w:t>
                  </w:r>
                </w:p>
              </w:tc>
              <w:tc>
                <w:tcPr>
                  <w:tcW w:w="2521" w:type="dxa"/>
                  <w:tcBorders>
                    <w:top w:val="single" w:color="auto" w:sz="4" w:space="0"/>
                    <w:left w:val="single" w:color="auto" w:sz="4" w:space="0"/>
                    <w:bottom w:val="single" w:color="000000" w:sz="12" w:space="0"/>
                    <w:right w:val="nil"/>
                  </w:tcBorders>
                  <w:shd w:val="clear" w:color="auto" w:fill="FFFFFF"/>
                  <w:noWrap w:val="0"/>
                  <w:vAlign w:val="top"/>
                </w:tcPr>
                <w:p w14:paraId="64FDDDF5">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Times New Roman" w:hAnsi="Times New Roman" w:eastAsia="Times New Roman" w:cs="Times New Roman"/>
                      <w:b w:val="0"/>
                      <w:color w:val="auto"/>
                      <w:sz w:val="21"/>
                      <w:szCs w:val="21"/>
                    </w:rPr>
                  </w:pPr>
                  <w:r>
                    <w:rPr>
                      <w:rFonts w:ascii="Times New Roman" w:hAnsi="Times New Roman" w:eastAsia="Times New Roman" w:cs="Times New Roman"/>
                      <w:b w:val="0"/>
                      <w:color w:val="auto"/>
                      <w:spacing w:val="-1"/>
                      <w:sz w:val="21"/>
                      <w:szCs w:val="21"/>
                    </w:rPr>
                    <w:t>0.12</w:t>
                  </w:r>
                </w:p>
              </w:tc>
            </w:tr>
          </w:tbl>
          <w:p w14:paraId="7C550124">
            <w:pPr>
              <w:spacing w:line="360" w:lineRule="auto"/>
              <w:ind w:firstLine="480" w:firstLineChars="200"/>
              <w:rPr>
                <w:color w:val="auto"/>
                <w:sz w:val="24"/>
              </w:rPr>
            </w:pPr>
            <w:r>
              <w:rPr>
                <w:rFonts w:hint="eastAsia"/>
                <w:color w:val="auto"/>
                <w:sz w:val="24"/>
                <w:szCs w:val="32"/>
                <w:lang w:val="en-US" w:eastAsia="zh-CN"/>
              </w:rPr>
              <w:t>②运营期</w:t>
            </w:r>
            <w:r>
              <w:rPr>
                <w:color w:val="auto"/>
                <w:sz w:val="24"/>
              </w:rPr>
              <w:t>污水处理站废气：</w:t>
            </w:r>
            <w:r>
              <w:rPr>
                <w:rFonts w:hint="eastAsia"/>
                <w:color w:val="auto"/>
                <w:sz w:val="24"/>
              </w:rPr>
              <w:t>项目运营期污水处理站有组织排放氨、硫化氢、臭气浓度执行《恶臭污染物排放标准》（GB14554-93）中表2标准限值要求</w:t>
            </w:r>
            <w:r>
              <w:rPr>
                <w:rFonts w:hint="eastAsia"/>
                <w:color w:val="auto"/>
                <w:sz w:val="24"/>
                <w:lang w:eastAsia="zh-CN"/>
              </w:rPr>
              <w:t>，</w:t>
            </w:r>
            <w:r>
              <w:rPr>
                <w:color w:val="auto"/>
                <w:sz w:val="24"/>
              </w:rPr>
              <w:t>项目污水处理站</w:t>
            </w:r>
            <w:r>
              <w:rPr>
                <w:rFonts w:hint="eastAsia"/>
                <w:color w:val="auto"/>
                <w:sz w:val="24"/>
                <w:lang w:val="en-US" w:eastAsia="zh-CN"/>
              </w:rPr>
              <w:t>周边空气排放</w:t>
            </w:r>
            <w:r>
              <w:rPr>
                <w:color w:val="auto"/>
                <w:sz w:val="24"/>
              </w:rPr>
              <w:t>执行</w:t>
            </w:r>
            <w:r>
              <w:rPr>
                <w:color w:val="auto"/>
                <w:kern w:val="0"/>
                <w:sz w:val="24"/>
              </w:rPr>
              <w:t>《医疗机构水污染物排放标准》（GB18466-2005）</w:t>
            </w:r>
            <w:r>
              <w:rPr>
                <w:color w:val="auto"/>
                <w:sz w:val="24"/>
              </w:rPr>
              <w:t>表3污水处理站周边大气污染物最高允许浓度，具体指标见下表。</w:t>
            </w:r>
          </w:p>
          <w:p w14:paraId="2A9472F2">
            <w:pPr>
              <w:spacing w:line="360" w:lineRule="auto"/>
              <w:ind w:firstLine="418" w:firstLineChars="200"/>
              <w:jc w:val="center"/>
              <w:rPr>
                <w:rFonts w:hint="eastAsia"/>
                <w:b/>
                <w:bCs/>
                <w:color w:val="auto"/>
                <w:sz w:val="24"/>
                <w:lang w:eastAsia="zh-CN"/>
              </w:rPr>
            </w:pPr>
            <w:r>
              <w:rPr>
                <w:b/>
                <w:bCs/>
                <w:color w:val="auto"/>
                <w:spacing w:val="-1"/>
              </w:rPr>
              <w:t>表</w:t>
            </w:r>
            <w:r>
              <w:rPr>
                <w:rFonts w:ascii="Times New Roman" w:hAnsi="Times New Roman" w:eastAsia="Times New Roman" w:cs="Times New Roman"/>
                <w:b/>
                <w:bCs/>
                <w:color w:val="auto"/>
                <w:spacing w:val="-1"/>
              </w:rPr>
              <w:t>3.</w:t>
            </w:r>
            <w:r>
              <w:rPr>
                <w:rFonts w:hint="eastAsia" w:eastAsia="宋体" w:cs="Times New Roman"/>
                <w:b/>
                <w:bCs/>
                <w:color w:val="auto"/>
                <w:spacing w:val="-1"/>
                <w:lang w:val="en-US" w:eastAsia="zh-CN"/>
              </w:rPr>
              <w:t>8</w:t>
            </w:r>
            <w:r>
              <w:rPr>
                <w:rFonts w:ascii="Times New Roman" w:hAnsi="Times New Roman" w:eastAsia="Times New Roman" w:cs="Times New Roman"/>
                <w:b/>
                <w:bCs/>
                <w:color w:val="auto"/>
                <w:spacing w:val="-1"/>
              </w:rPr>
              <w:t>-</w:t>
            </w:r>
            <w:r>
              <w:rPr>
                <w:rFonts w:hint="eastAsia" w:ascii="Times New Roman" w:hAnsi="Times New Roman" w:eastAsia="宋体" w:cs="Times New Roman"/>
                <w:b/>
                <w:bCs/>
                <w:color w:val="auto"/>
                <w:spacing w:val="-1"/>
                <w:lang w:val="en-US" w:eastAsia="zh-CN"/>
              </w:rPr>
              <w:t>5</w:t>
            </w:r>
            <w:r>
              <w:rPr>
                <w:rFonts w:hint="eastAsia"/>
                <w:b/>
                <w:bCs/>
                <w:color w:val="auto"/>
                <w:sz w:val="24"/>
              </w:rPr>
              <w:t>《恶臭污染物排放标准》（GB14554-93</w:t>
            </w:r>
            <w:r>
              <w:rPr>
                <w:rFonts w:hint="eastAsia"/>
                <w:b/>
                <w:bCs/>
                <w:color w:val="auto"/>
                <w:sz w:val="24"/>
                <w:lang w:eastAsia="zh-CN"/>
              </w:rPr>
              <w:t>）</w:t>
            </w:r>
          </w:p>
          <w:tbl>
            <w:tblPr>
              <w:tblStyle w:val="17"/>
              <w:tblW w:w="4998"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108" w:type="dxa"/>
                <w:bottom w:w="0" w:type="dxa"/>
                <w:right w:w="108" w:type="dxa"/>
              </w:tblCellMar>
            </w:tblPr>
            <w:tblGrid>
              <w:gridCol w:w="946"/>
              <w:gridCol w:w="2611"/>
              <w:gridCol w:w="1703"/>
              <w:gridCol w:w="3126"/>
            </w:tblGrid>
            <w:tr w14:paraId="1EC005D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60" w:hRule="atLeast"/>
                <w:jc w:val="center"/>
              </w:trPr>
              <w:tc>
                <w:tcPr>
                  <w:tcW w:w="564" w:type="pct"/>
                  <w:tcBorders>
                    <w:tl2br w:val="nil"/>
                    <w:tr2bl w:val="nil"/>
                  </w:tcBorders>
                  <w:shd w:val="clear" w:color="auto" w:fill="FFFFFF"/>
                  <w:noWrap w:val="0"/>
                  <w:vAlign w:val="center"/>
                </w:tcPr>
                <w:p w14:paraId="3D5CA9EB">
                  <w:pPr>
                    <w:spacing w:line="340" w:lineRule="exact"/>
                    <w:jc w:val="center"/>
                    <w:rPr>
                      <w:rFonts w:hint="eastAsia"/>
                      <w:color w:val="auto"/>
                      <w:szCs w:val="21"/>
                    </w:rPr>
                  </w:pPr>
                  <w:r>
                    <w:rPr>
                      <w:rFonts w:hint="eastAsia"/>
                      <w:color w:val="auto"/>
                      <w:szCs w:val="21"/>
                    </w:rPr>
                    <w:t>序号</w:t>
                  </w:r>
                </w:p>
              </w:tc>
              <w:tc>
                <w:tcPr>
                  <w:tcW w:w="1556" w:type="pct"/>
                  <w:tcBorders>
                    <w:tl2br w:val="nil"/>
                    <w:tr2bl w:val="nil"/>
                  </w:tcBorders>
                  <w:shd w:val="clear" w:color="auto" w:fill="FFFFFF"/>
                  <w:noWrap w:val="0"/>
                  <w:vAlign w:val="center"/>
                </w:tcPr>
                <w:p w14:paraId="3C6C2FE1">
                  <w:pPr>
                    <w:spacing w:line="340" w:lineRule="exact"/>
                    <w:jc w:val="center"/>
                    <w:rPr>
                      <w:color w:val="auto"/>
                      <w:szCs w:val="21"/>
                    </w:rPr>
                  </w:pPr>
                  <w:r>
                    <w:rPr>
                      <w:color w:val="auto"/>
                      <w:szCs w:val="21"/>
                    </w:rPr>
                    <w:t>项目</w:t>
                  </w:r>
                </w:p>
              </w:tc>
              <w:tc>
                <w:tcPr>
                  <w:tcW w:w="1015" w:type="pct"/>
                  <w:tcBorders>
                    <w:tl2br w:val="nil"/>
                    <w:tr2bl w:val="nil"/>
                  </w:tcBorders>
                  <w:shd w:val="clear" w:color="auto" w:fill="FFFFFF"/>
                  <w:noWrap w:val="0"/>
                  <w:vAlign w:val="center"/>
                </w:tcPr>
                <w:p w14:paraId="257893C9">
                  <w:pPr>
                    <w:spacing w:line="340" w:lineRule="exact"/>
                    <w:jc w:val="center"/>
                    <w:rPr>
                      <w:rFonts w:hint="eastAsia"/>
                      <w:color w:val="auto"/>
                      <w:szCs w:val="21"/>
                    </w:rPr>
                  </w:pPr>
                  <w:r>
                    <w:rPr>
                      <w:rFonts w:hint="eastAsia"/>
                      <w:color w:val="auto"/>
                      <w:szCs w:val="21"/>
                    </w:rPr>
                    <w:t>标准值</w:t>
                  </w:r>
                </w:p>
              </w:tc>
              <w:tc>
                <w:tcPr>
                  <w:tcW w:w="1863" w:type="pct"/>
                  <w:tcBorders>
                    <w:tl2br w:val="nil"/>
                    <w:tr2bl w:val="nil"/>
                  </w:tcBorders>
                  <w:shd w:val="clear" w:color="auto" w:fill="FFFFFF"/>
                  <w:noWrap w:val="0"/>
                  <w:vAlign w:val="center"/>
                </w:tcPr>
                <w:p w14:paraId="2A765396">
                  <w:pPr>
                    <w:spacing w:line="340" w:lineRule="exact"/>
                    <w:jc w:val="center"/>
                    <w:rPr>
                      <w:color w:val="auto"/>
                      <w:szCs w:val="21"/>
                    </w:rPr>
                  </w:pPr>
                  <w:r>
                    <w:rPr>
                      <w:color w:val="auto"/>
                      <w:szCs w:val="21"/>
                    </w:rPr>
                    <w:t>执行标准</w:t>
                  </w:r>
                </w:p>
              </w:tc>
            </w:tr>
            <w:tr w14:paraId="74957C7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0" w:hRule="atLeast"/>
                <w:jc w:val="center"/>
              </w:trPr>
              <w:tc>
                <w:tcPr>
                  <w:tcW w:w="564" w:type="pct"/>
                  <w:tcBorders>
                    <w:tl2br w:val="nil"/>
                    <w:tr2bl w:val="nil"/>
                  </w:tcBorders>
                  <w:shd w:val="clear" w:color="auto" w:fill="FFFFFF"/>
                  <w:noWrap w:val="0"/>
                  <w:vAlign w:val="center"/>
                </w:tcPr>
                <w:p w14:paraId="46A892B8">
                  <w:pPr>
                    <w:spacing w:line="340" w:lineRule="exact"/>
                    <w:jc w:val="center"/>
                    <w:rPr>
                      <w:color w:val="auto"/>
                      <w:szCs w:val="21"/>
                    </w:rPr>
                  </w:pPr>
                  <w:r>
                    <w:rPr>
                      <w:rFonts w:hint="eastAsia"/>
                      <w:color w:val="auto"/>
                      <w:szCs w:val="21"/>
                    </w:rPr>
                    <w:t>1</w:t>
                  </w:r>
                </w:p>
              </w:tc>
              <w:tc>
                <w:tcPr>
                  <w:tcW w:w="1556" w:type="pct"/>
                  <w:tcBorders>
                    <w:tl2br w:val="nil"/>
                    <w:tr2bl w:val="nil"/>
                  </w:tcBorders>
                  <w:shd w:val="clear" w:color="auto" w:fill="FFFFFF"/>
                  <w:noWrap w:val="0"/>
                  <w:vAlign w:val="center"/>
                </w:tcPr>
                <w:p w14:paraId="12C7BDF3">
                  <w:pPr>
                    <w:spacing w:line="340" w:lineRule="exact"/>
                    <w:jc w:val="center"/>
                    <w:rPr>
                      <w:color w:val="auto"/>
                      <w:szCs w:val="21"/>
                    </w:rPr>
                  </w:pPr>
                  <w:r>
                    <w:rPr>
                      <w:color w:val="auto"/>
                      <w:szCs w:val="21"/>
                    </w:rPr>
                    <w:t>氨</w:t>
                  </w:r>
                  <w:r>
                    <w:rPr>
                      <w:rFonts w:hint="eastAsia"/>
                      <w:color w:val="auto"/>
                      <w:szCs w:val="21"/>
                    </w:rPr>
                    <w:t>（mg/m</w:t>
                  </w:r>
                  <w:r>
                    <w:rPr>
                      <w:rFonts w:hint="eastAsia"/>
                      <w:color w:val="auto"/>
                      <w:szCs w:val="21"/>
                      <w:vertAlign w:val="superscript"/>
                    </w:rPr>
                    <w:t>3</w:t>
                  </w:r>
                  <w:r>
                    <w:rPr>
                      <w:rFonts w:hint="eastAsia"/>
                      <w:color w:val="auto"/>
                      <w:szCs w:val="21"/>
                    </w:rPr>
                    <w:t>）</w:t>
                  </w:r>
                </w:p>
              </w:tc>
              <w:tc>
                <w:tcPr>
                  <w:tcW w:w="1015" w:type="pct"/>
                  <w:tcBorders>
                    <w:tl2br w:val="nil"/>
                    <w:tr2bl w:val="nil"/>
                  </w:tcBorders>
                  <w:shd w:val="clear" w:color="auto" w:fill="FFFFFF"/>
                  <w:noWrap w:val="0"/>
                  <w:vAlign w:val="center"/>
                </w:tcPr>
                <w:p w14:paraId="2C14CC84">
                  <w:pPr>
                    <w:spacing w:line="340" w:lineRule="exact"/>
                    <w:jc w:val="center"/>
                    <w:rPr>
                      <w:rFonts w:hint="default" w:eastAsia="宋体"/>
                      <w:color w:val="auto"/>
                      <w:szCs w:val="21"/>
                      <w:lang w:val="en-US" w:eastAsia="zh-CN"/>
                    </w:rPr>
                  </w:pPr>
                  <w:r>
                    <w:rPr>
                      <w:rFonts w:hint="eastAsia"/>
                      <w:color w:val="auto"/>
                      <w:szCs w:val="21"/>
                      <w:lang w:val="en-US" w:eastAsia="zh-CN"/>
                    </w:rPr>
                    <w:t>4.9</w:t>
                  </w:r>
                </w:p>
              </w:tc>
              <w:tc>
                <w:tcPr>
                  <w:tcW w:w="1863" w:type="pct"/>
                  <w:vMerge w:val="restart"/>
                  <w:tcBorders>
                    <w:tl2br w:val="nil"/>
                    <w:tr2bl w:val="nil"/>
                  </w:tcBorders>
                  <w:shd w:val="clear" w:color="auto" w:fill="FFFFFF"/>
                  <w:noWrap w:val="0"/>
                  <w:vAlign w:val="center"/>
                </w:tcPr>
                <w:p w14:paraId="5A8803D0">
                  <w:pPr>
                    <w:spacing w:line="340" w:lineRule="exact"/>
                    <w:jc w:val="center"/>
                    <w:rPr>
                      <w:color w:val="auto"/>
                      <w:szCs w:val="21"/>
                    </w:rPr>
                  </w:pPr>
                  <w:r>
                    <w:rPr>
                      <w:rFonts w:hint="eastAsia" w:ascii="Times New Roman" w:hAnsi="Times New Roman" w:eastAsia="宋体" w:cs="Times New Roman"/>
                      <w:color w:val="auto"/>
                      <w:szCs w:val="21"/>
                    </w:rPr>
                    <w:t>《恶臭污染物排放标准》（GB14554-93）中表2标准限值要求</w:t>
                  </w:r>
                </w:p>
              </w:tc>
            </w:tr>
            <w:tr w14:paraId="2248454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0" w:hRule="atLeast"/>
                <w:jc w:val="center"/>
              </w:trPr>
              <w:tc>
                <w:tcPr>
                  <w:tcW w:w="564" w:type="pct"/>
                  <w:tcBorders>
                    <w:tl2br w:val="nil"/>
                    <w:tr2bl w:val="nil"/>
                  </w:tcBorders>
                  <w:shd w:val="clear" w:color="auto" w:fill="FFFFFF"/>
                  <w:noWrap w:val="0"/>
                  <w:vAlign w:val="center"/>
                </w:tcPr>
                <w:p w14:paraId="3287FE01">
                  <w:pPr>
                    <w:spacing w:line="340" w:lineRule="exact"/>
                    <w:jc w:val="center"/>
                    <w:rPr>
                      <w:color w:val="auto"/>
                      <w:szCs w:val="21"/>
                    </w:rPr>
                  </w:pPr>
                  <w:r>
                    <w:rPr>
                      <w:rFonts w:hint="eastAsia"/>
                      <w:color w:val="auto"/>
                      <w:szCs w:val="21"/>
                    </w:rPr>
                    <w:t>2</w:t>
                  </w:r>
                </w:p>
              </w:tc>
              <w:tc>
                <w:tcPr>
                  <w:tcW w:w="1556" w:type="pct"/>
                  <w:tcBorders>
                    <w:tl2br w:val="nil"/>
                    <w:tr2bl w:val="nil"/>
                  </w:tcBorders>
                  <w:shd w:val="clear" w:color="auto" w:fill="FFFFFF"/>
                  <w:noWrap w:val="0"/>
                  <w:vAlign w:val="center"/>
                </w:tcPr>
                <w:p w14:paraId="32E58E99">
                  <w:pPr>
                    <w:spacing w:line="340" w:lineRule="exact"/>
                    <w:jc w:val="center"/>
                    <w:rPr>
                      <w:color w:val="auto"/>
                      <w:szCs w:val="21"/>
                    </w:rPr>
                  </w:pPr>
                  <w:r>
                    <w:rPr>
                      <w:rFonts w:hint="eastAsia"/>
                      <w:color w:val="auto"/>
                      <w:szCs w:val="21"/>
                    </w:rPr>
                    <w:t>硫化氢（mg/m</w:t>
                  </w:r>
                  <w:r>
                    <w:rPr>
                      <w:rFonts w:hint="eastAsia"/>
                      <w:color w:val="auto"/>
                      <w:szCs w:val="21"/>
                      <w:vertAlign w:val="superscript"/>
                    </w:rPr>
                    <w:t>3</w:t>
                  </w:r>
                  <w:r>
                    <w:rPr>
                      <w:rFonts w:hint="eastAsia"/>
                      <w:color w:val="auto"/>
                      <w:szCs w:val="21"/>
                    </w:rPr>
                    <w:t>）</w:t>
                  </w:r>
                </w:p>
              </w:tc>
              <w:tc>
                <w:tcPr>
                  <w:tcW w:w="1015" w:type="pct"/>
                  <w:tcBorders>
                    <w:tl2br w:val="nil"/>
                    <w:tr2bl w:val="nil"/>
                  </w:tcBorders>
                  <w:shd w:val="clear" w:color="auto" w:fill="FFFFFF"/>
                  <w:noWrap w:val="0"/>
                  <w:vAlign w:val="center"/>
                </w:tcPr>
                <w:p w14:paraId="6F4D3091">
                  <w:pPr>
                    <w:spacing w:line="340" w:lineRule="exact"/>
                    <w:jc w:val="center"/>
                    <w:rPr>
                      <w:rFonts w:hint="default" w:eastAsia="宋体"/>
                      <w:color w:val="auto"/>
                      <w:szCs w:val="21"/>
                      <w:lang w:val="en-US" w:eastAsia="zh-CN"/>
                    </w:rPr>
                  </w:pPr>
                  <w:r>
                    <w:rPr>
                      <w:rFonts w:hint="eastAsia"/>
                      <w:color w:val="auto"/>
                      <w:szCs w:val="21"/>
                    </w:rPr>
                    <w:t>0.</w:t>
                  </w:r>
                  <w:r>
                    <w:rPr>
                      <w:rFonts w:hint="eastAsia"/>
                      <w:color w:val="auto"/>
                      <w:szCs w:val="21"/>
                      <w:lang w:val="en-US" w:eastAsia="zh-CN"/>
                    </w:rPr>
                    <w:t>33</w:t>
                  </w:r>
                </w:p>
              </w:tc>
              <w:tc>
                <w:tcPr>
                  <w:tcW w:w="1863" w:type="pct"/>
                  <w:vMerge w:val="continue"/>
                  <w:tcBorders>
                    <w:tl2br w:val="nil"/>
                    <w:tr2bl w:val="nil"/>
                  </w:tcBorders>
                  <w:shd w:val="clear" w:color="auto" w:fill="FFFFFF"/>
                  <w:noWrap w:val="0"/>
                  <w:vAlign w:val="center"/>
                </w:tcPr>
                <w:p w14:paraId="19355945">
                  <w:pPr>
                    <w:spacing w:line="340" w:lineRule="exact"/>
                    <w:jc w:val="center"/>
                    <w:rPr>
                      <w:color w:val="auto"/>
                      <w:szCs w:val="21"/>
                    </w:rPr>
                  </w:pPr>
                </w:p>
              </w:tc>
            </w:tr>
            <w:tr w14:paraId="5012A15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PrEx>
              <w:trPr>
                <w:trHeight w:val="60" w:hRule="atLeast"/>
                <w:jc w:val="center"/>
              </w:trPr>
              <w:tc>
                <w:tcPr>
                  <w:tcW w:w="564" w:type="pct"/>
                  <w:tcBorders>
                    <w:tl2br w:val="nil"/>
                    <w:tr2bl w:val="nil"/>
                  </w:tcBorders>
                  <w:shd w:val="clear" w:color="auto" w:fill="FFFFFF"/>
                  <w:noWrap w:val="0"/>
                  <w:vAlign w:val="center"/>
                </w:tcPr>
                <w:p w14:paraId="1CD72D4D">
                  <w:pPr>
                    <w:spacing w:line="340" w:lineRule="exact"/>
                    <w:jc w:val="center"/>
                    <w:rPr>
                      <w:color w:val="auto"/>
                      <w:szCs w:val="21"/>
                    </w:rPr>
                  </w:pPr>
                  <w:r>
                    <w:rPr>
                      <w:rFonts w:hint="eastAsia"/>
                      <w:color w:val="auto"/>
                      <w:szCs w:val="21"/>
                    </w:rPr>
                    <w:t>3</w:t>
                  </w:r>
                </w:p>
              </w:tc>
              <w:tc>
                <w:tcPr>
                  <w:tcW w:w="1556" w:type="pct"/>
                  <w:tcBorders>
                    <w:tl2br w:val="nil"/>
                    <w:tr2bl w:val="nil"/>
                  </w:tcBorders>
                  <w:shd w:val="clear" w:color="auto" w:fill="FFFFFF"/>
                  <w:noWrap w:val="0"/>
                  <w:vAlign w:val="center"/>
                </w:tcPr>
                <w:p w14:paraId="3F59DB22">
                  <w:pPr>
                    <w:spacing w:line="340" w:lineRule="exact"/>
                    <w:jc w:val="center"/>
                    <w:rPr>
                      <w:color w:val="auto"/>
                      <w:szCs w:val="21"/>
                    </w:rPr>
                  </w:pPr>
                  <w:r>
                    <w:rPr>
                      <w:rFonts w:hint="eastAsia"/>
                      <w:color w:val="auto"/>
                      <w:szCs w:val="21"/>
                    </w:rPr>
                    <w:t>臭气浓度（无量纲）</w:t>
                  </w:r>
                </w:p>
              </w:tc>
              <w:tc>
                <w:tcPr>
                  <w:tcW w:w="1015" w:type="pct"/>
                  <w:tcBorders>
                    <w:tl2br w:val="nil"/>
                    <w:tr2bl w:val="nil"/>
                  </w:tcBorders>
                  <w:shd w:val="clear" w:color="auto" w:fill="FFFFFF"/>
                  <w:noWrap w:val="0"/>
                  <w:vAlign w:val="center"/>
                </w:tcPr>
                <w:p w14:paraId="18F3F636">
                  <w:pPr>
                    <w:spacing w:line="340" w:lineRule="exact"/>
                    <w:jc w:val="center"/>
                    <w:rPr>
                      <w:rFonts w:hint="default" w:eastAsia="宋体"/>
                      <w:color w:val="auto"/>
                      <w:szCs w:val="21"/>
                      <w:lang w:val="en-US" w:eastAsia="zh-CN"/>
                    </w:rPr>
                  </w:pPr>
                  <w:r>
                    <w:rPr>
                      <w:rFonts w:hint="eastAsia"/>
                      <w:color w:val="auto"/>
                      <w:szCs w:val="21"/>
                      <w:lang w:val="en-US" w:eastAsia="zh-CN"/>
                    </w:rPr>
                    <w:t>2000</w:t>
                  </w:r>
                </w:p>
              </w:tc>
              <w:tc>
                <w:tcPr>
                  <w:tcW w:w="1863" w:type="pct"/>
                  <w:vMerge w:val="continue"/>
                  <w:tcBorders>
                    <w:tl2br w:val="nil"/>
                    <w:tr2bl w:val="nil"/>
                  </w:tcBorders>
                  <w:shd w:val="clear" w:color="auto" w:fill="FFFFFF"/>
                  <w:noWrap w:val="0"/>
                  <w:vAlign w:val="center"/>
                </w:tcPr>
                <w:p w14:paraId="5B675962">
                  <w:pPr>
                    <w:spacing w:line="340" w:lineRule="exact"/>
                    <w:jc w:val="center"/>
                    <w:rPr>
                      <w:color w:val="auto"/>
                      <w:szCs w:val="21"/>
                    </w:rPr>
                  </w:pPr>
                </w:p>
              </w:tc>
            </w:tr>
          </w:tbl>
          <w:p w14:paraId="67FA3FE0">
            <w:pPr>
              <w:spacing w:before="120" w:beforeLines="50"/>
              <w:jc w:val="center"/>
              <w:rPr>
                <w:b/>
                <w:color w:val="auto"/>
                <w:sz w:val="24"/>
              </w:rPr>
            </w:pPr>
            <w:r>
              <w:rPr>
                <w:b/>
                <w:color w:val="auto"/>
                <w:sz w:val="24"/>
              </w:rPr>
              <w:t>表</w:t>
            </w:r>
            <w:r>
              <w:rPr>
                <w:rFonts w:hint="eastAsia"/>
                <w:b/>
                <w:color w:val="auto"/>
                <w:sz w:val="24"/>
              </w:rPr>
              <w:t>3.</w:t>
            </w:r>
            <w:r>
              <w:rPr>
                <w:rFonts w:hint="eastAsia"/>
                <w:b/>
                <w:color w:val="auto"/>
                <w:sz w:val="24"/>
                <w:lang w:val="en-US" w:eastAsia="zh-CN"/>
              </w:rPr>
              <w:t>8</w:t>
            </w:r>
            <w:r>
              <w:rPr>
                <w:rFonts w:hint="eastAsia"/>
                <w:b/>
                <w:color w:val="auto"/>
                <w:sz w:val="24"/>
              </w:rPr>
              <w:t>-</w:t>
            </w:r>
            <w:r>
              <w:rPr>
                <w:rFonts w:hint="eastAsia"/>
                <w:b/>
                <w:color w:val="auto"/>
                <w:sz w:val="24"/>
                <w:lang w:val="en-US" w:eastAsia="zh-CN"/>
              </w:rPr>
              <w:t>6</w:t>
            </w:r>
            <w:r>
              <w:rPr>
                <w:rFonts w:hint="eastAsia"/>
                <w:b/>
                <w:color w:val="auto"/>
                <w:sz w:val="24"/>
              </w:rPr>
              <w:t>《医疗机构水污染物排放标准》（GB18466-2005）</w:t>
            </w:r>
          </w:p>
          <w:tbl>
            <w:tblPr>
              <w:tblStyle w:val="17"/>
              <w:tblW w:w="490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2554"/>
              <w:gridCol w:w="1666"/>
              <w:gridCol w:w="3057"/>
            </w:tblGrid>
            <w:tr w14:paraId="74281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565" w:type="pct"/>
                  <w:tcBorders>
                    <w:top w:val="single" w:color="000000" w:sz="12" w:space="0"/>
                    <w:left w:val="nil"/>
                    <w:bottom w:val="single" w:color="auto" w:sz="4" w:space="0"/>
                    <w:right w:val="single" w:color="auto" w:sz="4" w:space="0"/>
                  </w:tcBorders>
                  <w:shd w:val="clear" w:color="auto" w:fill="FFFFFF"/>
                  <w:noWrap w:val="0"/>
                  <w:vAlign w:val="center"/>
                </w:tcPr>
                <w:p w14:paraId="094D7DBC">
                  <w:pPr>
                    <w:spacing w:line="340" w:lineRule="exact"/>
                    <w:jc w:val="center"/>
                    <w:rPr>
                      <w:rFonts w:hint="eastAsia"/>
                      <w:color w:val="auto"/>
                      <w:szCs w:val="21"/>
                    </w:rPr>
                  </w:pPr>
                  <w:r>
                    <w:rPr>
                      <w:rFonts w:hint="eastAsia"/>
                      <w:color w:val="auto"/>
                      <w:szCs w:val="21"/>
                    </w:rPr>
                    <w:t>序号</w:t>
                  </w:r>
                </w:p>
              </w:tc>
              <w:tc>
                <w:tcPr>
                  <w:tcW w:w="1556" w:type="pct"/>
                  <w:tcBorders>
                    <w:top w:val="single" w:color="000000" w:sz="12" w:space="0"/>
                    <w:left w:val="nil"/>
                    <w:bottom w:val="single" w:color="auto" w:sz="4" w:space="0"/>
                    <w:right w:val="single" w:color="auto" w:sz="4" w:space="0"/>
                  </w:tcBorders>
                  <w:shd w:val="clear" w:color="auto" w:fill="FFFFFF"/>
                  <w:noWrap w:val="0"/>
                  <w:vAlign w:val="center"/>
                </w:tcPr>
                <w:p w14:paraId="29EEAB8A">
                  <w:pPr>
                    <w:spacing w:line="340" w:lineRule="exact"/>
                    <w:jc w:val="center"/>
                    <w:rPr>
                      <w:color w:val="auto"/>
                      <w:szCs w:val="21"/>
                    </w:rPr>
                  </w:pPr>
                  <w:r>
                    <w:rPr>
                      <w:color w:val="auto"/>
                      <w:szCs w:val="21"/>
                    </w:rPr>
                    <w:t>项目</w:t>
                  </w:r>
                </w:p>
              </w:tc>
              <w:tc>
                <w:tcPr>
                  <w:tcW w:w="1015"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1DE6FE8E">
                  <w:pPr>
                    <w:spacing w:line="340" w:lineRule="exact"/>
                    <w:jc w:val="center"/>
                    <w:rPr>
                      <w:rFonts w:hint="eastAsia"/>
                      <w:color w:val="auto"/>
                      <w:szCs w:val="21"/>
                    </w:rPr>
                  </w:pPr>
                  <w:r>
                    <w:rPr>
                      <w:rFonts w:hint="eastAsia"/>
                      <w:color w:val="auto"/>
                      <w:szCs w:val="21"/>
                    </w:rPr>
                    <w:t>标准值</w:t>
                  </w:r>
                </w:p>
              </w:tc>
              <w:tc>
                <w:tcPr>
                  <w:tcW w:w="1862" w:type="pct"/>
                  <w:tcBorders>
                    <w:top w:val="single" w:color="000000" w:sz="12" w:space="0"/>
                    <w:left w:val="single" w:color="auto" w:sz="4" w:space="0"/>
                    <w:bottom w:val="single" w:color="auto" w:sz="4" w:space="0"/>
                    <w:right w:val="nil"/>
                  </w:tcBorders>
                  <w:shd w:val="clear" w:color="auto" w:fill="FFFFFF"/>
                  <w:noWrap w:val="0"/>
                  <w:vAlign w:val="center"/>
                </w:tcPr>
                <w:p w14:paraId="2C966F85">
                  <w:pPr>
                    <w:spacing w:line="340" w:lineRule="exact"/>
                    <w:jc w:val="center"/>
                    <w:rPr>
                      <w:color w:val="auto"/>
                      <w:szCs w:val="21"/>
                    </w:rPr>
                  </w:pPr>
                  <w:r>
                    <w:rPr>
                      <w:color w:val="auto"/>
                      <w:szCs w:val="21"/>
                    </w:rPr>
                    <w:t>执行标准</w:t>
                  </w:r>
                </w:p>
              </w:tc>
            </w:tr>
            <w:tr w14:paraId="69CB2B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565" w:type="pct"/>
                  <w:tcBorders>
                    <w:top w:val="single" w:color="auto" w:sz="4" w:space="0"/>
                    <w:left w:val="nil"/>
                    <w:bottom w:val="single" w:color="auto" w:sz="4" w:space="0"/>
                    <w:right w:val="single" w:color="auto" w:sz="4" w:space="0"/>
                  </w:tcBorders>
                  <w:shd w:val="clear" w:color="auto" w:fill="FFFFFF"/>
                  <w:noWrap w:val="0"/>
                  <w:vAlign w:val="center"/>
                </w:tcPr>
                <w:p w14:paraId="0BF72F18">
                  <w:pPr>
                    <w:spacing w:line="340" w:lineRule="exact"/>
                    <w:jc w:val="center"/>
                    <w:rPr>
                      <w:color w:val="auto"/>
                      <w:szCs w:val="21"/>
                    </w:rPr>
                  </w:pPr>
                  <w:r>
                    <w:rPr>
                      <w:rFonts w:hint="eastAsia"/>
                      <w:color w:val="auto"/>
                      <w:szCs w:val="21"/>
                    </w:rPr>
                    <w:t>1</w:t>
                  </w:r>
                </w:p>
              </w:tc>
              <w:tc>
                <w:tcPr>
                  <w:tcW w:w="1556" w:type="pct"/>
                  <w:tcBorders>
                    <w:top w:val="single" w:color="auto" w:sz="4" w:space="0"/>
                    <w:left w:val="nil"/>
                    <w:bottom w:val="single" w:color="auto" w:sz="4" w:space="0"/>
                    <w:right w:val="single" w:color="auto" w:sz="4" w:space="0"/>
                  </w:tcBorders>
                  <w:shd w:val="clear" w:color="auto" w:fill="FFFFFF"/>
                  <w:noWrap w:val="0"/>
                  <w:vAlign w:val="center"/>
                </w:tcPr>
                <w:p w14:paraId="6B43C214">
                  <w:pPr>
                    <w:spacing w:line="340" w:lineRule="exact"/>
                    <w:jc w:val="center"/>
                    <w:rPr>
                      <w:color w:val="auto"/>
                      <w:szCs w:val="21"/>
                    </w:rPr>
                  </w:pPr>
                  <w:r>
                    <w:rPr>
                      <w:color w:val="auto"/>
                      <w:szCs w:val="21"/>
                    </w:rPr>
                    <w:t>氨</w:t>
                  </w:r>
                  <w:r>
                    <w:rPr>
                      <w:rFonts w:hint="eastAsia"/>
                      <w:color w:val="auto"/>
                      <w:szCs w:val="21"/>
                    </w:rPr>
                    <w:t>（mg/m</w:t>
                  </w:r>
                  <w:r>
                    <w:rPr>
                      <w:rFonts w:hint="eastAsia"/>
                      <w:color w:val="auto"/>
                      <w:szCs w:val="21"/>
                      <w:vertAlign w:val="superscript"/>
                    </w:rPr>
                    <w:t>3</w:t>
                  </w:r>
                  <w:r>
                    <w:rPr>
                      <w:rFonts w:hint="eastAsia"/>
                      <w:color w:val="auto"/>
                      <w:szCs w:val="21"/>
                    </w:rPr>
                    <w:t>）</w:t>
                  </w:r>
                </w:p>
              </w:tc>
              <w:tc>
                <w:tcPr>
                  <w:tcW w:w="101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9B873B">
                  <w:pPr>
                    <w:spacing w:line="340" w:lineRule="exact"/>
                    <w:jc w:val="center"/>
                    <w:rPr>
                      <w:color w:val="auto"/>
                      <w:szCs w:val="21"/>
                    </w:rPr>
                  </w:pPr>
                  <w:r>
                    <w:rPr>
                      <w:rFonts w:hint="eastAsia"/>
                      <w:color w:val="auto"/>
                      <w:szCs w:val="21"/>
                    </w:rPr>
                    <w:t>1.0</w:t>
                  </w:r>
                </w:p>
              </w:tc>
              <w:tc>
                <w:tcPr>
                  <w:tcW w:w="1862" w:type="pct"/>
                  <w:vMerge w:val="restart"/>
                  <w:tcBorders>
                    <w:top w:val="single" w:color="auto" w:sz="4" w:space="0"/>
                    <w:left w:val="single" w:color="auto" w:sz="4" w:space="0"/>
                    <w:right w:val="nil"/>
                  </w:tcBorders>
                  <w:shd w:val="clear" w:color="auto" w:fill="FFFFFF"/>
                  <w:noWrap w:val="0"/>
                  <w:vAlign w:val="center"/>
                </w:tcPr>
                <w:p w14:paraId="310304F6">
                  <w:pPr>
                    <w:spacing w:line="340" w:lineRule="exact"/>
                    <w:jc w:val="center"/>
                    <w:rPr>
                      <w:color w:val="auto"/>
                      <w:szCs w:val="21"/>
                    </w:rPr>
                  </w:pPr>
                  <w:r>
                    <w:rPr>
                      <w:color w:val="auto"/>
                      <w:szCs w:val="21"/>
                    </w:rPr>
                    <w:t>《医疗机构水污染物排放标准》（GB18466-2005）表3标准</w:t>
                  </w:r>
                </w:p>
              </w:tc>
            </w:tr>
            <w:tr w14:paraId="31313F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565" w:type="pct"/>
                  <w:tcBorders>
                    <w:top w:val="single" w:color="auto" w:sz="4" w:space="0"/>
                    <w:left w:val="nil"/>
                    <w:bottom w:val="single" w:color="auto" w:sz="4" w:space="0"/>
                    <w:right w:val="single" w:color="auto" w:sz="4" w:space="0"/>
                  </w:tcBorders>
                  <w:shd w:val="clear" w:color="auto" w:fill="FFFFFF"/>
                  <w:noWrap w:val="0"/>
                  <w:vAlign w:val="center"/>
                </w:tcPr>
                <w:p w14:paraId="001B8E84">
                  <w:pPr>
                    <w:spacing w:line="340" w:lineRule="exact"/>
                    <w:jc w:val="center"/>
                    <w:rPr>
                      <w:color w:val="auto"/>
                      <w:szCs w:val="21"/>
                    </w:rPr>
                  </w:pPr>
                  <w:r>
                    <w:rPr>
                      <w:rFonts w:hint="eastAsia"/>
                      <w:color w:val="auto"/>
                      <w:szCs w:val="21"/>
                    </w:rPr>
                    <w:t>2</w:t>
                  </w:r>
                </w:p>
              </w:tc>
              <w:tc>
                <w:tcPr>
                  <w:tcW w:w="1556" w:type="pct"/>
                  <w:tcBorders>
                    <w:top w:val="single" w:color="auto" w:sz="4" w:space="0"/>
                    <w:left w:val="nil"/>
                    <w:bottom w:val="single" w:color="auto" w:sz="4" w:space="0"/>
                    <w:right w:val="single" w:color="auto" w:sz="4" w:space="0"/>
                  </w:tcBorders>
                  <w:shd w:val="clear" w:color="auto" w:fill="FFFFFF"/>
                  <w:noWrap w:val="0"/>
                  <w:vAlign w:val="center"/>
                </w:tcPr>
                <w:p w14:paraId="2A7CA7C4">
                  <w:pPr>
                    <w:spacing w:line="340" w:lineRule="exact"/>
                    <w:jc w:val="center"/>
                    <w:rPr>
                      <w:color w:val="auto"/>
                      <w:szCs w:val="21"/>
                    </w:rPr>
                  </w:pPr>
                  <w:r>
                    <w:rPr>
                      <w:rFonts w:hint="eastAsia"/>
                      <w:color w:val="auto"/>
                      <w:szCs w:val="21"/>
                    </w:rPr>
                    <w:t>硫化氢（mg/m</w:t>
                  </w:r>
                  <w:r>
                    <w:rPr>
                      <w:rFonts w:hint="eastAsia"/>
                      <w:color w:val="auto"/>
                      <w:szCs w:val="21"/>
                      <w:vertAlign w:val="superscript"/>
                    </w:rPr>
                    <w:t>3</w:t>
                  </w:r>
                  <w:r>
                    <w:rPr>
                      <w:rFonts w:hint="eastAsia"/>
                      <w:color w:val="auto"/>
                      <w:szCs w:val="21"/>
                    </w:rPr>
                    <w:t>）</w:t>
                  </w:r>
                </w:p>
              </w:tc>
              <w:tc>
                <w:tcPr>
                  <w:tcW w:w="101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A9235E">
                  <w:pPr>
                    <w:spacing w:line="340" w:lineRule="exact"/>
                    <w:jc w:val="center"/>
                    <w:rPr>
                      <w:color w:val="auto"/>
                      <w:szCs w:val="21"/>
                    </w:rPr>
                  </w:pPr>
                  <w:r>
                    <w:rPr>
                      <w:rFonts w:hint="eastAsia"/>
                      <w:color w:val="auto"/>
                      <w:szCs w:val="21"/>
                    </w:rPr>
                    <w:t>0.03</w:t>
                  </w:r>
                </w:p>
              </w:tc>
              <w:tc>
                <w:tcPr>
                  <w:tcW w:w="1862" w:type="pct"/>
                  <w:vMerge w:val="continue"/>
                  <w:tcBorders>
                    <w:left w:val="single" w:color="auto" w:sz="4" w:space="0"/>
                    <w:right w:val="nil"/>
                  </w:tcBorders>
                  <w:shd w:val="clear" w:color="auto" w:fill="FFFFFF"/>
                  <w:noWrap w:val="0"/>
                  <w:vAlign w:val="center"/>
                </w:tcPr>
                <w:p w14:paraId="20733947">
                  <w:pPr>
                    <w:spacing w:line="340" w:lineRule="exact"/>
                    <w:jc w:val="center"/>
                    <w:rPr>
                      <w:color w:val="auto"/>
                      <w:szCs w:val="21"/>
                    </w:rPr>
                  </w:pPr>
                </w:p>
              </w:tc>
            </w:tr>
            <w:tr w14:paraId="774B6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565" w:type="pct"/>
                  <w:tcBorders>
                    <w:top w:val="single" w:color="auto" w:sz="4" w:space="0"/>
                    <w:left w:val="nil"/>
                    <w:bottom w:val="single" w:color="auto" w:sz="4" w:space="0"/>
                    <w:right w:val="single" w:color="auto" w:sz="4" w:space="0"/>
                  </w:tcBorders>
                  <w:shd w:val="clear" w:color="auto" w:fill="FFFFFF"/>
                  <w:noWrap w:val="0"/>
                  <w:vAlign w:val="center"/>
                </w:tcPr>
                <w:p w14:paraId="44BADBA0">
                  <w:pPr>
                    <w:spacing w:line="340" w:lineRule="exact"/>
                    <w:jc w:val="center"/>
                    <w:rPr>
                      <w:color w:val="auto"/>
                      <w:szCs w:val="21"/>
                    </w:rPr>
                  </w:pPr>
                  <w:r>
                    <w:rPr>
                      <w:rFonts w:hint="eastAsia"/>
                      <w:color w:val="auto"/>
                      <w:szCs w:val="21"/>
                    </w:rPr>
                    <w:t>3</w:t>
                  </w:r>
                </w:p>
              </w:tc>
              <w:tc>
                <w:tcPr>
                  <w:tcW w:w="1556" w:type="pct"/>
                  <w:tcBorders>
                    <w:top w:val="single" w:color="auto" w:sz="4" w:space="0"/>
                    <w:left w:val="nil"/>
                    <w:bottom w:val="single" w:color="auto" w:sz="4" w:space="0"/>
                    <w:right w:val="single" w:color="auto" w:sz="4" w:space="0"/>
                  </w:tcBorders>
                  <w:shd w:val="clear" w:color="auto" w:fill="FFFFFF"/>
                  <w:noWrap w:val="0"/>
                  <w:vAlign w:val="center"/>
                </w:tcPr>
                <w:p w14:paraId="5412CC66">
                  <w:pPr>
                    <w:spacing w:line="340" w:lineRule="exact"/>
                    <w:jc w:val="center"/>
                    <w:rPr>
                      <w:color w:val="auto"/>
                      <w:szCs w:val="21"/>
                    </w:rPr>
                  </w:pPr>
                  <w:r>
                    <w:rPr>
                      <w:rFonts w:hint="eastAsia"/>
                      <w:color w:val="auto"/>
                      <w:szCs w:val="21"/>
                    </w:rPr>
                    <w:t>臭气浓度（无量纲）</w:t>
                  </w:r>
                </w:p>
              </w:tc>
              <w:tc>
                <w:tcPr>
                  <w:tcW w:w="101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EC39EFD">
                  <w:pPr>
                    <w:spacing w:line="340" w:lineRule="exact"/>
                    <w:jc w:val="center"/>
                    <w:rPr>
                      <w:color w:val="auto"/>
                      <w:szCs w:val="21"/>
                    </w:rPr>
                  </w:pPr>
                  <w:r>
                    <w:rPr>
                      <w:rFonts w:hint="eastAsia"/>
                      <w:color w:val="auto"/>
                      <w:szCs w:val="21"/>
                    </w:rPr>
                    <w:t>10</w:t>
                  </w:r>
                </w:p>
              </w:tc>
              <w:tc>
                <w:tcPr>
                  <w:tcW w:w="1862" w:type="pct"/>
                  <w:vMerge w:val="continue"/>
                  <w:tcBorders>
                    <w:left w:val="single" w:color="auto" w:sz="4" w:space="0"/>
                    <w:right w:val="nil"/>
                  </w:tcBorders>
                  <w:shd w:val="clear" w:color="auto" w:fill="FFFFFF"/>
                  <w:noWrap w:val="0"/>
                  <w:vAlign w:val="center"/>
                </w:tcPr>
                <w:p w14:paraId="1CE753D7">
                  <w:pPr>
                    <w:spacing w:line="340" w:lineRule="exact"/>
                    <w:jc w:val="center"/>
                    <w:rPr>
                      <w:color w:val="auto"/>
                      <w:szCs w:val="21"/>
                    </w:rPr>
                  </w:pPr>
                </w:p>
              </w:tc>
            </w:tr>
            <w:tr w14:paraId="6EA64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565" w:type="pct"/>
                  <w:tcBorders>
                    <w:top w:val="single" w:color="auto" w:sz="4" w:space="0"/>
                    <w:left w:val="nil"/>
                    <w:bottom w:val="single" w:color="auto" w:sz="4" w:space="0"/>
                    <w:right w:val="single" w:color="auto" w:sz="4" w:space="0"/>
                  </w:tcBorders>
                  <w:shd w:val="clear" w:color="auto" w:fill="FFFFFF"/>
                  <w:noWrap w:val="0"/>
                  <w:vAlign w:val="center"/>
                </w:tcPr>
                <w:p w14:paraId="11CE9C4F">
                  <w:pPr>
                    <w:spacing w:line="340" w:lineRule="exact"/>
                    <w:jc w:val="center"/>
                    <w:rPr>
                      <w:color w:val="auto"/>
                      <w:szCs w:val="21"/>
                    </w:rPr>
                  </w:pPr>
                  <w:r>
                    <w:rPr>
                      <w:rFonts w:hint="eastAsia"/>
                      <w:color w:val="auto"/>
                      <w:szCs w:val="21"/>
                    </w:rPr>
                    <w:t>4</w:t>
                  </w:r>
                </w:p>
              </w:tc>
              <w:tc>
                <w:tcPr>
                  <w:tcW w:w="1556" w:type="pct"/>
                  <w:tcBorders>
                    <w:top w:val="single" w:color="auto" w:sz="4" w:space="0"/>
                    <w:left w:val="nil"/>
                    <w:bottom w:val="single" w:color="auto" w:sz="4" w:space="0"/>
                    <w:right w:val="single" w:color="auto" w:sz="4" w:space="0"/>
                  </w:tcBorders>
                  <w:shd w:val="clear" w:color="auto" w:fill="FFFFFF"/>
                  <w:noWrap w:val="0"/>
                  <w:vAlign w:val="center"/>
                </w:tcPr>
                <w:p w14:paraId="41BAA36E">
                  <w:pPr>
                    <w:spacing w:line="340" w:lineRule="exact"/>
                    <w:jc w:val="center"/>
                    <w:rPr>
                      <w:color w:val="auto"/>
                      <w:szCs w:val="21"/>
                    </w:rPr>
                  </w:pPr>
                  <w:r>
                    <w:rPr>
                      <w:rFonts w:hint="eastAsia"/>
                      <w:color w:val="auto"/>
                      <w:szCs w:val="21"/>
                    </w:rPr>
                    <w:t>氯气（mg/m</w:t>
                  </w:r>
                  <w:r>
                    <w:rPr>
                      <w:rFonts w:hint="eastAsia"/>
                      <w:color w:val="auto"/>
                      <w:szCs w:val="21"/>
                      <w:vertAlign w:val="superscript"/>
                    </w:rPr>
                    <w:t>3</w:t>
                  </w:r>
                  <w:r>
                    <w:rPr>
                      <w:rFonts w:hint="eastAsia"/>
                      <w:color w:val="auto"/>
                      <w:szCs w:val="21"/>
                    </w:rPr>
                    <w:t>）</w:t>
                  </w:r>
                </w:p>
              </w:tc>
              <w:tc>
                <w:tcPr>
                  <w:tcW w:w="101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662D62">
                  <w:pPr>
                    <w:spacing w:line="340" w:lineRule="exact"/>
                    <w:jc w:val="center"/>
                    <w:rPr>
                      <w:color w:val="auto"/>
                      <w:szCs w:val="21"/>
                    </w:rPr>
                  </w:pPr>
                  <w:r>
                    <w:rPr>
                      <w:rFonts w:hint="eastAsia"/>
                      <w:color w:val="auto"/>
                      <w:szCs w:val="21"/>
                    </w:rPr>
                    <w:t>0.1</w:t>
                  </w:r>
                </w:p>
              </w:tc>
              <w:tc>
                <w:tcPr>
                  <w:tcW w:w="1862" w:type="pct"/>
                  <w:vMerge w:val="continue"/>
                  <w:tcBorders>
                    <w:left w:val="single" w:color="auto" w:sz="4" w:space="0"/>
                    <w:right w:val="nil"/>
                  </w:tcBorders>
                  <w:shd w:val="clear" w:color="auto" w:fill="FFFFFF"/>
                  <w:noWrap w:val="0"/>
                  <w:vAlign w:val="center"/>
                </w:tcPr>
                <w:p w14:paraId="40604735">
                  <w:pPr>
                    <w:spacing w:line="340" w:lineRule="exact"/>
                    <w:jc w:val="center"/>
                    <w:rPr>
                      <w:color w:val="auto"/>
                      <w:szCs w:val="21"/>
                    </w:rPr>
                  </w:pPr>
                </w:p>
              </w:tc>
            </w:tr>
            <w:tr w14:paraId="1593A6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565" w:type="pct"/>
                  <w:tcBorders>
                    <w:top w:val="single" w:color="auto" w:sz="4" w:space="0"/>
                    <w:left w:val="nil"/>
                    <w:bottom w:val="single" w:color="000000" w:sz="12" w:space="0"/>
                    <w:right w:val="single" w:color="auto" w:sz="4" w:space="0"/>
                  </w:tcBorders>
                  <w:shd w:val="clear" w:color="auto" w:fill="FFFFFF"/>
                  <w:noWrap w:val="0"/>
                  <w:vAlign w:val="center"/>
                </w:tcPr>
                <w:p w14:paraId="20275F50">
                  <w:pPr>
                    <w:spacing w:line="340" w:lineRule="exact"/>
                    <w:jc w:val="center"/>
                    <w:rPr>
                      <w:color w:val="auto"/>
                      <w:szCs w:val="21"/>
                    </w:rPr>
                  </w:pPr>
                  <w:r>
                    <w:rPr>
                      <w:rFonts w:hint="eastAsia"/>
                      <w:color w:val="auto"/>
                      <w:szCs w:val="21"/>
                    </w:rPr>
                    <w:t>5</w:t>
                  </w:r>
                </w:p>
              </w:tc>
              <w:tc>
                <w:tcPr>
                  <w:tcW w:w="1556" w:type="pct"/>
                  <w:tcBorders>
                    <w:top w:val="single" w:color="auto" w:sz="4" w:space="0"/>
                    <w:left w:val="nil"/>
                    <w:bottom w:val="single" w:color="000000" w:sz="12" w:space="0"/>
                    <w:right w:val="single" w:color="auto" w:sz="4" w:space="0"/>
                  </w:tcBorders>
                  <w:shd w:val="clear" w:color="auto" w:fill="FFFFFF"/>
                  <w:noWrap w:val="0"/>
                  <w:vAlign w:val="center"/>
                </w:tcPr>
                <w:p w14:paraId="4986C02B">
                  <w:pPr>
                    <w:spacing w:line="340" w:lineRule="exact"/>
                    <w:jc w:val="center"/>
                    <w:rPr>
                      <w:rFonts w:hint="eastAsia"/>
                      <w:color w:val="auto"/>
                      <w:szCs w:val="21"/>
                    </w:rPr>
                  </w:pPr>
                  <w:r>
                    <w:rPr>
                      <w:color w:val="auto"/>
                      <w:szCs w:val="21"/>
                    </w:rPr>
                    <w:t>甲烷（指处理站内最高体积百分数</w:t>
                  </w:r>
                  <w:r>
                    <w:rPr>
                      <w:rFonts w:hint="eastAsia"/>
                      <w:color w:val="auto"/>
                      <w:szCs w:val="21"/>
                    </w:rPr>
                    <w:t>/%</w:t>
                  </w:r>
                  <w:r>
                    <w:rPr>
                      <w:color w:val="auto"/>
                      <w:szCs w:val="21"/>
                    </w:rPr>
                    <w:t>）</w:t>
                  </w:r>
                </w:p>
              </w:tc>
              <w:tc>
                <w:tcPr>
                  <w:tcW w:w="1015"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776F4A39">
                  <w:pPr>
                    <w:spacing w:line="340" w:lineRule="exact"/>
                    <w:jc w:val="center"/>
                    <w:rPr>
                      <w:color w:val="auto"/>
                      <w:szCs w:val="21"/>
                    </w:rPr>
                  </w:pPr>
                  <w:r>
                    <w:rPr>
                      <w:rFonts w:hint="eastAsia"/>
                      <w:color w:val="auto"/>
                      <w:szCs w:val="21"/>
                    </w:rPr>
                    <w:t>1</w:t>
                  </w:r>
                </w:p>
              </w:tc>
              <w:tc>
                <w:tcPr>
                  <w:tcW w:w="1862" w:type="pct"/>
                  <w:vMerge w:val="continue"/>
                  <w:tcBorders>
                    <w:left w:val="single" w:color="auto" w:sz="4" w:space="0"/>
                    <w:bottom w:val="single" w:color="000000" w:sz="12" w:space="0"/>
                    <w:right w:val="nil"/>
                  </w:tcBorders>
                  <w:shd w:val="clear" w:color="auto" w:fill="FFFFFF"/>
                  <w:noWrap w:val="0"/>
                  <w:vAlign w:val="center"/>
                </w:tcPr>
                <w:p w14:paraId="016BA8F6">
                  <w:pPr>
                    <w:spacing w:line="340" w:lineRule="exact"/>
                    <w:jc w:val="center"/>
                    <w:rPr>
                      <w:color w:val="auto"/>
                      <w:szCs w:val="21"/>
                    </w:rPr>
                  </w:pPr>
                </w:p>
              </w:tc>
            </w:tr>
          </w:tbl>
          <w:p w14:paraId="21D2EDF6">
            <w:pPr>
              <w:rPr>
                <w:color w:val="auto"/>
              </w:rPr>
            </w:pPr>
            <w:bookmarkStart w:id="10" w:name="_Toc24084"/>
          </w:p>
          <w:p w14:paraId="2299C027">
            <w:pPr>
              <w:pStyle w:val="4"/>
              <w:spacing w:before="120"/>
              <w:ind w:firstLine="480" w:firstLineChars="200"/>
              <w:rPr>
                <w:rFonts w:hint="eastAsia" w:eastAsia="宋体"/>
                <w:color w:val="auto"/>
                <w:lang w:eastAsia="zh-CN"/>
              </w:rPr>
            </w:pPr>
            <w:r>
              <w:rPr>
                <w:rFonts w:hint="eastAsia"/>
                <w:b w:val="0"/>
                <w:bCs/>
                <w:color w:val="auto"/>
                <w:sz w:val="24"/>
                <w:szCs w:val="22"/>
                <w:lang w:val="en-US" w:eastAsia="zh-CN"/>
              </w:rPr>
              <w:t>运营期油烟</w:t>
            </w:r>
            <w:r>
              <w:rPr>
                <w:rFonts w:hint="eastAsia"/>
                <w:b w:val="0"/>
                <w:bCs/>
                <w:color w:val="auto"/>
                <w:sz w:val="24"/>
                <w:szCs w:val="22"/>
              </w:rPr>
              <w:t>废气主要为</w:t>
            </w:r>
            <w:r>
              <w:rPr>
                <w:rFonts w:hint="eastAsia"/>
                <w:b w:val="0"/>
                <w:bCs/>
                <w:color w:val="auto"/>
                <w:sz w:val="24"/>
                <w:szCs w:val="22"/>
                <w:lang w:val="en-US" w:eastAsia="zh-CN"/>
              </w:rPr>
              <w:t>食堂</w:t>
            </w:r>
            <w:r>
              <w:rPr>
                <w:rFonts w:hint="eastAsia"/>
                <w:b w:val="0"/>
                <w:bCs/>
                <w:color w:val="auto"/>
                <w:sz w:val="24"/>
                <w:szCs w:val="22"/>
              </w:rPr>
              <w:t>产生的</w:t>
            </w:r>
            <w:r>
              <w:rPr>
                <w:rFonts w:hint="eastAsia"/>
                <w:b w:val="0"/>
                <w:bCs/>
                <w:color w:val="auto"/>
                <w:sz w:val="24"/>
                <w:szCs w:val="22"/>
                <w:lang w:val="en-US" w:eastAsia="zh-CN"/>
              </w:rPr>
              <w:t>油烟</w:t>
            </w:r>
            <w:r>
              <w:rPr>
                <w:rFonts w:hint="eastAsia"/>
                <w:b w:val="0"/>
                <w:bCs/>
                <w:color w:val="auto"/>
                <w:sz w:val="24"/>
                <w:szCs w:val="22"/>
              </w:rPr>
              <w:t>废气。其中，本项目</w:t>
            </w:r>
            <w:r>
              <w:rPr>
                <w:rFonts w:hint="eastAsia"/>
                <w:b w:val="0"/>
                <w:bCs/>
                <w:color w:val="auto"/>
                <w:sz w:val="24"/>
                <w:szCs w:val="22"/>
                <w:lang w:val="en-US" w:eastAsia="zh-CN"/>
              </w:rPr>
              <w:t>共</w:t>
            </w:r>
            <w:r>
              <w:rPr>
                <w:rFonts w:hint="eastAsia"/>
                <w:b w:val="0"/>
                <w:bCs/>
                <w:color w:val="auto"/>
                <w:sz w:val="24"/>
                <w:szCs w:val="22"/>
              </w:rPr>
              <w:t>设置8个基准灶，产生的油烟废气参照执行《饮食业油烟排放标准（试行）》（GB18483-2001）表2中相应限值</w:t>
            </w:r>
            <w:r>
              <w:rPr>
                <w:rFonts w:hint="eastAsia" w:cs="Times New Roman"/>
                <w:b w:val="0"/>
                <w:bCs/>
                <w:color w:val="auto"/>
                <w:spacing w:val="-2"/>
                <w:sz w:val="24"/>
                <w:szCs w:val="22"/>
                <w:lang w:eastAsia="zh-CN"/>
              </w:rPr>
              <w:t>。</w:t>
            </w:r>
          </w:p>
          <w:p w14:paraId="02CEEF0B">
            <w:pPr>
              <w:spacing w:before="120" w:beforeLines="50"/>
              <w:jc w:val="center"/>
              <w:rPr>
                <w:rFonts w:ascii="Times New Roman" w:hAnsi="Times New Roman" w:eastAsia="宋体" w:cs="Times New Roman"/>
                <w:b/>
                <w:color w:val="auto"/>
                <w:sz w:val="24"/>
              </w:rPr>
            </w:pPr>
            <w:r>
              <w:rPr>
                <w:rFonts w:ascii="Times New Roman" w:hAnsi="Times New Roman" w:eastAsia="宋体" w:cs="Times New Roman"/>
                <w:b/>
                <w:color w:val="auto"/>
                <w:sz w:val="24"/>
              </w:rPr>
              <w:t>表3</w:t>
            </w:r>
            <w:r>
              <w:rPr>
                <w:rFonts w:hint="eastAsia" w:ascii="Times New Roman" w:hAnsi="Times New Roman" w:eastAsia="宋体" w:cs="Times New Roman"/>
                <w:b/>
                <w:color w:val="auto"/>
                <w:sz w:val="24"/>
                <w:lang w:val="en-US" w:eastAsia="zh-CN"/>
              </w:rPr>
              <w:t>.8-7</w:t>
            </w:r>
            <w:r>
              <w:rPr>
                <w:rFonts w:ascii="Times New Roman" w:hAnsi="Times New Roman" w:eastAsia="宋体" w:cs="Times New Roman"/>
                <w:b/>
                <w:color w:val="auto"/>
                <w:sz w:val="24"/>
              </w:rPr>
              <w:t>油烟排放标准一览表</w:t>
            </w:r>
          </w:p>
          <w:p w14:paraId="60CF9836">
            <w:pPr>
              <w:spacing w:line="127" w:lineRule="exact"/>
              <w:rPr>
                <w:color w:val="auto"/>
              </w:rPr>
            </w:pPr>
          </w:p>
          <w:tbl>
            <w:tblPr>
              <w:tblStyle w:val="32"/>
              <w:tblW w:w="8279" w:type="dxa"/>
              <w:tblInd w:w="99" w:type="dxa"/>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autofit"/>
              <w:tblCellMar>
                <w:top w:w="0" w:type="dxa"/>
                <w:left w:w="0" w:type="dxa"/>
                <w:bottom w:w="0" w:type="dxa"/>
                <w:right w:w="0" w:type="dxa"/>
              </w:tblCellMar>
            </w:tblPr>
            <w:tblGrid>
              <w:gridCol w:w="1446"/>
              <w:gridCol w:w="2727"/>
              <w:gridCol w:w="1513"/>
              <w:gridCol w:w="2593"/>
            </w:tblGrid>
            <w:tr w14:paraId="16C71EE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82" w:hRule="atLeast"/>
              </w:trPr>
              <w:tc>
                <w:tcPr>
                  <w:tcW w:w="1446" w:type="dxa"/>
                  <w:tcBorders>
                    <w:top w:val="single" w:color="000000" w:sz="12" w:space="0"/>
                    <w:left w:val="nil"/>
                    <w:tl2br w:val="nil"/>
                  </w:tcBorders>
                  <w:shd w:val="clear" w:color="auto" w:fill="FFFFFF"/>
                  <w:noWrap w:val="0"/>
                  <w:vAlign w:val="center"/>
                </w:tcPr>
                <w:p w14:paraId="700F4680">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hint="eastAsia" w:eastAsia="宋体"/>
                      <w:b w:val="0"/>
                      <w:bCs/>
                      <w:color w:val="auto"/>
                      <w:spacing w:val="-4"/>
                      <w:sz w:val="21"/>
                      <w:szCs w:val="21"/>
                      <w:lang w:val="en-US" w:eastAsia="zh-CN"/>
                    </w:rPr>
                  </w:pPr>
                  <w:r>
                    <w:rPr>
                      <w:rFonts w:hint="eastAsia"/>
                      <w:b w:val="0"/>
                      <w:bCs/>
                      <w:color w:val="auto"/>
                      <w:spacing w:val="-4"/>
                      <w:sz w:val="21"/>
                      <w:szCs w:val="21"/>
                      <w:lang w:val="en-US" w:eastAsia="zh-CN"/>
                    </w:rPr>
                    <w:t>项目</w:t>
                  </w:r>
                </w:p>
              </w:tc>
              <w:tc>
                <w:tcPr>
                  <w:tcW w:w="4240" w:type="dxa"/>
                  <w:gridSpan w:val="2"/>
                  <w:tcBorders>
                    <w:top w:val="single" w:color="000000" w:sz="12" w:space="0"/>
                  </w:tcBorders>
                  <w:shd w:val="clear" w:color="auto" w:fill="FFFFFF"/>
                  <w:noWrap w:val="0"/>
                  <w:vAlign w:val="center"/>
                </w:tcPr>
                <w:p w14:paraId="37294EE1">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b w:val="0"/>
                      <w:color w:val="auto"/>
                      <w:sz w:val="21"/>
                      <w:szCs w:val="21"/>
                    </w:rPr>
                  </w:pPr>
                  <w:r>
                    <w:rPr>
                      <w:b w:val="0"/>
                      <w:bCs/>
                      <w:color w:val="auto"/>
                      <w:spacing w:val="-4"/>
                      <w:sz w:val="21"/>
                      <w:szCs w:val="21"/>
                    </w:rPr>
                    <w:t>规模</w:t>
                  </w:r>
                </w:p>
              </w:tc>
              <w:tc>
                <w:tcPr>
                  <w:tcW w:w="2593" w:type="dxa"/>
                  <w:tcBorders>
                    <w:top w:val="single" w:color="000000" w:sz="12" w:space="0"/>
                    <w:right w:val="nil"/>
                  </w:tcBorders>
                  <w:shd w:val="clear" w:color="auto" w:fill="FFFFFF"/>
                  <w:noWrap w:val="0"/>
                  <w:vAlign w:val="center"/>
                </w:tcPr>
                <w:p w14:paraId="31FB14B2">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b w:val="0"/>
                      <w:color w:val="auto"/>
                      <w:sz w:val="21"/>
                      <w:szCs w:val="21"/>
                    </w:rPr>
                  </w:pPr>
                  <w:r>
                    <w:rPr>
                      <w:b w:val="0"/>
                      <w:bCs/>
                      <w:color w:val="auto"/>
                      <w:spacing w:val="-4"/>
                      <w:sz w:val="21"/>
                      <w:szCs w:val="21"/>
                    </w:rPr>
                    <w:t>标准来源</w:t>
                  </w:r>
                </w:p>
              </w:tc>
            </w:tr>
            <w:tr w14:paraId="4FE55214">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00" w:hRule="atLeast"/>
              </w:trPr>
              <w:tc>
                <w:tcPr>
                  <w:tcW w:w="1446" w:type="dxa"/>
                  <w:vMerge w:val="restart"/>
                  <w:tcBorders>
                    <w:left w:val="nil"/>
                  </w:tcBorders>
                  <w:shd w:val="clear" w:color="auto" w:fill="FFFFFF"/>
                  <w:noWrap w:val="0"/>
                  <w:vAlign w:val="center"/>
                </w:tcPr>
                <w:p w14:paraId="2474EB95">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hint="eastAsia" w:eastAsia="宋体"/>
                      <w:b w:val="0"/>
                      <w:color w:val="auto"/>
                      <w:spacing w:val="-1"/>
                      <w:sz w:val="21"/>
                      <w:szCs w:val="21"/>
                      <w:lang w:val="en-US" w:eastAsia="zh-CN"/>
                    </w:rPr>
                  </w:pPr>
                  <w:r>
                    <w:rPr>
                      <w:rFonts w:hint="eastAsia"/>
                      <w:b w:val="0"/>
                      <w:color w:val="auto"/>
                      <w:spacing w:val="-1"/>
                      <w:sz w:val="21"/>
                      <w:szCs w:val="21"/>
                      <w:lang w:val="en-US" w:eastAsia="zh-CN"/>
                    </w:rPr>
                    <w:t>食堂</w:t>
                  </w:r>
                </w:p>
              </w:tc>
              <w:tc>
                <w:tcPr>
                  <w:tcW w:w="2727" w:type="dxa"/>
                  <w:shd w:val="clear" w:color="auto" w:fill="FFFFFF"/>
                  <w:noWrap w:val="0"/>
                  <w:vAlign w:val="center"/>
                </w:tcPr>
                <w:p w14:paraId="06573B12">
                  <w:pPr>
                    <w:pStyle w:val="30"/>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default" w:ascii="宋体" w:hAnsi="宋体" w:eastAsia="宋体" w:cs="宋体"/>
                      <w:b w:val="0"/>
                      <w:color w:val="auto"/>
                      <w:spacing w:val="-1"/>
                      <w:kern w:val="2"/>
                      <w:sz w:val="21"/>
                      <w:szCs w:val="21"/>
                      <w:lang w:val="en-US" w:eastAsia="zh-CN" w:bidi="ar-SA"/>
                    </w:rPr>
                  </w:pPr>
                  <w:r>
                    <w:rPr>
                      <w:rFonts w:hint="eastAsia"/>
                      <w:b w:val="0"/>
                      <w:color w:val="auto"/>
                      <w:spacing w:val="-1"/>
                      <w:sz w:val="21"/>
                      <w:szCs w:val="21"/>
                      <w:lang w:val="en-US" w:eastAsia="zh-CN"/>
                    </w:rPr>
                    <w:t>规模划分</w:t>
                  </w:r>
                </w:p>
              </w:tc>
              <w:tc>
                <w:tcPr>
                  <w:tcW w:w="1513" w:type="dxa"/>
                  <w:shd w:val="clear" w:color="auto" w:fill="FFFFFF"/>
                  <w:noWrap w:val="0"/>
                  <w:vAlign w:val="center"/>
                </w:tcPr>
                <w:p w14:paraId="5E2FD43F">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eastAsia" w:ascii="Times New Roman" w:hAnsi="Times New Roman" w:eastAsia="宋体" w:cs="Times New Roman"/>
                      <w:b w:val="0"/>
                      <w:color w:val="auto"/>
                      <w:spacing w:val="-1"/>
                      <w:kern w:val="2"/>
                      <w:sz w:val="21"/>
                      <w:szCs w:val="21"/>
                      <w:lang w:val="en-US" w:eastAsia="zh-CN" w:bidi="ar-SA"/>
                    </w:rPr>
                  </w:pPr>
                  <w:r>
                    <w:rPr>
                      <w:rFonts w:hint="eastAsia" w:ascii="Times New Roman" w:hAnsi="Times New Roman" w:eastAsia="宋体" w:cs="Times New Roman"/>
                      <w:b w:val="0"/>
                      <w:color w:val="auto"/>
                      <w:spacing w:val="-1"/>
                      <w:sz w:val="21"/>
                      <w:szCs w:val="21"/>
                      <w:lang w:val="en-US" w:eastAsia="zh-CN"/>
                    </w:rPr>
                    <w:t>大型</w:t>
                  </w:r>
                </w:p>
              </w:tc>
              <w:tc>
                <w:tcPr>
                  <w:tcW w:w="2593" w:type="dxa"/>
                  <w:vMerge w:val="restart"/>
                  <w:tcBorders>
                    <w:right w:val="nil"/>
                  </w:tcBorders>
                  <w:shd w:val="clear" w:color="auto" w:fill="FFFFFF"/>
                  <w:noWrap w:val="0"/>
                  <w:vAlign w:val="center"/>
                </w:tcPr>
                <w:p w14:paraId="1B8ED8C6">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Arial"/>
                      <w:b w:val="0"/>
                      <w:color w:val="auto"/>
                      <w:sz w:val="21"/>
                    </w:rPr>
                  </w:pPr>
                  <w:r>
                    <w:rPr>
                      <w:rFonts w:hint="eastAsia"/>
                      <w:b w:val="0"/>
                      <w:bCs/>
                      <w:color w:val="auto"/>
                      <w:sz w:val="24"/>
                      <w:szCs w:val="22"/>
                    </w:rPr>
                    <w:t>《饮食业油烟排放标准（试行）》（GB18483-2001）表2</w:t>
                  </w:r>
                </w:p>
              </w:tc>
            </w:tr>
            <w:tr w14:paraId="141A769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00" w:hRule="atLeast"/>
              </w:trPr>
              <w:tc>
                <w:tcPr>
                  <w:tcW w:w="1446" w:type="dxa"/>
                  <w:vMerge w:val="continue"/>
                  <w:tcBorders>
                    <w:left w:val="nil"/>
                  </w:tcBorders>
                  <w:shd w:val="clear" w:color="auto" w:fill="FFFFFF"/>
                  <w:noWrap w:val="0"/>
                  <w:vAlign w:val="center"/>
                </w:tcPr>
                <w:p w14:paraId="39C697F1">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hint="eastAsia" w:eastAsia="宋体"/>
                      <w:b w:val="0"/>
                      <w:color w:val="auto"/>
                      <w:spacing w:val="-1"/>
                      <w:sz w:val="21"/>
                      <w:szCs w:val="21"/>
                      <w:lang w:val="en-US" w:eastAsia="zh-CN"/>
                    </w:rPr>
                  </w:pPr>
                </w:p>
              </w:tc>
              <w:tc>
                <w:tcPr>
                  <w:tcW w:w="2727" w:type="dxa"/>
                  <w:shd w:val="clear" w:color="auto" w:fill="FFFFFF"/>
                  <w:noWrap w:val="0"/>
                  <w:vAlign w:val="center"/>
                </w:tcPr>
                <w:p w14:paraId="5D8E95F1">
                  <w:pPr>
                    <w:pStyle w:val="30"/>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ascii="宋体" w:hAnsi="宋体" w:eastAsia="宋体" w:cs="宋体"/>
                      <w:b w:val="0"/>
                      <w:color w:val="auto"/>
                      <w:kern w:val="2"/>
                      <w:sz w:val="21"/>
                      <w:szCs w:val="21"/>
                      <w:lang w:val="en-US" w:eastAsia="en-US" w:bidi="ar-SA"/>
                    </w:rPr>
                  </w:pPr>
                  <w:r>
                    <w:rPr>
                      <w:b w:val="0"/>
                      <w:color w:val="auto"/>
                      <w:spacing w:val="-1"/>
                      <w:sz w:val="21"/>
                      <w:szCs w:val="21"/>
                    </w:rPr>
                    <w:t>基准灶头数</w:t>
                  </w:r>
                </w:p>
              </w:tc>
              <w:tc>
                <w:tcPr>
                  <w:tcW w:w="1513" w:type="dxa"/>
                  <w:shd w:val="clear" w:color="auto" w:fill="FFFFFF"/>
                  <w:noWrap w:val="0"/>
                  <w:vAlign w:val="center"/>
                </w:tcPr>
                <w:p w14:paraId="24B3BD9D">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default" w:ascii="Times New Roman" w:hAnsi="Times New Roman" w:eastAsia="宋体" w:cs="Times New Roman"/>
                      <w:b w:val="0"/>
                      <w:color w:val="auto"/>
                      <w:kern w:val="2"/>
                      <w:sz w:val="21"/>
                      <w:szCs w:val="21"/>
                      <w:lang w:val="en-US" w:eastAsia="zh-CN" w:bidi="ar-SA"/>
                    </w:rPr>
                  </w:pPr>
                  <w:r>
                    <w:rPr>
                      <w:rFonts w:ascii="Times New Roman" w:hAnsi="Times New Roman" w:eastAsia="Times New Roman" w:cs="Times New Roman"/>
                      <w:b w:val="0"/>
                      <w:color w:val="auto"/>
                      <w:spacing w:val="-1"/>
                      <w:sz w:val="21"/>
                      <w:szCs w:val="21"/>
                    </w:rPr>
                    <w:t>≥6</w:t>
                  </w:r>
                </w:p>
              </w:tc>
              <w:tc>
                <w:tcPr>
                  <w:tcW w:w="2593" w:type="dxa"/>
                  <w:vMerge w:val="continue"/>
                  <w:tcBorders>
                    <w:right w:val="nil"/>
                  </w:tcBorders>
                  <w:shd w:val="clear" w:color="auto" w:fill="FFFFFF"/>
                  <w:noWrap w:val="0"/>
                  <w:vAlign w:val="center"/>
                </w:tcPr>
                <w:p w14:paraId="3D428393">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Arial"/>
                      <w:b w:val="0"/>
                      <w:color w:val="auto"/>
                      <w:sz w:val="21"/>
                    </w:rPr>
                  </w:pPr>
                </w:p>
              </w:tc>
            </w:tr>
            <w:tr w14:paraId="44F0CBF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PrEx>
              <w:trPr>
                <w:trHeight w:val="500" w:hRule="atLeast"/>
              </w:trPr>
              <w:tc>
                <w:tcPr>
                  <w:tcW w:w="1446" w:type="dxa"/>
                  <w:vMerge w:val="continue"/>
                  <w:tcBorders>
                    <w:left w:val="nil"/>
                  </w:tcBorders>
                  <w:shd w:val="clear" w:color="auto" w:fill="FFFFFF"/>
                  <w:noWrap w:val="0"/>
                  <w:vAlign w:val="center"/>
                </w:tcPr>
                <w:p w14:paraId="09023A4B">
                  <w:pPr>
                    <w:pStyle w:val="30"/>
                    <w:spacing w:before="50" w:line="209" w:lineRule="auto"/>
                    <w:ind w:left="560"/>
                    <w:jc w:val="center"/>
                    <w:rPr>
                      <w:b w:val="0"/>
                      <w:color w:val="auto"/>
                      <w:spacing w:val="-1"/>
                      <w:sz w:val="21"/>
                      <w:szCs w:val="21"/>
                    </w:rPr>
                  </w:pPr>
                </w:p>
              </w:tc>
              <w:tc>
                <w:tcPr>
                  <w:tcW w:w="2727" w:type="dxa"/>
                  <w:shd w:val="clear" w:color="auto" w:fill="FFFFFF"/>
                  <w:noWrap w:val="0"/>
                  <w:vAlign w:val="center"/>
                </w:tcPr>
                <w:p w14:paraId="4E55DC34">
                  <w:pPr>
                    <w:pStyle w:val="30"/>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ascii="宋体" w:hAnsi="宋体" w:eastAsia="宋体" w:cs="宋体"/>
                      <w:b w:val="0"/>
                      <w:color w:val="auto"/>
                      <w:kern w:val="2"/>
                      <w:sz w:val="21"/>
                      <w:szCs w:val="21"/>
                      <w:lang w:val="en-US" w:eastAsia="en-US" w:bidi="ar-SA"/>
                    </w:rPr>
                  </w:pPr>
                  <w:r>
                    <w:rPr>
                      <w:b w:val="0"/>
                      <w:color w:val="auto"/>
                      <w:spacing w:val="-1"/>
                      <w:sz w:val="21"/>
                      <w:szCs w:val="21"/>
                    </w:rPr>
                    <w:t>对应灶头总功率（</w:t>
                  </w:r>
                  <w:r>
                    <w:rPr>
                      <w:rFonts w:ascii="Times New Roman" w:hAnsi="Times New Roman" w:eastAsia="Times New Roman" w:cs="Times New Roman"/>
                      <w:b w:val="0"/>
                      <w:color w:val="auto"/>
                      <w:spacing w:val="-1"/>
                      <w:sz w:val="21"/>
                      <w:szCs w:val="21"/>
                    </w:rPr>
                    <w:t>108J/h</w:t>
                  </w:r>
                  <w:r>
                    <w:rPr>
                      <w:b w:val="0"/>
                      <w:color w:val="auto"/>
                      <w:spacing w:val="-1"/>
                      <w:sz w:val="21"/>
                      <w:szCs w:val="21"/>
                    </w:rPr>
                    <w:t>）</w:t>
                  </w:r>
                </w:p>
              </w:tc>
              <w:tc>
                <w:tcPr>
                  <w:tcW w:w="1513" w:type="dxa"/>
                  <w:shd w:val="clear" w:color="auto" w:fill="FFFFFF"/>
                  <w:noWrap w:val="0"/>
                  <w:vAlign w:val="center"/>
                </w:tcPr>
                <w:p w14:paraId="34A4F71A">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default" w:ascii="Times New Roman" w:hAnsi="Times New Roman" w:eastAsia="宋体" w:cs="Times New Roman"/>
                      <w:b w:val="0"/>
                      <w:color w:val="auto"/>
                      <w:kern w:val="2"/>
                      <w:sz w:val="21"/>
                      <w:szCs w:val="21"/>
                      <w:lang w:val="en-US" w:eastAsia="zh-CN" w:bidi="ar-SA"/>
                    </w:rPr>
                  </w:pPr>
                  <w:r>
                    <w:rPr>
                      <w:rFonts w:ascii="Times New Roman" w:hAnsi="Times New Roman" w:eastAsia="Times New Roman" w:cs="Times New Roman"/>
                      <w:b w:val="0"/>
                      <w:color w:val="auto"/>
                      <w:spacing w:val="-1"/>
                      <w:sz w:val="21"/>
                      <w:szCs w:val="21"/>
                    </w:rPr>
                    <w:t>≥10</w:t>
                  </w:r>
                </w:p>
              </w:tc>
              <w:tc>
                <w:tcPr>
                  <w:tcW w:w="2593" w:type="dxa"/>
                  <w:vMerge w:val="continue"/>
                  <w:tcBorders>
                    <w:right w:val="nil"/>
                  </w:tcBorders>
                  <w:shd w:val="clear" w:color="auto" w:fill="FFFFFF"/>
                  <w:noWrap w:val="0"/>
                  <w:vAlign w:val="center"/>
                </w:tcPr>
                <w:p w14:paraId="1DFEF180">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Arial"/>
                      <w:b w:val="0"/>
                      <w:color w:val="auto"/>
                      <w:sz w:val="21"/>
                    </w:rPr>
                  </w:pPr>
                </w:p>
              </w:tc>
            </w:tr>
            <w:tr w14:paraId="6848F3C1">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00" w:hRule="atLeast"/>
              </w:trPr>
              <w:tc>
                <w:tcPr>
                  <w:tcW w:w="1446" w:type="dxa"/>
                  <w:vMerge w:val="continue"/>
                  <w:tcBorders>
                    <w:left w:val="nil"/>
                  </w:tcBorders>
                  <w:shd w:val="clear" w:color="auto" w:fill="FFFFFF"/>
                  <w:noWrap w:val="0"/>
                  <w:vAlign w:val="center"/>
                </w:tcPr>
                <w:p w14:paraId="6EB8C152">
                  <w:pPr>
                    <w:pStyle w:val="30"/>
                    <w:spacing w:before="50" w:line="209" w:lineRule="auto"/>
                    <w:ind w:left="560"/>
                    <w:jc w:val="center"/>
                    <w:rPr>
                      <w:b w:val="0"/>
                      <w:color w:val="auto"/>
                      <w:spacing w:val="-1"/>
                      <w:sz w:val="21"/>
                      <w:szCs w:val="21"/>
                    </w:rPr>
                  </w:pPr>
                </w:p>
              </w:tc>
              <w:tc>
                <w:tcPr>
                  <w:tcW w:w="2727" w:type="dxa"/>
                  <w:shd w:val="clear" w:color="auto" w:fill="FFFFFF"/>
                  <w:noWrap w:val="0"/>
                  <w:vAlign w:val="center"/>
                </w:tcPr>
                <w:p w14:paraId="3F20C829">
                  <w:pPr>
                    <w:pStyle w:val="30"/>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ascii="宋体" w:hAnsi="宋体" w:eastAsia="宋体" w:cs="宋体"/>
                      <w:b w:val="0"/>
                      <w:color w:val="auto"/>
                      <w:kern w:val="2"/>
                      <w:sz w:val="21"/>
                      <w:szCs w:val="21"/>
                      <w:lang w:val="en-US" w:eastAsia="en-US" w:bidi="ar-SA"/>
                    </w:rPr>
                  </w:pPr>
                  <w:r>
                    <w:rPr>
                      <w:b w:val="0"/>
                      <w:color w:val="auto"/>
                      <w:sz w:val="21"/>
                      <w:szCs w:val="21"/>
                    </w:rPr>
                    <w:t>对应排气罩面总投影面积（</w:t>
                  </w:r>
                  <w:r>
                    <w:rPr>
                      <w:rFonts w:ascii="Times New Roman" w:hAnsi="Times New Roman" w:eastAsia="Times New Roman" w:cs="Times New Roman"/>
                      <w:b w:val="0"/>
                      <w:color w:val="auto"/>
                      <w:sz w:val="21"/>
                      <w:szCs w:val="21"/>
                    </w:rPr>
                    <w:t>m</w:t>
                  </w:r>
                  <w:r>
                    <w:rPr>
                      <w:rFonts w:ascii="Times New Roman" w:hAnsi="Times New Roman" w:eastAsia="Times New Roman" w:cs="Times New Roman"/>
                      <w:b w:val="0"/>
                      <w:color w:val="auto"/>
                      <w:position w:val="6"/>
                      <w:sz w:val="13"/>
                      <w:szCs w:val="13"/>
                    </w:rPr>
                    <w:t>2</w:t>
                  </w:r>
                  <w:r>
                    <w:rPr>
                      <w:b w:val="0"/>
                      <w:color w:val="auto"/>
                      <w:sz w:val="21"/>
                      <w:szCs w:val="21"/>
                    </w:rPr>
                    <w:t>）</w:t>
                  </w:r>
                </w:p>
              </w:tc>
              <w:tc>
                <w:tcPr>
                  <w:tcW w:w="1513" w:type="dxa"/>
                  <w:shd w:val="clear" w:color="auto" w:fill="FFFFFF"/>
                  <w:noWrap w:val="0"/>
                  <w:vAlign w:val="center"/>
                </w:tcPr>
                <w:p w14:paraId="6C8C125E">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default" w:ascii="Times New Roman" w:hAnsi="Times New Roman" w:eastAsia="宋体" w:cs="Times New Roman"/>
                      <w:b w:val="0"/>
                      <w:color w:val="auto"/>
                      <w:kern w:val="2"/>
                      <w:sz w:val="21"/>
                      <w:szCs w:val="21"/>
                      <w:lang w:val="en-US" w:eastAsia="zh-CN" w:bidi="ar-SA"/>
                    </w:rPr>
                  </w:pPr>
                  <w:r>
                    <w:rPr>
                      <w:rFonts w:ascii="Times New Roman" w:hAnsi="Times New Roman" w:eastAsia="Times New Roman" w:cs="Times New Roman"/>
                      <w:b w:val="0"/>
                      <w:color w:val="auto"/>
                      <w:spacing w:val="-1"/>
                      <w:sz w:val="21"/>
                      <w:szCs w:val="21"/>
                    </w:rPr>
                    <w:t>≥6.6</w:t>
                  </w:r>
                </w:p>
              </w:tc>
              <w:tc>
                <w:tcPr>
                  <w:tcW w:w="2593" w:type="dxa"/>
                  <w:vMerge w:val="continue"/>
                  <w:tcBorders>
                    <w:right w:val="nil"/>
                  </w:tcBorders>
                  <w:shd w:val="clear" w:color="auto" w:fill="FFFFFF"/>
                  <w:noWrap w:val="0"/>
                  <w:vAlign w:val="center"/>
                </w:tcPr>
                <w:p w14:paraId="7287B144">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Arial"/>
                      <w:b w:val="0"/>
                      <w:color w:val="auto"/>
                      <w:sz w:val="21"/>
                    </w:rPr>
                  </w:pPr>
                </w:p>
              </w:tc>
            </w:tr>
            <w:tr w14:paraId="19187C52">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00" w:hRule="atLeast"/>
              </w:trPr>
              <w:tc>
                <w:tcPr>
                  <w:tcW w:w="1446" w:type="dxa"/>
                  <w:vMerge w:val="continue"/>
                  <w:tcBorders>
                    <w:left w:val="nil"/>
                  </w:tcBorders>
                  <w:shd w:val="clear" w:color="auto" w:fill="FFFFFF"/>
                  <w:noWrap w:val="0"/>
                  <w:vAlign w:val="center"/>
                </w:tcPr>
                <w:p w14:paraId="4A8DF2D9">
                  <w:pPr>
                    <w:pStyle w:val="30"/>
                    <w:spacing w:before="50" w:line="209" w:lineRule="auto"/>
                    <w:ind w:left="560"/>
                    <w:jc w:val="center"/>
                    <w:rPr>
                      <w:b w:val="0"/>
                      <w:color w:val="auto"/>
                      <w:spacing w:val="-1"/>
                      <w:sz w:val="21"/>
                      <w:szCs w:val="21"/>
                    </w:rPr>
                  </w:pPr>
                </w:p>
              </w:tc>
              <w:tc>
                <w:tcPr>
                  <w:tcW w:w="2727" w:type="dxa"/>
                  <w:shd w:val="clear" w:color="auto" w:fill="FFFFFF"/>
                  <w:noWrap w:val="0"/>
                  <w:vAlign w:val="center"/>
                </w:tcPr>
                <w:p w14:paraId="116593BB">
                  <w:pPr>
                    <w:pStyle w:val="30"/>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ascii="Times New Roman" w:hAnsi="Times New Roman" w:eastAsia="Times New Roman" w:cs="Times New Roman"/>
                      <w:b w:val="0"/>
                      <w:color w:val="auto"/>
                      <w:kern w:val="2"/>
                      <w:sz w:val="13"/>
                      <w:szCs w:val="13"/>
                      <w:lang w:val="en-US" w:eastAsia="en-US" w:bidi="ar-SA"/>
                    </w:rPr>
                  </w:pPr>
                  <w:r>
                    <w:rPr>
                      <w:b w:val="0"/>
                      <w:color w:val="auto"/>
                      <w:spacing w:val="-1"/>
                      <w:sz w:val="21"/>
                      <w:szCs w:val="21"/>
                    </w:rPr>
                    <w:t>最高允许排放浓度</w:t>
                  </w:r>
                  <w:r>
                    <w:rPr>
                      <w:rFonts w:ascii="Times New Roman" w:hAnsi="Times New Roman" w:eastAsia="Times New Roman" w:cs="Times New Roman"/>
                      <w:b w:val="0"/>
                      <w:color w:val="auto"/>
                      <w:spacing w:val="-1"/>
                      <w:sz w:val="21"/>
                      <w:szCs w:val="21"/>
                    </w:rPr>
                    <w:t>mg/m</w:t>
                  </w:r>
                  <w:r>
                    <w:rPr>
                      <w:rFonts w:ascii="Times New Roman" w:hAnsi="Times New Roman" w:eastAsia="Times New Roman" w:cs="Times New Roman"/>
                      <w:b w:val="0"/>
                      <w:color w:val="auto"/>
                      <w:spacing w:val="-1"/>
                      <w:position w:val="6"/>
                      <w:sz w:val="13"/>
                      <w:szCs w:val="13"/>
                    </w:rPr>
                    <w:t>3</w:t>
                  </w:r>
                </w:p>
              </w:tc>
              <w:tc>
                <w:tcPr>
                  <w:tcW w:w="1513" w:type="dxa"/>
                  <w:shd w:val="clear" w:color="auto" w:fill="FFFFFF"/>
                  <w:noWrap w:val="0"/>
                  <w:vAlign w:val="center"/>
                </w:tcPr>
                <w:p w14:paraId="33D54B4A">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ascii="Times New Roman" w:hAnsi="Times New Roman" w:eastAsia="Times New Roman" w:cs="Times New Roman"/>
                      <w:b w:val="0"/>
                      <w:color w:val="auto"/>
                      <w:kern w:val="2"/>
                      <w:sz w:val="21"/>
                      <w:szCs w:val="21"/>
                      <w:lang w:val="en-US" w:eastAsia="zh-CN" w:bidi="ar-SA"/>
                    </w:rPr>
                  </w:pPr>
                  <w:r>
                    <w:rPr>
                      <w:rFonts w:ascii="Times New Roman" w:hAnsi="Times New Roman" w:eastAsia="Times New Roman" w:cs="Times New Roman"/>
                      <w:b w:val="0"/>
                      <w:color w:val="auto"/>
                      <w:spacing w:val="-1"/>
                      <w:sz w:val="21"/>
                      <w:szCs w:val="21"/>
                    </w:rPr>
                    <w:t>2.0</w:t>
                  </w:r>
                </w:p>
              </w:tc>
              <w:tc>
                <w:tcPr>
                  <w:tcW w:w="2593" w:type="dxa"/>
                  <w:vMerge w:val="continue"/>
                  <w:tcBorders>
                    <w:right w:val="nil"/>
                  </w:tcBorders>
                  <w:shd w:val="clear" w:color="auto" w:fill="FFFFFF"/>
                  <w:noWrap w:val="0"/>
                  <w:vAlign w:val="center"/>
                </w:tcPr>
                <w:p w14:paraId="4A33AE7A">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Arial"/>
                      <w:b w:val="0"/>
                      <w:color w:val="auto"/>
                      <w:sz w:val="21"/>
                    </w:rPr>
                  </w:pPr>
                </w:p>
              </w:tc>
            </w:tr>
            <w:tr w14:paraId="3A9D140E">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00" w:hRule="atLeast"/>
              </w:trPr>
              <w:tc>
                <w:tcPr>
                  <w:tcW w:w="1446" w:type="dxa"/>
                  <w:vMerge w:val="continue"/>
                  <w:tcBorders>
                    <w:left w:val="nil"/>
                    <w:bottom w:val="single" w:color="000000" w:sz="12" w:space="0"/>
                  </w:tcBorders>
                  <w:shd w:val="clear" w:color="auto" w:fill="FFFFFF"/>
                  <w:noWrap w:val="0"/>
                  <w:vAlign w:val="center"/>
                </w:tcPr>
                <w:p w14:paraId="59E2E58E">
                  <w:pPr>
                    <w:pStyle w:val="30"/>
                    <w:spacing w:before="50" w:line="209" w:lineRule="auto"/>
                    <w:ind w:left="560"/>
                    <w:jc w:val="center"/>
                    <w:rPr>
                      <w:b w:val="0"/>
                      <w:color w:val="auto"/>
                      <w:spacing w:val="-1"/>
                      <w:sz w:val="21"/>
                      <w:szCs w:val="21"/>
                    </w:rPr>
                  </w:pPr>
                </w:p>
              </w:tc>
              <w:tc>
                <w:tcPr>
                  <w:tcW w:w="2727" w:type="dxa"/>
                  <w:tcBorders>
                    <w:bottom w:val="single" w:color="000000" w:sz="12" w:space="0"/>
                  </w:tcBorders>
                  <w:shd w:val="clear" w:color="auto" w:fill="FFFFFF"/>
                  <w:noWrap w:val="0"/>
                  <w:vAlign w:val="center"/>
                </w:tcPr>
                <w:p w14:paraId="58607E5F">
                  <w:pPr>
                    <w:pStyle w:val="30"/>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ascii="宋体" w:hAnsi="宋体" w:eastAsia="宋体" w:cs="宋体"/>
                      <w:b w:val="0"/>
                      <w:color w:val="auto"/>
                      <w:kern w:val="2"/>
                      <w:sz w:val="21"/>
                      <w:szCs w:val="21"/>
                      <w:lang w:val="en-US" w:eastAsia="en-US" w:bidi="ar-SA"/>
                    </w:rPr>
                  </w:pPr>
                  <w:r>
                    <w:rPr>
                      <w:b w:val="0"/>
                      <w:color w:val="auto"/>
                      <w:spacing w:val="-1"/>
                      <w:sz w:val="21"/>
                      <w:szCs w:val="21"/>
                    </w:rPr>
                    <w:t>净化设施最低去除效率（</w:t>
                  </w:r>
                  <w:r>
                    <w:rPr>
                      <w:rFonts w:ascii="Times New Roman" w:hAnsi="Times New Roman" w:eastAsia="Times New Roman" w:cs="Times New Roman"/>
                      <w:b w:val="0"/>
                      <w:color w:val="auto"/>
                      <w:spacing w:val="-1"/>
                      <w:sz w:val="21"/>
                      <w:szCs w:val="21"/>
                    </w:rPr>
                    <w:t>%</w:t>
                  </w:r>
                  <w:r>
                    <w:rPr>
                      <w:b w:val="0"/>
                      <w:color w:val="auto"/>
                      <w:spacing w:val="-1"/>
                      <w:sz w:val="21"/>
                      <w:szCs w:val="21"/>
                    </w:rPr>
                    <w:t>）</w:t>
                  </w:r>
                </w:p>
              </w:tc>
              <w:tc>
                <w:tcPr>
                  <w:tcW w:w="1513" w:type="dxa"/>
                  <w:tcBorders>
                    <w:bottom w:val="single" w:color="000000" w:sz="12" w:space="0"/>
                  </w:tcBorders>
                  <w:shd w:val="clear" w:color="auto" w:fill="FFFFFF"/>
                  <w:noWrap w:val="0"/>
                  <w:vAlign w:val="center"/>
                </w:tcPr>
                <w:p w14:paraId="74D684EA">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ascii="Times New Roman" w:hAnsi="Times New Roman" w:eastAsia="宋体" w:cs="Times New Roman"/>
                      <w:b w:val="0"/>
                      <w:color w:val="auto"/>
                      <w:spacing w:val="-3"/>
                      <w:sz w:val="21"/>
                      <w:szCs w:val="21"/>
                      <w:lang w:val="en-US" w:eastAsia="zh-CN"/>
                    </w:rPr>
                    <w:t>85</w:t>
                  </w:r>
                </w:p>
              </w:tc>
              <w:tc>
                <w:tcPr>
                  <w:tcW w:w="2593" w:type="dxa"/>
                  <w:vMerge w:val="continue"/>
                  <w:tcBorders>
                    <w:bottom w:val="single" w:color="000000" w:sz="12" w:space="0"/>
                    <w:right w:val="nil"/>
                  </w:tcBorders>
                  <w:shd w:val="clear" w:color="auto" w:fill="FFFFFF"/>
                  <w:noWrap w:val="0"/>
                  <w:vAlign w:val="center"/>
                </w:tcPr>
                <w:p w14:paraId="1946E99E">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Arial"/>
                      <w:b w:val="0"/>
                      <w:color w:val="auto"/>
                      <w:sz w:val="21"/>
                    </w:rPr>
                  </w:pPr>
                </w:p>
              </w:tc>
            </w:tr>
          </w:tbl>
          <w:p w14:paraId="20359FC5">
            <w:pPr>
              <w:pStyle w:val="4"/>
              <w:spacing w:before="120"/>
              <w:ind w:firstLine="480" w:firstLineChars="200"/>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val="0"/>
                <w:bCs/>
                <w:color w:val="auto"/>
                <w:sz w:val="24"/>
                <w:szCs w:val="22"/>
                <w:lang w:val="en-US" w:eastAsia="zh-CN"/>
              </w:rPr>
              <w:t>项目设有备用柴油发电机，根据《环境保护部部长关于《大气污染物综合排放标准》(GB16927- 1996)的适用范围的回复》：建议目前固定式柴油发电机污染物排放浓度按照《大气污染物综合排放标准》(GB16297- 1996)中的最高允许排放浓度指标进行控制，对排气筒高度和排放速率暂不作要求。项目备用柴油发电机废气排放浓度执行《大气污染物综合排放标准》(GB16927- 1996)表 2 二级标准，具体标准值见表3</w:t>
            </w:r>
            <w:r>
              <w:rPr>
                <w:rFonts w:hint="eastAsia" w:ascii="Times New Roman" w:hAnsi="Times New Roman" w:eastAsia="宋体" w:cs="Times New Roman"/>
                <w:b w:val="0"/>
                <w:bCs/>
                <w:color w:val="auto"/>
                <w:kern w:val="2"/>
                <w:sz w:val="24"/>
                <w:szCs w:val="24"/>
                <w:lang w:val="en-US" w:eastAsia="zh-CN" w:bidi="ar-SA"/>
              </w:rPr>
              <w:t>.8-8。</w:t>
            </w:r>
          </w:p>
          <w:p w14:paraId="74C21EFF">
            <w:pPr>
              <w:pStyle w:val="7"/>
              <w:spacing w:before="1" w:line="212" w:lineRule="auto"/>
              <w:ind w:left="2203"/>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表 3.8-8应急柴油发电机组污染物排放标准</w:t>
            </w:r>
          </w:p>
          <w:tbl>
            <w:tblPr>
              <w:tblStyle w:val="32"/>
              <w:tblW w:w="4999"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539"/>
              <w:gridCol w:w="2537"/>
              <w:gridCol w:w="4311"/>
            </w:tblGrid>
            <w:tr w14:paraId="45EE11C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917" w:type="pct"/>
                  <w:tcBorders>
                    <w:tl2br w:val="nil"/>
                    <w:tr2bl w:val="nil"/>
                  </w:tcBorders>
                  <w:noWrap w:val="0"/>
                  <w:vAlign w:val="top"/>
                </w:tcPr>
                <w:p w14:paraId="025BB3D2">
                  <w:pPr>
                    <w:pStyle w:val="30"/>
                    <w:spacing w:before="56" w:line="229" w:lineRule="auto"/>
                    <w:ind w:left="647"/>
                    <w:rPr>
                      <w:sz w:val="21"/>
                      <w:szCs w:val="21"/>
                    </w:rPr>
                  </w:pPr>
                  <w:r>
                    <w:rPr>
                      <w:spacing w:val="5"/>
                      <w:sz w:val="21"/>
                      <w:szCs w:val="21"/>
                    </w:rPr>
                    <w:t>序号</w:t>
                  </w:r>
                </w:p>
              </w:tc>
              <w:tc>
                <w:tcPr>
                  <w:tcW w:w="1512" w:type="pct"/>
                  <w:tcBorders>
                    <w:tl2br w:val="nil"/>
                    <w:tr2bl w:val="nil"/>
                  </w:tcBorders>
                  <w:noWrap w:val="0"/>
                  <w:vAlign w:val="top"/>
                </w:tcPr>
                <w:p w14:paraId="6B06841F">
                  <w:pPr>
                    <w:pStyle w:val="30"/>
                    <w:spacing w:before="56" w:line="228" w:lineRule="auto"/>
                    <w:ind w:left="986"/>
                    <w:rPr>
                      <w:sz w:val="21"/>
                      <w:szCs w:val="21"/>
                    </w:rPr>
                  </w:pPr>
                  <w:r>
                    <w:rPr>
                      <w:spacing w:val="7"/>
                      <w:sz w:val="21"/>
                      <w:szCs w:val="21"/>
                    </w:rPr>
                    <w:t>控制项目</w:t>
                  </w:r>
                </w:p>
              </w:tc>
              <w:tc>
                <w:tcPr>
                  <w:tcW w:w="2569" w:type="pct"/>
                  <w:tcBorders>
                    <w:tl2br w:val="nil"/>
                    <w:tr2bl w:val="nil"/>
                  </w:tcBorders>
                  <w:noWrap w:val="0"/>
                  <w:vAlign w:val="top"/>
                </w:tcPr>
                <w:p w14:paraId="539B0089">
                  <w:pPr>
                    <w:pStyle w:val="30"/>
                    <w:spacing w:before="56" w:line="212" w:lineRule="auto"/>
                    <w:ind w:left="1063"/>
                    <w:rPr>
                      <w:sz w:val="21"/>
                      <w:szCs w:val="21"/>
                    </w:rPr>
                  </w:pPr>
                  <w:r>
                    <w:rPr>
                      <w:spacing w:val="8"/>
                      <w:sz w:val="21"/>
                      <w:szCs w:val="21"/>
                    </w:rPr>
                    <w:t>最高允许排放浓度（</w:t>
                  </w:r>
                  <w:r>
                    <w:rPr>
                      <w:rFonts w:ascii="Times New Roman" w:hAnsi="Times New Roman" w:eastAsia="Times New Roman" w:cs="Times New Roman"/>
                      <w:sz w:val="21"/>
                      <w:szCs w:val="21"/>
                    </w:rPr>
                    <w:t>mg</w:t>
                  </w:r>
                  <w:r>
                    <w:rPr>
                      <w:rFonts w:ascii="Times New Roman" w:hAnsi="Times New Roman" w:eastAsia="Times New Roman" w:cs="Times New Roman"/>
                      <w:spacing w:val="8"/>
                      <w:sz w:val="21"/>
                      <w:szCs w:val="21"/>
                    </w:rPr>
                    <w:t>/m</w:t>
                  </w:r>
                  <w:r>
                    <w:rPr>
                      <w:rFonts w:ascii="Times New Roman" w:hAnsi="Times New Roman" w:eastAsia="Times New Roman" w:cs="Times New Roman"/>
                      <w:spacing w:val="8"/>
                      <w:position w:val="1"/>
                      <w:sz w:val="21"/>
                      <w:szCs w:val="21"/>
                      <w:vertAlign w:val="superscript"/>
                    </w:rPr>
                    <w:t>3</w:t>
                  </w:r>
                  <w:r>
                    <w:rPr>
                      <w:spacing w:val="8"/>
                      <w:position w:val="1"/>
                      <w:sz w:val="21"/>
                      <w:szCs w:val="21"/>
                    </w:rPr>
                    <w:t>）</w:t>
                  </w:r>
                </w:p>
              </w:tc>
            </w:tr>
            <w:tr w14:paraId="72C2721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17" w:type="pct"/>
                  <w:tcBorders>
                    <w:tl2br w:val="nil"/>
                    <w:tr2bl w:val="nil"/>
                  </w:tcBorders>
                  <w:noWrap w:val="0"/>
                  <w:vAlign w:val="top"/>
                </w:tcPr>
                <w:p w14:paraId="7A260052">
                  <w:pPr>
                    <w:spacing w:before="91" w:line="195" w:lineRule="auto"/>
                    <w:ind w:left="822"/>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512" w:type="pct"/>
                  <w:tcBorders>
                    <w:tl2br w:val="nil"/>
                    <w:tr2bl w:val="nil"/>
                  </w:tcBorders>
                  <w:noWrap w:val="0"/>
                  <w:vAlign w:val="top"/>
                </w:tcPr>
                <w:p w14:paraId="51B22D91">
                  <w:pPr>
                    <w:pStyle w:val="30"/>
                    <w:spacing w:before="55" w:line="227" w:lineRule="auto"/>
                    <w:ind w:left="990"/>
                    <w:rPr>
                      <w:sz w:val="21"/>
                      <w:szCs w:val="21"/>
                    </w:rPr>
                  </w:pPr>
                  <w:r>
                    <w:rPr>
                      <w:spacing w:val="6"/>
                      <w:sz w:val="21"/>
                      <w:szCs w:val="21"/>
                    </w:rPr>
                    <w:t>二氧化硫</w:t>
                  </w:r>
                </w:p>
              </w:tc>
              <w:tc>
                <w:tcPr>
                  <w:tcW w:w="2569" w:type="pct"/>
                  <w:tcBorders>
                    <w:tl2br w:val="nil"/>
                    <w:tr2bl w:val="nil"/>
                  </w:tcBorders>
                  <w:noWrap w:val="0"/>
                  <w:vAlign w:val="top"/>
                </w:tcPr>
                <w:p w14:paraId="75B12073">
                  <w:pPr>
                    <w:spacing w:before="91" w:line="195" w:lineRule="auto"/>
                    <w:ind w:left="22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550</w:t>
                  </w:r>
                </w:p>
              </w:tc>
            </w:tr>
            <w:tr w14:paraId="7DA78CC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17" w:type="pct"/>
                  <w:tcBorders>
                    <w:tl2br w:val="nil"/>
                    <w:tr2bl w:val="nil"/>
                  </w:tcBorders>
                  <w:noWrap w:val="0"/>
                  <w:vAlign w:val="top"/>
                </w:tcPr>
                <w:p w14:paraId="6E759326">
                  <w:pPr>
                    <w:spacing w:before="98" w:line="195" w:lineRule="auto"/>
                    <w:ind w:left="802"/>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512" w:type="pct"/>
                  <w:tcBorders>
                    <w:tl2br w:val="nil"/>
                    <w:tr2bl w:val="nil"/>
                  </w:tcBorders>
                  <w:noWrap w:val="0"/>
                  <w:vAlign w:val="top"/>
                </w:tcPr>
                <w:p w14:paraId="332595F4">
                  <w:pPr>
                    <w:pStyle w:val="30"/>
                    <w:spacing w:before="62" w:line="221" w:lineRule="auto"/>
                    <w:ind w:left="985"/>
                    <w:rPr>
                      <w:sz w:val="21"/>
                      <w:szCs w:val="21"/>
                    </w:rPr>
                  </w:pPr>
                  <w:r>
                    <w:rPr>
                      <w:spacing w:val="7"/>
                      <w:sz w:val="21"/>
                      <w:szCs w:val="21"/>
                    </w:rPr>
                    <w:t>氮氧化物</w:t>
                  </w:r>
                </w:p>
              </w:tc>
              <w:tc>
                <w:tcPr>
                  <w:tcW w:w="2569" w:type="pct"/>
                  <w:tcBorders>
                    <w:tl2br w:val="nil"/>
                    <w:tr2bl w:val="nil"/>
                  </w:tcBorders>
                  <w:noWrap w:val="0"/>
                  <w:vAlign w:val="top"/>
                </w:tcPr>
                <w:p w14:paraId="7C486B5C">
                  <w:pPr>
                    <w:spacing w:before="98" w:line="195" w:lineRule="auto"/>
                    <w:ind w:left="222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240</w:t>
                  </w:r>
                </w:p>
              </w:tc>
            </w:tr>
            <w:tr w14:paraId="4E7D883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17" w:type="pct"/>
                  <w:tcBorders>
                    <w:tl2br w:val="nil"/>
                    <w:tr2bl w:val="nil"/>
                  </w:tcBorders>
                  <w:noWrap w:val="0"/>
                  <w:vAlign w:val="top"/>
                </w:tcPr>
                <w:p w14:paraId="27E38889">
                  <w:pPr>
                    <w:spacing w:before="105" w:line="195" w:lineRule="auto"/>
                    <w:ind w:left="806"/>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512" w:type="pct"/>
                  <w:tcBorders>
                    <w:tl2br w:val="nil"/>
                    <w:tr2bl w:val="nil"/>
                  </w:tcBorders>
                  <w:noWrap w:val="0"/>
                  <w:vAlign w:val="top"/>
                </w:tcPr>
                <w:p w14:paraId="23533897">
                  <w:pPr>
                    <w:pStyle w:val="30"/>
                    <w:spacing w:before="69" w:line="228" w:lineRule="auto"/>
                    <w:ind w:left="1091"/>
                    <w:rPr>
                      <w:sz w:val="21"/>
                      <w:szCs w:val="21"/>
                    </w:rPr>
                  </w:pPr>
                  <w:r>
                    <w:rPr>
                      <w:spacing w:val="7"/>
                      <w:sz w:val="21"/>
                      <w:szCs w:val="21"/>
                    </w:rPr>
                    <w:t>颗粒物</w:t>
                  </w:r>
                </w:p>
              </w:tc>
              <w:tc>
                <w:tcPr>
                  <w:tcW w:w="2569" w:type="pct"/>
                  <w:tcBorders>
                    <w:tl2br w:val="nil"/>
                    <w:tr2bl w:val="nil"/>
                  </w:tcBorders>
                  <w:noWrap w:val="0"/>
                  <w:vAlign w:val="top"/>
                </w:tcPr>
                <w:p w14:paraId="1F3283A0">
                  <w:pPr>
                    <w:spacing w:before="105" w:line="195" w:lineRule="auto"/>
                    <w:ind w:left="224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120</w:t>
                  </w:r>
                </w:p>
              </w:tc>
            </w:tr>
          </w:tbl>
          <w:p w14:paraId="45F1678B">
            <w:pPr>
              <w:spacing w:line="360" w:lineRule="auto"/>
              <w:ind w:firstLine="484" w:firstLineChars="200"/>
              <w:rPr>
                <w:color w:val="auto"/>
                <w:sz w:val="24"/>
              </w:rPr>
            </w:pPr>
            <w:r>
              <w:rPr>
                <w:b w:val="0"/>
                <w:bCs/>
                <w:color w:val="auto"/>
                <w:spacing w:val="1"/>
                <w:sz w:val="24"/>
                <w:szCs w:val="24"/>
              </w:rPr>
              <w:t>医院</w:t>
            </w:r>
            <w:r>
              <w:rPr>
                <w:b w:val="0"/>
                <w:bCs/>
                <w:color w:val="auto"/>
                <w:sz w:val="24"/>
                <w:szCs w:val="24"/>
              </w:rPr>
              <w:t>边界</w:t>
            </w:r>
            <w:r>
              <w:rPr>
                <w:rFonts w:hint="eastAsia"/>
                <w:color w:val="auto"/>
                <w:sz w:val="24"/>
                <w:szCs w:val="32"/>
                <w:lang w:val="en-US" w:eastAsia="zh-CN"/>
              </w:rPr>
              <w:t>非甲烷总烃</w:t>
            </w:r>
            <w:r>
              <w:rPr>
                <w:b w:val="0"/>
                <w:bCs/>
                <w:color w:val="auto"/>
                <w:sz w:val="24"/>
                <w:szCs w:val="24"/>
              </w:rPr>
              <w:t>排放执</w:t>
            </w:r>
            <w:r>
              <w:rPr>
                <w:b w:val="0"/>
                <w:bCs/>
                <w:color w:val="auto"/>
                <w:spacing w:val="-4"/>
                <w:sz w:val="24"/>
                <w:szCs w:val="24"/>
              </w:rPr>
              <w:t>行《</w:t>
            </w:r>
            <w:r>
              <w:rPr>
                <w:rFonts w:hint="eastAsia"/>
                <w:b w:val="0"/>
                <w:bCs/>
                <w:color w:val="auto"/>
                <w:spacing w:val="-4"/>
                <w:sz w:val="24"/>
                <w:szCs w:val="24"/>
              </w:rPr>
              <w:t>大气污染物综合排放标准</w:t>
            </w:r>
            <w:r>
              <w:rPr>
                <w:b w:val="0"/>
                <w:bCs/>
                <w:color w:val="auto"/>
                <w:spacing w:val="-4"/>
                <w:sz w:val="24"/>
                <w:szCs w:val="24"/>
              </w:rPr>
              <w:t>》（</w:t>
            </w:r>
            <w:r>
              <w:rPr>
                <w:rFonts w:ascii="Times New Roman" w:hAnsi="Times New Roman" w:eastAsia="Times New Roman" w:cs="Times New Roman"/>
                <w:b w:val="0"/>
                <w:bCs/>
                <w:color w:val="auto"/>
                <w:spacing w:val="-4"/>
                <w:sz w:val="24"/>
                <w:szCs w:val="24"/>
              </w:rPr>
              <w:t>GB</w:t>
            </w:r>
            <w:r>
              <w:rPr>
                <w:rFonts w:hint="eastAsia" w:ascii="Times New Roman" w:hAnsi="Times New Roman" w:eastAsia="宋体" w:cs="Times New Roman"/>
                <w:b w:val="0"/>
                <w:bCs/>
                <w:color w:val="auto"/>
                <w:spacing w:val="-4"/>
                <w:sz w:val="24"/>
                <w:szCs w:val="24"/>
                <w:lang w:val="en-US" w:eastAsia="zh-CN"/>
              </w:rPr>
              <w:t>16297</w:t>
            </w:r>
            <w:r>
              <w:rPr>
                <w:rFonts w:ascii="Times New Roman" w:hAnsi="Times New Roman" w:eastAsia="Times New Roman" w:cs="Times New Roman"/>
                <w:b w:val="0"/>
                <w:bCs/>
                <w:color w:val="auto"/>
                <w:spacing w:val="-4"/>
                <w:sz w:val="24"/>
                <w:szCs w:val="24"/>
              </w:rPr>
              <w:t>-</w:t>
            </w:r>
            <w:r>
              <w:rPr>
                <w:rFonts w:hint="eastAsia" w:ascii="Times New Roman" w:hAnsi="Times New Roman" w:eastAsia="宋体" w:cs="Times New Roman"/>
                <w:b w:val="0"/>
                <w:bCs/>
                <w:color w:val="auto"/>
                <w:spacing w:val="-4"/>
                <w:sz w:val="24"/>
                <w:szCs w:val="24"/>
                <w:lang w:val="en-US" w:eastAsia="zh-CN"/>
              </w:rPr>
              <w:t>1996</w:t>
            </w:r>
            <w:r>
              <w:rPr>
                <w:b w:val="0"/>
                <w:bCs/>
                <w:color w:val="auto"/>
                <w:spacing w:val="-4"/>
                <w:sz w:val="24"/>
                <w:szCs w:val="24"/>
              </w:rPr>
              <w:t>）</w:t>
            </w:r>
            <w:r>
              <w:rPr>
                <w:b w:val="0"/>
                <w:bCs/>
                <w:color w:val="auto"/>
                <w:spacing w:val="-5"/>
                <w:sz w:val="24"/>
                <w:szCs w:val="24"/>
              </w:rPr>
              <w:t>中表</w:t>
            </w:r>
            <w:r>
              <w:rPr>
                <w:rFonts w:ascii="Times New Roman" w:hAnsi="Times New Roman" w:eastAsia="Times New Roman" w:cs="Times New Roman"/>
                <w:b w:val="0"/>
                <w:bCs/>
                <w:color w:val="auto"/>
                <w:spacing w:val="-5"/>
                <w:sz w:val="24"/>
                <w:szCs w:val="24"/>
              </w:rPr>
              <w:t>2</w:t>
            </w:r>
            <w:r>
              <w:rPr>
                <w:b w:val="0"/>
                <w:bCs/>
                <w:color w:val="auto"/>
                <w:spacing w:val="-5"/>
                <w:sz w:val="24"/>
                <w:szCs w:val="24"/>
              </w:rPr>
              <w:t>无组织排</w:t>
            </w:r>
            <w:r>
              <w:rPr>
                <w:rFonts w:hint="eastAsia"/>
                <w:b w:val="0"/>
                <w:bCs/>
                <w:color w:val="auto"/>
                <w:spacing w:val="-5"/>
                <w:sz w:val="24"/>
                <w:szCs w:val="24"/>
                <w:lang w:val="en-US" w:eastAsia="zh-CN"/>
              </w:rPr>
              <w:t>放浓度限值，</w:t>
            </w:r>
            <w:r>
              <w:rPr>
                <w:color w:val="auto"/>
                <w:sz w:val="24"/>
              </w:rPr>
              <w:t>具体指标见下表</w:t>
            </w:r>
            <w:r>
              <w:rPr>
                <w:rFonts w:hint="eastAsia" w:ascii="Times New Roman" w:hAnsi="Times New Roman" w:eastAsia="宋体" w:cs="Times New Roman"/>
                <w:b w:val="0"/>
                <w:bCs/>
                <w:color w:val="auto"/>
                <w:sz w:val="24"/>
                <w:szCs w:val="22"/>
                <w:lang w:val="en-US" w:eastAsia="zh-CN"/>
              </w:rPr>
              <w:t>3</w:t>
            </w:r>
            <w:r>
              <w:rPr>
                <w:rFonts w:hint="eastAsia" w:ascii="Times New Roman" w:hAnsi="Times New Roman" w:eastAsia="宋体" w:cs="Times New Roman"/>
                <w:b w:val="0"/>
                <w:bCs/>
                <w:color w:val="auto"/>
                <w:kern w:val="2"/>
                <w:sz w:val="24"/>
                <w:szCs w:val="24"/>
                <w:lang w:val="en-US" w:eastAsia="zh-CN" w:bidi="ar-SA"/>
              </w:rPr>
              <w:t>.8-9</w:t>
            </w:r>
            <w:r>
              <w:rPr>
                <w:color w:val="auto"/>
                <w:sz w:val="24"/>
              </w:rPr>
              <w:t>。</w:t>
            </w:r>
          </w:p>
          <w:p w14:paraId="0FBE8B4A">
            <w:pPr>
              <w:spacing w:before="120" w:beforeLines="50"/>
              <w:jc w:val="center"/>
              <w:rPr>
                <w:rFonts w:hint="default" w:eastAsia="宋体"/>
                <w:b/>
                <w:color w:val="auto"/>
                <w:sz w:val="24"/>
                <w:lang w:val="en-US" w:eastAsia="zh-CN"/>
              </w:rPr>
            </w:pPr>
            <w:r>
              <w:rPr>
                <w:b/>
                <w:color w:val="auto"/>
                <w:sz w:val="24"/>
              </w:rPr>
              <w:t>表</w:t>
            </w:r>
            <w:r>
              <w:rPr>
                <w:rFonts w:hint="eastAsia"/>
                <w:b/>
                <w:color w:val="auto"/>
                <w:sz w:val="24"/>
              </w:rPr>
              <w:t>3.</w:t>
            </w:r>
            <w:r>
              <w:rPr>
                <w:rFonts w:hint="eastAsia"/>
                <w:b/>
                <w:color w:val="auto"/>
                <w:sz w:val="24"/>
                <w:lang w:val="en-US" w:eastAsia="zh-CN"/>
              </w:rPr>
              <w:t>8</w:t>
            </w:r>
            <w:r>
              <w:rPr>
                <w:rFonts w:hint="eastAsia"/>
                <w:b/>
                <w:color w:val="auto"/>
                <w:sz w:val="24"/>
              </w:rPr>
              <w:t>-</w:t>
            </w:r>
            <w:r>
              <w:rPr>
                <w:rFonts w:hint="eastAsia"/>
                <w:b/>
                <w:color w:val="auto"/>
                <w:sz w:val="24"/>
                <w:lang w:val="en-US" w:eastAsia="zh-CN"/>
              </w:rPr>
              <w:t>9厂界执行标准</w:t>
            </w:r>
          </w:p>
          <w:tbl>
            <w:tblPr>
              <w:tblStyle w:val="17"/>
              <w:tblW w:w="488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2544"/>
              <w:gridCol w:w="1660"/>
              <w:gridCol w:w="3044"/>
            </w:tblGrid>
            <w:tr w14:paraId="12DFC2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565" w:type="pct"/>
                  <w:tcBorders>
                    <w:top w:val="single" w:color="000000" w:sz="12" w:space="0"/>
                    <w:left w:val="nil"/>
                    <w:bottom w:val="single" w:color="auto" w:sz="4" w:space="0"/>
                    <w:right w:val="single" w:color="auto" w:sz="4" w:space="0"/>
                    <w:tl2br w:val="nil"/>
                  </w:tcBorders>
                  <w:shd w:val="clear" w:color="auto" w:fill="FFFFFF"/>
                  <w:noWrap w:val="0"/>
                  <w:vAlign w:val="center"/>
                </w:tcPr>
                <w:p w14:paraId="103D7868">
                  <w:pPr>
                    <w:spacing w:line="340" w:lineRule="exact"/>
                    <w:jc w:val="center"/>
                    <w:rPr>
                      <w:rFonts w:hint="eastAsia"/>
                      <w:b w:val="0"/>
                      <w:color w:val="auto"/>
                      <w:szCs w:val="21"/>
                    </w:rPr>
                  </w:pPr>
                  <w:r>
                    <w:rPr>
                      <w:rFonts w:hint="eastAsia"/>
                      <w:b w:val="0"/>
                      <w:color w:val="auto"/>
                      <w:szCs w:val="21"/>
                    </w:rPr>
                    <w:t>序号</w:t>
                  </w:r>
                </w:p>
              </w:tc>
              <w:tc>
                <w:tcPr>
                  <w:tcW w:w="1556"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175D603A">
                  <w:pPr>
                    <w:spacing w:line="340" w:lineRule="exact"/>
                    <w:jc w:val="center"/>
                    <w:rPr>
                      <w:b w:val="0"/>
                      <w:color w:val="auto"/>
                      <w:szCs w:val="21"/>
                    </w:rPr>
                  </w:pPr>
                  <w:r>
                    <w:rPr>
                      <w:b w:val="0"/>
                      <w:color w:val="auto"/>
                      <w:szCs w:val="21"/>
                    </w:rPr>
                    <w:t>项目</w:t>
                  </w:r>
                </w:p>
              </w:tc>
              <w:tc>
                <w:tcPr>
                  <w:tcW w:w="1015"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238CBBE3">
                  <w:pPr>
                    <w:spacing w:line="340" w:lineRule="exact"/>
                    <w:jc w:val="center"/>
                    <w:rPr>
                      <w:rFonts w:hint="eastAsia"/>
                      <w:b w:val="0"/>
                      <w:color w:val="auto"/>
                      <w:szCs w:val="21"/>
                    </w:rPr>
                  </w:pPr>
                  <w:r>
                    <w:rPr>
                      <w:rFonts w:hint="eastAsia"/>
                      <w:b w:val="0"/>
                      <w:color w:val="auto"/>
                      <w:szCs w:val="21"/>
                    </w:rPr>
                    <w:t>标准值</w:t>
                  </w:r>
                </w:p>
              </w:tc>
              <w:tc>
                <w:tcPr>
                  <w:tcW w:w="1862" w:type="pct"/>
                  <w:tcBorders>
                    <w:top w:val="single" w:color="000000" w:sz="12" w:space="0"/>
                    <w:left w:val="single" w:color="auto" w:sz="4" w:space="0"/>
                    <w:bottom w:val="single" w:color="auto" w:sz="4" w:space="0"/>
                    <w:right w:val="nil"/>
                  </w:tcBorders>
                  <w:shd w:val="clear" w:color="auto" w:fill="FFFFFF"/>
                  <w:noWrap w:val="0"/>
                  <w:vAlign w:val="center"/>
                </w:tcPr>
                <w:p w14:paraId="5712EB3A">
                  <w:pPr>
                    <w:spacing w:line="340" w:lineRule="exact"/>
                    <w:jc w:val="center"/>
                    <w:rPr>
                      <w:b w:val="0"/>
                      <w:color w:val="auto"/>
                      <w:szCs w:val="21"/>
                    </w:rPr>
                  </w:pPr>
                  <w:r>
                    <w:rPr>
                      <w:b w:val="0"/>
                      <w:color w:val="auto"/>
                      <w:szCs w:val="21"/>
                    </w:rPr>
                    <w:t>执行标准</w:t>
                  </w:r>
                </w:p>
              </w:tc>
            </w:tr>
            <w:tr w14:paraId="45AAC7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565" w:type="pct"/>
                  <w:tcBorders>
                    <w:top w:val="single" w:color="auto" w:sz="4" w:space="0"/>
                    <w:left w:val="nil"/>
                    <w:bottom w:val="single" w:color="000000" w:sz="12" w:space="0"/>
                    <w:right w:val="single" w:color="auto" w:sz="4" w:space="0"/>
                  </w:tcBorders>
                  <w:shd w:val="clear" w:color="auto" w:fill="FFFFFF"/>
                  <w:noWrap w:val="0"/>
                  <w:vAlign w:val="center"/>
                </w:tcPr>
                <w:p w14:paraId="4684CE10">
                  <w:pPr>
                    <w:spacing w:line="340" w:lineRule="exact"/>
                    <w:jc w:val="center"/>
                    <w:rPr>
                      <w:rFonts w:hint="eastAsia" w:eastAsia="宋体"/>
                      <w:b w:val="0"/>
                      <w:color w:val="auto"/>
                      <w:szCs w:val="21"/>
                      <w:lang w:eastAsia="zh-CN"/>
                    </w:rPr>
                  </w:pPr>
                  <w:r>
                    <w:rPr>
                      <w:rFonts w:hint="eastAsia"/>
                      <w:b w:val="0"/>
                      <w:color w:val="auto"/>
                      <w:szCs w:val="21"/>
                      <w:lang w:val="en-US" w:eastAsia="zh-CN"/>
                    </w:rPr>
                    <w:t>1</w:t>
                  </w:r>
                </w:p>
              </w:tc>
              <w:tc>
                <w:tcPr>
                  <w:tcW w:w="1556"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6B2ECA54">
                  <w:pPr>
                    <w:spacing w:line="340" w:lineRule="exact"/>
                    <w:jc w:val="center"/>
                    <w:rPr>
                      <w:b w:val="0"/>
                      <w:color w:val="auto"/>
                      <w:szCs w:val="21"/>
                    </w:rPr>
                  </w:pPr>
                  <w:r>
                    <w:rPr>
                      <w:rFonts w:hint="eastAsia"/>
                      <w:b w:val="0"/>
                      <w:color w:val="auto"/>
                      <w:sz w:val="21"/>
                      <w:szCs w:val="21"/>
                      <w:lang w:val="en-US" w:eastAsia="zh-CN"/>
                    </w:rPr>
                    <w:t>非甲烷总烃</w:t>
                  </w:r>
                  <w:r>
                    <w:rPr>
                      <w:rFonts w:hint="eastAsia"/>
                      <w:b w:val="0"/>
                      <w:color w:val="auto"/>
                      <w:sz w:val="21"/>
                      <w:szCs w:val="21"/>
                    </w:rPr>
                    <w:t>（mg/m</w:t>
                  </w:r>
                  <w:r>
                    <w:rPr>
                      <w:rFonts w:hint="eastAsia"/>
                      <w:b w:val="0"/>
                      <w:color w:val="auto"/>
                      <w:sz w:val="21"/>
                      <w:szCs w:val="21"/>
                      <w:vertAlign w:val="superscript"/>
                    </w:rPr>
                    <w:t>3</w:t>
                  </w:r>
                  <w:r>
                    <w:rPr>
                      <w:rFonts w:hint="eastAsia"/>
                      <w:b w:val="0"/>
                      <w:color w:val="auto"/>
                      <w:sz w:val="21"/>
                      <w:szCs w:val="21"/>
                    </w:rPr>
                    <w:t>）</w:t>
                  </w:r>
                </w:p>
              </w:tc>
              <w:tc>
                <w:tcPr>
                  <w:tcW w:w="1015"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20450D12">
                  <w:pPr>
                    <w:spacing w:line="340" w:lineRule="exact"/>
                    <w:jc w:val="center"/>
                    <w:rPr>
                      <w:rFonts w:hint="default" w:eastAsia="宋体"/>
                      <w:b w:val="0"/>
                      <w:color w:val="auto"/>
                      <w:szCs w:val="21"/>
                      <w:lang w:val="en-US" w:eastAsia="zh-CN"/>
                    </w:rPr>
                  </w:pPr>
                  <w:r>
                    <w:rPr>
                      <w:rFonts w:hint="eastAsia"/>
                      <w:b w:val="0"/>
                      <w:color w:val="auto"/>
                      <w:szCs w:val="21"/>
                      <w:lang w:val="en-US" w:eastAsia="zh-CN"/>
                    </w:rPr>
                    <w:t>4.0</w:t>
                  </w:r>
                </w:p>
              </w:tc>
              <w:tc>
                <w:tcPr>
                  <w:tcW w:w="1862" w:type="pct"/>
                  <w:tcBorders>
                    <w:top w:val="single" w:color="auto" w:sz="4" w:space="0"/>
                    <w:left w:val="single" w:color="auto" w:sz="4" w:space="0"/>
                    <w:bottom w:val="single" w:color="000000" w:sz="12" w:space="0"/>
                    <w:right w:val="nil"/>
                  </w:tcBorders>
                  <w:shd w:val="clear" w:color="auto" w:fill="FFFFFF"/>
                  <w:noWrap w:val="0"/>
                  <w:vAlign w:val="center"/>
                </w:tcPr>
                <w:p w14:paraId="11AF21AD">
                  <w:pPr>
                    <w:spacing w:line="340" w:lineRule="exact"/>
                    <w:jc w:val="center"/>
                    <w:rPr>
                      <w:b w:val="0"/>
                      <w:color w:val="auto"/>
                      <w:sz w:val="21"/>
                      <w:szCs w:val="21"/>
                    </w:rPr>
                  </w:pPr>
                  <w:r>
                    <w:rPr>
                      <w:b w:val="0"/>
                      <w:bCs/>
                      <w:color w:val="auto"/>
                      <w:spacing w:val="-4"/>
                      <w:sz w:val="21"/>
                      <w:szCs w:val="21"/>
                    </w:rPr>
                    <w:t>《</w:t>
                  </w:r>
                  <w:r>
                    <w:rPr>
                      <w:rFonts w:hint="eastAsia"/>
                      <w:b w:val="0"/>
                      <w:bCs/>
                      <w:color w:val="auto"/>
                      <w:spacing w:val="-4"/>
                      <w:sz w:val="21"/>
                      <w:szCs w:val="21"/>
                    </w:rPr>
                    <w:t>大气污染物综合排放标准</w:t>
                  </w:r>
                  <w:r>
                    <w:rPr>
                      <w:b w:val="0"/>
                      <w:bCs/>
                      <w:color w:val="auto"/>
                      <w:spacing w:val="-4"/>
                      <w:sz w:val="21"/>
                      <w:szCs w:val="21"/>
                    </w:rPr>
                    <w:t>》（</w:t>
                  </w:r>
                  <w:r>
                    <w:rPr>
                      <w:rFonts w:ascii="Times New Roman" w:hAnsi="Times New Roman" w:eastAsia="Times New Roman" w:cs="Times New Roman"/>
                      <w:b w:val="0"/>
                      <w:bCs/>
                      <w:color w:val="auto"/>
                      <w:spacing w:val="-4"/>
                      <w:sz w:val="21"/>
                      <w:szCs w:val="21"/>
                    </w:rPr>
                    <w:t>GB</w:t>
                  </w:r>
                  <w:r>
                    <w:rPr>
                      <w:rFonts w:hint="eastAsia" w:ascii="Times New Roman" w:hAnsi="Times New Roman" w:eastAsia="宋体" w:cs="Times New Roman"/>
                      <w:b w:val="0"/>
                      <w:bCs/>
                      <w:color w:val="auto"/>
                      <w:spacing w:val="-4"/>
                      <w:sz w:val="21"/>
                      <w:szCs w:val="21"/>
                      <w:lang w:val="en-US" w:eastAsia="zh-CN"/>
                    </w:rPr>
                    <w:t>16297</w:t>
                  </w:r>
                  <w:r>
                    <w:rPr>
                      <w:rFonts w:ascii="Times New Roman" w:hAnsi="Times New Roman" w:eastAsia="Times New Roman" w:cs="Times New Roman"/>
                      <w:b w:val="0"/>
                      <w:bCs/>
                      <w:color w:val="auto"/>
                      <w:spacing w:val="-4"/>
                      <w:sz w:val="21"/>
                      <w:szCs w:val="21"/>
                    </w:rPr>
                    <w:t>-</w:t>
                  </w:r>
                  <w:r>
                    <w:rPr>
                      <w:rFonts w:hint="eastAsia" w:ascii="Times New Roman" w:hAnsi="Times New Roman" w:eastAsia="宋体" w:cs="Times New Roman"/>
                      <w:b w:val="0"/>
                      <w:bCs/>
                      <w:color w:val="auto"/>
                      <w:spacing w:val="-4"/>
                      <w:sz w:val="21"/>
                      <w:szCs w:val="21"/>
                      <w:lang w:val="en-US" w:eastAsia="zh-CN"/>
                    </w:rPr>
                    <w:t>1996</w:t>
                  </w:r>
                  <w:r>
                    <w:rPr>
                      <w:b w:val="0"/>
                      <w:bCs/>
                      <w:color w:val="auto"/>
                      <w:spacing w:val="-4"/>
                      <w:sz w:val="21"/>
                      <w:szCs w:val="21"/>
                    </w:rPr>
                    <w:t>）</w:t>
                  </w:r>
                </w:p>
              </w:tc>
            </w:tr>
          </w:tbl>
          <w:p w14:paraId="0DABD326">
            <w:pPr>
              <w:rPr>
                <w:color w:val="auto"/>
              </w:rPr>
            </w:pPr>
          </w:p>
          <w:p w14:paraId="1EAC7848">
            <w:pPr>
              <w:pStyle w:val="4"/>
              <w:spacing w:before="120"/>
              <w:rPr>
                <w:color w:val="auto"/>
              </w:rPr>
            </w:pPr>
            <w:r>
              <w:rPr>
                <w:color w:val="auto"/>
              </w:rPr>
              <w:t>3.</w:t>
            </w:r>
            <w:r>
              <w:rPr>
                <w:rFonts w:hint="eastAsia"/>
                <w:color w:val="auto"/>
                <w:lang w:val="en-US" w:eastAsia="zh-CN"/>
              </w:rPr>
              <w:t>8</w:t>
            </w:r>
            <w:r>
              <w:rPr>
                <w:color w:val="auto"/>
              </w:rPr>
              <w:t>.3厂界噪声排放标准</w:t>
            </w:r>
            <w:bookmarkEnd w:id="10"/>
          </w:p>
          <w:p w14:paraId="2443E474">
            <w:pPr>
              <w:pStyle w:val="40"/>
              <w:adjustRightInd w:val="0"/>
              <w:snapToGrid w:val="0"/>
              <w:ind w:firstLine="48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①施工期：项目场界噪声执行《建筑施工场界环境噪声排放标准》（GB12523-2025）中的标准限值。</w:t>
            </w:r>
          </w:p>
          <w:p w14:paraId="2832DDC8">
            <w:pPr>
              <w:pStyle w:val="40"/>
              <w:adjustRightInd w:val="0"/>
              <w:snapToGrid w:val="0"/>
              <w:ind w:left="0" w:leftChars="0" w:firstLine="0" w:firstLineChars="0"/>
              <w:jc w:val="cente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表3.8-9《建筑施工场界环境噪声排放标准》摘录</w:t>
            </w:r>
          </w:p>
          <w:tbl>
            <w:tblPr>
              <w:tblStyle w:val="32"/>
              <w:tblW w:w="839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687"/>
              <w:gridCol w:w="3066"/>
              <w:gridCol w:w="2645"/>
            </w:tblGrid>
            <w:tr w14:paraId="058ED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jc w:val="center"/>
              </w:trPr>
              <w:tc>
                <w:tcPr>
                  <w:tcW w:w="2687" w:type="dxa"/>
                  <w:tcBorders>
                    <w:top w:val="single" w:color="000000" w:sz="12" w:space="0"/>
                    <w:left w:val="nil"/>
                    <w:bottom w:val="single" w:color="auto" w:sz="4" w:space="0"/>
                    <w:right w:val="single" w:color="auto" w:sz="4" w:space="0"/>
                    <w:tl2br w:val="nil"/>
                  </w:tcBorders>
                  <w:shd w:val="clear" w:color="auto" w:fill="FFFFFF"/>
                  <w:noWrap w:val="0"/>
                  <w:vAlign w:val="top"/>
                </w:tcPr>
                <w:p w14:paraId="178C395C">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b w:val="0"/>
                      <w:color w:val="auto"/>
                      <w:sz w:val="21"/>
                      <w:szCs w:val="21"/>
                    </w:rPr>
                  </w:pPr>
                  <w:r>
                    <w:rPr>
                      <w:b w:val="0"/>
                      <w:color w:val="auto"/>
                      <w:spacing w:val="-2"/>
                      <w:sz w:val="21"/>
                      <w:szCs w:val="21"/>
                    </w:rPr>
                    <w:t>类别</w:t>
                  </w:r>
                </w:p>
              </w:tc>
              <w:tc>
                <w:tcPr>
                  <w:tcW w:w="3066" w:type="dxa"/>
                  <w:tcBorders>
                    <w:top w:val="single" w:color="000000" w:sz="12" w:space="0"/>
                    <w:left w:val="single" w:color="auto" w:sz="4" w:space="0"/>
                    <w:bottom w:val="single" w:color="auto" w:sz="4" w:space="0"/>
                    <w:right w:val="single" w:color="auto" w:sz="4" w:space="0"/>
                  </w:tcBorders>
                  <w:shd w:val="clear" w:color="auto" w:fill="FFFFFF"/>
                  <w:noWrap w:val="0"/>
                  <w:vAlign w:val="top"/>
                </w:tcPr>
                <w:p w14:paraId="60C43474">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b w:val="0"/>
                      <w:color w:val="auto"/>
                      <w:sz w:val="21"/>
                      <w:szCs w:val="21"/>
                    </w:rPr>
                  </w:pPr>
                  <w:r>
                    <w:rPr>
                      <w:b w:val="0"/>
                      <w:color w:val="auto"/>
                      <w:spacing w:val="-2"/>
                      <w:sz w:val="21"/>
                      <w:szCs w:val="21"/>
                    </w:rPr>
                    <w:t>昼间（</w:t>
                  </w:r>
                  <w:r>
                    <w:rPr>
                      <w:rFonts w:ascii="Times New Roman" w:hAnsi="Times New Roman" w:eastAsia="Times New Roman" w:cs="Times New Roman"/>
                      <w:b w:val="0"/>
                      <w:color w:val="auto"/>
                      <w:spacing w:val="-2"/>
                      <w:sz w:val="21"/>
                      <w:szCs w:val="21"/>
                    </w:rPr>
                    <w:t>dB</w:t>
                  </w:r>
                  <w:r>
                    <w:rPr>
                      <w:b w:val="0"/>
                      <w:color w:val="auto"/>
                      <w:spacing w:val="-2"/>
                      <w:sz w:val="21"/>
                      <w:szCs w:val="21"/>
                    </w:rPr>
                    <w:t>）</w:t>
                  </w:r>
                </w:p>
              </w:tc>
              <w:tc>
                <w:tcPr>
                  <w:tcW w:w="2645" w:type="dxa"/>
                  <w:tcBorders>
                    <w:top w:val="single" w:color="000000" w:sz="12" w:space="0"/>
                    <w:left w:val="single" w:color="auto" w:sz="4" w:space="0"/>
                    <w:bottom w:val="single" w:color="auto" w:sz="4" w:space="0"/>
                    <w:right w:val="nil"/>
                  </w:tcBorders>
                  <w:shd w:val="clear" w:color="auto" w:fill="FFFFFF"/>
                  <w:noWrap w:val="0"/>
                  <w:vAlign w:val="top"/>
                </w:tcPr>
                <w:p w14:paraId="232B7B28">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b w:val="0"/>
                      <w:color w:val="auto"/>
                      <w:sz w:val="21"/>
                      <w:szCs w:val="21"/>
                    </w:rPr>
                  </w:pPr>
                  <w:r>
                    <w:rPr>
                      <w:b w:val="0"/>
                      <w:color w:val="auto"/>
                      <w:spacing w:val="-2"/>
                      <w:sz w:val="21"/>
                      <w:szCs w:val="21"/>
                    </w:rPr>
                    <w:t>夜间（</w:t>
                  </w:r>
                  <w:r>
                    <w:rPr>
                      <w:rFonts w:ascii="Times New Roman" w:hAnsi="Times New Roman" w:eastAsia="Times New Roman" w:cs="Times New Roman"/>
                      <w:b w:val="0"/>
                      <w:color w:val="auto"/>
                      <w:spacing w:val="-2"/>
                      <w:sz w:val="21"/>
                      <w:szCs w:val="21"/>
                    </w:rPr>
                    <w:t>dB</w:t>
                  </w:r>
                  <w:r>
                    <w:rPr>
                      <w:b w:val="0"/>
                      <w:color w:val="auto"/>
                      <w:spacing w:val="-2"/>
                      <w:sz w:val="21"/>
                      <w:szCs w:val="21"/>
                    </w:rPr>
                    <w:t>）</w:t>
                  </w:r>
                </w:p>
              </w:tc>
            </w:tr>
            <w:tr w14:paraId="47E50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2687" w:type="dxa"/>
                  <w:tcBorders>
                    <w:top w:val="single" w:color="auto" w:sz="4" w:space="0"/>
                    <w:left w:val="nil"/>
                    <w:bottom w:val="single" w:color="auto" w:sz="4" w:space="0"/>
                    <w:right w:val="single" w:color="auto" w:sz="4" w:space="0"/>
                  </w:tcBorders>
                  <w:shd w:val="clear" w:color="auto" w:fill="FFFFFF"/>
                  <w:noWrap w:val="0"/>
                  <w:vAlign w:val="top"/>
                </w:tcPr>
                <w:p w14:paraId="58FB1422">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b w:val="0"/>
                      <w:color w:val="auto"/>
                      <w:sz w:val="21"/>
                      <w:szCs w:val="21"/>
                    </w:rPr>
                  </w:pPr>
                  <w:r>
                    <w:rPr>
                      <w:b w:val="0"/>
                      <w:color w:val="auto"/>
                      <w:spacing w:val="-1"/>
                      <w:sz w:val="21"/>
                      <w:szCs w:val="21"/>
                    </w:rPr>
                    <w:t>排放限值</w:t>
                  </w:r>
                </w:p>
              </w:tc>
              <w:tc>
                <w:tcPr>
                  <w:tcW w:w="3066"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6F4AA4E5">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Times New Roman" w:hAnsi="Times New Roman" w:eastAsia="Times New Roman" w:cs="Times New Roman"/>
                      <w:b w:val="0"/>
                      <w:color w:val="auto"/>
                      <w:sz w:val="21"/>
                      <w:szCs w:val="21"/>
                    </w:rPr>
                  </w:pPr>
                  <w:r>
                    <w:rPr>
                      <w:rFonts w:ascii="Times New Roman" w:hAnsi="Times New Roman" w:eastAsia="Times New Roman" w:cs="Times New Roman"/>
                      <w:b w:val="0"/>
                      <w:color w:val="auto"/>
                      <w:spacing w:val="-2"/>
                      <w:sz w:val="21"/>
                      <w:szCs w:val="21"/>
                    </w:rPr>
                    <w:t>70</w:t>
                  </w:r>
                </w:p>
              </w:tc>
              <w:tc>
                <w:tcPr>
                  <w:tcW w:w="2645" w:type="dxa"/>
                  <w:tcBorders>
                    <w:top w:val="single" w:color="auto" w:sz="4" w:space="0"/>
                    <w:left w:val="single" w:color="auto" w:sz="4" w:space="0"/>
                    <w:bottom w:val="single" w:color="auto" w:sz="4" w:space="0"/>
                    <w:right w:val="nil"/>
                  </w:tcBorders>
                  <w:shd w:val="clear" w:color="auto" w:fill="FFFFFF"/>
                  <w:noWrap w:val="0"/>
                  <w:vAlign w:val="top"/>
                </w:tcPr>
                <w:p w14:paraId="69192F7D">
                  <w:pPr>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Times New Roman" w:hAnsi="Times New Roman" w:eastAsia="Times New Roman" w:cs="Times New Roman"/>
                      <w:b w:val="0"/>
                      <w:color w:val="auto"/>
                      <w:sz w:val="21"/>
                      <w:szCs w:val="21"/>
                    </w:rPr>
                  </w:pPr>
                  <w:r>
                    <w:rPr>
                      <w:rFonts w:ascii="Times New Roman" w:hAnsi="Times New Roman" w:eastAsia="Times New Roman" w:cs="Times New Roman"/>
                      <w:b w:val="0"/>
                      <w:color w:val="auto"/>
                      <w:spacing w:val="-3"/>
                      <w:sz w:val="21"/>
                      <w:szCs w:val="21"/>
                    </w:rPr>
                    <w:t>55</w:t>
                  </w:r>
                </w:p>
              </w:tc>
            </w:tr>
            <w:tr w14:paraId="42D36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jc w:val="center"/>
              </w:trPr>
              <w:tc>
                <w:tcPr>
                  <w:tcW w:w="2687" w:type="dxa"/>
                  <w:tcBorders>
                    <w:top w:val="single" w:color="auto" w:sz="4" w:space="0"/>
                    <w:left w:val="nil"/>
                    <w:bottom w:val="single" w:color="000000" w:sz="12" w:space="0"/>
                    <w:right w:val="single" w:color="auto" w:sz="4" w:space="0"/>
                  </w:tcBorders>
                  <w:shd w:val="clear" w:color="auto" w:fill="FFFFFF"/>
                  <w:noWrap w:val="0"/>
                  <w:vAlign w:val="top"/>
                </w:tcPr>
                <w:p w14:paraId="60ECF7A2">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b w:val="0"/>
                      <w:color w:val="auto"/>
                      <w:sz w:val="21"/>
                      <w:szCs w:val="21"/>
                    </w:rPr>
                  </w:pPr>
                  <w:r>
                    <w:rPr>
                      <w:b w:val="0"/>
                      <w:color w:val="auto"/>
                      <w:spacing w:val="-1"/>
                      <w:sz w:val="21"/>
                      <w:szCs w:val="21"/>
                    </w:rPr>
                    <w:t>夜间最大声级</w:t>
                  </w:r>
                </w:p>
              </w:tc>
              <w:tc>
                <w:tcPr>
                  <w:tcW w:w="5711" w:type="dxa"/>
                  <w:gridSpan w:val="2"/>
                  <w:tcBorders>
                    <w:top w:val="single" w:color="auto" w:sz="4" w:space="0"/>
                    <w:left w:val="single" w:color="auto" w:sz="4" w:space="0"/>
                    <w:bottom w:val="single" w:color="000000" w:sz="12" w:space="0"/>
                    <w:right w:val="nil"/>
                  </w:tcBorders>
                  <w:shd w:val="clear" w:color="auto" w:fill="FFFFFF"/>
                  <w:noWrap w:val="0"/>
                  <w:vAlign w:val="top"/>
                </w:tcPr>
                <w:p w14:paraId="30F88EAB">
                  <w:pPr>
                    <w:pStyle w:val="30"/>
                    <w:keepNext w:val="0"/>
                    <w:keepLines w:val="0"/>
                    <w:pageBreakBefore w:val="0"/>
                    <w:widowControl w:val="0"/>
                    <w:kinsoku/>
                    <w:wordWrap/>
                    <w:overflowPunct/>
                    <w:topLinePunct w:val="0"/>
                    <w:autoSpaceDE/>
                    <w:autoSpaceDN/>
                    <w:bidi w:val="0"/>
                    <w:adjustRightInd/>
                    <w:snapToGrid/>
                    <w:spacing w:line="340" w:lineRule="exact"/>
                    <w:ind w:left="0"/>
                    <w:jc w:val="center"/>
                    <w:textAlignment w:val="auto"/>
                    <w:rPr>
                      <w:rFonts w:ascii="Times New Roman" w:hAnsi="Times New Roman" w:eastAsia="Times New Roman" w:cs="Times New Roman"/>
                      <w:b w:val="0"/>
                      <w:color w:val="auto"/>
                      <w:sz w:val="21"/>
                      <w:szCs w:val="21"/>
                    </w:rPr>
                  </w:pPr>
                  <w:r>
                    <w:rPr>
                      <w:b w:val="0"/>
                      <w:color w:val="auto"/>
                      <w:spacing w:val="-3"/>
                      <w:sz w:val="21"/>
                      <w:szCs w:val="21"/>
                    </w:rPr>
                    <w:t>不得超过夜间排放限值</w:t>
                  </w:r>
                  <w:r>
                    <w:rPr>
                      <w:rFonts w:ascii="Times New Roman" w:hAnsi="Times New Roman" w:eastAsia="Times New Roman" w:cs="Times New Roman"/>
                      <w:b w:val="0"/>
                      <w:color w:val="auto"/>
                      <w:spacing w:val="-3"/>
                      <w:sz w:val="21"/>
                      <w:szCs w:val="21"/>
                    </w:rPr>
                    <w:t>15dB</w:t>
                  </w:r>
                </w:p>
              </w:tc>
            </w:tr>
          </w:tbl>
          <w:p w14:paraId="3561F424">
            <w:pPr>
              <w:pStyle w:val="40"/>
              <w:adjustRightInd w:val="0"/>
              <w:snapToGrid w:val="0"/>
              <w:ind w:firstLine="480"/>
              <w:rPr>
                <w:rFonts w:hint="default" w:ascii="Times New Roman" w:hAnsi="Times New Roman" w:eastAsia="宋体" w:cs="Times New Roman"/>
                <w:color w:val="auto"/>
                <w:lang w:val="en-US" w:eastAsia="zh-CN"/>
              </w:rPr>
            </w:pPr>
          </w:p>
          <w:p w14:paraId="2420DA34">
            <w:pPr>
              <w:pStyle w:val="40"/>
              <w:adjustRightInd w:val="0"/>
              <w:snapToGrid w:val="0"/>
              <w:ind w:firstLine="480"/>
              <w:rPr>
                <w:color w:val="auto"/>
              </w:rPr>
            </w:pPr>
            <w:r>
              <w:rPr>
                <w:rFonts w:hint="eastAsia"/>
                <w:color w:val="auto"/>
                <w:lang w:val="en-US" w:eastAsia="zh-CN"/>
              </w:rPr>
              <w:t>②运营期：</w:t>
            </w:r>
            <w:r>
              <w:rPr>
                <w:color w:val="auto"/>
              </w:rPr>
              <w:t>项目</w:t>
            </w:r>
            <w:r>
              <w:rPr>
                <w:rFonts w:hint="eastAsia"/>
                <w:color w:val="auto"/>
                <w:lang w:val="en-US" w:eastAsia="zh-CN"/>
              </w:rPr>
              <w:t>东</w:t>
            </w:r>
            <w:r>
              <w:rPr>
                <w:color w:val="auto"/>
              </w:rPr>
              <w:t>厂界噪声执行《工业企业厂界环境噪声排放标准》（GB12348-2008）</w:t>
            </w:r>
            <w:r>
              <w:rPr>
                <w:rFonts w:hint="eastAsia"/>
                <w:color w:val="auto"/>
                <w:lang w:val="en-US" w:eastAsia="zh-CN"/>
              </w:rPr>
              <w:t>4a</w:t>
            </w:r>
            <w:r>
              <w:rPr>
                <w:color w:val="auto"/>
              </w:rPr>
              <w:t>类标准，</w:t>
            </w:r>
            <w:r>
              <w:rPr>
                <w:rFonts w:hint="eastAsia"/>
                <w:color w:val="auto"/>
                <w:lang w:val="en-US" w:eastAsia="zh-CN"/>
              </w:rPr>
              <w:t>其余执行2类。</w:t>
            </w:r>
            <w:r>
              <w:rPr>
                <w:color w:val="auto"/>
              </w:rPr>
              <w:t>详见表3.</w:t>
            </w:r>
            <w:r>
              <w:rPr>
                <w:rFonts w:hint="eastAsia"/>
                <w:color w:val="auto"/>
                <w:lang w:val="en-US" w:eastAsia="zh-CN"/>
              </w:rPr>
              <w:t>8</w:t>
            </w:r>
            <w:r>
              <w:rPr>
                <w:color w:val="auto"/>
              </w:rPr>
              <w:t>-</w:t>
            </w:r>
            <w:r>
              <w:rPr>
                <w:rFonts w:hint="eastAsia"/>
                <w:color w:val="auto"/>
                <w:lang w:val="en-US" w:eastAsia="zh-CN"/>
              </w:rPr>
              <w:t>10</w:t>
            </w:r>
            <w:r>
              <w:rPr>
                <w:color w:val="auto"/>
              </w:rPr>
              <w:t>。</w:t>
            </w:r>
          </w:p>
          <w:p w14:paraId="47FDB19F">
            <w:pPr>
              <w:pStyle w:val="31"/>
              <w:spacing w:line="360" w:lineRule="auto"/>
              <w:rPr>
                <w:rFonts w:eastAsia="宋体"/>
                <w:b/>
                <w:bCs/>
                <w:color w:val="auto"/>
              </w:rPr>
            </w:pPr>
            <w:r>
              <w:rPr>
                <w:rFonts w:eastAsia="宋体"/>
                <w:b/>
                <w:bCs/>
                <w:color w:val="auto"/>
              </w:rPr>
              <w:t>表3.</w:t>
            </w:r>
            <w:r>
              <w:rPr>
                <w:rFonts w:hint="eastAsia" w:eastAsia="宋体"/>
                <w:b/>
                <w:bCs/>
                <w:color w:val="auto"/>
                <w:lang w:val="en-US" w:eastAsia="zh-CN"/>
              </w:rPr>
              <w:t>8</w:t>
            </w:r>
            <w:r>
              <w:rPr>
                <w:rFonts w:eastAsia="宋体"/>
                <w:b/>
                <w:bCs/>
                <w:color w:val="auto"/>
              </w:rPr>
              <w:t>-</w:t>
            </w:r>
            <w:r>
              <w:rPr>
                <w:rFonts w:hint="eastAsia" w:eastAsia="宋体"/>
                <w:b/>
                <w:bCs/>
                <w:color w:val="auto"/>
                <w:lang w:val="en-US" w:eastAsia="zh-CN"/>
              </w:rPr>
              <w:t>10</w:t>
            </w:r>
            <w:r>
              <w:rPr>
                <w:rFonts w:eastAsia="宋体"/>
                <w:b/>
                <w:bCs/>
                <w:color w:val="auto"/>
              </w:rPr>
              <w:t>《工业企业厂界环境噪声排放标准》（GB12348-2008）（摘录）</w:t>
            </w:r>
          </w:p>
          <w:tbl>
            <w:tblPr>
              <w:tblStyle w:val="17"/>
              <w:tblW w:w="0" w:type="auto"/>
              <w:jc w:val="center"/>
              <w:tblLayout w:type="autofit"/>
              <w:tblCellMar>
                <w:top w:w="0" w:type="dxa"/>
                <w:left w:w="108" w:type="dxa"/>
                <w:bottom w:w="0" w:type="dxa"/>
                <w:right w:w="108" w:type="dxa"/>
              </w:tblCellMar>
            </w:tblPr>
            <w:tblGrid>
              <w:gridCol w:w="3663"/>
              <w:gridCol w:w="1602"/>
              <w:gridCol w:w="1546"/>
              <w:gridCol w:w="1578"/>
            </w:tblGrid>
            <w:tr w14:paraId="0B46C853">
              <w:tblPrEx>
                <w:tblCellMar>
                  <w:top w:w="0" w:type="dxa"/>
                  <w:left w:w="108" w:type="dxa"/>
                  <w:bottom w:w="0" w:type="dxa"/>
                  <w:right w:w="108" w:type="dxa"/>
                </w:tblCellMar>
              </w:tblPrEx>
              <w:trPr>
                <w:trHeight w:val="397" w:hRule="atLeast"/>
                <w:jc w:val="center"/>
              </w:trPr>
              <w:tc>
                <w:tcPr>
                  <w:tcW w:w="3879" w:type="dxa"/>
                  <w:tcBorders>
                    <w:top w:val="single" w:color="auto" w:sz="12" w:space="0"/>
                    <w:left w:val="nil"/>
                    <w:bottom w:val="single" w:color="auto" w:sz="2" w:space="0"/>
                    <w:right w:val="single" w:color="auto" w:sz="2" w:space="0"/>
                    <w:tl2br w:val="single" w:color="auto" w:sz="4" w:space="0"/>
                  </w:tcBorders>
                  <w:noWrap w:val="0"/>
                  <w:vAlign w:val="center"/>
                </w:tcPr>
                <w:p w14:paraId="58C634EC">
                  <w:pPr>
                    <w:pStyle w:val="43"/>
                    <w:spacing w:line="340" w:lineRule="exact"/>
                    <w:rPr>
                      <w:color w:val="auto"/>
                    </w:rPr>
                  </w:pPr>
                  <w:r>
                    <w:rPr>
                      <w:color w:val="auto"/>
                    </w:rPr>
                    <w:t>时段</w:t>
                  </w:r>
                </w:p>
                <w:p w14:paraId="63263584">
                  <w:pPr>
                    <w:pStyle w:val="43"/>
                    <w:spacing w:line="340" w:lineRule="exact"/>
                    <w:jc w:val="both"/>
                    <w:rPr>
                      <w:color w:val="auto"/>
                    </w:rPr>
                  </w:pPr>
                  <w:r>
                    <w:rPr>
                      <w:color w:val="auto"/>
                    </w:rPr>
                    <w:t>边界外声环境功能区类别</w:t>
                  </w:r>
                </w:p>
              </w:tc>
              <w:tc>
                <w:tcPr>
                  <w:tcW w:w="1680" w:type="dxa"/>
                  <w:tcBorders>
                    <w:top w:val="single" w:color="auto" w:sz="12" w:space="0"/>
                    <w:left w:val="single" w:color="auto" w:sz="2" w:space="0"/>
                    <w:bottom w:val="single" w:color="auto" w:sz="2" w:space="0"/>
                    <w:right w:val="single" w:color="auto" w:sz="2" w:space="0"/>
                  </w:tcBorders>
                  <w:noWrap w:val="0"/>
                  <w:vAlign w:val="center"/>
                </w:tcPr>
                <w:p w14:paraId="0EC3C764">
                  <w:pPr>
                    <w:pStyle w:val="43"/>
                    <w:spacing w:line="340" w:lineRule="exact"/>
                    <w:rPr>
                      <w:color w:val="auto"/>
                    </w:rPr>
                  </w:pPr>
                  <w:r>
                    <w:rPr>
                      <w:color w:val="auto"/>
                    </w:rPr>
                    <w:t>昼间</w:t>
                  </w:r>
                </w:p>
              </w:tc>
              <w:tc>
                <w:tcPr>
                  <w:tcW w:w="1620" w:type="dxa"/>
                  <w:tcBorders>
                    <w:top w:val="single" w:color="auto" w:sz="12" w:space="0"/>
                    <w:left w:val="single" w:color="auto" w:sz="2" w:space="0"/>
                    <w:bottom w:val="single" w:color="auto" w:sz="2" w:space="0"/>
                    <w:right w:val="single" w:color="auto" w:sz="2" w:space="0"/>
                  </w:tcBorders>
                  <w:noWrap w:val="0"/>
                  <w:vAlign w:val="center"/>
                </w:tcPr>
                <w:p w14:paraId="0A5044C7">
                  <w:pPr>
                    <w:pStyle w:val="43"/>
                    <w:spacing w:line="340" w:lineRule="exact"/>
                    <w:rPr>
                      <w:color w:val="auto"/>
                    </w:rPr>
                  </w:pPr>
                  <w:r>
                    <w:rPr>
                      <w:color w:val="auto"/>
                    </w:rPr>
                    <w:t>夜间</w:t>
                  </w:r>
                </w:p>
              </w:tc>
              <w:tc>
                <w:tcPr>
                  <w:tcW w:w="1630" w:type="dxa"/>
                  <w:tcBorders>
                    <w:top w:val="single" w:color="auto" w:sz="12" w:space="0"/>
                    <w:left w:val="single" w:color="auto" w:sz="2" w:space="0"/>
                    <w:bottom w:val="single" w:color="auto" w:sz="2" w:space="0"/>
                    <w:right w:val="nil"/>
                  </w:tcBorders>
                  <w:noWrap w:val="0"/>
                  <w:vAlign w:val="center"/>
                </w:tcPr>
                <w:p w14:paraId="694A3827">
                  <w:pPr>
                    <w:pStyle w:val="43"/>
                    <w:spacing w:line="340" w:lineRule="exact"/>
                    <w:rPr>
                      <w:color w:val="auto"/>
                    </w:rPr>
                  </w:pPr>
                  <w:r>
                    <w:rPr>
                      <w:color w:val="auto"/>
                    </w:rPr>
                    <w:t>单位</w:t>
                  </w:r>
                </w:p>
              </w:tc>
            </w:tr>
            <w:tr w14:paraId="0780BD24">
              <w:tblPrEx>
                <w:tblCellMar>
                  <w:top w:w="0" w:type="dxa"/>
                  <w:left w:w="108" w:type="dxa"/>
                  <w:bottom w:w="0" w:type="dxa"/>
                  <w:right w:w="108" w:type="dxa"/>
                </w:tblCellMar>
              </w:tblPrEx>
              <w:trPr>
                <w:trHeight w:val="397" w:hRule="atLeast"/>
                <w:jc w:val="center"/>
              </w:trPr>
              <w:tc>
                <w:tcPr>
                  <w:tcW w:w="3879" w:type="dxa"/>
                  <w:tcBorders>
                    <w:top w:val="single" w:color="auto" w:sz="2" w:space="0"/>
                    <w:left w:val="nil"/>
                    <w:bottom w:val="single" w:color="auto" w:sz="2" w:space="0"/>
                    <w:right w:val="single" w:color="auto" w:sz="2" w:space="0"/>
                  </w:tcBorders>
                  <w:noWrap w:val="0"/>
                  <w:vAlign w:val="center"/>
                </w:tcPr>
                <w:p w14:paraId="4337B085">
                  <w:pPr>
                    <w:pStyle w:val="36"/>
                    <w:tabs>
                      <w:tab w:val="left" w:pos="1980"/>
                      <w:tab w:val="left" w:pos="3825"/>
                      <w:tab w:val="left" w:pos="4680"/>
                      <w:tab w:val="clear" w:pos="0"/>
                    </w:tabs>
                    <w:rPr>
                      <w:color w:val="auto"/>
                    </w:rPr>
                  </w:pP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类</w:t>
                  </w:r>
                </w:p>
              </w:tc>
              <w:tc>
                <w:tcPr>
                  <w:tcW w:w="1680" w:type="dxa"/>
                  <w:tcBorders>
                    <w:top w:val="single" w:color="auto" w:sz="2" w:space="0"/>
                    <w:left w:val="single" w:color="auto" w:sz="2" w:space="0"/>
                    <w:bottom w:val="single" w:color="auto" w:sz="2" w:space="0"/>
                    <w:right w:val="single" w:color="auto" w:sz="2" w:space="0"/>
                  </w:tcBorders>
                  <w:noWrap w:val="0"/>
                  <w:vAlign w:val="center"/>
                </w:tcPr>
                <w:p w14:paraId="79D6987E">
                  <w:pPr>
                    <w:pStyle w:val="36"/>
                    <w:tabs>
                      <w:tab w:val="left" w:pos="1980"/>
                      <w:tab w:val="left" w:pos="3825"/>
                      <w:tab w:val="left" w:pos="4680"/>
                      <w:tab w:val="clear" w:pos="0"/>
                    </w:tabs>
                    <w:rPr>
                      <w:color w:val="auto"/>
                    </w:rPr>
                  </w:pPr>
                  <w:r>
                    <w:rPr>
                      <w:rFonts w:ascii="Times New Roman" w:hAnsi="Times New Roman" w:eastAsia="宋体" w:cs="Times New Roman"/>
                      <w:color w:val="auto"/>
                    </w:rPr>
                    <w:t>6</w:t>
                  </w:r>
                  <w:r>
                    <w:rPr>
                      <w:rFonts w:hint="eastAsia" w:ascii="Times New Roman" w:hAnsi="Times New Roman" w:eastAsia="宋体" w:cs="Times New Roman"/>
                      <w:color w:val="auto"/>
                      <w:lang w:val="en-US" w:eastAsia="zh-CN"/>
                    </w:rPr>
                    <w:t>0</w:t>
                  </w:r>
                </w:p>
              </w:tc>
              <w:tc>
                <w:tcPr>
                  <w:tcW w:w="1620" w:type="dxa"/>
                  <w:tcBorders>
                    <w:top w:val="single" w:color="auto" w:sz="2" w:space="0"/>
                    <w:left w:val="single" w:color="auto" w:sz="2" w:space="0"/>
                    <w:bottom w:val="single" w:color="auto" w:sz="2" w:space="0"/>
                    <w:right w:val="single" w:color="auto" w:sz="2" w:space="0"/>
                  </w:tcBorders>
                  <w:noWrap w:val="0"/>
                  <w:vAlign w:val="center"/>
                </w:tcPr>
                <w:p w14:paraId="0171BF92">
                  <w:pPr>
                    <w:pStyle w:val="36"/>
                    <w:tabs>
                      <w:tab w:val="left" w:pos="1980"/>
                      <w:tab w:val="left" w:pos="3825"/>
                      <w:tab w:val="left" w:pos="4680"/>
                      <w:tab w:val="clear" w:pos="0"/>
                    </w:tabs>
                    <w:rPr>
                      <w:color w:val="auto"/>
                    </w:rPr>
                  </w:pPr>
                  <w:r>
                    <w:rPr>
                      <w:rFonts w:hint="eastAsia" w:ascii="Times New Roman" w:hAnsi="Times New Roman" w:eastAsia="宋体" w:cs="Times New Roman"/>
                      <w:color w:val="auto"/>
                      <w:lang w:val="en-US" w:eastAsia="zh-CN"/>
                    </w:rPr>
                    <w:t>50</w:t>
                  </w:r>
                </w:p>
              </w:tc>
              <w:tc>
                <w:tcPr>
                  <w:tcW w:w="1630" w:type="dxa"/>
                  <w:tcBorders>
                    <w:top w:val="single" w:color="auto" w:sz="2" w:space="0"/>
                    <w:left w:val="single" w:color="auto" w:sz="2" w:space="0"/>
                    <w:bottom w:val="single" w:color="auto" w:sz="2" w:space="0"/>
                    <w:right w:val="nil"/>
                  </w:tcBorders>
                  <w:noWrap w:val="0"/>
                  <w:vAlign w:val="center"/>
                </w:tcPr>
                <w:p w14:paraId="16C4B5E6">
                  <w:pPr>
                    <w:pStyle w:val="43"/>
                    <w:spacing w:line="340" w:lineRule="exact"/>
                    <w:rPr>
                      <w:color w:val="auto"/>
                    </w:rPr>
                  </w:pPr>
                  <w:r>
                    <w:rPr>
                      <w:color w:val="auto"/>
                    </w:rPr>
                    <w:t>dB（A）</w:t>
                  </w:r>
                </w:p>
              </w:tc>
            </w:tr>
            <w:tr w14:paraId="7AFA20AB">
              <w:tblPrEx>
                <w:tblCellMar>
                  <w:top w:w="0" w:type="dxa"/>
                  <w:left w:w="108" w:type="dxa"/>
                  <w:bottom w:w="0" w:type="dxa"/>
                  <w:right w:w="108" w:type="dxa"/>
                </w:tblCellMar>
              </w:tblPrEx>
              <w:trPr>
                <w:trHeight w:val="397" w:hRule="atLeast"/>
                <w:jc w:val="center"/>
              </w:trPr>
              <w:tc>
                <w:tcPr>
                  <w:tcW w:w="3879" w:type="dxa"/>
                  <w:tcBorders>
                    <w:top w:val="single" w:color="auto" w:sz="2" w:space="0"/>
                    <w:left w:val="nil"/>
                    <w:bottom w:val="single" w:color="auto" w:sz="12" w:space="0"/>
                    <w:right w:val="single" w:color="auto" w:sz="2" w:space="0"/>
                  </w:tcBorders>
                  <w:noWrap w:val="0"/>
                  <w:vAlign w:val="center"/>
                </w:tcPr>
                <w:p w14:paraId="66C4FA81">
                  <w:pPr>
                    <w:pStyle w:val="36"/>
                    <w:tabs>
                      <w:tab w:val="left" w:pos="1980"/>
                      <w:tab w:val="left" w:pos="3825"/>
                      <w:tab w:val="left" w:pos="4680"/>
                      <w:tab w:val="clear" w:pos="0"/>
                    </w:tabs>
                    <w:rPr>
                      <w:rFonts w:hint="eastAsia"/>
                      <w:color w:val="auto"/>
                    </w:rPr>
                  </w:pPr>
                  <w:bookmarkStart w:id="11" w:name="_Toc513544528"/>
                  <w:bookmarkStart w:id="12" w:name="_Toc26792"/>
                  <w:r>
                    <w:rPr>
                      <w:rFonts w:ascii="Times New Roman" w:hAnsi="Times New Roman" w:eastAsia="宋体" w:cs="Times New Roman"/>
                      <w:color w:val="auto"/>
                    </w:rPr>
                    <w:t>4a</w:t>
                  </w:r>
                  <w:r>
                    <w:rPr>
                      <w:rFonts w:hint="eastAsia" w:ascii="Times New Roman" w:hAnsi="Times New Roman" w:eastAsia="宋体" w:cs="Times New Roman"/>
                      <w:color w:val="auto"/>
                    </w:rPr>
                    <w:t>类</w:t>
                  </w:r>
                </w:p>
              </w:tc>
              <w:tc>
                <w:tcPr>
                  <w:tcW w:w="1680" w:type="dxa"/>
                  <w:tcBorders>
                    <w:top w:val="single" w:color="auto" w:sz="2" w:space="0"/>
                    <w:left w:val="single" w:color="auto" w:sz="2" w:space="0"/>
                    <w:bottom w:val="single" w:color="auto" w:sz="12" w:space="0"/>
                    <w:right w:val="single" w:color="auto" w:sz="2" w:space="0"/>
                  </w:tcBorders>
                  <w:noWrap w:val="0"/>
                  <w:vAlign w:val="center"/>
                </w:tcPr>
                <w:p w14:paraId="47415006">
                  <w:pPr>
                    <w:pStyle w:val="36"/>
                    <w:tabs>
                      <w:tab w:val="left" w:pos="1980"/>
                      <w:tab w:val="left" w:pos="3825"/>
                      <w:tab w:val="left" w:pos="4680"/>
                      <w:tab w:val="clear" w:pos="0"/>
                    </w:tabs>
                    <w:rPr>
                      <w:rFonts w:hint="eastAsia"/>
                      <w:color w:val="auto"/>
                    </w:rPr>
                  </w:pPr>
                  <w:r>
                    <w:rPr>
                      <w:rFonts w:hint="eastAsia" w:ascii="Times New Roman" w:hAnsi="Times New Roman" w:eastAsia="宋体" w:cs="Times New Roman"/>
                      <w:color w:val="auto"/>
                      <w:lang w:val="en-US" w:eastAsia="zh-CN"/>
                    </w:rPr>
                    <w:t>70</w:t>
                  </w:r>
                </w:p>
              </w:tc>
              <w:tc>
                <w:tcPr>
                  <w:tcW w:w="1620" w:type="dxa"/>
                  <w:tcBorders>
                    <w:top w:val="single" w:color="auto" w:sz="2" w:space="0"/>
                    <w:left w:val="single" w:color="auto" w:sz="2" w:space="0"/>
                    <w:bottom w:val="single" w:color="auto" w:sz="12" w:space="0"/>
                    <w:right w:val="single" w:color="auto" w:sz="2" w:space="0"/>
                  </w:tcBorders>
                  <w:noWrap w:val="0"/>
                  <w:vAlign w:val="center"/>
                </w:tcPr>
                <w:p w14:paraId="2400D5F0">
                  <w:pPr>
                    <w:pStyle w:val="36"/>
                    <w:tabs>
                      <w:tab w:val="left" w:pos="1980"/>
                      <w:tab w:val="left" w:pos="3825"/>
                      <w:tab w:val="left" w:pos="4680"/>
                      <w:tab w:val="clear" w:pos="0"/>
                    </w:tabs>
                    <w:rPr>
                      <w:rFonts w:hint="eastAsia"/>
                      <w:color w:val="auto"/>
                    </w:rPr>
                  </w:pPr>
                  <w:r>
                    <w:rPr>
                      <w:rFonts w:hint="eastAsia" w:ascii="Times New Roman" w:hAnsi="Times New Roman" w:eastAsia="宋体" w:cs="Times New Roman"/>
                      <w:color w:val="auto"/>
                      <w:lang w:val="en-US" w:eastAsia="zh-CN"/>
                    </w:rPr>
                    <w:t>55</w:t>
                  </w:r>
                </w:p>
              </w:tc>
              <w:tc>
                <w:tcPr>
                  <w:tcW w:w="1630" w:type="dxa"/>
                  <w:tcBorders>
                    <w:top w:val="single" w:color="auto" w:sz="2" w:space="0"/>
                    <w:left w:val="single" w:color="auto" w:sz="2" w:space="0"/>
                    <w:bottom w:val="single" w:color="auto" w:sz="12" w:space="0"/>
                    <w:right w:val="nil"/>
                  </w:tcBorders>
                  <w:noWrap w:val="0"/>
                  <w:vAlign w:val="center"/>
                </w:tcPr>
                <w:p w14:paraId="0F9E8383">
                  <w:pPr>
                    <w:pStyle w:val="43"/>
                    <w:spacing w:line="340" w:lineRule="exact"/>
                    <w:rPr>
                      <w:color w:val="auto"/>
                    </w:rPr>
                  </w:pPr>
                  <w:r>
                    <w:rPr>
                      <w:color w:val="auto"/>
                    </w:rPr>
                    <w:t>dB（A）</w:t>
                  </w:r>
                </w:p>
              </w:tc>
            </w:tr>
          </w:tbl>
          <w:p w14:paraId="08A3057D">
            <w:pPr>
              <w:pStyle w:val="4"/>
              <w:spacing w:before="120"/>
              <w:rPr>
                <w:color w:val="auto"/>
              </w:rPr>
            </w:pPr>
            <w:r>
              <w:rPr>
                <w:color w:val="auto"/>
              </w:rPr>
              <w:t>3.</w:t>
            </w:r>
            <w:r>
              <w:rPr>
                <w:rFonts w:hint="eastAsia"/>
                <w:color w:val="auto"/>
              </w:rPr>
              <w:t>7</w:t>
            </w:r>
            <w:r>
              <w:rPr>
                <w:color w:val="auto"/>
              </w:rPr>
              <w:t>.4固体废物排放标准</w:t>
            </w:r>
            <w:bookmarkEnd w:id="11"/>
            <w:bookmarkEnd w:id="12"/>
          </w:p>
          <w:p w14:paraId="0EF66E67">
            <w:pPr>
              <w:pStyle w:val="30"/>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①施工期：</w:t>
            </w:r>
            <w:r>
              <w:rPr>
                <w:rFonts w:hint="default" w:ascii="Times New Roman" w:hAnsi="Times New Roman" w:cs="Times New Roman"/>
                <w:color w:val="auto"/>
                <w:spacing w:val="-8"/>
              </w:rPr>
              <w:t>建筑垃圾的处置执行《城市建筑垃圾管理规定》（建设部</w:t>
            </w:r>
            <w:r>
              <w:rPr>
                <w:rFonts w:hint="default" w:ascii="Times New Roman" w:hAnsi="Times New Roman" w:eastAsia="Times New Roman" w:cs="Times New Roman"/>
                <w:color w:val="auto"/>
                <w:spacing w:val="-8"/>
              </w:rPr>
              <w:t>2005</w:t>
            </w:r>
            <w:r>
              <w:rPr>
                <w:rFonts w:hint="default" w:ascii="Times New Roman" w:hAnsi="Times New Roman" w:cs="Times New Roman"/>
                <w:color w:val="auto"/>
                <w:spacing w:val="-27"/>
              </w:rPr>
              <w:t>第</w:t>
            </w:r>
            <w:r>
              <w:rPr>
                <w:rFonts w:hint="default" w:ascii="Times New Roman" w:hAnsi="Times New Roman" w:eastAsia="Times New Roman" w:cs="Times New Roman"/>
                <w:color w:val="auto"/>
                <w:spacing w:val="-27"/>
              </w:rPr>
              <w:t>139</w:t>
            </w:r>
            <w:r>
              <w:rPr>
                <w:rFonts w:hint="default" w:ascii="Times New Roman" w:hAnsi="Times New Roman" w:cs="Times New Roman"/>
                <w:color w:val="auto"/>
                <w:spacing w:val="-27"/>
              </w:rPr>
              <w:t>号）。</w:t>
            </w:r>
          </w:p>
          <w:p w14:paraId="5D8484A6">
            <w:pPr>
              <w:pStyle w:val="14"/>
              <w:keepNext w:val="0"/>
              <w:widowControl/>
              <w:shd w:val="clear" w:color="auto" w:fill="FFFFFF"/>
              <w:spacing w:beforeAutospacing="0" w:after="0" w:afterAutospacing="0" w:line="360" w:lineRule="auto"/>
              <w:ind w:firstLine="480" w:firstLineChars="200"/>
              <w:rPr>
                <w:rFonts w:ascii="Times New Roman" w:hAnsi="Times New Roman"/>
                <w:color w:val="auto"/>
                <w:kern w:val="2"/>
                <w:szCs w:val="21"/>
              </w:rPr>
            </w:pPr>
            <w:r>
              <w:rPr>
                <w:rFonts w:hint="eastAsia"/>
                <w:color w:val="auto"/>
                <w:lang w:val="en-US" w:eastAsia="zh-CN"/>
              </w:rPr>
              <w:t>②运营期：</w:t>
            </w:r>
            <w:r>
              <w:rPr>
                <w:rFonts w:ascii="Times New Roman" w:hAnsi="Times New Roman"/>
                <w:color w:val="auto"/>
                <w:kern w:val="2"/>
                <w:szCs w:val="21"/>
              </w:rPr>
              <w:t>营运期医院医疗废物排放执行国务院380号令《医疗废物管理条例》、《危险废物贮存污染控制标准》（GB18597—2023）、《医疗废物专用包装袋、容器和警示标志标准》（HT421—2008）、《医疗卫生机构医疗废物管理办法》（中华人民共和国卫生部令第36号）。</w:t>
            </w:r>
          </w:p>
          <w:p w14:paraId="756C174A">
            <w:pPr>
              <w:pStyle w:val="23"/>
              <w:rPr>
                <w:rFonts w:cs="Times New Roman"/>
                <w:color w:val="auto"/>
                <w:kern w:val="0"/>
                <w:szCs w:val="21"/>
              </w:rPr>
            </w:pPr>
            <w:r>
              <w:rPr>
                <w:rFonts w:cs="Times New Roman"/>
                <w:color w:val="auto"/>
                <w:sz w:val="24"/>
                <w:szCs w:val="24"/>
              </w:rPr>
              <w:t>营运期医院污水处理污泥（含栅渣、化粪池和污水处理站污泥）排放执行《医疗机构水污染物排放标准》GB18466-2005表4综合医疗机构污泥控制标准:粪大肠菌群数≤100MPN/g、蛔虫卵死亡率&gt;95%。</w:t>
            </w:r>
          </w:p>
        </w:tc>
      </w:tr>
      <w:tr w14:paraId="44C3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6" w:hRule="atLeast"/>
          <w:jc w:val="center"/>
        </w:trPr>
        <w:tc>
          <w:tcPr>
            <w:tcW w:w="251" w:type="pct"/>
            <w:noWrap w:val="0"/>
            <w:vAlign w:val="center"/>
          </w:tcPr>
          <w:p w14:paraId="6428AE15">
            <w:pPr>
              <w:adjustRightInd w:val="0"/>
              <w:snapToGrid w:val="0"/>
              <w:jc w:val="center"/>
              <w:rPr>
                <w:color w:val="auto"/>
                <w:kern w:val="0"/>
                <w:szCs w:val="21"/>
              </w:rPr>
            </w:pPr>
            <w:r>
              <w:rPr>
                <w:color w:val="auto"/>
                <w:kern w:val="0"/>
                <w:szCs w:val="21"/>
              </w:rPr>
              <w:t>总量</w:t>
            </w:r>
          </w:p>
          <w:p w14:paraId="48DF4563">
            <w:pPr>
              <w:adjustRightInd w:val="0"/>
              <w:snapToGrid w:val="0"/>
              <w:jc w:val="center"/>
              <w:rPr>
                <w:color w:val="auto"/>
                <w:kern w:val="0"/>
                <w:szCs w:val="21"/>
              </w:rPr>
            </w:pPr>
            <w:r>
              <w:rPr>
                <w:color w:val="auto"/>
                <w:kern w:val="0"/>
                <w:szCs w:val="21"/>
              </w:rPr>
              <w:t>控制</w:t>
            </w:r>
          </w:p>
          <w:p w14:paraId="1BD2A6AD">
            <w:pPr>
              <w:adjustRightInd w:val="0"/>
              <w:snapToGrid w:val="0"/>
              <w:jc w:val="center"/>
              <w:rPr>
                <w:color w:val="auto"/>
                <w:kern w:val="0"/>
                <w:szCs w:val="21"/>
              </w:rPr>
            </w:pPr>
            <w:r>
              <w:rPr>
                <w:color w:val="auto"/>
                <w:kern w:val="0"/>
                <w:szCs w:val="21"/>
              </w:rPr>
              <w:t>指标</w:t>
            </w:r>
          </w:p>
        </w:tc>
        <w:tc>
          <w:tcPr>
            <w:tcW w:w="4748" w:type="pct"/>
            <w:noWrap w:val="0"/>
            <w:vAlign w:val="center"/>
          </w:tcPr>
          <w:p w14:paraId="737C11C4">
            <w:pPr>
              <w:pStyle w:val="30"/>
              <w:spacing w:before="197" w:line="220" w:lineRule="auto"/>
              <w:ind w:left="103"/>
              <w:rPr>
                <w:rFonts w:ascii="Times New Roman" w:hAnsi="Times New Roman" w:eastAsia="宋体" w:cs="Times New Roman"/>
                <w:b/>
                <w:color w:val="auto"/>
                <w:kern w:val="2"/>
                <w:sz w:val="28"/>
                <w:szCs w:val="24"/>
                <w:lang w:val="en-US" w:eastAsia="zh-CN" w:bidi="ar-SA"/>
              </w:rPr>
            </w:pPr>
            <w:r>
              <w:rPr>
                <w:rFonts w:ascii="Times New Roman" w:hAnsi="Times New Roman" w:eastAsia="宋体" w:cs="Times New Roman"/>
                <w:b/>
                <w:color w:val="auto"/>
                <w:kern w:val="2"/>
                <w:sz w:val="28"/>
                <w:szCs w:val="24"/>
                <w:lang w:val="en-US" w:eastAsia="zh-CN" w:bidi="ar-SA"/>
              </w:rPr>
              <w:t>3.</w:t>
            </w:r>
            <w:r>
              <w:rPr>
                <w:rFonts w:hint="eastAsia" w:ascii="Times New Roman" w:hAnsi="Times New Roman" w:eastAsia="宋体" w:cs="Times New Roman"/>
                <w:b/>
                <w:color w:val="auto"/>
                <w:kern w:val="2"/>
                <w:sz w:val="28"/>
                <w:szCs w:val="24"/>
                <w:lang w:val="en-US" w:eastAsia="zh-CN" w:bidi="ar-SA"/>
              </w:rPr>
              <w:t>9</w:t>
            </w:r>
            <w:r>
              <w:rPr>
                <w:rFonts w:ascii="Times New Roman" w:hAnsi="Times New Roman" w:eastAsia="宋体" w:cs="Times New Roman"/>
                <w:b/>
                <w:color w:val="auto"/>
                <w:kern w:val="2"/>
                <w:sz w:val="28"/>
                <w:szCs w:val="24"/>
                <w:lang w:val="en-US" w:eastAsia="zh-CN" w:bidi="ar-SA"/>
              </w:rPr>
              <w:t>总量控制</w:t>
            </w:r>
          </w:p>
          <w:p w14:paraId="74CD312A">
            <w:pPr>
              <w:pStyle w:val="30"/>
              <w:spacing w:before="213" w:line="360" w:lineRule="auto"/>
              <w:ind w:left="597"/>
              <w:rPr>
                <w:rFonts w:ascii="Times New Roman" w:hAnsi="Times New Roman" w:cs="Times New Roman"/>
                <w:color w:val="auto"/>
                <w:lang w:eastAsia="zh-CN"/>
              </w:rPr>
            </w:pPr>
            <w:r>
              <w:rPr>
                <w:rFonts w:ascii="Times New Roman" w:hAnsi="Times New Roman" w:cs="Times New Roman"/>
                <w:b/>
                <w:bCs/>
                <w:color w:val="auto"/>
                <w:spacing w:val="-4"/>
                <w:lang w:eastAsia="zh-CN"/>
              </w:rPr>
              <w:t>（1）总量控制指标</w:t>
            </w:r>
          </w:p>
          <w:p w14:paraId="226749BC">
            <w:pPr>
              <w:pStyle w:val="30"/>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ascii="Times New Roman" w:hAnsi="Times New Roman" w:cs="Times New Roman"/>
                <w:color w:val="auto"/>
                <w:lang w:eastAsia="zh-CN"/>
              </w:rPr>
            </w:pPr>
            <w:r>
              <w:rPr>
                <w:rFonts w:hint="eastAsia" w:ascii="Times New Roman" w:hAnsi="Times New Roman" w:eastAsia="宋体" w:cs="Times New Roman"/>
                <w:color w:val="auto"/>
                <w:lang w:eastAsia="zh-CN"/>
              </w:rPr>
              <w:t>根据《福建省人民政府关于推进排污权有偿使用和交易工作的意见》（闽政[2016]54号）和《福建省环保厅关于进一步明确排污权工作有关问题的通知》（闽环保财[2017]22号）规定，本项目总量控制因子为COD、NH</w:t>
            </w:r>
            <w:r>
              <w:rPr>
                <w:rFonts w:hint="eastAsia" w:ascii="Times New Roman" w:hAnsi="Times New Roman" w:eastAsia="宋体" w:cs="Times New Roman"/>
                <w:color w:val="auto"/>
                <w:vertAlign w:val="subscript"/>
                <w:lang w:eastAsia="zh-CN"/>
              </w:rPr>
              <w:t>3</w:t>
            </w:r>
            <w:r>
              <w:rPr>
                <w:rFonts w:hint="eastAsia" w:ascii="Times New Roman" w:hAnsi="Times New Roman" w:eastAsia="宋体" w:cs="Times New Roman"/>
                <w:color w:val="auto"/>
                <w:lang w:eastAsia="zh-CN"/>
              </w:rPr>
              <w:t>。</w:t>
            </w:r>
          </w:p>
          <w:p w14:paraId="2C6077BB">
            <w:pPr>
              <w:pStyle w:val="30"/>
              <w:numPr>
                <w:ilvl w:val="0"/>
                <w:numId w:val="3"/>
              </w:numPr>
              <w:spacing w:before="214" w:line="360" w:lineRule="auto"/>
              <w:ind w:left="597"/>
              <w:rPr>
                <w:rFonts w:ascii="Times New Roman" w:hAnsi="Times New Roman" w:cs="Times New Roman"/>
                <w:b/>
                <w:bCs/>
                <w:color w:val="auto"/>
                <w:spacing w:val="-3"/>
                <w:lang w:eastAsia="zh-CN"/>
              </w:rPr>
            </w:pPr>
            <w:r>
              <w:rPr>
                <w:rFonts w:ascii="Times New Roman" w:hAnsi="Times New Roman" w:cs="Times New Roman"/>
                <w:b/>
                <w:bCs/>
                <w:color w:val="auto"/>
                <w:spacing w:val="-3"/>
                <w:lang w:eastAsia="zh-CN"/>
              </w:rPr>
              <w:t>总量控制建议值</w:t>
            </w:r>
          </w:p>
          <w:p w14:paraId="644C1DEC">
            <w:pPr>
              <w:pStyle w:val="30"/>
              <w:numPr>
                <w:ilvl w:val="0"/>
                <w:numId w:val="0"/>
              </w:numPr>
              <w:spacing w:before="214" w:line="360" w:lineRule="auto"/>
              <w:ind w:firstLine="480" w:firstLineChars="200"/>
              <w:rPr>
                <w:rFonts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福建省人民政府关于推进排污权有偿使用和交易工作的意见》（闽政[2016]54号），将排污权有偿使用和交易的实施对象扩大为全省范围内的工业排污单位、工业集中区集中供热和废气、废水集中治理的污染物为国家对我省实施总量控制的主要污染物本项目属于服务型项目，非工业项目，不属于工业排污单位，不属于应实施排污权有偿使用和交易的单位，不纳入总量指标管理，故无需申请废水排放总量。</w:t>
            </w:r>
          </w:p>
          <w:p w14:paraId="77FD2DC0">
            <w:pPr>
              <w:adjustRightInd w:val="0"/>
              <w:snapToGrid w:val="0"/>
              <w:spacing w:line="360" w:lineRule="auto"/>
              <w:ind w:firstLine="480" w:firstLineChars="200"/>
              <w:rPr>
                <w:color w:val="auto"/>
                <w:sz w:val="24"/>
              </w:rPr>
            </w:pPr>
            <w:r>
              <w:rPr>
                <w:color w:val="auto"/>
                <w:sz w:val="24"/>
              </w:rPr>
              <w:t>根据工程分析，项目污染物排放总量情况见下表。</w:t>
            </w:r>
          </w:p>
          <w:p w14:paraId="346C17D8">
            <w:pPr>
              <w:pStyle w:val="31"/>
              <w:spacing w:line="360" w:lineRule="auto"/>
              <w:rPr>
                <w:rFonts w:eastAsia="宋体"/>
                <w:b/>
                <w:bCs/>
                <w:color w:val="auto"/>
              </w:rPr>
            </w:pPr>
            <w:r>
              <w:rPr>
                <w:rFonts w:eastAsia="宋体"/>
                <w:b/>
                <w:bCs/>
                <w:color w:val="auto"/>
              </w:rPr>
              <w:t>表3.</w:t>
            </w:r>
            <w:r>
              <w:rPr>
                <w:rFonts w:hint="eastAsia" w:eastAsia="宋体"/>
                <w:b/>
                <w:bCs/>
                <w:color w:val="auto"/>
                <w:lang w:val="en-US" w:eastAsia="zh-CN"/>
              </w:rPr>
              <w:t>8</w:t>
            </w:r>
            <w:r>
              <w:rPr>
                <w:rFonts w:eastAsia="宋体"/>
                <w:b/>
                <w:bCs/>
                <w:color w:val="auto"/>
              </w:rPr>
              <w:t>-</w:t>
            </w:r>
            <w:r>
              <w:rPr>
                <w:rFonts w:hint="eastAsia" w:eastAsia="宋体"/>
                <w:b/>
                <w:bCs/>
                <w:color w:val="auto"/>
                <w:lang w:val="en-US" w:eastAsia="zh-CN"/>
              </w:rPr>
              <w:t>1项目实施后企业总量情况（单位：t/a）</w:t>
            </w:r>
          </w:p>
          <w:tbl>
            <w:tblPr>
              <w:tblStyle w:val="17"/>
              <w:tblW w:w="8385" w:type="dxa"/>
              <w:jc w:val="center"/>
              <w:tblLayout w:type="autofit"/>
              <w:tblCellMar>
                <w:top w:w="0" w:type="dxa"/>
                <w:left w:w="108" w:type="dxa"/>
                <w:bottom w:w="0" w:type="dxa"/>
                <w:right w:w="108" w:type="dxa"/>
              </w:tblCellMar>
            </w:tblPr>
            <w:tblGrid>
              <w:gridCol w:w="908"/>
              <w:gridCol w:w="1018"/>
              <w:gridCol w:w="1845"/>
              <w:gridCol w:w="3371"/>
              <w:gridCol w:w="1243"/>
            </w:tblGrid>
            <w:tr w14:paraId="4934134D">
              <w:tblPrEx>
                <w:tblCellMar>
                  <w:top w:w="0" w:type="dxa"/>
                  <w:left w:w="108" w:type="dxa"/>
                  <w:bottom w:w="0" w:type="dxa"/>
                  <w:right w:w="108" w:type="dxa"/>
                </w:tblCellMar>
              </w:tblPrEx>
              <w:trPr>
                <w:trHeight w:val="451" w:hRule="atLeast"/>
                <w:jc w:val="center"/>
              </w:trPr>
              <w:tc>
                <w:tcPr>
                  <w:tcW w:w="908" w:type="dxa"/>
                  <w:tcBorders>
                    <w:top w:val="single" w:color="000000" w:sz="12" w:space="0"/>
                    <w:left w:val="nil"/>
                    <w:bottom w:val="single" w:color="auto" w:sz="4" w:space="0"/>
                    <w:right w:val="single" w:color="auto" w:sz="4" w:space="0"/>
                    <w:tl2br w:val="nil"/>
                  </w:tcBorders>
                  <w:shd w:val="clear" w:color="auto" w:fill="FFFFFF"/>
                  <w:noWrap w:val="0"/>
                  <w:vAlign w:val="top"/>
                </w:tcPr>
                <w:p w14:paraId="5C0AC70D">
                  <w:pPr>
                    <w:pStyle w:val="30"/>
                    <w:keepNext w:val="0"/>
                    <w:keepLines w:val="0"/>
                    <w:pageBreakBefore w:val="0"/>
                    <w:widowControl w:val="0"/>
                    <w:kinsoku/>
                    <w:wordWrap/>
                    <w:overflowPunct/>
                    <w:topLinePunct w:val="0"/>
                    <w:bidi w:val="0"/>
                    <w:adjustRightInd w:val="0"/>
                    <w:snapToGrid w:val="0"/>
                    <w:spacing w:line="340" w:lineRule="exact"/>
                    <w:ind w:left="0" w:leftChars="0"/>
                    <w:jc w:val="center"/>
                    <w:textAlignment w:val="auto"/>
                    <w:rPr>
                      <w:rFonts w:hint="default" w:ascii="Times New Roman" w:hAnsi="Times New Roman" w:eastAsia="宋体" w:cs="Times New Roman"/>
                      <w:b w:val="0"/>
                      <w:color w:val="auto"/>
                      <w:sz w:val="21"/>
                      <w:szCs w:val="21"/>
                    </w:rPr>
                  </w:pPr>
                  <w:r>
                    <w:rPr>
                      <w:rFonts w:hint="default" w:ascii="Times New Roman" w:hAnsi="Times New Roman" w:eastAsia="宋体" w:cs="Times New Roman"/>
                      <w:b/>
                      <w:bCs/>
                      <w:color w:val="auto"/>
                      <w:spacing w:val="-6"/>
                      <w:sz w:val="21"/>
                      <w:szCs w:val="21"/>
                    </w:rPr>
                    <w:t>序号</w:t>
                  </w:r>
                </w:p>
              </w:tc>
              <w:tc>
                <w:tcPr>
                  <w:tcW w:w="1018" w:type="dxa"/>
                  <w:tcBorders>
                    <w:top w:val="single" w:color="000000" w:sz="12" w:space="0"/>
                    <w:left w:val="single" w:color="auto" w:sz="4" w:space="0"/>
                    <w:bottom w:val="single" w:color="auto" w:sz="4" w:space="0"/>
                    <w:right w:val="single" w:color="auto" w:sz="4" w:space="0"/>
                  </w:tcBorders>
                  <w:shd w:val="clear" w:color="auto" w:fill="FFFFFF"/>
                  <w:noWrap w:val="0"/>
                  <w:vAlign w:val="top"/>
                </w:tcPr>
                <w:p w14:paraId="7F709866">
                  <w:pPr>
                    <w:pStyle w:val="30"/>
                    <w:keepNext w:val="0"/>
                    <w:keepLines w:val="0"/>
                    <w:pageBreakBefore w:val="0"/>
                    <w:widowControl w:val="0"/>
                    <w:kinsoku/>
                    <w:wordWrap/>
                    <w:overflowPunct/>
                    <w:topLinePunct w:val="0"/>
                    <w:bidi w:val="0"/>
                    <w:adjustRightInd w:val="0"/>
                    <w:snapToGrid w:val="0"/>
                    <w:spacing w:line="340" w:lineRule="exact"/>
                    <w:ind w:left="0" w:leftChars="0"/>
                    <w:jc w:val="center"/>
                    <w:textAlignment w:val="auto"/>
                    <w:rPr>
                      <w:rFonts w:hint="default" w:ascii="Times New Roman" w:hAnsi="Times New Roman" w:eastAsia="宋体" w:cs="Times New Roman"/>
                      <w:b w:val="0"/>
                      <w:color w:val="auto"/>
                      <w:sz w:val="21"/>
                      <w:szCs w:val="21"/>
                    </w:rPr>
                  </w:pPr>
                  <w:r>
                    <w:rPr>
                      <w:rFonts w:hint="default" w:ascii="Times New Roman" w:hAnsi="Times New Roman" w:eastAsia="宋体" w:cs="Times New Roman"/>
                      <w:b/>
                      <w:bCs/>
                      <w:color w:val="auto"/>
                      <w:spacing w:val="-7"/>
                      <w:sz w:val="21"/>
                      <w:szCs w:val="21"/>
                    </w:rPr>
                    <w:t>项目</w:t>
                  </w:r>
                </w:p>
              </w:tc>
              <w:tc>
                <w:tcPr>
                  <w:tcW w:w="1845" w:type="dxa"/>
                  <w:tcBorders>
                    <w:top w:val="single" w:color="000000" w:sz="12" w:space="0"/>
                    <w:left w:val="single" w:color="auto" w:sz="4" w:space="0"/>
                    <w:bottom w:val="single" w:color="auto" w:sz="4" w:space="0"/>
                    <w:right w:val="single" w:color="auto" w:sz="4" w:space="0"/>
                  </w:tcBorders>
                  <w:shd w:val="clear" w:color="auto" w:fill="FFFFFF"/>
                  <w:noWrap w:val="0"/>
                  <w:vAlign w:val="top"/>
                </w:tcPr>
                <w:p w14:paraId="47E5738A">
                  <w:pPr>
                    <w:pStyle w:val="30"/>
                    <w:keepNext w:val="0"/>
                    <w:keepLines w:val="0"/>
                    <w:pageBreakBefore w:val="0"/>
                    <w:widowControl w:val="0"/>
                    <w:kinsoku/>
                    <w:wordWrap/>
                    <w:overflowPunct/>
                    <w:topLinePunct w:val="0"/>
                    <w:bidi w:val="0"/>
                    <w:adjustRightInd w:val="0"/>
                    <w:snapToGrid w:val="0"/>
                    <w:spacing w:line="340" w:lineRule="exact"/>
                    <w:ind w:left="0" w:leftChars="0"/>
                    <w:jc w:val="center"/>
                    <w:textAlignment w:val="auto"/>
                    <w:rPr>
                      <w:rFonts w:hint="default" w:ascii="Times New Roman" w:hAnsi="Times New Roman" w:eastAsia="宋体" w:cs="Times New Roman"/>
                      <w:b w:val="0"/>
                      <w:color w:val="auto"/>
                      <w:sz w:val="21"/>
                      <w:szCs w:val="21"/>
                    </w:rPr>
                  </w:pPr>
                  <w:r>
                    <w:rPr>
                      <w:rFonts w:hint="eastAsia" w:ascii="Times New Roman" w:hAnsi="Times New Roman" w:cs="Times New Roman"/>
                      <w:b/>
                      <w:bCs/>
                      <w:color w:val="auto"/>
                      <w:spacing w:val="-3"/>
                      <w:sz w:val="21"/>
                      <w:szCs w:val="21"/>
                      <w:lang w:val="en-US" w:eastAsia="zh-CN"/>
                    </w:rPr>
                    <w:t>扩建后</w:t>
                  </w:r>
                  <w:r>
                    <w:rPr>
                      <w:rFonts w:hint="default" w:ascii="Times New Roman" w:hAnsi="Times New Roman" w:eastAsia="宋体" w:cs="Times New Roman"/>
                      <w:b/>
                      <w:bCs/>
                      <w:color w:val="auto"/>
                      <w:spacing w:val="-3"/>
                      <w:sz w:val="21"/>
                      <w:szCs w:val="21"/>
                    </w:rPr>
                    <w:t>排放量</w:t>
                  </w:r>
                </w:p>
              </w:tc>
              <w:tc>
                <w:tcPr>
                  <w:tcW w:w="3371" w:type="dxa"/>
                  <w:tcBorders>
                    <w:top w:val="single" w:color="000000" w:sz="12" w:space="0"/>
                    <w:left w:val="single" w:color="auto" w:sz="4" w:space="0"/>
                    <w:bottom w:val="single" w:color="auto" w:sz="4" w:space="0"/>
                    <w:right w:val="nil"/>
                  </w:tcBorders>
                  <w:shd w:val="clear" w:color="auto" w:fill="FFFFFF"/>
                  <w:noWrap w:val="0"/>
                  <w:vAlign w:val="top"/>
                </w:tcPr>
                <w:p w14:paraId="10B86EDD">
                  <w:pPr>
                    <w:pStyle w:val="30"/>
                    <w:keepNext w:val="0"/>
                    <w:keepLines w:val="0"/>
                    <w:pageBreakBefore w:val="0"/>
                    <w:widowControl w:val="0"/>
                    <w:kinsoku/>
                    <w:wordWrap/>
                    <w:overflowPunct/>
                    <w:topLinePunct w:val="0"/>
                    <w:bidi w:val="0"/>
                    <w:adjustRightInd w:val="0"/>
                    <w:snapToGrid w:val="0"/>
                    <w:spacing w:line="340" w:lineRule="exact"/>
                    <w:ind w:left="0" w:leftChars="0"/>
                    <w:jc w:val="center"/>
                    <w:textAlignment w:val="auto"/>
                    <w:rPr>
                      <w:rFonts w:hint="default" w:ascii="Times New Roman" w:hAnsi="Times New Roman" w:eastAsia="宋体" w:cs="Times New Roman"/>
                      <w:b w:val="0"/>
                      <w:color w:val="auto"/>
                      <w:sz w:val="21"/>
                      <w:szCs w:val="21"/>
                    </w:rPr>
                  </w:pPr>
                  <w:r>
                    <w:rPr>
                      <w:rFonts w:hint="eastAsia" w:ascii="Times New Roman" w:hAnsi="Times New Roman" w:cs="Times New Roman"/>
                      <w:b/>
                      <w:bCs/>
                      <w:color w:val="auto"/>
                      <w:spacing w:val="-3"/>
                      <w:sz w:val="21"/>
                      <w:szCs w:val="21"/>
                      <w:lang w:val="en-US" w:eastAsia="zh-CN"/>
                    </w:rPr>
                    <w:t>现有排放量</w:t>
                  </w:r>
                </w:p>
              </w:tc>
              <w:tc>
                <w:tcPr>
                  <w:tcW w:w="1243" w:type="dxa"/>
                  <w:tcBorders>
                    <w:top w:val="single" w:color="000000" w:sz="12" w:space="0"/>
                    <w:left w:val="single" w:color="auto" w:sz="4" w:space="0"/>
                    <w:bottom w:val="single" w:color="auto" w:sz="4" w:space="0"/>
                    <w:right w:val="nil"/>
                  </w:tcBorders>
                  <w:shd w:val="clear" w:color="auto" w:fill="FFFFFF"/>
                  <w:noWrap w:val="0"/>
                  <w:vAlign w:val="top"/>
                </w:tcPr>
                <w:p w14:paraId="685038FF">
                  <w:pPr>
                    <w:pStyle w:val="30"/>
                    <w:keepNext w:val="0"/>
                    <w:keepLines w:val="0"/>
                    <w:pageBreakBefore w:val="0"/>
                    <w:widowControl w:val="0"/>
                    <w:kinsoku/>
                    <w:wordWrap/>
                    <w:overflowPunct/>
                    <w:topLinePunct w:val="0"/>
                    <w:bidi w:val="0"/>
                    <w:adjustRightInd w:val="0"/>
                    <w:snapToGrid w:val="0"/>
                    <w:spacing w:line="340" w:lineRule="exact"/>
                    <w:ind w:left="0" w:leftChars="0"/>
                    <w:jc w:val="center"/>
                    <w:textAlignment w:val="auto"/>
                    <w:rPr>
                      <w:rFonts w:hint="default" w:ascii="Times New Roman" w:hAnsi="Times New Roman" w:eastAsia="宋体" w:cs="Times New Roman"/>
                      <w:b/>
                      <w:bCs/>
                      <w:color w:val="auto"/>
                      <w:spacing w:val="-4"/>
                      <w:sz w:val="21"/>
                      <w:szCs w:val="21"/>
                    </w:rPr>
                  </w:pPr>
                  <w:r>
                    <w:rPr>
                      <w:rFonts w:hint="default" w:ascii="Times New Roman" w:hAnsi="Times New Roman" w:eastAsia="宋体" w:cs="Times New Roman"/>
                      <w:b/>
                      <w:bCs/>
                      <w:color w:val="auto"/>
                      <w:spacing w:val="-4"/>
                      <w:sz w:val="21"/>
                      <w:szCs w:val="21"/>
                    </w:rPr>
                    <w:t>新增量</w:t>
                  </w:r>
                </w:p>
              </w:tc>
            </w:tr>
            <w:tr w14:paraId="4365206A">
              <w:tblPrEx>
                <w:tblCellMar>
                  <w:top w:w="0" w:type="dxa"/>
                  <w:left w:w="108" w:type="dxa"/>
                  <w:bottom w:w="0" w:type="dxa"/>
                  <w:right w:w="108" w:type="dxa"/>
                </w:tblCellMar>
              </w:tblPrEx>
              <w:trPr>
                <w:trHeight w:val="387" w:hRule="atLeast"/>
                <w:jc w:val="center"/>
              </w:trPr>
              <w:tc>
                <w:tcPr>
                  <w:tcW w:w="908" w:type="dxa"/>
                  <w:tcBorders>
                    <w:top w:val="single" w:color="auto" w:sz="4" w:space="0"/>
                    <w:left w:val="nil"/>
                    <w:bottom w:val="single" w:color="auto" w:sz="4" w:space="0"/>
                    <w:right w:val="single" w:color="auto" w:sz="4" w:space="0"/>
                  </w:tcBorders>
                  <w:shd w:val="clear" w:color="auto" w:fill="FFFFFF"/>
                  <w:noWrap w:val="0"/>
                  <w:vAlign w:val="center"/>
                </w:tcPr>
                <w:p w14:paraId="0B67B24A">
                  <w:pPr>
                    <w:pStyle w:val="43"/>
                    <w:keepNext w:val="0"/>
                    <w:keepLines w:val="0"/>
                    <w:pageBreakBefore w:val="0"/>
                    <w:widowControl w:val="0"/>
                    <w:kinsoku/>
                    <w:wordWrap/>
                    <w:overflowPunct/>
                    <w:topLinePunct w:val="0"/>
                    <w:bidi w:val="0"/>
                    <w:adjustRightInd w:val="0"/>
                    <w:snapToGrid w:val="0"/>
                    <w:spacing w:line="340" w:lineRule="exact"/>
                    <w:ind w:left="0"/>
                    <w:jc w:val="center"/>
                    <w:textAlignment w:val="auto"/>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1</w:t>
                  </w:r>
                </w:p>
              </w:tc>
              <w:tc>
                <w:tcPr>
                  <w:tcW w:w="101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76B41B">
                  <w:pPr>
                    <w:pStyle w:val="43"/>
                    <w:keepNext w:val="0"/>
                    <w:keepLines w:val="0"/>
                    <w:pageBreakBefore w:val="0"/>
                    <w:widowControl w:val="0"/>
                    <w:kinsoku/>
                    <w:wordWrap/>
                    <w:overflowPunct/>
                    <w:topLinePunct w:val="0"/>
                    <w:bidi w:val="0"/>
                    <w:adjustRightInd w:val="0"/>
                    <w:snapToGrid w:val="0"/>
                    <w:spacing w:line="340" w:lineRule="exact"/>
                    <w:ind w:left="0"/>
                    <w:jc w:val="center"/>
                    <w:textAlignment w:val="auto"/>
                    <w:rPr>
                      <w:rFonts w:hint="eastAsia" w:ascii="Times New Roman" w:hAnsi="Times New Roman" w:eastAsia="宋体" w:cs="Times New Roman"/>
                      <w:b w:val="0"/>
                      <w:color w:val="auto"/>
                      <w:sz w:val="21"/>
                      <w:szCs w:val="21"/>
                      <w:lang w:eastAsia="zh-CN"/>
                    </w:rPr>
                  </w:pPr>
                  <w:r>
                    <w:rPr>
                      <w:rFonts w:hint="eastAsia" w:eastAsia="宋体" w:cs="Times New Roman"/>
                      <w:b w:val="0"/>
                      <w:color w:val="auto"/>
                      <w:sz w:val="21"/>
                      <w:szCs w:val="21"/>
                      <w:lang w:val="en-US" w:eastAsia="zh-CN"/>
                    </w:rPr>
                    <w:t>废水量</w:t>
                  </w:r>
                </w:p>
              </w:tc>
              <w:tc>
                <w:tcPr>
                  <w:tcW w:w="184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EF15E9">
                  <w:pPr>
                    <w:pStyle w:val="43"/>
                    <w:keepNext w:val="0"/>
                    <w:keepLines w:val="0"/>
                    <w:pageBreakBefore w:val="0"/>
                    <w:widowControl w:val="0"/>
                    <w:kinsoku/>
                    <w:wordWrap/>
                    <w:overflowPunct/>
                    <w:topLinePunct w:val="0"/>
                    <w:bidi w:val="0"/>
                    <w:adjustRightInd w:val="0"/>
                    <w:snapToGrid w:val="0"/>
                    <w:spacing w:line="340" w:lineRule="exact"/>
                    <w:ind w:left="0"/>
                    <w:jc w:val="center"/>
                    <w:textAlignment w:val="auto"/>
                    <w:rPr>
                      <w:rFonts w:hint="default" w:ascii="Times New Roman" w:hAnsi="Times New Roman" w:eastAsia="宋体" w:cs="Times New Roman"/>
                      <w:color w:val="auto"/>
                      <w:spacing w:val="-1"/>
                      <w:sz w:val="21"/>
                      <w:szCs w:val="18"/>
                      <w:highlight w:val="none"/>
                      <w:lang w:val="en-US" w:eastAsia="zh-CN"/>
                    </w:rPr>
                  </w:pPr>
                  <w:r>
                    <w:rPr>
                      <w:rFonts w:hint="eastAsia" w:ascii="Times New Roman" w:hAnsi="Times New Roman" w:eastAsia="宋体" w:cs="Times New Roman"/>
                      <w:color w:val="auto"/>
                      <w:spacing w:val="-1"/>
                      <w:sz w:val="21"/>
                      <w:szCs w:val="18"/>
                      <w:highlight w:val="none"/>
                      <w:lang w:val="en-US" w:eastAsia="zh-CN"/>
                    </w:rPr>
                    <w:t>65143.01</w:t>
                  </w:r>
                </w:p>
              </w:tc>
              <w:tc>
                <w:tcPr>
                  <w:tcW w:w="3371" w:type="dxa"/>
                  <w:tcBorders>
                    <w:top w:val="single" w:color="auto" w:sz="4" w:space="0"/>
                    <w:left w:val="single" w:color="auto" w:sz="4" w:space="0"/>
                    <w:bottom w:val="single" w:color="auto" w:sz="4" w:space="0"/>
                    <w:right w:val="nil"/>
                  </w:tcBorders>
                  <w:shd w:val="clear" w:color="auto" w:fill="FFFFFF"/>
                  <w:noWrap w:val="0"/>
                  <w:vAlign w:val="center"/>
                </w:tcPr>
                <w:p w14:paraId="46D61A79">
                  <w:pPr>
                    <w:pStyle w:val="43"/>
                    <w:keepNext w:val="0"/>
                    <w:keepLines w:val="0"/>
                    <w:pageBreakBefore w:val="0"/>
                    <w:widowControl w:val="0"/>
                    <w:kinsoku/>
                    <w:wordWrap/>
                    <w:overflowPunct/>
                    <w:topLinePunct w:val="0"/>
                    <w:bidi w:val="0"/>
                    <w:adjustRightInd w:val="0"/>
                    <w:snapToGrid w:val="0"/>
                    <w:spacing w:line="340" w:lineRule="exact"/>
                    <w:ind w:left="0"/>
                    <w:jc w:val="center"/>
                    <w:textAlignment w:val="auto"/>
                    <w:rPr>
                      <w:rFonts w:hint="default" w:ascii="Times New Roman" w:hAnsi="Times New Roman" w:eastAsia="宋体" w:cs="Times New Roman"/>
                      <w:color w:val="auto"/>
                      <w:spacing w:val="-1"/>
                      <w:sz w:val="21"/>
                      <w:szCs w:val="18"/>
                      <w:highlight w:val="none"/>
                      <w:lang w:val="en-US" w:eastAsia="zh-CN"/>
                    </w:rPr>
                  </w:pPr>
                  <w:r>
                    <w:rPr>
                      <w:rFonts w:hint="eastAsia" w:ascii="Times New Roman" w:hAnsi="Times New Roman" w:eastAsia="宋体" w:cs="Times New Roman"/>
                      <w:color w:val="auto"/>
                      <w:spacing w:val="-1"/>
                      <w:sz w:val="21"/>
                      <w:szCs w:val="18"/>
                      <w:highlight w:val="none"/>
                      <w:lang w:val="en-US" w:eastAsia="zh-CN"/>
                    </w:rPr>
                    <w:t>23000</w:t>
                  </w:r>
                </w:p>
              </w:tc>
              <w:tc>
                <w:tcPr>
                  <w:tcW w:w="1243" w:type="dxa"/>
                  <w:tcBorders>
                    <w:top w:val="single" w:color="auto" w:sz="4" w:space="0"/>
                    <w:left w:val="single" w:color="auto" w:sz="4" w:space="0"/>
                    <w:bottom w:val="single" w:color="auto" w:sz="4" w:space="0"/>
                    <w:right w:val="nil"/>
                  </w:tcBorders>
                  <w:shd w:val="clear" w:color="auto" w:fill="FFFFFF"/>
                  <w:noWrap w:val="0"/>
                  <w:vAlign w:val="center"/>
                </w:tcPr>
                <w:p w14:paraId="4A6A0ACA">
                  <w:pPr>
                    <w:keepNext w:val="0"/>
                    <w:keepLines w:val="0"/>
                    <w:widowControl/>
                    <w:suppressLineNumbers w:val="0"/>
                    <w:jc w:val="center"/>
                    <w:textAlignment w:val="center"/>
                    <w:rPr>
                      <w:rFonts w:hint="default" w:ascii="Times New Roman" w:hAnsi="Times New Roman" w:eastAsia="宋体" w:cs="Times New Roman"/>
                      <w:color w:val="auto"/>
                      <w:spacing w:val="-1"/>
                      <w:sz w:val="21"/>
                      <w:szCs w:val="18"/>
                      <w:highlight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42143.01</w:t>
                  </w:r>
                </w:p>
              </w:tc>
            </w:tr>
            <w:tr w14:paraId="34089D4C">
              <w:tblPrEx>
                <w:tblCellMar>
                  <w:top w:w="0" w:type="dxa"/>
                  <w:left w:w="108" w:type="dxa"/>
                  <w:bottom w:w="0" w:type="dxa"/>
                  <w:right w:w="108" w:type="dxa"/>
                </w:tblCellMar>
              </w:tblPrEx>
              <w:trPr>
                <w:trHeight w:val="387" w:hRule="atLeast"/>
                <w:jc w:val="center"/>
              </w:trPr>
              <w:tc>
                <w:tcPr>
                  <w:tcW w:w="908" w:type="dxa"/>
                  <w:tcBorders>
                    <w:top w:val="single" w:color="auto" w:sz="4" w:space="0"/>
                    <w:left w:val="nil"/>
                    <w:bottom w:val="single" w:color="auto" w:sz="4" w:space="0"/>
                    <w:right w:val="single" w:color="auto" w:sz="4" w:space="0"/>
                  </w:tcBorders>
                  <w:shd w:val="clear" w:color="auto" w:fill="FFFFFF"/>
                  <w:noWrap w:val="0"/>
                  <w:vAlign w:val="center"/>
                </w:tcPr>
                <w:p w14:paraId="4A0674A7">
                  <w:pPr>
                    <w:pStyle w:val="43"/>
                    <w:keepNext w:val="0"/>
                    <w:keepLines w:val="0"/>
                    <w:pageBreakBefore w:val="0"/>
                    <w:widowControl w:val="0"/>
                    <w:kinsoku/>
                    <w:wordWrap/>
                    <w:overflowPunct/>
                    <w:topLinePunct w:val="0"/>
                    <w:bidi w:val="0"/>
                    <w:adjustRightInd w:val="0"/>
                    <w:snapToGrid w:val="0"/>
                    <w:spacing w:line="340" w:lineRule="exact"/>
                    <w:ind w:left="0"/>
                    <w:jc w:val="center"/>
                    <w:textAlignment w:val="auto"/>
                    <w:rPr>
                      <w:rFonts w:hint="default" w:ascii="Times New Roman" w:hAnsi="Times New Roman" w:eastAsia="宋体" w:cs="Times New Roman"/>
                      <w:b w:val="0"/>
                      <w:color w:val="auto"/>
                      <w:sz w:val="21"/>
                      <w:szCs w:val="21"/>
                      <w:lang w:val="en-US" w:eastAsia="zh-CN"/>
                    </w:rPr>
                  </w:pPr>
                  <w:r>
                    <w:rPr>
                      <w:rFonts w:hint="default" w:ascii="Times New Roman" w:hAnsi="Times New Roman" w:eastAsia="宋体" w:cs="Times New Roman"/>
                      <w:b w:val="0"/>
                      <w:color w:val="auto"/>
                      <w:sz w:val="21"/>
                      <w:szCs w:val="21"/>
                      <w:lang w:val="en-US" w:eastAsia="zh-CN"/>
                    </w:rPr>
                    <w:t>2</w:t>
                  </w:r>
                </w:p>
              </w:tc>
              <w:tc>
                <w:tcPr>
                  <w:tcW w:w="101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E80720">
                  <w:pPr>
                    <w:pStyle w:val="43"/>
                    <w:keepNext w:val="0"/>
                    <w:keepLines w:val="0"/>
                    <w:pageBreakBefore w:val="0"/>
                    <w:widowControl w:val="0"/>
                    <w:kinsoku/>
                    <w:wordWrap/>
                    <w:overflowPunct/>
                    <w:topLinePunct w:val="0"/>
                    <w:bidi w:val="0"/>
                    <w:adjustRightInd w:val="0"/>
                    <w:snapToGrid w:val="0"/>
                    <w:spacing w:line="340" w:lineRule="exact"/>
                    <w:ind w:left="0"/>
                    <w:jc w:val="center"/>
                    <w:textAlignment w:val="auto"/>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化学需氧量</w:t>
                  </w:r>
                </w:p>
              </w:tc>
              <w:tc>
                <w:tcPr>
                  <w:tcW w:w="184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A2F38F">
                  <w:pPr>
                    <w:pStyle w:val="43"/>
                    <w:keepNext w:val="0"/>
                    <w:keepLines w:val="0"/>
                    <w:pageBreakBefore w:val="0"/>
                    <w:widowControl w:val="0"/>
                    <w:kinsoku/>
                    <w:wordWrap/>
                    <w:overflowPunct/>
                    <w:topLinePunct w:val="0"/>
                    <w:bidi w:val="0"/>
                    <w:adjustRightInd w:val="0"/>
                    <w:snapToGrid w:val="0"/>
                    <w:spacing w:line="340" w:lineRule="exact"/>
                    <w:ind w:left="0"/>
                    <w:jc w:val="center"/>
                    <w:textAlignment w:val="auto"/>
                    <w:rPr>
                      <w:rFonts w:hint="default" w:ascii="Times New Roman" w:hAnsi="Times New Roman" w:eastAsia="宋体" w:cs="Times New Roman"/>
                      <w:color w:val="auto"/>
                      <w:spacing w:val="-1"/>
                      <w:sz w:val="21"/>
                      <w:szCs w:val="18"/>
                      <w:highlight w:val="none"/>
                      <w:lang w:val="en-US" w:eastAsia="zh-CN"/>
                    </w:rPr>
                  </w:pPr>
                  <w:r>
                    <w:rPr>
                      <w:rFonts w:hint="eastAsia" w:ascii="Times New Roman" w:hAnsi="Times New Roman" w:eastAsia="宋体" w:cs="Times New Roman"/>
                      <w:color w:val="auto"/>
                      <w:spacing w:val="-1"/>
                      <w:sz w:val="21"/>
                      <w:szCs w:val="18"/>
                      <w:highlight w:val="none"/>
                      <w:lang w:val="en-US" w:eastAsia="zh-CN"/>
                    </w:rPr>
                    <w:t>3.26</w:t>
                  </w:r>
                </w:p>
              </w:tc>
              <w:tc>
                <w:tcPr>
                  <w:tcW w:w="3371" w:type="dxa"/>
                  <w:tcBorders>
                    <w:top w:val="single" w:color="auto" w:sz="4" w:space="0"/>
                    <w:left w:val="single" w:color="auto" w:sz="4" w:space="0"/>
                    <w:bottom w:val="single" w:color="auto" w:sz="4" w:space="0"/>
                    <w:right w:val="nil"/>
                  </w:tcBorders>
                  <w:shd w:val="clear" w:color="auto" w:fill="FFFFFF"/>
                  <w:noWrap w:val="0"/>
                  <w:vAlign w:val="center"/>
                </w:tcPr>
                <w:p w14:paraId="2BF5C1AF">
                  <w:pPr>
                    <w:pStyle w:val="43"/>
                    <w:keepNext w:val="0"/>
                    <w:keepLines w:val="0"/>
                    <w:pageBreakBefore w:val="0"/>
                    <w:widowControl w:val="0"/>
                    <w:kinsoku/>
                    <w:wordWrap/>
                    <w:overflowPunct/>
                    <w:topLinePunct w:val="0"/>
                    <w:bidi w:val="0"/>
                    <w:adjustRightInd w:val="0"/>
                    <w:snapToGrid w:val="0"/>
                    <w:spacing w:line="340" w:lineRule="exact"/>
                    <w:ind w:left="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0.71</w:t>
                  </w:r>
                </w:p>
              </w:tc>
              <w:tc>
                <w:tcPr>
                  <w:tcW w:w="1243" w:type="dxa"/>
                  <w:tcBorders>
                    <w:top w:val="single" w:color="auto" w:sz="4" w:space="0"/>
                    <w:left w:val="single" w:color="auto" w:sz="4" w:space="0"/>
                    <w:bottom w:val="single" w:color="auto" w:sz="4" w:space="0"/>
                    <w:right w:val="nil"/>
                  </w:tcBorders>
                  <w:shd w:val="clear" w:color="auto" w:fill="FFFFFF"/>
                  <w:noWrap w:val="0"/>
                  <w:vAlign w:val="center"/>
                </w:tcPr>
                <w:p w14:paraId="50508C68">
                  <w:pPr>
                    <w:keepNext w:val="0"/>
                    <w:keepLines w:val="0"/>
                    <w:widowControl/>
                    <w:suppressLineNumbers w:val="0"/>
                    <w:jc w:val="center"/>
                    <w:textAlignment w:val="center"/>
                    <w:rPr>
                      <w:rFonts w:hint="default" w:ascii="Times New Roman" w:hAnsi="Times New Roman" w:eastAsia="宋体" w:cs="Times New Roman"/>
                      <w:color w:val="auto"/>
                      <w:spacing w:val="-1"/>
                      <w:sz w:val="21"/>
                      <w:szCs w:val="18"/>
                      <w:highlight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2.55</w:t>
                  </w:r>
                </w:p>
              </w:tc>
            </w:tr>
            <w:tr w14:paraId="516F1E78">
              <w:tblPrEx>
                <w:tblCellMar>
                  <w:top w:w="0" w:type="dxa"/>
                  <w:left w:w="108" w:type="dxa"/>
                  <w:bottom w:w="0" w:type="dxa"/>
                  <w:right w:w="108" w:type="dxa"/>
                </w:tblCellMar>
              </w:tblPrEx>
              <w:trPr>
                <w:trHeight w:val="387" w:hRule="atLeast"/>
                <w:jc w:val="center"/>
              </w:trPr>
              <w:tc>
                <w:tcPr>
                  <w:tcW w:w="908" w:type="dxa"/>
                  <w:tcBorders>
                    <w:top w:val="single" w:color="auto" w:sz="4" w:space="0"/>
                    <w:left w:val="nil"/>
                    <w:bottom w:val="single" w:color="auto" w:sz="4" w:space="0"/>
                    <w:right w:val="single" w:color="auto" w:sz="4" w:space="0"/>
                  </w:tcBorders>
                  <w:shd w:val="clear" w:color="auto" w:fill="FFFFFF"/>
                  <w:noWrap w:val="0"/>
                  <w:vAlign w:val="center"/>
                </w:tcPr>
                <w:p w14:paraId="686BDA7A">
                  <w:pPr>
                    <w:pStyle w:val="43"/>
                    <w:keepNext w:val="0"/>
                    <w:keepLines w:val="0"/>
                    <w:pageBreakBefore w:val="0"/>
                    <w:widowControl w:val="0"/>
                    <w:kinsoku/>
                    <w:wordWrap/>
                    <w:overflowPunct/>
                    <w:topLinePunct w:val="0"/>
                    <w:bidi w:val="0"/>
                    <w:adjustRightInd w:val="0"/>
                    <w:snapToGrid w:val="0"/>
                    <w:spacing w:line="340" w:lineRule="exact"/>
                    <w:ind w:left="0"/>
                    <w:jc w:val="center"/>
                    <w:textAlignment w:val="auto"/>
                    <w:rPr>
                      <w:rFonts w:hint="default" w:ascii="Times New Roman" w:hAnsi="Times New Roman" w:eastAsia="宋体" w:cs="Times New Roman"/>
                      <w:b w:val="0"/>
                      <w:color w:val="auto"/>
                      <w:sz w:val="21"/>
                      <w:szCs w:val="21"/>
                      <w:lang w:val="en-US" w:eastAsia="zh-CN"/>
                    </w:rPr>
                  </w:pPr>
                  <w:r>
                    <w:rPr>
                      <w:rFonts w:hint="default" w:ascii="Times New Roman" w:hAnsi="Times New Roman" w:eastAsia="宋体" w:cs="Times New Roman"/>
                      <w:b w:val="0"/>
                      <w:color w:val="auto"/>
                      <w:sz w:val="21"/>
                      <w:szCs w:val="21"/>
                      <w:lang w:val="en-US" w:eastAsia="zh-CN"/>
                    </w:rPr>
                    <w:t>3</w:t>
                  </w:r>
                </w:p>
              </w:tc>
              <w:tc>
                <w:tcPr>
                  <w:tcW w:w="101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84FEC61">
                  <w:pPr>
                    <w:pStyle w:val="43"/>
                    <w:keepNext w:val="0"/>
                    <w:keepLines w:val="0"/>
                    <w:pageBreakBefore w:val="0"/>
                    <w:widowControl w:val="0"/>
                    <w:kinsoku/>
                    <w:wordWrap/>
                    <w:overflowPunct/>
                    <w:topLinePunct w:val="0"/>
                    <w:bidi w:val="0"/>
                    <w:adjustRightInd w:val="0"/>
                    <w:snapToGrid w:val="0"/>
                    <w:spacing w:line="340" w:lineRule="exact"/>
                    <w:ind w:left="0"/>
                    <w:jc w:val="center"/>
                    <w:textAlignment w:val="auto"/>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氨氮</w:t>
                  </w:r>
                </w:p>
              </w:tc>
              <w:tc>
                <w:tcPr>
                  <w:tcW w:w="184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D426D4">
                  <w:pPr>
                    <w:pStyle w:val="43"/>
                    <w:keepNext w:val="0"/>
                    <w:keepLines w:val="0"/>
                    <w:pageBreakBefore w:val="0"/>
                    <w:widowControl w:val="0"/>
                    <w:kinsoku/>
                    <w:wordWrap/>
                    <w:overflowPunct/>
                    <w:topLinePunct w:val="0"/>
                    <w:bidi w:val="0"/>
                    <w:adjustRightInd w:val="0"/>
                    <w:snapToGrid w:val="0"/>
                    <w:spacing w:line="340" w:lineRule="exact"/>
                    <w:ind w:left="0"/>
                    <w:jc w:val="center"/>
                    <w:textAlignment w:val="auto"/>
                    <w:rPr>
                      <w:rFonts w:hint="default" w:ascii="Times New Roman" w:hAnsi="Times New Roman" w:eastAsia="宋体" w:cs="Times New Roman"/>
                      <w:color w:val="auto"/>
                      <w:spacing w:val="-1"/>
                      <w:sz w:val="21"/>
                      <w:szCs w:val="18"/>
                      <w:highlight w:val="none"/>
                      <w:lang w:val="en-US" w:eastAsia="zh-CN"/>
                    </w:rPr>
                  </w:pPr>
                  <w:r>
                    <w:rPr>
                      <w:rFonts w:hint="eastAsia" w:ascii="Times New Roman" w:hAnsi="Times New Roman" w:eastAsia="宋体" w:cs="Times New Roman"/>
                      <w:color w:val="auto"/>
                      <w:spacing w:val="-1"/>
                      <w:sz w:val="21"/>
                      <w:szCs w:val="18"/>
                      <w:highlight w:val="none"/>
                      <w:lang w:val="en-US" w:eastAsia="zh-CN"/>
                    </w:rPr>
                    <w:t>0.33</w:t>
                  </w:r>
                </w:p>
              </w:tc>
              <w:tc>
                <w:tcPr>
                  <w:tcW w:w="3371" w:type="dxa"/>
                  <w:tcBorders>
                    <w:top w:val="single" w:color="auto" w:sz="4" w:space="0"/>
                    <w:left w:val="single" w:color="auto" w:sz="4" w:space="0"/>
                    <w:bottom w:val="single" w:color="auto" w:sz="4" w:space="0"/>
                    <w:right w:val="nil"/>
                  </w:tcBorders>
                  <w:shd w:val="clear" w:color="auto" w:fill="FFFFFF"/>
                  <w:noWrap w:val="0"/>
                  <w:vAlign w:val="center"/>
                </w:tcPr>
                <w:p w14:paraId="10052198">
                  <w:pPr>
                    <w:pStyle w:val="43"/>
                    <w:keepNext w:val="0"/>
                    <w:keepLines w:val="0"/>
                    <w:pageBreakBefore w:val="0"/>
                    <w:widowControl w:val="0"/>
                    <w:kinsoku/>
                    <w:wordWrap/>
                    <w:overflowPunct/>
                    <w:topLinePunct w:val="0"/>
                    <w:bidi w:val="0"/>
                    <w:adjustRightInd w:val="0"/>
                    <w:snapToGrid w:val="0"/>
                    <w:spacing w:line="340" w:lineRule="exact"/>
                    <w:ind w:left="0"/>
                    <w:jc w:val="center"/>
                    <w:textAlignment w:val="auto"/>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0.2</w:t>
                  </w:r>
                  <w:r>
                    <w:rPr>
                      <w:rFonts w:hint="eastAsia" w:ascii="Times New Roman" w:hAnsi="Times New Roman" w:eastAsia="宋体" w:cs="Times New Roman"/>
                      <w:i w:val="0"/>
                      <w:iCs w:val="0"/>
                      <w:color w:val="000000"/>
                      <w:kern w:val="0"/>
                      <w:sz w:val="21"/>
                      <w:szCs w:val="21"/>
                      <w:u w:val="none"/>
                      <w:lang w:val="en-US" w:eastAsia="zh-CN" w:bidi="ar"/>
                    </w:rPr>
                    <w:t>9</w:t>
                  </w:r>
                </w:p>
              </w:tc>
              <w:tc>
                <w:tcPr>
                  <w:tcW w:w="1243" w:type="dxa"/>
                  <w:tcBorders>
                    <w:top w:val="single" w:color="auto" w:sz="4" w:space="0"/>
                    <w:left w:val="single" w:color="auto" w:sz="4" w:space="0"/>
                    <w:bottom w:val="single" w:color="auto" w:sz="4" w:space="0"/>
                    <w:right w:val="nil"/>
                  </w:tcBorders>
                  <w:shd w:val="clear" w:color="auto" w:fill="FFFFFF"/>
                  <w:noWrap w:val="0"/>
                  <w:vAlign w:val="center"/>
                </w:tcPr>
                <w:p w14:paraId="21380CDA">
                  <w:pPr>
                    <w:keepNext w:val="0"/>
                    <w:keepLines w:val="0"/>
                    <w:widowControl/>
                    <w:suppressLineNumbers w:val="0"/>
                    <w:jc w:val="center"/>
                    <w:textAlignment w:val="center"/>
                    <w:rPr>
                      <w:rFonts w:hint="default" w:ascii="Times New Roman" w:hAnsi="Times New Roman" w:eastAsia="宋体" w:cs="Times New Roman"/>
                      <w:color w:val="auto"/>
                      <w:spacing w:val="-1"/>
                      <w:sz w:val="21"/>
                      <w:szCs w:val="18"/>
                      <w:highlight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0.04</w:t>
                  </w:r>
                </w:p>
              </w:tc>
            </w:tr>
            <w:tr w14:paraId="5D8904E8">
              <w:tblPrEx>
                <w:tblCellMar>
                  <w:top w:w="0" w:type="dxa"/>
                  <w:left w:w="108" w:type="dxa"/>
                  <w:bottom w:w="0" w:type="dxa"/>
                  <w:right w:w="108" w:type="dxa"/>
                </w:tblCellMar>
              </w:tblPrEx>
              <w:trPr>
                <w:trHeight w:val="387" w:hRule="atLeast"/>
                <w:jc w:val="center"/>
              </w:trPr>
              <w:tc>
                <w:tcPr>
                  <w:tcW w:w="8385" w:type="dxa"/>
                  <w:gridSpan w:val="5"/>
                  <w:tcBorders>
                    <w:top w:val="single" w:color="auto" w:sz="4" w:space="0"/>
                    <w:left w:val="nil"/>
                    <w:bottom w:val="single" w:color="auto" w:sz="4" w:space="0"/>
                    <w:right w:val="nil"/>
                  </w:tcBorders>
                  <w:shd w:val="clear" w:color="auto" w:fill="FFFFFF"/>
                  <w:noWrap w:val="0"/>
                  <w:vAlign w:val="center"/>
                </w:tcPr>
                <w:p w14:paraId="4D721002">
                  <w:pPr>
                    <w:pStyle w:val="43"/>
                    <w:keepNext w:val="0"/>
                    <w:keepLines w:val="0"/>
                    <w:pageBreakBefore w:val="0"/>
                    <w:widowControl w:val="0"/>
                    <w:kinsoku/>
                    <w:wordWrap/>
                    <w:overflowPunct/>
                    <w:topLinePunct w:val="0"/>
                    <w:bidi w:val="0"/>
                    <w:adjustRightInd w:val="0"/>
                    <w:snapToGrid w:val="0"/>
                    <w:spacing w:line="340" w:lineRule="exact"/>
                    <w:ind w:left="0" w:leftChars="0"/>
                    <w:jc w:val="center"/>
                    <w:textAlignment w:val="auto"/>
                    <w:rPr>
                      <w:rFonts w:hint="eastAsia"/>
                      <w:color w:val="FF0000"/>
                      <w:spacing w:val="-6"/>
                      <w:sz w:val="24"/>
                      <w:highlight w:val="none"/>
                      <w:lang w:val="en-US" w:eastAsia="zh-CN"/>
                    </w:rPr>
                  </w:pPr>
                  <w:r>
                    <w:rPr>
                      <w:rFonts w:hint="eastAsia" w:ascii="Times New Roman" w:hAnsi="Times New Roman" w:eastAsia="宋体" w:cs="Times New Roman"/>
                      <w:color w:val="auto"/>
                      <w:spacing w:val="-1"/>
                      <w:sz w:val="21"/>
                      <w:szCs w:val="18"/>
                      <w:highlight w:val="none"/>
                      <w:lang w:val="en-US" w:eastAsia="zh-CN"/>
                    </w:rPr>
                    <w:t>备注：项目排放量是以污水处理厂达标排放标准核算（COD≤50mg/L、氨氮≤5mg/L）</w:t>
                  </w:r>
                </w:p>
              </w:tc>
            </w:tr>
          </w:tbl>
          <w:p w14:paraId="46F720C1">
            <w:pPr>
              <w:pStyle w:val="23"/>
              <w:rPr>
                <w:rFonts w:eastAsia="宋体" w:cs="Times New Roman"/>
                <w:color w:val="auto"/>
                <w:szCs w:val="21"/>
              </w:rPr>
            </w:pPr>
          </w:p>
        </w:tc>
      </w:tr>
    </w:tbl>
    <w:p w14:paraId="6A879192">
      <w:pPr>
        <w:pStyle w:val="14"/>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6"/>
          <w:szCs w:val="36"/>
        </w:rPr>
        <w:br w:type="page"/>
      </w:r>
      <w:bookmarkStart w:id="13" w:name="_Toc13879"/>
      <w:bookmarkStart w:id="14" w:name="_Toc16141"/>
      <w:r>
        <w:rPr>
          <w:rStyle w:val="44"/>
          <w:color w:val="auto"/>
        </w:rPr>
        <w:t>四、主要环境影响和保护措施</w:t>
      </w:r>
      <w:bookmarkEnd w:id="13"/>
      <w:bookmarkEnd w:id="14"/>
    </w:p>
    <w:tbl>
      <w:tblPr>
        <w:tblStyle w:val="17"/>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
        <w:gridCol w:w="8730"/>
      </w:tblGrid>
      <w:tr w14:paraId="5393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367" w:type="dxa"/>
            <w:noWrap w:val="0"/>
            <w:tcMar>
              <w:left w:w="28" w:type="dxa"/>
              <w:right w:w="28" w:type="dxa"/>
            </w:tcMar>
            <w:vAlign w:val="center"/>
          </w:tcPr>
          <w:p w14:paraId="4B8C8529">
            <w:pPr>
              <w:pStyle w:val="14"/>
              <w:adjustRightInd w:val="0"/>
              <w:snapToGrid w:val="0"/>
              <w:spacing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施工</w:t>
            </w:r>
          </w:p>
          <w:p w14:paraId="22E27387">
            <w:pPr>
              <w:pStyle w:val="14"/>
              <w:adjustRightInd w:val="0"/>
              <w:snapToGrid w:val="0"/>
              <w:spacing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期环</w:t>
            </w:r>
          </w:p>
          <w:p w14:paraId="03F39B24">
            <w:pPr>
              <w:pStyle w:val="14"/>
              <w:adjustRightInd w:val="0"/>
              <w:snapToGrid w:val="0"/>
              <w:spacing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境保</w:t>
            </w:r>
          </w:p>
          <w:p w14:paraId="5A003E1A">
            <w:pPr>
              <w:pStyle w:val="14"/>
              <w:adjustRightInd w:val="0"/>
              <w:snapToGrid w:val="0"/>
              <w:spacing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护措</w:t>
            </w:r>
          </w:p>
          <w:p w14:paraId="662F443B">
            <w:pPr>
              <w:pStyle w:val="14"/>
              <w:adjustRightInd w:val="0"/>
              <w:snapToGrid w:val="0"/>
              <w:spacing w:beforeAutospacing="0" w:after="0" w:afterAutospacing="0"/>
              <w:jc w:val="center"/>
              <w:rPr>
                <w:rFonts w:ascii="Times New Roman" w:hAnsi="Times New Roman"/>
                <w:bCs/>
                <w:color w:val="auto"/>
                <w:kern w:val="2"/>
                <w:sz w:val="21"/>
                <w:szCs w:val="21"/>
              </w:rPr>
            </w:pPr>
            <w:r>
              <w:rPr>
                <w:rFonts w:ascii="Times New Roman" w:hAnsi="Times New Roman"/>
                <w:color w:val="auto"/>
                <w:kern w:val="2"/>
                <w:sz w:val="21"/>
                <w:szCs w:val="21"/>
              </w:rPr>
              <w:t>施</w:t>
            </w:r>
          </w:p>
        </w:tc>
        <w:tc>
          <w:tcPr>
            <w:tcW w:w="8614" w:type="dxa"/>
            <w:noWrap w:val="0"/>
            <w:vAlign w:val="center"/>
          </w:tcPr>
          <w:p w14:paraId="5734C0FD">
            <w:pPr>
              <w:pStyle w:val="3"/>
              <w:adjustRightInd w:val="0"/>
              <w:snapToGrid w:val="0"/>
              <w:spacing w:line="360" w:lineRule="auto"/>
              <w:ind w:left="301" w:hanging="301" w:hangingChars="100"/>
              <w:rPr>
                <w:rFonts w:ascii="Times New Roman" w:hAnsi="Times New Roman"/>
                <w:color w:val="auto"/>
              </w:rPr>
            </w:pPr>
            <w:r>
              <w:rPr>
                <w:rFonts w:ascii="Times New Roman" w:hAnsi="Times New Roman" w:cs="Times New Roman"/>
                <w:color w:val="auto"/>
                <w:sz w:val="30"/>
                <w:szCs w:val="30"/>
                <w:lang w:val="en-US"/>
              </w:rPr>
              <w:t>4.1</w:t>
            </w:r>
            <w:r>
              <w:rPr>
                <w:rFonts w:ascii="Times New Roman" w:hAnsi="Times New Roman"/>
                <w:color w:val="auto"/>
                <w:sz w:val="30"/>
                <w:szCs w:val="30"/>
              </w:rPr>
              <w:t>施工期环境</w:t>
            </w:r>
            <w:r>
              <w:rPr>
                <w:rFonts w:hint="eastAsia" w:ascii="Times New Roman" w:hAnsi="Times New Roman"/>
                <w:color w:val="auto"/>
                <w:sz w:val="30"/>
                <w:szCs w:val="30"/>
                <w:lang w:val="en-US"/>
              </w:rPr>
              <w:t>影响和</w:t>
            </w:r>
            <w:r>
              <w:rPr>
                <w:rFonts w:ascii="Times New Roman" w:hAnsi="Times New Roman"/>
                <w:color w:val="auto"/>
                <w:sz w:val="30"/>
                <w:szCs w:val="30"/>
              </w:rPr>
              <w:t>保护措施</w:t>
            </w:r>
          </w:p>
          <w:p w14:paraId="3B662924">
            <w:pPr>
              <w:adjustRightInd w:val="0"/>
              <w:snapToGrid w:val="0"/>
              <w:spacing w:line="360" w:lineRule="auto"/>
              <w:ind w:firstLine="480" w:firstLineChars="200"/>
              <w:rPr>
                <w:rStyle w:val="45"/>
                <w:rFonts w:hint="default" w:ascii="Times New Roman" w:hAnsi="Times New Roman"/>
                <w:color w:val="auto"/>
                <w:sz w:val="24"/>
                <w:highlight w:val="none"/>
              </w:rPr>
            </w:pPr>
            <w:r>
              <w:rPr>
                <w:color w:val="auto"/>
                <w:sz w:val="24"/>
                <w:highlight w:val="none"/>
              </w:rPr>
              <w:t>项目</w:t>
            </w:r>
            <w:r>
              <w:rPr>
                <w:color w:val="auto"/>
                <w:sz w:val="24"/>
                <w:szCs w:val="28"/>
                <w:highlight w:val="none"/>
              </w:rPr>
              <w:t>选址</w:t>
            </w:r>
            <w:r>
              <w:rPr>
                <w:rFonts w:hint="eastAsia"/>
                <w:color w:val="auto"/>
                <w:sz w:val="24"/>
                <w:highlight w:val="none"/>
                <w:lang w:eastAsia="zh-CN"/>
              </w:rPr>
              <w:t>福建省闽侯县尚干镇洋中村桥头东1号</w:t>
            </w:r>
            <w:r>
              <w:rPr>
                <w:rFonts w:hint="eastAsia"/>
                <w:color w:val="auto"/>
                <w:sz w:val="24"/>
                <w:highlight w:val="none"/>
              </w:rPr>
              <w:t>，拟建项目</w:t>
            </w:r>
            <w:r>
              <w:rPr>
                <w:rFonts w:hint="eastAsia"/>
                <w:color w:val="auto"/>
                <w:sz w:val="24"/>
                <w:szCs w:val="28"/>
                <w:highlight w:val="none"/>
              </w:rPr>
              <w:t>位于</w:t>
            </w:r>
            <w:r>
              <w:rPr>
                <w:rFonts w:hint="eastAsia"/>
                <w:color w:val="auto"/>
                <w:sz w:val="24"/>
                <w:szCs w:val="28"/>
                <w:highlight w:val="none"/>
                <w:lang w:eastAsia="zh-CN"/>
              </w:rPr>
              <w:t>闽侯县人民医院</w:t>
            </w:r>
            <w:r>
              <w:rPr>
                <w:rFonts w:hint="eastAsia"/>
                <w:color w:val="auto"/>
                <w:sz w:val="24"/>
                <w:szCs w:val="28"/>
                <w:highlight w:val="none"/>
              </w:rPr>
              <w:t>，</w:t>
            </w:r>
            <w:r>
              <w:rPr>
                <w:rStyle w:val="45"/>
                <w:rFonts w:hint="default" w:ascii="Times New Roman" w:hAnsi="Times New Roman"/>
                <w:color w:val="auto"/>
                <w:sz w:val="24"/>
                <w:highlight w:val="none"/>
              </w:rPr>
              <w:t>施工期施工内容主要包括地表清理、地基开挖、路面铺设、医院新建、装修等工程。</w:t>
            </w:r>
          </w:p>
          <w:p w14:paraId="60CB4030">
            <w:pPr>
              <w:adjustRightInd w:val="0"/>
              <w:snapToGrid w:val="0"/>
              <w:spacing w:line="360" w:lineRule="auto"/>
              <w:ind w:firstLine="480" w:firstLineChars="200"/>
              <w:rPr>
                <w:color w:val="auto"/>
                <w:sz w:val="24"/>
                <w:highlight w:val="none"/>
              </w:rPr>
            </w:pPr>
            <w:r>
              <w:rPr>
                <w:color w:val="auto"/>
                <w:sz w:val="24"/>
                <w:highlight w:val="none"/>
              </w:rPr>
              <w:t>废气：工程施工期对周围环境空气的影响主要为施工机械扬尘、运输车辆扬尘，车辆运输产生的汽车尾气。</w:t>
            </w:r>
          </w:p>
          <w:p w14:paraId="44BC8E56">
            <w:pPr>
              <w:adjustRightInd w:val="0"/>
              <w:snapToGrid w:val="0"/>
              <w:spacing w:line="360" w:lineRule="auto"/>
              <w:ind w:firstLine="480" w:firstLineChars="200"/>
              <w:rPr>
                <w:color w:val="auto"/>
                <w:sz w:val="24"/>
                <w:highlight w:val="none"/>
              </w:rPr>
            </w:pPr>
            <w:r>
              <w:rPr>
                <w:color w:val="auto"/>
                <w:sz w:val="24"/>
                <w:highlight w:val="none"/>
              </w:rPr>
              <w:t>废水：施工期废水主要为员工生活污水、施工废水。</w:t>
            </w:r>
          </w:p>
          <w:p w14:paraId="77D6B768">
            <w:pPr>
              <w:adjustRightInd w:val="0"/>
              <w:snapToGrid w:val="0"/>
              <w:spacing w:line="360" w:lineRule="auto"/>
              <w:ind w:firstLine="480" w:firstLineChars="200"/>
              <w:rPr>
                <w:color w:val="auto"/>
                <w:sz w:val="24"/>
                <w:highlight w:val="none"/>
              </w:rPr>
            </w:pPr>
            <w:r>
              <w:rPr>
                <w:color w:val="auto"/>
                <w:sz w:val="24"/>
                <w:highlight w:val="none"/>
              </w:rPr>
              <w:t>噪声：施工期噪声主要包括施工机械噪声、施工作业噪声和运输车辆噪声。</w:t>
            </w:r>
          </w:p>
          <w:p w14:paraId="42E21F81">
            <w:pPr>
              <w:adjustRightInd w:val="0"/>
              <w:snapToGrid w:val="0"/>
              <w:spacing w:line="360" w:lineRule="auto"/>
              <w:ind w:firstLine="480" w:firstLineChars="200"/>
              <w:rPr>
                <w:color w:val="auto"/>
                <w:sz w:val="24"/>
                <w:highlight w:val="none"/>
              </w:rPr>
            </w:pPr>
            <w:r>
              <w:rPr>
                <w:color w:val="auto"/>
                <w:sz w:val="24"/>
                <w:highlight w:val="none"/>
              </w:rPr>
              <w:t>固废：施工期固体废物主要是土方开挖渣、建筑物料等施工垃圾和施工人员产生的生活垃圾。</w:t>
            </w:r>
          </w:p>
          <w:p w14:paraId="73FD9353">
            <w:pPr>
              <w:adjustRightInd w:val="0"/>
              <w:snapToGrid w:val="0"/>
              <w:spacing w:line="360" w:lineRule="auto"/>
              <w:ind w:firstLine="480" w:firstLineChars="200"/>
              <w:rPr>
                <w:color w:val="auto"/>
                <w:sz w:val="24"/>
                <w:highlight w:val="none"/>
              </w:rPr>
            </w:pPr>
            <w:r>
              <w:rPr>
                <w:color w:val="auto"/>
                <w:sz w:val="24"/>
                <w:highlight w:val="none"/>
              </w:rPr>
              <w:t>生态影响：对生态环境的影响为占用土地、破坏生态环境、扰动地表、改变原有地貌、改变用地性质、破坏植被以及由施工引起的局部水土流失的影响。</w:t>
            </w:r>
          </w:p>
          <w:p w14:paraId="0E80B2D7">
            <w:pPr>
              <w:pStyle w:val="23"/>
              <w:ind w:firstLine="0"/>
              <w:rPr>
                <w:rFonts w:eastAsia="宋体" w:cs="Times New Roman"/>
                <w:color w:val="auto"/>
                <w:sz w:val="28"/>
                <w:szCs w:val="28"/>
                <w:highlight w:val="none"/>
              </w:rPr>
            </w:pPr>
            <w:r>
              <w:rPr>
                <w:rFonts w:eastAsia="宋体" w:cs="Times New Roman"/>
                <w:b/>
                <w:bCs/>
                <w:color w:val="auto"/>
                <w:sz w:val="28"/>
                <w:szCs w:val="28"/>
                <w:highlight w:val="none"/>
              </w:rPr>
              <w:t>4.1.1</w:t>
            </w:r>
            <w:r>
              <w:rPr>
                <w:b/>
                <w:color w:val="auto"/>
                <w:kern w:val="0"/>
                <w:sz w:val="28"/>
                <w:szCs w:val="28"/>
                <w:highlight w:val="none"/>
              </w:rPr>
              <w:t>施工期大气环境影响分析</w:t>
            </w:r>
          </w:p>
          <w:p w14:paraId="12946C28">
            <w:pPr>
              <w:tabs>
                <w:tab w:val="left" w:pos="1155"/>
              </w:tabs>
              <w:adjustRightInd w:val="0"/>
              <w:snapToGrid w:val="0"/>
              <w:spacing w:line="360" w:lineRule="auto"/>
              <w:ind w:firstLine="482"/>
              <w:jc w:val="left"/>
              <w:rPr>
                <w:color w:val="auto"/>
                <w:sz w:val="24"/>
                <w:highlight w:val="none"/>
              </w:rPr>
            </w:pPr>
            <w:r>
              <w:rPr>
                <w:color w:val="auto"/>
                <w:sz w:val="24"/>
                <w:highlight w:val="none"/>
              </w:rPr>
              <w:t>工程施工期对空气环境的污染主要来自工地扬尘。在整个施工阶段，整理场地、打桩、挖土、材料运输、装卸等过程都会产生扬尘污染，特别是冬季干燥无雨时尤为严重。施工工地的扬尘主要有施工作业扬尘，混凝土搅拌、水泥装卸、加料等扬尘，地面料场的风吹扬尘，车辆行驶扬尘、车辆尾气等。</w:t>
            </w:r>
          </w:p>
          <w:p w14:paraId="377671A6">
            <w:pPr>
              <w:adjustRightInd w:val="0"/>
              <w:snapToGrid w:val="0"/>
              <w:spacing w:line="360" w:lineRule="auto"/>
              <w:ind w:firstLine="480" w:firstLineChars="200"/>
              <w:rPr>
                <w:color w:val="auto"/>
                <w:sz w:val="24"/>
                <w:highlight w:val="none"/>
              </w:rPr>
            </w:pPr>
            <w:r>
              <w:rPr>
                <w:color w:val="auto"/>
                <w:sz w:val="24"/>
                <w:highlight w:val="none"/>
              </w:rPr>
              <w:t>施工单位在施工期采取如下控制措施：</w:t>
            </w:r>
          </w:p>
          <w:p w14:paraId="7F586C80">
            <w:pPr>
              <w:adjustRightInd w:val="0"/>
              <w:snapToGrid w:val="0"/>
              <w:spacing w:line="360" w:lineRule="auto"/>
              <w:ind w:firstLine="480" w:firstLineChars="200"/>
              <w:rPr>
                <w:color w:val="auto"/>
                <w:sz w:val="24"/>
                <w:highlight w:val="none"/>
              </w:rPr>
            </w:pPr>
            <w:r>
              <w:rPr>
                <w:color w:val="auto"/>
                <w:sz w:val="24"/>
                <w:highlight w:val="none"/>
              </w:rPr>
              <w:t>a.在施工过程中，作业场地将采取围挡、围护以减少扬尘扩散，围挡、围护对施工期废气环境影响分析减少扬尘对环境的污染有明显作用。围护高度可按略高于建筑物高度设置为宜。</w:t>
            </w:r>
          </w:p>
          <w:p w14:paraId="6CAF2293">
            <w:pPr>
              <w:adjustRightInd w:val="0"/>
              <w:snapToGrid w:val="0"/>
              <w:spacing w:line="360" w:lineRule="auto"/>
              <w:ind w:firstLine="480" w:firstLineChars="200"/>
              <w:rPr>
                <w:color w:val="auto"/>
                <w:sz w:val="24"/>
                <w:highlight w:val="none"/>
              </w:rPr>
            </w:pPr>
            <w:r>
              <w:rPr>
                <w:color w:val="auto"/>
                <w:sz w:val="24"/>
                <w:highlight w:val="none"/>
              </w:rPr>
              <w:t>b.在施工场地安排员工定期对施工场地洒水以减少扬尘量，场地洒水后，扬尘将降低28%-75%，大大减少了其对环境的影响。</w:t>
            </w:r>
          </w:p>
          <w:p w14:paraId="0C417026">
            <w:pPr>
              <w:adjustRightInd w:val="0"/>
              <w:snapToGrid w:val="0"/>
              <w:spacing w:line="360" w:lineRule="auto"/>
              <w:ind w:firstLine="480" w:firstLineChars="200"/>
              <w:rPr>
                <w:color w:val="auto"/>
                <w:sz w:val="24"/>
                <w:highlight w:val="none"/>
              </w:rPr>
            </w:pPr>
            <w:r>
              <w:rPr>
                <w:color w:val="auto"/>
                <w:sz w:val="24"/>
                <w:highlight w:val="none"/>
              </w:rPr>
              <w:t>c.对运输建筑材料及建筑垃圾的车辆加盖篷布减少洒落。同时车辆进出、装卸场地时应用水将轮胎冲洗干净，车辆行驶路线应尽量避开居民区。</w:t>
            </w:r>
          </w:p>
          <w:p w14:paraId="0E1A4A73">
            <w:pPr>
              <w:adjustRightInd w:val="0"/>
              <w:snapToGrid w:val="0"/>
              <w:spacing w:line="360" w:lineRule="auto"/>
              <w:ind w:firstLine="480" w:firstLineChars="200"/>
              <w:rPr>
                <w:color w:val="auto"/>
                <w:sz w:val="24"/>
                <w:highlight w:val="none"/>
              </w:rPr>
            </w:pPr>
            <w:r>
              <w:rPr>
                <w:color w:val="auto"/>
                <w:sz w:val="24"/>
                <w:highlight w:val="none"/>
              </w:rPr>
              <w:t>d.尽量避免大风天气下进行施工作业。</w:t>
            </w:r>
          </w:p>
          <w:p w14:paraId="26651844">
            <w:pPr>
              <w:adjustRightInd w:val="0"/>
              <w:snapToGrid w:val="0"/>
              <w:spacing w:line="360" w:lineRule="auto"/>
              <w:ind w:firstLine="480" w:firstLineChars="200"/>
              <w:rPr>
                <w:color w:val="auto"/>
                <w:sz w:val="24"/>
                <w:highlight w:val="none"/>
              </w:rPr>
            </w:pPr>
            <w:r>
              <w:rPr>
                <w:color w:val="auto"/>
                <w:sz w:val="24"/>
                <w:highlight w:val="none"/>
              </w:rPr>
              <w:t>e.对建筑垃圾应及时处理、清运、以减少占地，防治扬尘污染，改善施工场地的环境。</w:t>
            </w:r>
          </w:p>
          <w:p w14:paraId="5AABD8E0">
            <w:pPr>
              <w:adjustRightInd w:val="0"/>
              <w:snapToGrid w:val="0"/>
              <w:spacing w:line="360" w:lineRule="auto"/>
              <w:ind w:firstLine="480" w:firstLineChars="200"/>
              <w:rPr>
                <w:color w:val="auto"/>
                <w:sz w:val="24"/>
                <w:highlight w:val="none"/>
              </w:rPr>
            </w:pPr>
            <w:r>
              <w:rPr>
                <w:color w:val="auto"/>
                <w:sz w:val="24"/>
                <w:highlight w:val="none"/>
              </w:rPr>
              <w:t>施工期各种燃油机械设备运转及运输车辆尾气产生的含有少量烟尘、NO</w:t>
            </w:r>
            <w:r>
              <w:rPr>
                <w:color w:val="auto"/>
                <w:sz w:val="24"/>
                <w:highlight w:val="none"/>
                <w:vertAlign w:val="subscript"/>
              </w:rPr>
              <w:t>2</w:t>
            </w:r>
            <w:r>
              <w:rPr>
                <w:color w:val="auto"/>
                <w:sz w:val="24"/>
                <w:highlight w:val="none"/>
              </w:rPr>
              <w:t>、CO、THC（烃类）等污染物废气。废气对环境空气造成的影响大小取决于排放量和气候条件，影响面主要集中在施工场地100～150m范围内，在施工期结束后施工机械废气对周边环境影响将消失。</w:t>
            </w:r>
          </w:p>
          <w:p w14:paraId="239BFFE2">
            <w:pPr>
              <w:adjustRightInd w:val="0"/>
              <w:snapToGrid w:val="0"/>
              <w:spacing w:line="360" w:lineRule="auto"/>
              <w:ind w:firstLine="480" w:firstLineChars="200"/>
              <w:rPr>
                <w:color w:val="auto"/>
                <w:sz w:val="24"/>
                <w:highlight w:val="none"/>
              </w:rPr>
            </w:pPr>
            <w:r>
              <w:rPr>
                <w:rFonts w:ascii="宋体" w:hAnsi="宋体" w:eastAsia="宋体" w:cs="宋体"/>
                <w:color w:val="auto"/>
                <w:sz w:val="24"/>
                <w:szCs w:val="24"/>
              </w:rPr>
              <w:t>此外，项目实施老旧设施拆除与院内功能搬迁作业时同步落实专项环保管控：拆除现有污水处理站期间，全程落实洒水抑尘措施，选用低噪声施工设备</w:t>
            </w:r>
            <w:r>
              <w:rPr>
                <w:rFonts w:hint="eastAsia" w:ascii="宋体" w:hAnsi="宋体" w:cs="宋体"/>
                <w:color w:val="auto"/>
                <w:sz w:val="24"/>
                <w:szCs w:val="24"/>
                <w:lang w:eastAsia="zh-CN"/>
              </w:rPr>
              <w:t>，对</w:t>
            </w:r>
            <w:r>
              <w:rPr>
                <w:rFonts w:ascii="宋体" w:hAnsi="宋体" w:eastAsia="宋体" w:cs="宋体"/>
                <w:color w:val="auto"/>
                <w:sz w:val="24"/>
                <w:szCs w:val="24"/>
              </w:rPr>
              <w:t>拆除产生的建筑垃圾及时规范清运，最大限度降低拆除作业对周边环境的干扰；针对院内床位调配、医疗设备移位等功能调整工作，将搬迁作业安排在医院非诊疗高峰时段开展，各类医疗设备采用密封防护包装转运，严防搬迁过程中出现污染物泄漏问题。</w:t>
            </w:r>
          </w:p>
          <w:p w14:paraId="7345F527">
            <w:pPr>
              <w:adjustRightInd w:val="0"/>
              <w:snapToGrid w:val="0"/>
              <w:spacing w:line="360" w:lineRule="auto"/>
              <w:ind w:firstLine="480" w:firstLineChars="200"/>
              <w:rPr>
                <w:color w:val="auto"/>
                <w:sz w:val="24"/>
                <w:highlight w:val="none"/>
              </w:rPr>
            </w:pPr>
            <w:r>
              <w:rPr>
                <w:color w:val="auto"/>
                <w:sz w:val="24"/>
                <w:highlight w:val="none"/>
              </w:rPr>
              <w:t>综上，在采取相应措施后，施工期产生的大气污染物，对周围空气环境影响不大。</w:t>
            </w:r>
          </w:p>
          <w:p w14:paraId="260C12E4">
            <w:pPr>
              <w:pStyle w:val="23"/>
              <w:ind w:firstLine="0"/>
              <w:rPr>
                <w:rFonts w:eastAsia="宋体" w:cs="Times New Roman"/>
                <w:color w:val="auto"/>
                <w:sz w:val="28"/>
                <w:szCs w:val="28"/>
                <w:highlight w:val="none"/>
              </w:rPr>
            </w:pPr>
            <w:r>
              <w:rPr>
                <w:rFonts w:eastAsia="宋体" w:cs="Times New Roman"/>
                <w:b/>
                <w:bCs/>
                <w:color w:val="auto"/>
                <w:sz w:val="28"/>
                <w:szCs w:val="28"/>
                <w:highlight w:val="none"/>
              </w:rPr>
              <w:t>4.1.</w:t>
            </w:r>
            <w:r>
              <w:rPr>
                <w:rFonts w:hint="eastAsia" w:eastAsia="宋体" w:cs="Times New Roman"/>
                <w:b/>
                <w:bCs/>
                <w:color w:val="auto"/>
                <w:sz w:val="28"/>
                <w:szCs w:val="28"/>
                <w:highlight w:val="none"/>
              </w:rPr>
              <w:t>2</w:t>
            </w:r>
            <w:r>
              <w:rPr>
                <w:b/>
                <w:color w:val="auto"/>
                <w:kern w:val="0"/>
                <w:sz w:val="28"/>
                <w:szCs w:val="28"/>
                <w:highlight w:val="none"/>
              </w:rPr>
              <w:t>施工期</w:t>
            </w:r>
            <w:r>
              <w:rPr>
                <w:rFonts w:hint="eastAsia" w:eastAsia="宋体"/>
                <w:b/>
                <w:color w:val="auto"/>
                <w:kern w:val="0"/>
                <w:sz w:val="28"/>
                <w:szCs w:val="28"/>
                <w:highlight w:val="none"/>
              </w:rPr>
              <w:t>水</w:t>
            </w:r>
            <w:r>
              <w:rPr>
                <w:b/>
                <w:color w:val="auto"/>
                <w:kern w:val="0"/>
                <w:sz w:val="28"/>
                <w:szCs w:val="28"/>
                <w:highlight w:val="none"/>
              </w:rPr>
              <w:t>环境影响分析</w:t>
            </w:r>
          </w:p>
          <w:p w14:paraId="1E8CA572">
            <w:pPr>
              <w:adjustRightInd w:val="0"/>
              <w:snapToGrid w:val="0"/>
              <w:spacing w:line="360" w:lineRule="auto"/>
              <w:ind w:firstLine="480" w:firstLineChars="200"/>
              <w:rPr>
                <w:color w:val="auto"/>
                <w:sz w:val="24"/>
                <w:highlight w:val="none"/>
              </w:rPr>
            </w:pPr>
            <w:r>
              <w:rPr>
                <w:color w:val="auto"/>
                <w:sz w:val="24"/>
                <w:highlight w:val="none"/>
              </w:rPr>
              <w:t>施工期废水主要来自施工废水及施工人员的生活污水。其中：施工废水包括施工机械及车辆冲洗废水，辅助设施含油废水等。</w:t>
            </w:r>
          </w:p>
          <w:p w14:paraId="3D056E72">
            <w:pPr>
              <w:adjustRightInd w:val="0"/>
              <w:snapToGrid w:val="0"/>
              <w:spacing w:line="360" w:lineRule="auto"/>
              <w:ind w:firstLine="480" w:firstLineChars="200"/>
              <w:rPr>
                <w:color w:val="auto"/>
                <w:sz w:val="24"/>
                <w:highlight w:val="none"/>
              </w:rPr>
            </w:pPr>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 = 1 \* GB2 </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sz w:val="24"/>
                <w:highlight w:val="none"/>
              </w:rPr>
              <w:t>⑴</w:t>
            </w:r>
            <w:r>
              <w:rPr>
                <w:rFonts w:hint="default" w:ascii="Times New Roman" w:hAnsi="Times New Roman" w:cs="Times New Roman"/>
                <w:color w:val="auto"/>
                <w:sz w:val="24"/>
                <w:highlight w:val="none"/>
              </w:rPr>
              <w:fldChar w:fldCharType="end"/>
            </w:r>
            <w:r>
              <w:rPr>
                <w:color w:val="auto"/>
                <w:sz w:val="24"/>
                <w:highlight w:val="none"/>
              </w:rPr>
              <w:t>生活污水</w:t>
            </w:r>
          </w:p>
          <w:p w14:paraId="34EB843F">
            <w:pPr>
              <w:adjustRightInd w:val="0"/>
              <w:snapToGrid w:val="0"/>
              <w:spacing w:line="360" w:lineRule="auto"/>
              <w:ind w:firstLine="480" w:firstLineChars="200"/>
              <w:rPr>
                <w:rFonts w:hint="eastAsia" w:eastAsia="宋体"/>
                <w:color w:val="auto"/>
                <w:sz w:val="24"/>
                <w:highlight w:val="none"/>
                <w:lang w:val="en-US" w:eastAsia="zh-CN"/>
              </w:rPr>
            </w:pPr>
            <w:r>
              <w:rPr>
                <w:color w:val="auto"/>
                <w:sz w:val="24"/>
                <w:highlight w:val="none"/>
              </w:rPr>
              <w:t>施工期高峰作业人数为50人，按每人每天生活用水量为100L/d计算，生活污水产生系数按0.8</w:t>
            </w:r>
            <w:r>
              <w:rPr>
                <w:rFonts w:hint="eastAsia"/>
                <w:color w:val="auto"/>
                <w:sz w:val="24"/>
                <w:highlight w:val="none"/>
                <w:lang w:eastAsia="zh-CN"/>
              </w:rPr>
              <w:t>计算</w:t>
            </w:r>
            <w:r>
              <w:rPr>
                <w:color w:val="auto"/>
                <w:sz w:val="24"/>
                <w:highlight w:val="none"/>
              </w:rPr>
              <w:t>，则每天生活污水产生量为</w:t>
            </w:r>
            <w:r>
              <w:rPr>
                <w:rFonts w:hint="eastAsia"/>
                <w:color w:val="auto"/>
                <w:sz w:val="24"/>
                <w:highlight w:val="none"/>
                <w:lang w:val="en-US" w:eastAsia="zh-CN"/>
              </w:rPr>
              <w:t>0.</w:t>
            </w:r>
            <w:r>
              <w:rPr>
                <w:color w:val="auto"/>
                <w:sz w:val="24"/>
                <w:highlight w:val="none"/>
              </w:rPr>
              <w:t>4t/d。生活污水中主要污染物的浓度分别按COD</w:t>
            </w:r>
            <w:r>
              <w:rPr>
                <w:color w:val="auto"/>
                <w:sz w:val="24"/>
                <w:highlight w:val="none"/>
                <w:vertAlign w:val="subscript"/>
              </w:rPr>
              <w:t>Cr</w:t>
            </w:r>
            <w:r>
              <w:rPr>
                <w:color w:val="auto"/>
                <w:sz w:val="24"/>
                <w:highlight w:val="none"/>
              </w:rPr>
              <w:t>350mg/L、氨氮35mg/L计，则废水中主要污染物产生量为COD</w:t>
            </w:r>
            <w:r>
              <w:rPr>
                <w:color w:val="auto"/>
                <w:sz w:val="24"/>
                <w:highlight w:val="none"/>
                <w:vertAlign w:val="subscript"/>
              </w:rPr>
              <w:t>Cr</w:t>
            </w:r>
            <w:r>
              <w:rPr>
                <w:color w:val="auto"/>
                <w:sz w:val="24"/>
                <w:highlight w:val="none"/>
              </w:rPr>
              <w:t>1</w:t>
            </w:r>
            <w:r>
              <w:rPr>
                <w:rFonts w:hint="eastAsia"/>
                <w:color w:val="auto"/>
                <w:sz w:val="24"/>
                <w:highlight w:val="none"/>
                <w:lang w:val="en-US" w:eastAsia="zh-CN"/>
              </w:rPr>
              <w:t>.</w:t>
            </w:r>
            <w:r>
              <w:rPr>
                <w:color w:val="auto"/>
                <w:sz w:val="24"/>
                <w:highlight w:val="none"/>
              </w:rPr>
              <w:t>4kg/d，氨氮</w:t>
            </w:r>
            <w:r>
              <w:rPr>
                <w:rFonts w:hint="eastAsia"/>
                <w:color w:val="auto"/>
                <w:sz w:val="24"/>
                <w:highlight w:val="none"/>
                <w:lang w:val="en-US" w:eastAsia="zh-CN"/>
              </w:rPr>
              <w:t>0.</w:t>
            </w:r>
            <w:r>
              <w:rPr>
                <w:color w:val="auto"/>
                <w:sz w:val="24"/>
                <w:highlight w:val="none"/>
              </w:rPr>
              <w:t>14kg/d。</w:t>
            </w:r>
            <w:r>
              <w:rPr>
                <w:rFonts w:hint="eastAsia"/>
                <w:color w:val="auto"/>
                <w:sz w:val="24"/>
                <w:highlight w:val="none"/>
              </w:rPr>
              <w:t>施工人员生活污水</w:t>
            </w:r>
            <w:r>
              <w:rPr>
                <w:rFonts w:hint="eastAsia"/>
                <w:color w:val="auto"/>
                <w:sz w:val="24"/>
                <w:highlight w:val="none"/>
                <w:lang w:val="en-US" w:eastAsia="zh-CN"/>
              </w:rPr>
              <w:t>依托现有</w:t>
            </w:r>
            <w:r>
              <w:rPr>
                <w:rFonts w:hint="eastAsia"/>
                <w:color w:val="auto"/>
                <w:sz w:val="24"/>
                <w:highlight w:val="none"/>
              </w:rPr>
              <w:t>化粪池处理</w:t>
            </w:r>
            <w:r>
              <w:rPr>
                <w:rFonts w:hint="eastAsia"/>
                <w:color w:val="auto"/>
                <w:sz w:val="24"/>
                <w:highlight w:val="none"/>
                <w:lang w:eastAsia="zh-CN"/>
              </w:rPr>
              <w:t>。</w:t>
            </w:r>
          </w:p>
          <w:p w14:paraId="1686885C">
            <w:pPr>
              <w:adjustRightInd w:val="0"/>
              <w:snapToGrid w:val="0"/>
              <w:spacing w:line="360" w:lineRule="auto"/>
              <w:ind w:firstLine="480" w:firstLineChars="200"/>
              <w:rPr>
                <w:color w:val="auto"/>
                <w:sz w:val="24"/>
                <w:highlight w:val="none"/>
              </w:rPr>
            </w:pPr>
            <w:r>
              <w:rPr>
                <w:color w:val="auto"/>
                <w:sz w:val="24"/>
                <w:highlight w:val="none"/>
              </w:rPr>
              <w:fldChar w:fldCharType="begin"/>
            </w:r>
            <w:r>
              <w:rPr>
                <w:color w:val="auto"/>
                <w:sz w:val="24"/>
                <w:highlight w:val="none"/>
              </w:rPr>
              <w:instrText xml:space="preserve"> = 2 \* GB2 </w:instrText>
            </w:r>
            <w:r>
              <w:rPr>
                <w:color w:val="auto"/>
                <w:sz w:val="24"/>
                <w:highlight w:val="none"/>
              </w:rPr>
              <w:fldChar w:fldCharType="separate"/>
            </w:r>
            <w:r>
              <w:rPr>
                <w:rFonts w:hint="eastAsia"/>
                <w:color w:val="auto"/>
                <w:sz w:val="24"/>
                <w:highlight w:val="none"/>
              </w:rPr>
              <w:t>⑵</w:t>
            </w:r>
            <w:r>
              <w:rPr>
                <w:color w:val="auto"/>
                <w:sz w:val="24"/>
                <w:highlight w:val="none"/>
              </w:rPr>
              <w:fldChar w:fldCharType="end"/>
            </w:r>
            <w:r>
              <w:rPr>
                <w:color w:val="auto"/>
                <w:sz w:val="24"/>
                <w:highlight w:val="none"/>
              </w:rPr>
              <w:t>施工废水</w:t>
            </w:r>
          </w:p>
          <w:p w14:paraId="296AE2C4">
            <w:pPr>
              <w:adjustRightInd w:val="0"/>
              <w:snapToGrid w:val="0"/>
              <w:spacing w:line="360" w:lineRule="auto"/>
              <w:ind w:firstLine="480" w:firstLineChars="200"/>
              <w:rPr>
                <w:color w:val="auto"/>
                <w:sz w:val="24"/>
                <w:highlight w:val="none"/>
              </w:rPr>
            </w:pPr>
            <w:r>
              <w:rPr>
                <w:color w:val="auto"/>
                <w:sz w:val="24"/>
                <w:szCs w:val="23"/>
                <w:highlight w:val="none"/>
              </w:rPr>
              <w:t>施工期间的用水一部分为路面、土方喷洒水等，这些废水均在施工现场蒸发或消耗；另一部分为</w:t>
            </w:r>
            <w:r>
              <w:rPr>
                <w:color w:val="auto"/>
                <w:sz w:val="24"/>
                <w:highlight w:val="none"/>
              </w:rPr>
              <w:t>主要用于施工机械及车辆冲洗废水，辅助设施含油废水。施工机械及车辆等设备冲洗废水产生量约15t/d，主要污染物为SS、石油类。SS平均浓度约5000mg/L、石油类约20mg/L。</w:t>
            </w:r>
          </w:p>
          <w:p w14:paraId="76B87A34">
            <w:pPr>
              <w:adjustRightInd w:val="0"/>
              <w:snapToGrid w:val="0"/>
              <w:spacing w:line="360" w:lineRule="auto"/>
              <w:ind w:firstLine="480" w:firstLineChars="200"/>
              <w:rPr>
                <w:color w:val="auto"/>
                <w:sz w:val="24"/>
                <w:highlight w:val="none"/>
              </w:rPr>
            </w:pPr>
            <w:r>
              <w:rPr>
                <w:color w:val="auto"/>
                <w:sz w:val="24"/>
                <w:highlight w:val="none"/>
              </w:rPr>
              <w:t>施工期间应加强管理，产生的泥浆废水设置沉淀池沉淀预处理后，回用为道路洒水抑尘用水等；含油废水经</w:t>
            </w:r>
            <w:r>
              <w:rPr>
                <w:rFonts w:hint="eastAsia"/>
                <w:color w:val="auto"/>
                <w:sz w:val="24"/>
                <w:highlight w:val="none"/>
              </w:rPr>
              <w:t>隔油池</w:t>
            </w:r>
            <w:r>
              <w:rPr>
                <w:color w:val="auto"/>
                <w:sz w:val="24"/>
                <w:highlight w:val="none"/>
              </w:rPr>
              <w:t>沉淀后回</w:t>
            </w:r>
            <w:r>
              <w:rPr>
                <w:rFonts w:hint="eastAsia"/>
                <w:color w:val="auto"/>
                <w:sz w:val="24"/>
                <w:highlight w:val="none"/>
                <w:lang w:eastAsia="zh-CN"/>
              </w:rPr>
              <w:t>用于</w:t>
            </w:r>
            <w:r>
              <w:rPr>
                <w:color w:val="auto"/>
                <w:sz w:val="24"/>
                <w:highlight w:val="none"/>
              </w:rPr>
              <w:t>场地降尘用水，废油统一收集交由有资质单位处理。在施工过程中，建设部门和施工单位应加强管理，严禁施工物料、建筑垃圾、生活垃圾等排入水体；对建筑机械要定期维修和检查严防漏油事件的发生。</w:t>
            </w:r>
          </w:p>
          <w:p w14:paraId="0E7CC98E">
            <w:pPr>
              <w:adjustRightInd w:val="0"/>
              <w:snapToGrid w:val="0"/>
              <w:spacing w:line="360" w:lineRule="auto"/>
              <w:ind w:firstLine="480" w:firstLineChars="200"/>
              <w:rPr>
                <w:color w:val="auto"/>
                <w:sz w:val="24"/>
                <w:highlight w:val="none"/>
              </w:rPr>
            </w:pPr>
            <w:r>
              <w:rPr>
                <w:color w:val="auto"/>
                <w:sz w:val="24"/>
                <w:highlight w:val="none"/>
              </w:rPr>
              <w:t>综上，工程施工期间应加强环保管理，对各类废水进行分类处理后，不会对周围水环境造成不良影响。</w:t>
            </w:r>
          </w:p>
          <w:p w14:paraId="573ED2C7">
            <w:pPr>
              <w:pStyle w:val="23"/>
              <w:ind w:firstLine="0"/>
              <w:rPr>
                <w:rFonts w:eastAsia="宋体" w:cs="Times New Roman"/>
                <w:color w:val="auto"/>
                <w:sz w:val="28"/>
                <w:szCs w:val="28"/>
                <w:highlight w:val="none"/>
              </w:rPr>
            </w:pPr>
            <w:r>
              <w:rPr>
                <w:rFonts w:eastAsia="宋体" w:cs="Times New Roman"/>
                <w:b/>
                <w:bCs/>
                <w:color w:val="auto"/>
                <w:sz w:val="28"/>
                <w:szCs w:val="28"/>
                <w:highlight w:val="none"/>
              </w:rPr>
              <w:t>4.1.</w:t>
            </w:r>
            <w:r>
              <w:rPr>
                <w:rFonts w:hint="eastAsia" w:eastAsia="宋体" w:cs="Times New Roman"/>
                <w:b/>
                <w:bCs/>
                <w:color w:val="auto"/>
                <w:sz w:val="28"/>
                <w:szCs w:val="28"/>
                <w:highlight w:val="none"/>
              </w:rPr>
              <w:t>3</w:t>
            </w:r>
            <w:r>
              <w:rPr>
                <w:b/>
                <w:color w:val="auto"/>
                <w:kern w:val="0"/>
                <w:sz w:val="28"/>
                <w:szCs w:val="28"/>
                <w:highlight w:val="none"/>
              </w:rPr>
              <w:t>施工期</w:t>
            </w:r>
            <w:r>
              <w:rPr>
                <w:rFonts w:hint="eastAsia" w:eastAsia="宋体"/>
                <w:b/>
                <w:color w:val="auto"/>
                <w:kern w:val="0"/>
                <w:sz w:val="28"/>
                <w:szCs w:val="28"/>
                <w:highlight w:val="none"/>
              </w:rPr>
              <w:t>声</w:t>
            </w:r>
            <w:r>
              <w:rPr>
                <w:b/>
                <w:color w:val="auto"/>
                <w:kern w:val="0"/>
                <w:sz w:val="28"/>
                <w:szCs w:val="28"/>
                <w:highlight w:val="none"/>
              </w:rPr>
              <w:t>环境影响分析</w:t>
            </w:r>
          </w:p>
          <w:p w14:paraId="13D0E684">
            <w:pPr>
              <w:adjustRightInd w:val="0"/>
              <w:snapToGrid w:val="0"/>
              <w:spacing w:line="360" w:lineRule="auto"/>
              <w:ind w:firstLine="480" w:firstLineChars="200"/>
              <w:rPr>
                <w:color w:val="auto"/>
                <w:sz w:val="24"/>
                <w:highlight w:val="none"/>
              </w:rPr>
            </w:pPr>
            <w:r>
              <w:rPr>
                <w:color w:val="auto"/>
                <w:sz w:val="24"/>
                <w:highlight w:val="none"/>
              </w:rPr>
              <w:t>噪声主要来自建筑施工、装修过程。建设期间产生的噪声具有阶段性、临时性和不固定性。建筑施工多采用大型车辆，其噪声级较高，如大型货运卡车的声功率级可达107dB，自卸卡车在装卸石料等建筑材料时的声功率级可高达110dB以上。</w:t>
            </w:r>
          </w:p>
          <w:p w14:paraId="37D15CBD">
            <w:pPr>
              <w:adjustRightInd w:val="0"/>
              <w:snapToGrid w:val="0"/>
              <w:spacing w:line="360" w:lineRule="auto"/>
              <w:ind w:firstLine="480" w:firstLineChars="200"/>
              <w:rPr>
                <w:color w:val="auto"/>
                <w:sz w:val="24"/>
                <w:highlight w:val="none"/>
              </w:rPr>
            </w:pPr>
            <w:r>
              <w:rPr>
                <w:color w:val="auto"/>
                <w:sz w:val="24"/>
                <w:highlight w:val="none"/>
              </w:rPr>
              <w:t>为防止和减小该项目施工对周边环境的影响，</w:t>
            </w:r>
            <w:r>
              <w:rPr>
                <w:color w:val="auto"/>
                <w:kern w:val="15"/>
                <w:sz w:val="24"/>
                <w:highlight w:val="none"/>
              </w:rPr>
              <w:t>施工单位应严格执行《中华人民共和国噪声污染防治法》和《建筑施工场界环境噪声排放标准》（</w:t>
            </w:r>
            <w:r>
              <w:rPr>
                <w:rFonts w:hint="eastAsia"/>
                <w:color w:val="auto"/>
                <w:kern w:val="15"/>
                <w:sz w:val="24"/>
                <w:highlight w:val="none"/>
                <w:lang w:eastAsia="zh-CN"/>
              </w:rPr>
              <w:t>GB12523-2025</w:t>
            </w:r>
            <w:r>
              <w:rPr>
                <w:color w:val="auto"/>
                <w:kern w:val="15"/>
                <w:sz w:val="24"/>
                <w:highlight w:val="none"/>
              </w:rPr>
              <w:t>）</w:t>
            </w:r>
            <w:r>
              <w:rPr>
                <w:color w:val="auto"/>
                <w:sz w:val="24"/>
                <w:highlight w:val="none"/>
              </w:rPr>
              <w:t>、《建筑施工噪声管理办法》。要求施工单位禁止使用冲击式打桩机，所有打桩工序均采用沉管灌注桩，同时要求项目实施单位要加强一线操作人员的环境意识，对一些零星的手工作业。如拆装模板、装卸建材，尽可能做到轻拿轻放，并辅以一定的减缓措施，如铺设草包等。施工期间对于噪声值较高的搅拌机等设备需放置于远离居民的地方，对于固定设备需设操作棚或临时声障。禁止在夜间施工，因工艺因素或其它特殊原因确需夜间施工的应提前向当地主管部门申请夜间施工许可，并依法接受监督。</w:t>
            </w:r>
          </w:p>
          <w:p w14:paraId="366E517C">
            <w:pPr>
              <w:adjustRightInd w:val="0"/>
              <w:snapToGrid w:val="0"/>
              <w:spacing w:line="360" w:lineRule="auto"/>
              <w:ind w:firstLine="480" w:firstLineChars="200"/>
              <w:rPr>
                <w:color w:val="auto"/>
                <w:sz w:val="24"/>
                <w:highlight w:val="none"/>
              </w:rPr>
            </w:pPr>
            <w:r>
              <w:rPr>
                <w:color w:val="auto"/>
                <w:sz w:val="24"/>
                <w:highlight w:val="none"/>
              </w:rPr>
              <w:t>为了减少施工对周围声环境质量的影响，建议工程施工时采取如下措施：</w:t>
            </w:r>
          </w:p>
          <w:p w14:paraId="30230F95">
            <w:pPr>
              <w:adjustRightInd w:val="0"/>
              <w:snapToGrid w:val="0"/>
              <w:spacing w:line="360" w:lineRule="auto"/>
              <w:ind w:firstLine="480" w:firstLineChars="200"/>
              <w:rPr>
                <w:color w:val="auto"/>
                <w:sz w:val="24"/>
                <w:highlight w:val="none"/>
              </w:rPr>
            </w:pPr>
            <w:r>
              <w:rPr>
                <w:color w:val="auto"/>
                <w:sz w:val="24"/>
                <w:highlight w:val="none"/>
              </w:rPr>
              <w:fldChar w:fldCharType="begin"/>
            </w:r>
            <w:r>
              <w:rPr>
                <w:color w:val="auto"/>
                <w:sz w:val="24"/>
                <w:highlight w:val="none"/>
              </w:rPr>
              <w:instrText xml:space="preserve"> = 1 \* GB2 </w:instrText>
            </w:r>
            <w:r>
              <w:rPr>
                <w:color w:val="auto"/>
                <w:sz w:val="24"/>
                <w:highlight w:val="none"/>
              </w:rPr>
              <w:fldChar w:fldCharType="separate"/>
            </w:r>
            <w:r>
              <w:rPr>
                <w:rFonts w:hint="eastAsia"/>
                <w:color w:val="auto"/>
                <w:sz w:val="24"/>
                <w:highlight w:val="none"/>
              </w:rPr>
              <w:t>⑴</w:t>
            </w:r>
            <w:r>
              <w:rPr>
                <w:color w:val="auto"/>
                <w:sz w:val="24"/>
                <w:highlight w:val="none"/>
              </w:rPr>
              <w:fldChar w:fldCharType="end"/>
            </w:r>
            <w:r>
              <w:rPr>
                <w:color w:val="auto"/>
                <w:sz w:val="24"/>
                <w:highlight w:val="none"/>
              </w:rPr>
              <w:t>施工单位必须按国家关于建筑施工场界噪声的要求进行施工，并尽量分散噪声源，减少对周围环境区域声环境的影响。</w:t>
            </w:r>
          </w:p>
          <w:p w14:paraId="3A78730B">
            <w:pPr>
              <w:adjustRightInd w:val="0"/>
              <w:snapToGrid w:val="0"/>
              <w:spacing w:line="360" w:lineRule="auto"/>
              <w:ind w:firstLine="480" w:firstLineChars="200"/>
              <w:rPr>
                <w:color w:val="auto"/>
                <w:sz w:val="24"/>
                <w:highlight w:val="none"/>
              </w:rPr>
            </w:pPr>
            <w:r>
              <w:rPr>
                <w:color w:val="auto"/>
                <w:sz w:val="24"/>
                <w:highlight w:val="none"/>
              </w:rPr>
              <w:fldChar w:fldCharType="begin"/>
            </w:r>
            <w:r>
              <w:rPr>
                <w:color w:val="auto"/>
                <w:sz w:val="24"/>
                <w:highlight w:val="none"/>
              </w:rPr>
              <w:instrText xml:space="preserve"> = 2 \* GB2 </w:instrText>
            </w:r>
            <w:r>
              <w:rPr>
                <w:color w:val="auto"/>
                <w:sz w:val="24"/>
                <w:highlight w:val="none"/>
              </w:rPr>
              <w:fldChar w:fldCharType="separate"/>
            </w:r>
            <w:r>
              <w:rPr>
                <w:rFonts w:hint="eastAsia"/>
                <w:color w:val="auto"/>
                <w:sz w:val="24"/>
                <w:highlight w:val="none"/>
              </w:rPr>
              <w:t>⑵</w:t>
            </w:r>
            <w:r>
              <w:rPr>
                <w:color w:val="auto"/>
                <w:sz w:val="24"/>
                <w:highlight w:val="none"/>
              </w:rPr>
              <w:fldChar w:fldCharType="end"/>
            </w:r>
            <w:r>
              <w:rPr>
                <w:color w:val="auto"/>
                <w:sz w:val="24"/>
                <w:highlight w:val="none"/>
              </w:rPr>
              <w:t>禁止在22:00~次日6:00或12:00~14:00施工，其他时间尽量采取低噪声施工机械，同时建设单位应注意施工设备的布局，尽量摆放在远离居民区等敏感保护目标的位置。</w:t>
            </w:r>
          </w:p>
          <w:p w14:paraId="32985FAE">
            <w:pPr>
              <w:adjustRightInd w:val="0"/>
              <w:snapToGrid w:val="0"/>
              <w:spacing w:line="360" w:lineRule="auto"/>
              <w:ind w:firstLine="480" w:firstLineChars="200"/>
              <w:rPr>
                <w:color w:val="auto"/>
                <w:sz w:val="24"/>
                <w:highlight w:val="none"/>
              </w:rPr>
            </w:pPr>
            <w:r>
              <w:rPr>
                <w:color w:val="auto"/>
                <w:sz w:val="24"/>
                <w:highlight w:val="none"/>
              </w:rPr>
              <w:fldChar w:fldCharType="begin"/>
            </w:r>
            <w:r>
              <w:rPr>
                <w:color w:val="auto"/>
                <w:sz w:val="24"/>
                <w:highlight w:val="none"/>
              </w:rPr>
              <w:instrText xml:space="preserve"> = 3 \* GB2 </w:instrText>
            </w:r>
            <w:r>
              <w:rPr>
                <w:color w:val="auto"/>
                <w:sz w:val="24"/>
                <w:highlight w:val="none"/>
              </w:rPr>
              <w:fldChar w:fldCharType="separate"/>
            </w:r>
            <w:r>
              <w:rPr>
                <w:rFonts w:hint="eastAsia"/>
                <w:color w:val="auto"/>
                <w:sz w:val="24"/>
                <w:highlight w:val="none"/>
              </w:rPr>
              <w:t>⑶</w:t>
            </w:r>
            <w:r>
              <w:rPr>
                <w:color w:val="auto"/>
                <w:sz w:val="24"/>
                <w:highlight w:val="none"/>
              </w:rPr>
              <w:fldChar w:fldCharType="end"/>
            </w:r>
            <w:r>
              <w:rPr>
                <w:color w:val="auto"/>
                <w:sz w:val="24"/>
                <w:highlight w:val="none"/>
              </w:rPr>
              <w:t>施工期间要加强施工管理，一般情况下禁止夜间施工。特殊施工工艺必须夜间施工时，建设单位须报请当地环保局批示，出具夜间施工建筑工程清单等，并按照相关管理规定对项目夜间施工安排进行公示、告知周边村民。</w:t>
            </w:r>
          </w:p>
          <w:p w14:paraId="23DBFCCF">
            <w:pPr>
              <w:adjustRightInd w:val="0"/>
              <w:snapToGrid w:val="0"/>
              <w:spacing w:line="360" w:lineRule="auto"/>
              <w:ind w:firstLine="480" w:firstLineChars="200"/>
              <w:rPr>
                <w:color w:val="auto"/>
                <w:sz w:val="24"/>
                <w:highlight w:val="none"/>
              </w:rPr>
            </w:pPr>
            <w:r>
              <w:rPr>
                <w:color w:val="auto"/>
                <w:sz w:val="24"/>
                <w:highlight w:val="none"/>
              </w:rPr>
              <w:fldChar w:fldCharType="begin"/>
            </w:r>
            <w:r>
              <w:rPr>
                <w:color w:val="auto"/>
                <w:sz w:val="24"/>
                <w:highlight w:val="none"/>
              </w:rPr>
              <w:instrText xml:space="preserve"> = 4 \* GB2 </w:instrText>
            </w:r>
            <w:r>
              <w:rPr>
                <w:color w:val="auto"/>
                <w:sz w:val="24"/>
                <w:highlight w:val="none"/>
              </w:rPr>
              <w:fldChar w:fldCharType="separate"/>
            </w:r>
            <w:r>
              <w:rPr>
                <w:rFonts w:hint="eastAsia"/>
                <w:color w:val="auto"/>
                <w:sz w:val="24"/>
                <w:highlight w:val="none"/>
              </w:rPr>
              <w:t>⑷</w:t>
            </w:r>
            <w:r>
              <w:rPr>
                <w:color w:val="auto"/>
                <w:sz w:val="24"/>
                <w:highlight w:val="none"/>
              </w:rPr>
              <w:fldChar w:fldCharType="end"/>
            </w:r>
            <w:r>
              <w:rPr>
                <w:color w:val="auto"/>
                <w:sz w:val="24"/>
                <w:highlight w:val="none"/>
              </w:rPr>
              <w:t>在施工单位的具体施工计划中，所使用的施工机械种类、数量应写在承包合同之中，以便监督。</w:t>
            </w:r>
          </w:p>
          <w:p w14:paraId="1BE2591F">
            <w:pPr>
              <w:adjustRightInd w:val="0"/>
              <w:snapToGrid w:val="0"/>
              <w:spacing w:line="360" w:lineRule="auto"/>
              <w:ind w:firstLine="480" w:firstLineChars="200"/>
              <w:rPr>
                <w:color w:val="auto"/>
                <w:sz w:val="24"/>
                <w:highlight w:val="none"/>
              </w:rPr>
            </w:pPr>
            <w:r>
              <w:rPr>
                <w:color w:val="auto"/>
                <w:sz w:val="24"/>
                <w:highlight w:val="none"/>
              </w:rPr>
              <w:fldChar w:fldCharType="begin"/>
            </w:r>
            <w:r>
              <w:rPr>
                <w:color w:val="auto"/>
                <w:sz w:val="24"/>
                <w:highlight w:val="none"/>
              </w:rPr>
              <w:instrText xml:space="preserve"> = 5 \* GB2 </w:instrText>
            </w:r>
            <w:r>
              <w:rPr>
                <w:color w:val="auto"/>
                <w:sz w:val="24"/>
                <w:highlight w:val="none"/>
              </w:rPr>
              <w:fldChar w:fldCharType="separate"/>
            </w:r>
            <w:r>
              <w:rPr>
                <w:rFonts w:hint="eastAsia"/>
                <w:color w:val="auto"/>
                <w:sz w:val="24"/>
                <w:highlight w:val="none"/>
              </w:rPr>
              <w:t>⑸</w:t>
            </w:r>
            <w:r>
              <w:rPr>
                <w:color w:val="auto"/>
                <w:sz w:val="24"/>
                <w:highlight w:val="none"/>
              </w:rPr>
              <w:fldChar w:fldCharType="end"/>
            </w:r>
            <w:r>
              <w:rPr>
                <w:color w:val="auto"/>
                <w:sz w:val="24"/>
                <w:highlight w:val="none"/>
              </w:rPr>
              <w:t>应尽量选用低噪声施工机械设备，加强施工机械的维修管理，保证施工机械处于低噪声、高效率的良好工作状态。</w:t>
            </w:r>
          </w:p>
          <w:p w14:paraId="0CF5C914">
            <w:pPr>
              <w:adjustRightInd w:val="0"/>
              <w:snapToGrid w:val="0"/>
              <w:spacing w:line="360" w:lineRule="auto"/>
              <w:ind w:firstLine="480" w:firstLineChars="200"/>
              <w:rPr>
                <w:color w:val="auto"/>
                <w:sz w:val="24"/>
                <w:highlight w:val="none"/>
              </w:rPr>
            </w:pPr>
            <w:r>
              <w:rPr>
                <w:color w:val="auto"/>
                <w:sz w:val="24"/>
                <w:highlight w:val="none"/>
              </w:rPr>
              <w:fldChar w:fldCharType="begin"/>
            </w:r>
            <w:r>
              <w:rPr>
                <w:color w:val="auto"/>
                <w:sz w:val="24"/>
                <w:highlight w:val="none"/>
              </w:rPr>
              <w:instrText xml:space="preserve"> = 6 \* GB2 </w:instrText>
            </w:r>
            <w:r>
              <w:rPr>
                <w:color w:val="auto"/>
                <w:sz w:val="24"/>
                <w:highlight w:val="none"/>
              </w:rPr>
              <w:fldChar w:fldCharType="separate"/>
            </w:r>
            <w:r>
              <w:rPr>
                <w:rFonts w:hint="eastAsia"/>
                <w:color w:val="auto"/>
                <w:sz w:val="24"/>
                <w:highlight w:val="none"/>
              </w:rPr>
              <w:t>⑹</w:t>
            </w:r>
            <w:r>
              <w:rPr>
                <w:color w:val="auto"/>
                <w:sz w:val="24"/>
                <w:highlight w:val="none"/>
              </w:rPr>
              <w:fldChar w:fldCharType="end"/>
            </w:r>
            <w:r>
              <w:rPr>
                <w:color w:val="auto"/>
                <w:sz w:val="24"/>
                <w:highlight w:val="none"/>
              </w:rPr>
              <w:t>加强对施工管理和操作人员的环境教育，提高他们的环境意识，并严格实施环境管理。</w:t>
            </w:r>
          </w:p>
          <w:p w14:paraId="14D1BBA2">
            <w:pPr>
              <w:adjustRightInd w:val="0"/>
              <w:snapToGrid w:val="0"/>
              <w:spacing w:line="360" w:lineRule="auto"/>
              <w:ind w:firstLine="480" w:firstLineChars="200"/>
              <w:rPr>
                <w:color w:val="auto"/>
                <w:sz w:val="24"/>
                <w:highlight w:val="none"/>
              </w:rPr>
            </w:pPr>
            <w:r>
              <w:rPr>
                <w:color w:val="auto"/>
                <w:sz w:val="24"/>
                <w:highlight w:val="none"/>
              </w:rPr>
              <w:fldChar w:fldCharType="begin"/>
            </w:r>
            <w:r>
              <w:rPr>
                <w:color w:val="auto"/>
                <w:sz w:val="24"/>
                <w:highlight w:val="none"/>
              </w:rPr>
              <w:instrText xml:space="preserve"> = 7 \* GB2 </w:instrText>
            </w:r>
            <w:r>
              <w:rPr>
                <w:color w:val="auto"/>
                <w:sz w:val="24"/>
                <w:highlight w:val="none"/>
              </w:rPr>
              <w:fldChar w:fldCharType="separate"/>
            </w:r>
            <w:r>
              <w:rPr>
                <w:rFonts w:hint="eastAsia"/>
                <w:color w:val="auto"/>
                <w:sz w:val="24"/>
                <w:highlight w:val="none"/>
              </w:rPr>
              <w:t>⑺</w:t>
            </w:r>
            <w:r>
              <w:rPr>
                <w:color w:val="auto"/>
                <w:sz w:val="24"/>
                <w:highlight w:val="none"/>
              </w:rPr>
              <w:fldChar w:fldCharType="end"/>
            </w:r>
            <w:r>
              <w:rPr>
                <w:color w:val="auto"/>
                <w:sz w:val="24"/>
                <w:highlight w:val="none"/>
              </w:rPr>
              <w:t>加强车辆管理，通过施工管理区、村庄时减速行驶，禁鸣喇叭。</w:t>
            </w:r>
          </w:p>
          <w:p w14:paraId="4D618C96">
            <w:pPr>
              <w:pStyle w:val="23"/>
              <w:ind w:firstLine="0"/>
              <w:rPr>
                <w:rFonts w:eastAsia="宋体" w:cs="Times New Roman"/>
                <w:color w:val="auto"/>
                <w:sz w:val="28"/>
                <w:szCs w:val="28"/>
                <w:highlight w:val="none"/>
              </w:rPr>
            </w:pPr>
            <w:r>
              <w:rPr>
                <w:rFonts w:eastAsia="宋体" w:cs="Times New Roman"/>
                <w:b/>
                <w:bCs/>
                <w:color w:val="auto"/>
                <w:sz w:val="28"/>
                <w:szCs w:val="28"/>
                <w:highlight w:val="none"/>
              </w:rPr>
              <w:t>4.1.</w:t>
            </w:r>
            <w:r>
              <w:rPr>
                <w:rFonts w:hint="eastAsia" w:eastAsia="宋体" w:cs="Times New Roman"/>
                <w:b/>
                <w:bCs/>
                <w:color w:val="auto"/>
                <w:sz w:val="28"/>
                <w:szCs w:val="28"/>
                <w:highlight w:val="none"/>
              </w:rPr>
              <w:t>4</w:t>
            </w:r>
            <w:r>
              <w:rPr>
                <w:b/>
                <w:color w:val="auto"/>
                <w:kern w:val="0"/>
                <w:sz w:val="28"/>
                <w:szCs w:val="28"/>
                <w:highlight w:val="none"/>
              </w:rPr>
              <w:t>施工期</w:t>
            </w:r>
            <w:r>
              <w:rPr>
                <w:rFonts w:hint="eastAsia" w:eastAsia="宋体"/>
                <w:b/>
                <w:color w:val="auto"/>
                <w:kern w:val="0"/>
                <w:sz w:val="28"/>
                <w:szCs w:val="28"/>
                <w:highlight w:val="none"/>
              </w:rPr>
              <w:t>固体废物</w:t>
            </w:r>
            <w:r>
              <w:rPr>
                <w:b/>
                <w:color w:val="auto"/>
                <w:kern w:val="0"/>
                <w:sz w:val="28"/>
                <w:szCs w:val="28"/>
                <w:highlight w:val="none"/>
              </w:rPr>
              <w:t>影响分析</w:t>
            </w:r>
          </w:p>
          <w:p w14:paraId="514673AB">
            <w:pPr>
              <w:adjustRightInd w:val="0"/>
              <w:snapToGrid w:val="0"/>
              <w:spacing w:line="360" w:lineRule="auto"/>
              <w:ind w:firstLine="480" w:firstLineChars="200"/>
              <w:rPr>
                <w:color w:val="auto"/>
                <w:sz w:val="24"/>
                <w:highlight w:val="none"/>
              </w:rPr>
            </w:pPr>
            <w:r>
              <w:rPr>
                <w:color w:val="auto"/>
                <w:sz w:val="24"/>
                <w:highlight w:val="none"/>
              </w:rPr>
              <w:t>施工固体废弃物主要来源于土方开挖渣、建筑物料等施工垃圾和施工人员产生的生活垃圾。</w:t>
            </w:r>
          </w:p>
          <w:p w14:paraId="51E9C3DB">
            <w:pPr>
              <w:adjustRightInd w:val="0"/>
              <w:snapToGrid w:val="0"/>
              <w:spacing w:line="360" w:lineRule="auto"/>
              <w:ind w:firstLine="480" w:firstLineChars="200"/>
              <w:rPr>
                <w:color w:val="auto"/>
                <w:sz w:val="24"/>
                <w:highlight w:val="none"/>
              </w:rPr>
            </w:pPr>
            <w:r>
              <w:rPr>
                <w:color w:val="auto"/>
                <w:sz w:val="24"/>
                <w:highlight w:val="none"/>
              </w:rPr>
              <w:t>1、施工建筑固体废弃物</w:t>
            </w:r>
          </w:p>
          <w:p w14:paraId="6DABA52E">
            <w:pPr>
              <w:adjustRightInd w:val="0"/>
              <w:snapToGrid w:val="0"/>
              <w:spacing w:line="360" w:lineRule="auto"/>
              <w:ind w:firstLine="480" w:firstLineChars="200"/>
              <w:rPr>
                <w:color w:val="auto"/>
                <w:sz w:val="24"/>
                <w:highlight w:val="none"/>
              </w:rPr>
            </w:pPr>
            <w:r>
              <w:rPr>
                <w:color w:val="auto"/>
                <w:sz w:val="24"/>
                <w:highlight w:val="none"/>
              </w:rPr>
              <w:t>施工垃圾包括各种建筑、装修产生的剩余物料等，这些固体废物往往存在于施工场地、拌和场等临时占地区，建筑垃圾随工程进度不同产生量也不同，同时与操作人员的经验、素质等因素有关，施工过程中产生的建筑固废不得堆放在水体附近，临时堆放处应设遮雨棚，防止雨水冲刷入水体；建筑垃圾中如废弃的钢材、木材等可收集后出售给回收公司，其余不能回收的外运至建筑垃圾处置场所处置严禁随意运输，随意倾倒。</w:t>
            </w:r>
          </w:p>
          <w:p w14:paraId="68F8DF62">
            <w:pPr>
              <w:adjustRightInd w:val="0"/>
              <w:snapToGrid w:val="0"/>
              <w:spacing w:line="360" w:lineRule="auto"/>
              <w:ind w:firstLine="480" w:firstLineChars="200"/>
              <w:jc w:val="left"/>
              <w:rPr>
                <w:color w:val="auto"/>
                <w:sz w:val="24"/>
                <w:highlight w:val="none"/>
              </w:rPr>
            </w:pPr>
            <w:r>
              <w:rPr>
                <w:color w:val="auto"/>
                <w:sz w:val="24"/>
                <w:highlight w:val="none"/>
              </w:rPr>
              <w:t>2、生活垃圾</w:t>
            </w:r>
          </w:p>
          <w:p w14:paraId="660E45B8">
            <w:pPr>
              <w:adjustRightInd w:val="0"/>
              <w:snapToGrid w:val="0"/>
              <w:spacing w:line="360" w:lineRule="auto"/>
              <w:ind w:firstLine="480" w:firstLineChars="200"/>
              <w:jc w:val="left"/>
              <w:rPr>
                <w:color w:val="auto"/>
                <w:sz w:val="24"/>
                <w:highlight w:val="none"/>
              </w:rPr>
            </w:pPr>
            <w:r>
              <w:rPr>
                <w:color w:val="auto"/>
                <w:sz w:val="24"/>
                <w:highlight w:val="none"/>
              </w:rPr>
              <w:t>本项目施工人员按</w:t>
            </w:r>
            <w:r>
              <w:rPr>
                <w:rFonts w:hint="eastAsia"/>
                <w:color w:val="auto"/>
                <w:sz w:val="24"/>
                <w:highlight w:val="none"/>
              </w:rPr>
              <w:t>50</w:t>
            </w:r>
            <w:r>
              <w:rPr>
                <w:color w:val="auto"/>
                <w:sz w:val="24"/>
                <w:highlight w:val="none"/>
              </w:rPr>
              <w:t>人计，生活垃圾产生量按0.5kg/人·d计，则施工期生活垃圾产生量为</w:t>
            </w:r>
            <w:r>
              <w:rPr>
                <w:rFonts w:hint="eastAsia"/>
                <w:color w:val="auto"/>
                <w:sz w:val="24"/>
                <w:highlight w:val="none"/>
              </w:rPr>
              <w:t>25</w:t>
            </w:r>
            <w:r>
              <w:rPr>
                <w:color w:val="auto"/>
                <w:sz w:val="24"/>
                <w:highlight w:val="none"/>
              </w:rPr>
              <w:t>kg/d，施工单位应将生活垃圾集中放置，生活垃圾委托当地环卫部门统一清运。</w:t>
            </w:r>
          </w:p>
          <w:p w14:paraId="2D0A0DCA">
            <w:pPr>
              <w:adjustRightInd w:val="0"/>
              <w:snapToGrid w:val="0"/>
              <w:spacing w:line="360" w:lineRule="auto"/>
              <w:ind w:firstLine="480" w:firstLineChars="200"/>
              <w:jc w:val="left"/>
              <w:rPr>
                <w:color w:val="auto"/>
                <w:sz w:val="24"/>
                <w:highlight w:val="none"/>
              </w:rPr>
            </w:pPr>
            <w:r>
              <w:rPr>
                <w:color w:val="auto"/>
                <w:sz w:val="24"/>
                <w:highlight w:val="none"/>
              </w:rPr>
              <w:t>因此，项目施工期产生的固废在采取一定的污染防治措施后对周围环境影响不大。</w:t>
            </w:r>
          </w:p>
          <w:p w14:paraId="731D3FFF">
            <w:pPr>
              <w:pStyle w:val="23"/>
              <w:ind w:firstLine="0"/>
              <w:rPr>
                <w:rFonts w:eastAsia="宋体" w:cs="Times New Roman"/>
                <w:color w:val="auto"/>
                <w:sz w:val="28"/>
                <w:szCs w:val="28"/>
                <w:highlight w:val="none"/>
              </w:rPr>
            </w:pPr>
            <w:r>
              <w:rPr>
                <w:rFonts w:eastAsia="宋体" w:cs="Times New Roman"/>
                <w:b/>
                <w:bCs/>
                <w:color w:val="auto"/>
                <w:sz w:val="28"/>
                <w:szCs w:val="28"/>
                <w:highlight w:val="none"/>
              </w:rPr>
              <w:t>4.1.</w:t>
            </w:r>
            <w:r>
              <w:rPr>
                <w:rFonts w:hint="eastAsia" w:eastAsia="宋体" w:cs="Times New Roman"/>
                <w:b/>
                <w:bCs/>
                <w:color w:val="auto"/>
                <w:sz w:val="28"/>
                <w:szCs w:val="28"/>
                <w:highlight w:val="none"/>
                <w:lang w:val="en-US" w:eastAsia="zh-CN"/>
              </w:rPr>
              <w:t>5</w:t>
            </w:r>
            <w:r>
              <w:rPr>
                <w:b/>
                <w:color w:val="auto"/>
                <w:kern w:val="0"/>
                <w:sz w:val="28"/>
                <w:szCs w:val="28"/>
                <w:highlight w:val="none"/>
              </w:rPr>
              <w:t>施工期</w:t>
            </w:r>
            <w:r>
              <w:rPr>
                <w:rFonts w:hint="eastAsia" w:eastAsia="宋体"/>
                <w:b/>
                <w:color w:val="auto"/>
                <w:kern w:val="0"/>
                <w:sz w:val="28"/>
                <w:szCs w:val="28"/>
                <w:highlight w:val="none"/>
                <w:lang w:val="en-US" w:eastAsia="zh-CN"/>
              </w:rPr>
              <w:t>环境风险</w:t>
            </w:r>
            <w:r>
              <w:rPr>
                <w:b/>
                <w:color w:val="auto"/>
                <w:kern w:val="0"/>
                <w:sz w:val="28"/>
                <w:szCs w:val="28"/>
                <w:highlight w:val="none"/>
              </w:rPr>
              <w:t>分析</w:t>
            </w:r>
          </w:p>
          <w:p w14:paraId="3BAA2236">
            <w:pPr>
              <w:keepNext w:val="0"/>
              <w:keepLines w:val="0"/>
              <w:widowControl/>
              <w:suppressLineNumbers w:val="0"/>
              <w:spacing w:line="360" w:lineRule="auto"/>
              <w:ind w:firstLine="480" w:firstLineChars="200"/>
              <w:jc w:val="left"/>
              <w:rPr>
                <w:color w:val="auto"/>
              </w:rPr>
            </w:pPr>
            <w:r>
              <w:rPr>
                <w:rFonts w:hint="eastAsia"/>
                <w:color w:val="auto"/>
                <w:sz w:val="24"/>
                <w:highlight w:val="none"/>
              </w:rPr>
              <w:t>本项目保留门诊住院综合大楼、职工宿舍，拆除院内其余老旧建（构）筑物。老旧楼房长期作为医疗卫生用房，拆除过程存在废弃消毒剂残留、过期零星药品、废弃医疗耗材、建筑垃圾粉尘</w:t>
            </w:r>
            <w:r>
              <w:rPr>
                <w:rFonts w:hint="eastAsia"/>
                <w:color w:val="auto"/>
                <w:sz w:val="24"/>
                <w:highlight w:val="none"/>
                <w:lang w:eastAsia="zh-CN"/>
              </w:rPr>
              <w:t>、</w:t>
            </w:r>
            <w:r>
              <w:rPr>
                <w:rFonts w:hint="eastAsia"/>
                <w:color w:val="auto"/>
                <w:sz w:val="24"/>
                <w:highlight w:val="none"/>
              </w:rPr>
              <w:t>等遗留污染风险</w:t>
            </w:r>
            <w:r>
              <w:rPr>
                <w:rFonts w:hint="eastAsia"/>
                <w:color w:val="auto"/>
                <w:sz w:val="24"/>
                <w:highlight w:val="none"/>
                <w:lang w:eastAsia="zh-CN"/>
              </w:rPr>
              <w:t>。</w:t>
            </w:r>
            <w:r>
              <w:rPr>
                <w:rFonts w:ascii="宋体" w:hAnsi="宋体" w:eastAsia="宋体" w:cs="宋体"/>
                <w:color w:val="auto"/>
                <w:kern w:val="0"/>
                <w:sz w:val="24"/>
                <w:szCs w:val="24"/>
                <w:lang w:val="en-US" w:eastAsia="zh-CN" w:bidi="ar"/>
              </w:rPr>
              <w:t>为防范施工期土壤、水体及大气环境污染，项目采取全过程风险防控措施：施工前对旧楼房间、管道井、管沟等隐蔽区域开展全面排查清理，彻底清除各类医疗遗留污染物并分类规范存放，严禁混入建筑垃圾，从源头消除污染隐患；施工过程采用湿法作业洒水抑尘，建筑垃圾密闭堆放、及时清运，场地设置临时截排水及沉淀设施，施工废水经沉淀后回用，杜绝污染废水外排；施工期间若发现不明废液、化学残渣、污染土体等污染物，立即停工隔离甄别，危险废物委托资质单位处置，严格落实固废分类分区存放、分类外运制度，严防二次污染；拆除完工后对场地全面清扫，重点清理药剂存放及管线周边遗留污染物</w:t>
            </w:r>
            <w:r>
              <w:rPr>
                <w:rFonts w:hint="eastAsia" w:ascii="宋体" w:hAnsi="宋体" w:eastAsia="宋体" w:cs="宋体"/>
                <w:color w:val="auto"/>
                <w:kern w:val="0"/>
                <w:sz w:val="24"/>
                <w:szCs w:val="24"/>
                <w:lang w:val="en-US" w:eastAsia="zh-CN" w:bidi="ar"/>
              </w:rPr>
              <w:t>。</w:t>
            </w:r>
          </w:p>
          <w:p w14:paraId="40FFD6FB">
            <w:pPr>
              <w:adjustRightInd w:val="0"/>
              <w:snapToGrid w:val="0"/>
              <w:spacing w:line="360" w:lineRule="auto"/>
              <w:ind w:firstLine="480" w:firstLineChars="200"/>
              <w:jc w:val="left"/>
              <w:rPr>
                <w:rFonts w:hint="eastAsia" w:eastAsia="宋体"/>
                <w:color w:val="auto"/>
                <w:sz w:val="24"/>
                <w:highlight w:val="none"/>
                <w:lang w:eastAsia="zh-CN"/>
              </w:rPr>
            </w:pPr>
          </w:p>
        </w:tc>
      </w:tr>
      <w:tr w14:paraId="4696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8" w:hRule="atLeast"/>
          <w:jc w:val="center"/>
        </w:trPr>
        <w:tc>
          <w:tcPr>
            <w:tcW w:w="367" w:type="dxa"/>
            <w:noWrap w:val="0"/>
            <w:tcMar>
              <w:left w:w="28" w:type="dxa"/>
              <w:right w:w="28" w:type="dxa"/>
            </w:tcMar>
            <w:vAlign w:val="center"/>
          </w:tcPr>
          <w:p w14:paraId="429EFDDF">
            <w:pPr>
              <w:adjustRightInd w:val="0"/>
              <w:snapToGrid w:val="0"/>
              <w:jc w:val="center"/>
              <w:rPr>
                <w:bCs/>
                <w:color w:val="auto"/>
                <w:szCs w:val="21"/>
              </w:rPr>
            </w:pPr>
            <w:r>
              <w:rPr>
                <w:bCs/>
                <w:color w:val="auto"/>
                <w:szCs w:val="21"/>
              </w:rPr>
              <w:t>运营</w:t>
            </w:r>
          </w:p>
          <w:p w14:paraId="6A3AC124">
            <w:pPr>
              <w:adjustRightInd w:val="0"/>
              <w:snapToGrid w:val="0"/>
              <w:jc w:val="center"/>
              <w:rPr>
                <w:bCs/>
                <w:color w:val="auto"/>
                <w:szCs w:val="21"/>
              </w:rPr>
            </w:pPr>
            <w:r>
              <w:rPr>
                <w:bCs/>
                <w:color w:val="auto"/>
                <w:szCs w:val="21"/>
              </w:rPr>
              <w:t>期环</w:t>
            </w:r>
          </w:p>
          <w:p w14:paraId="0AA33C73">
            <w:pPr>
              <w:adjustRightInd w:val="0"/>
              <w:snapToGrid w:val="0"/>
              <w:jc w:val="center"/>
              <w:rPr>
                <w:bCs/>
                <w:color w:val="auto"/>
                <w:szCs w:val="21"/>
              </w:rPr>
            </w:pPr>
            <w:r>
              <w:rPr>
                <w:bCs/>
                <w:color w:val="auto"/>
                <w:szCs w:val="21"/>
              </w:rPr>
              <w:t>境影</w:t>
            </w:r>
          </w:p>
          <w:p w14:paraId="6F3F5AAA">
            <w:pPr>
              <w:adjustRightInd w:val="0"/>
              <w:snapToGrid w:val="0"/>
              <w:jc w:val="center"/>
              <w:rPr>
                <w:bCs/>
                <w:color w:val="auto"/>
                <w:szCs w:val="21"/>
              </w:rPr>
            </w:pPr>
            <w:r>
              <w:rPr>
                <w:bCs/>
                <w:color w:val="auto"/>
                <w:szCs w:val="21"/>
              </w:rPr>
              <w:t>响和</w:t>
            </w:r>
          </w:p>
          <w:p w14:paraId="6085A3EA">
            <w:pPr>
              <w:adjustRightInd w:val="0"/>
              <w:snapToGrid w:val="0"/>
              <w:jc w:val="center"/>
              <w:rPr>
                <w:bCs/>
                <w:color w:val="auto"/>
                <w:szCs w:val="21"/>
              </w:rPr>
            </w:pPr>
            <w:r>
              <w:rPr>
                <w:bCs/>
                <w:color w:val="auto"/>
                <w:szCs w:val="21"/>
              </w:rPr>
              <w:t>保护</w:t>
            </w:r>
          </w:p>
          <w:p w14:paraId="0F7C0232">
            <w:pPr>
              <w:adjustRightInd w:val="0"/>
              <w:snapToGrid w:val="0"/>
              <w:jc w:val="center"/>
              <w:rPr>
                <w:bCs/>
                <w:color w:val="auto"/>
                <w:szCs w:val="21"/>
              </w:rPr>
            </w:pPr>
            <w:r>
              <w:rPr>
                <w:bCs/>
                <w:color w:val="auto"/>
                <w:szCs w:val="21"/>
              </w:rPr>
              <w:t>措施</w:t>
            </w:r>
          </w:p>
        </w:tc>
        <w:tc>
          <w:tcPr>
            <w:tcW w:w="8614" w:type="dxa"/>
            <w:noWrap w:val="0"/>
            <w:vAlign w:val="center"/>
          </w:tcPr>
          <w:p w14:paraId="0FF125A2">
            <w:pPr>
              <w:pStyle w:val="3"/>
              <w:adjustRightInd w:val="0"/>
              <w:snapToGrid w:val="0"/>
              <w:spacing w:line="360" w:lineRule="auto"/>
              <w:ind w:left="301" w:hanging="301" w:hangingChars="100"/>
              <w:rPr>
                <w:rFonts w:ascii="Times New Roman" w:hAnsi="Times New Roman"/>
                <w:color w:val="auto"/>
              </w:rPr>
            </w:pPr>
            <w:r>
              <w:rPr>
                <w:rFonts w:ascii="Times New Roman" w:hAnsi="Times New Roman" w:cs="Times New Roman"/>
                <w:color w:val="auto"/>
                <w:sz w:val="30"/>
                <w:szCs w:val="30"/>
                <w:lang w:val="en-US"/>
              </w:rPr>
              <w:t>4.</w:t>
            </w:r>
            <w:r>
              <w:rPr>
                <w:rFonts w:hint="eastAsia" w:ascii="Times New Roman" w:hAnsi="Times New Roman" w:cs="Times New Roman"/>
                <w:color w:val="auto"/>
                <w:sz w:val="30"/>
                <w:szCs w:val="30"/>
                <w:lang w:val="en-US"/>
              </w:rPr>
              <w:t>2</w:t>
            </w:r>
            <w:r>
              <w:rPr>
                <w:rFonts w:hint="eastAsia" w:ascii="Times New Roman" w:hAnsi="Times New Roman"/>
                <w:color w:val="auto"/>
                <w:sz w:val="30"/>
                <w:szCs w:val="30"/>
                <w:lang w:val="en-US"/>
              </w:rPr>
              <w:t>运营期</w:t>
            </w:r>
            <w:r>
              <w:rPr>
                <w:rFonts w:ascii="Times New Roman" w:hAnsi="Times New Roman"/>
                <w:color w:val="auto"/>
                <w:sz w:val="30"/>
                <w:szCs w:val="30"/>
              </w:rPr>
              <w:t>环境</w:t>
            </w:r>
            <w:r>
              <w:rPr>
                <w:rFonts w:hint="eastAsia" w:ascii="Times New Roman" w:hAnsi="Times New Roman"/>
                <w:color w:val="auto"/>
                <w:sz w:val="30"/>
                <w:szCs w:val="30"/>
                <w:lang w:val="en-US"/>
              </w:rPr>
              <w:t>影响和</w:t>
            </w:r>
            <w:r>
              <w:rPr>
                <w:rFonts w:ascii="Times New Roman" w:hAnsi="Times New Roman"/>
                <w:color w:val="auto"/>
                <w:sz w:val="30"/>
                <w:szCs w:val="30"/>
              </w:rPr>
              <w:t>保护措施</w:t>
            </w:r>
          </w:p>
          <w:p w14:paraId="35F849FD">
            <w:pPr>
              <w:spacing w:line="360" w:lineRule="auto"/>
              <w:rPr>
                <w:bCs/>
                <w:color w:val="auto"/>
                <w:sz w:val="24"/>
              </w:rPr>
            </w:pPr>
            <w:r>
              <w:rPr>
                <w:b/>
                <w:bCs/>
                <w:color w:val="auto"/>
                <w:sz w:val="28"/>
                <w:szCs w:val="28"/>
              </w:rPr>
              <w:t>4.</w:t>
            </w:r>
            <w:r>
              <w:rPr>
                <w:rFonts w:hint="eastAsia"/>
                <w:b/>
                <w:bCs/>
                <w:color w:val="auto"/>
                <w:sz w:val="28"/>
                <w:szCs w:val="28"/>
              </w:rPr>
              <w:t>2</w:t>
            </w:r>
            <w:r>
              <w:rPr>
                <w:b/>
                <w:bCs/>
                <w:color w:val="auto"/>
                <w:sz w:val="28"/>
                <w:szCs w:val="28"/>
              </w:rPr>
              <w:t>.1</w:t>
            </w:r>
            <w:r>
              <w:rPr>
                <w:b/>
                <w:color w:val="auto"/>
                <w:kern w:val="0"/>
                <w:sz w:val="28"/>
                <w:szCs w:val="28"/>
              </w:rPr>
              <w:t>大气环境影响</w:t>
            </w:r>
            <w:r>
              <w:rPr>
                <w:rFonts w:hint="eastAsia"/>
                <w:b/>
                <w:color w:val="auto"/>
                <w:kern w:val="0"/>
                <w:sz w:val="28"/>
                <w:szCs w:val="28"/>
              </w:rPr>
              <w:t>和保护措施</w:t>
            </w:r>
          </w:p>
          <w:p w14:paraId="2F56E8AE">
            <w:pPr>
              <w:pStyle w:val="23"/>
              <w:ind w:firstLine="480" w:firstLineChars="200"/>
              <w:rPr>
                <w:rFonts w:cs="Times New Roman"/>
                <w:b/>
                <w:bCs/>
                <w:color w:val="auto"/>
                <w:sz w:val="24"/>
                <w:szCs w:val="24"/>
              </w:rPr>
            </w:pPr>
            <w:r>
              <w:rPr>
                <w:rFonts w:cs="Times New Roman"/>
                <w:b/>
                <w:bCs/>
                <w:color w:val="auto"/>
                <w:sz w:val="24"/>
                <w:szCs w:val="24"/>
              </w:rPr>
              <w:t>一、</w:t>
            </w:r>
            <w:r>
              <w:rPr>
                <w:rFonts w:hint="eastAsia" w:cs="Times New Roman"/>
                <w:b/>
                <w:bCs/>
                <w:color w:val="auto"/>
                <w:sz w:val="24"/>
                <w:szCs w:val="24"/>
              </w:rPr>
              <w:t>废气源强分析</w:t>
            </w:r>
          </w:p>
          <w:p w14:paraId="14FAFD01">
            <w:pPr>
              <w:pStyle w:val="46"/>
              <w:adjustRightInd/>
              <w:snapToGrid/>
              <w:spacing w:line="360" w:lineRule="auto"/>
              <w:ind w:firstLine="482" w:firstLineChars="200"/>
              <w:rPr>
                <w:b/>
                <w:color w:val="auto"/>
                <w:szCs w:val="24"/>
              </w:rPr>
            </w:pPr>
            <w:r>
              <w:rPr>
                <w:b/>
                <w:color w:val="auto"/>
                <w:szCs w:val="24"/>
              </w:rPr>
              <w:t>（1）污水处理站处恶臭</w:t>
            </w:r>
          </w:p>
          <w:p w14:paraId="2D048C05">
            <w:pPr>
              <w:keepNext w:val="0"/>
              <w:keepLines w:val="0"/>
              <w:widowControl/>
              <w:suppressLineNumbers w:val="0"/>
              <w:spacing w:line="360" w:lineRule="auto"/>
              <w:ind w:firstLine="480" w:firstLineChars="200"/>
              <w:jc w:val="left"/>
              <w:rPr>
                <w:color w:val="auto"/>
                <w:sz w:val="24"/>
              </w:rPr>
            </w:pPr>
            <w:r>
              <w:rPr>
                <w:rFonts w:hint="eastAsia" w:ascii="宋体" w:hAnsi="宋体" w:eastAsia="宋体" w:cs="宋体"/>
                <w:color w:val="auto"/>
                <w:kern w:val="0"/>
                <w:sz w:val="24"/>
                <w:szCs w:val="24"/>
                <w:lang w:val="en-US" w:eastAsia="zh-CN" w:bidi="ar"/>
              </w:rPr>
              <w:t>恶臭气体主要来源于污泥压滤过程及污水处理站污水以及污泥中有机物的分解、发酵过程中散发的化学物质，污水的臭味容易散发到空气中，对周围环境造成影响。恶臭主要成分为</w:t>
            </w:r>
            <w:r>
              <w:rPr>
                <w:rFonts w:hint="default" w:ascii="Times New Roman" w:hAnsi="Times New Roman" w:eastAsia="宋体" w:cs="Times New Roman"/>
                <w:color w:val="auto"/>
                <w:kern w:val="0"/>
                <w:sz w:val="24"/>
                <w:szCs w:val="24"/>
                <w:lang w:val="en-US" w:eastAsia="zh-CN" w:bidi="ar"/>
              </w:rPr>
              <w:t>NH</w:t>
            </w:r>
            <w:r>
              <w:rPr>
                <w:rFonts w:hint="default" w:ascii="Times New Roman" w:hAnsi="Times New Roman" w:eastAsia="宋体" w:cs="Times New Roman"/>
                <w:color w:val="auto"/>
                <w:kern w:val="0"/>
                <w:sz w:val="14"/>
                <w:szCs w:val="14"/>
                <w:lang w:val="en-US" w:eastAsia="zh-CN" w:bidi="ar"/>
              </w:rPr>
              <w:t>3</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H</w:t>
            </w:r>
            <w:r>
              <w:rPr>
                <w:rFonts w:hint="default" w:ascii="Times New Roman" w:hAnsi="Times New Roman" w:eastAsia="宋体" w:cs="Times New Roman"/>
                <w:color w:val="auto"/>
                <w:kern w:val="0"/>
                <w:sz w:val="14"/>
                <w:szCs w:val="14"/>
                <w:lang w:val="en-US" w:eastAsia="zh-CN" w:bidi="ar"/>
              </w:rPr>
              <w:t>2</w:t>
            </w:r>
            <w:r>
              <w:rPr>
                <w:rFonts w:hint="default" w:ascii="Times New Roman" w:hAnsi="Times New Roman" w:eastAsia="宋体" w:cs="Times New Roman"/>
                <w:color w:val="auto"/>
                <w:kern w:val="0"/>
                <w:sz w:val="24"/>
                <w:szCs w:val="24"/>
                <w:lang w:val="en-US" w:eastAsia="zh-CN" w:bidi="ar"/>
              </w:rPr>
              <w:t>S</w:t>
            </w:r>
            <w:r>
              <w:rPr>
                <w:rFonts w:hint="eastAsia" w:ascii="宋体" w:hAnsi="宋体" w:eastAsia="宋体" w:cs="宋体"/>
                <w:color w:val="auto"/>
                <w:kern w:val="0"/>
                <w:sz w:val="24"/>
                <w:szCs w:val="24"/>
                <w:lang w:val="en-US" w:eastAsia="zh-CN" w:bidi="ar"/>
              </w:rPr>
              <w:t>，臭气浓度无量纲本报告只做定性分析。</w:t>
            </w:r>
          </w:p>
          <w:p w14:paraId="788B2D62">
            <w:pPr>
              <w:pStyle w:val="30"/>
              <w:spacing w:before="135" w:line="360" w:lineRule="auto"/>
              <w:ind w:left="117" w:right="105" w:firstLine="483"/>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项目污水处理站产生的恶臭气体中主要含有NH</w:t>
            </w:r>
            <w:r>
              <w:rPr>
                <w:rFonts w:hint="default" w:ascii="Times New Roman" w:hAnsi="Times New Roman" w:eastAsia="宋体" w:cs="Times New Roman"/>
                <w:color w:val="auto"/>
                <w:kern w:val="0"/>
                <w:sz w:val="24"/>
                <w:szCs w:val="24"/>
                <w:vertAlign w:val="subscript"/>
                <w:lang w:val="en-US" w:eastAsia="zh-CN" w:bidi="ar"/>
              </w:rPr>
              <w:t>3</w:t>
            </w:r>
            <w:r>
              <w:rPr>
                <w:rFonts w:hint="default" w:ascii="Times New Roman" w:hAnsi="Times New Roman" w:eastAsia="宋体" w:cs="Times New Roman"/>
                <w:color w:val="auto"/>
                <w:kern w:val="0"/>
                <w:sz w:val="24"/>
                <w:szCs w:val="24"/>
                <w:lang w:val="en-US" w:eastAsia="zh-CN" w:bidi="ar"/>
              </w:rPr>
              <w:t>、H</w:t>
            </w:r>
            <w:r>
              <w:rPr>
                <w:rFonts w:hint="default" w:ascii="Times New Roman" w:hAnsi="Times New Roman" w:eastAsia="宋体" w:cs="Times New Roman"/>
                <w:color w:val="auto"/>
                <w:kern w:val="0"/>
                <w:sz w:val="24"/>
                <w:szCs w:val="24"/>
                <w:vertAlign w:val="subscript"/>
                <w:lang w:val="en-US" w:eastAsia="zh-CN" w:bidi="ar"/>
              </w:rPr>
              <w:t>2</w:t>
            </w:r>
            <w:r>
              <w:rPr>
                <w:rFonts w:hint="default" w:ascii="Times New Roman" w:hAnsi="Times New Roman" w:eastAsia="宋体" w:cs="Times New Roman"/>
                <w:color w:val="auto"/>
                <w:kern w:val="0"/>
                <w:sz w:val="24"/>
                <w:szCs w:val="24"/>
                <w:lang w:val="en-US" w:eastAsia="zh-CN" w:bidi="ar"/>
              </w:rPr>
              <w:t>S，同时具有一定的臭味。根据参考资料《美国EPA对污水处理恶臭污染物产生情况的研究》，每处理1g的BOD</w:t>
            </w:r>
            <w:r>
              <w:rPr>
                <w:rFonts w:hint="default" w:ascii="Times New Roman" w:hAnsi="Times New Roman" w:eastAsia="宋体" w:cs="Times New Roman"/>
                <w:color w:val="auto"/>
                <w:kern w:val="0"/>
                <w:sz w:val="24"/>
                <w:szCs w:val="24"/>
                <w:vertAlign w:val="subscript"/>
                <w:lang w:val="en-US" w:eastAsia="zh-CN" w:bidi="ar"/>
              </w:rPr>
              <w:t>5</w:t>
            </w:r>
            <w:r>
              <w:rPr>
                <w:rFonts w:hint="default" w:ascii="Times New Roman" w:hAnsi="Times New Roman" w:eastAsia="宋体" w:cs="Times New Roman"/>
                <w:color w:val="auto"/>
                <w:kern w:val="0"/>
                <w:sz w:val="24"/>
                <w:szCs w:val="24"/>
                <w:lang w:val="en-US" w:eastAsia="zh-CN" w:bidi="ar"/>
              </w:rPr>
              <w:t>可产生0.0031g的NH</w:t>
            </w:r>
            <w:r>
              <w:rPr>
                <w:rFonts w:hint="default" w:ascii="Times New Roman" w:hAnsi="Times New Roman" w:eastAsia="宋体" w:cs="Times New Roman"/>
                <w:color w:val="auto"/>
                <w:kern w:val="0"/>
                <w:sz w:val="24"/>
                <w:szCs w:val="24"/>
                <w:vertAlign w:val="subscript"/>
                <w:lang w:val="en-US" w:eastAsia="zh-CN" w:bidi="ar"/>
              </w:rPr>
              <w:t>3</w:t>
            </w:r>
            <w:r>
              <w:rPr>
                <w:rFonts w:hint="default" w:ascii="Times New Roman" w:hAnsi="Times New Roman" w:eastAsia="宋体" w:cs="Times New Roman"/>
                <w:color w:val="auto"/>
                <w:kern w:val="0"/>
                <w:sz w:val="24"/>
                <w:szCs w:val="24"/>
                <w:lang w:val="en-US" w:eastAsia="zh-CN" w:bidi="ar"/>
              </w:rPr>
              <w:t>和0.00012g的H</w:t>
            </w:r>
            <w:r>
              <w:rPr>
                <w:rFonts w:hint="default" w:ascii="Times New Roman" w:hAnsi="Times New Roman" w:eastAsia="宋体" w:cs="Times New Roman"/>
                <w:color w:val="auto"/>
                <w:kern w:val="0"/>
                <w:sz w:val="24"/>
                <w:szCs w:val="24"/>
                <w:vertAlign w:val="subscript"/>
                <w:lang w:val="en-US" w:eastAsia="zh-CN" w:bidi="ar"/>
              </w:rPr>
              <w:t>2</w:t>
            </w:r>
            <w:r>
              <w:rPr>
                <w:rFonts w:hint="default" w:ascii="Times New Roman" w:hAnsi="Times New Roman" w:eastAsia="宋体" w:cs="Times New Roman"/>
                <w:color w:val="auto"/>
                <w:kern w:val="0"/>
                <w:sz w:val="24"/>
                <w:szCs w:val="24"/>
                <w:lang w:val="en-US" w:eastAsia="zh-CN" w:bidi="ar"/>
              </w:rPr>
              <w:t>S。本项目污水处理站污水处理量约为</w:t>
            </w:r>
            <w:r>
              <w:rPr>
                <w:rFonts w:hint="eastAsia" w:ascii="Times New Roman" w:hAnsi="Times New Roman" w:eastAsia="宋体" w:cs="Times New Roman"/>
                <w:i w:val="0"/>
                <w:iCs w:val="0"/>
                <w:color w:val="auto"/>
                <w:kern w:val="0"/>
                <w:sz w:val="24"/>
                <w:szCs w:val="24"/>
                <w:u w:val="none"/>
                <w:lang w:val="en-US" w:eastAsia="zh-CN" w:bidi="ar"/>
              </w:rPr>
              <w:t>65143.01</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/a，污水站BOD</w:t>
            </w:r>
            <w:r>
              <w:rPr>
                <w:rFonts w:hint="default" w:ascii="Times New Roman" w:hAnsi="Times New Roman" w:eastAsia="宋体" w:cs="Times New Roman"/>
                <w:color w:val="auto"/>
                <w:kern w:val="0"/>
                <w:sz w:val="24"/>
                <w:szCs w:val="24"/>
                <w:vertAlign w:val="subscript"/>
                <w:lang w:val="en-US" w:eastAsia="zh-CN" w:bidi="ar"/>
              </w:rPr>
              <w:t>5</w:t>
            </w:r>
            <w:r>
              <w:rPr>
                <w:rFonts w:hint="default" w:ascii="Times New Roman" w:hAnsi="Times New Roman" w:eastAsia="宋体" w:cs="Times New Roman"/>
                <w:color w:val="auto"/>
                <w:kern w:val="0"/>
                <w:sz w:val="24"/>
                <w:szCs w:val="24"/>
                <w:lang w:val="en-US" w:eastAsia="zh-CN" w:bidi="ar"/>
              </w:rPr>
              <w:t>进水水质约为</w:t>
            </w:r>
            <w:r>
              <w:rPr>
                <w:rFonts w:hint="eastAsia" w:ascii="Times New Roman" w:hAnsi="Times New Roman" w:eastAsia="宋体" w:cs="Times New Roman"/>
                <w:color w:val="auto"/>
                <w:kern w:val="0"/>
                <w:sz w:val="24"/>
                <w:szCs w:val="24"/>
                <w:lang w:val="en-US" w:eastAsia="zh-CN" w:bidi="ar"/>
              </w:rPr>
              <w:t>78.74</w:t>
            </w:r>
            <w:r>
              <w:rPr>
                <w:rFonts w:hint="default" w:ascii="Times New Roman" w:hAnsi="Times New Roman" w:eastAsia="宋体" w:cs="Times New Roman"/>
                <w:color w:val="auto"/>
                <w:kern w:val="0"/>
                <w:sz w:val="24"/>
                <w:szCs w:val="24"/>
                <w:lang w:val="en-US" w:eastAsia="zh-CN" w:bidi="ar"/>
              </w:rPr>
              <w:t>mg/L，出水水质约为</w:t>
            </w:r>
            <w:r>
              <w:rPr>
                <w:rFonts w:hint="eastAsia" w:ascii="Times New Roman" w:hAnsi="Times New Roman" w:eastAsia="宋体" w:cs="Times New Roman"/>
                <w:color w:val="auto"/>
                <w:kern w:val="0"/>
                <w:sz w:val="24"/>
                <w:szCs w:val="24"/>
                <w:lang w:val="en-US" w:eastAsia="zh-CN" w:bidi="ar"/>
              </w:rPr>
              <w:t>0.69</w:t>
            </w:r>
            <w:r>
              <w:rPr>
                <w:rFonts w:hint="default" w:ascii="Times New Roman" w:hAnsi="Times New Roman" w:eastAsia="宋体" w:cs="Times New Roman"/>
                <w:color w:val="auto"/>
                <w:kern w:val="0"/>
                <w:sz w:val="24"/>
                <w:szCs w:val="24"/>
                <w:lang w:val="en-US" w:eastAsia="zh-CN" w:bidi="ar"/>
              </w:rPr>
              <w:t>mg/L，则BOD</w:t>
            </w:r>
            <w:r>
              <w:rPr>
                <w:rFonts w:hint="default" w:ascii="Times New Roman" w:hAnsi="Times New Roman" w:eastAsia="宋体" w:cs="Times New Roman"/>
                <w:color w:val="auto"/>
                <w:kern w:val="0"/>
                <w:sz w:val="24"/>
                <w:szCs w:val="24"/>
                <w:vertAlign w:val="subscript"/>
                <w:lang w:val="en-US" w:eastAsia="zh-CN" w:bidi="ar"/>
              </w:rPr>
              <w:t>5</w:t>
            </w:r>
            <w:r>
              <w:rPr>
                <w:rFonts w:hint="default" w:ascii="Times New Roman" w:hAnsi="Times New Roman" w:eastAsia="宋体" w:cs="Times New Roman"/>
                <w:color w:val="auto"/>
                <w:kern w:val="0"/>
                <w:sz w:val="24"/>
                <w:szCs w:val="24"/>
                <w:lang w:val="en-US" w:eastAsia="zh-CN" w:bidi="ar"/>
              </w:rPr>
              <w:t>去除量为</w:t>
            </w:r>
            <w:r>
              <w:rPr>
                <w:rFonts w:hint="eastAsia" w:ascii="Times New Roman" w:hAnsi="Times New Roman" w:eastAsia="宋体" w:cs="Times New Roman"/>
                <w:color w:val="auto"/>
                <w:kern w:val="0"/>
                <w:sz w:val="24"/>
                <w:szCs w:val="24"/>
                <w:lang w:val="en-US" w:eastAsia="zh-CN" w:bidi="ar"/>
              </w:rPr>
              <w:t>5.08</w:t>
            </w:r>
            <w:r>
              <w:rPr>
                <w:rFonts w:hint="default" w:ascii="Times New Roman" w:hAnsi="Times New Roman" w:eastAsia="宋体" w:cs="Times New Roman"/>
                <w:color w:val="auto"/>
                <w:kern w:val="0"/>
                <w:sz w:val="24"/>
                <w:szCs w:val="24"/>
                <w:lang w:val="en-US" w:eastAsia="zh-CN" w:bidi="ar"/>
              </w:rPr>
              <w:t>t/a，则NH</w:t>
            </w:r>
            <w:r>
              <w:rPr>
                <w:rFonts w:hint="default" w:ascii="Times New Roman" w:hAnsi="Times New Roman" w:eastAsia="宋体" w:cs="Times New Roman"/>
                <w:color w:val="auto"/>
                <w:kern w:val="0"/>
                <w:sz w:val="24"/>
                <w:szCs w:val="24"/>
                <w:vertAlign w:val="subscript"/>
                <w:lang w:val="en-US" w:eastAsia="zh-CN" w:bidi="ar"/>
              </w:rPr>
              <w:t>3</w:t>
            </w:r>
            <w:r>
              <w:rPr>
                <w:rFonts w:hint="eastAsia" w:ascii="Times New Roman" w:hAnsi="Times New Roman" w:eastAsia="宋体" w:cs="Times New Roman"/>
                <w:color w:val="auto"/>
                <w:kern w:val="0"/>
                <w:sz w:val="24"/>
                <w:szCs w:val="24"/>
                <w:vertAlign w:val="subscript"/>
                <w:lang w:val="en-US" w:eastAsia="zh-CN" w:bidi="ar"/>
              </w:rPr>
              <w:t xml:space="preserve"> </w:t>
            </w:r>
            <w:r>
              <w:rPr>
                <w:rFonts w:hint="default" w:ascii="Times New Roman" w:hAnsi="Times New Roman" w:eastAsia="宋体" w:cs="Times New Roman"/>
                <w:color w:val="auto"/>
                <w:kern w:val="0"/>
                <w:sz w:val="24"/>
                <w:szCs w:val="24"/>
                <w:lang w:val="en-US" w:eastAsia="zh-CN" w:bidi="ar"/>
              </w:rPr>
              <w:t>产生量</w:t>
            </w:r>
            <w:r>
              <w:rPr>
                <w:rFonts w:hint="eastAsia" w:ascii="Times New Roman" w:hAnsi="Times New Roman" w:eastAsia="宋体" w:cs="Times New Roman"/>
                <w:color w:val="auto"/>
                <w:kern w:val="0"/>
                <w:sz w:val="24"/>
                <w:szCs w:val="24"/>
                <w:lang w:val="en-US" w:eastAsia="zh-CN" w:bidi="ar"/>
              </w:rPr>
              <w:t>为0.015748</w:t>
            </w:r>
            <w:r>
              <w:rPr>
                <w:rFonts w:hint="default" w:ascii="Times New Roman" w:hAnsi="Times New Roman" w:eastAsia="宋体" w:cs="Times New Roman"/>
                <w:color w:val="auto"/>
                <w:kern w:val="0"/>
                <w:sz w:val="24"/>
                <w:szCs w:val="24"/>
                <w:lang w:val="en-US" w:eastAsia="zh-CN" w:bidi="ar"/>
              </w:rPr>
              <w:t>t/a、H</w:t>
            </w:r>
            <w:r>
              <w:rPr>
                <w:rFonts w:hint="default" w:ascii="Times New Roman" w:hAnsi="Times New Roman" w:eastAsia="宋体" w:cs="Times New Roman"/>
                <w:color w:val="auto"/>
                <w:kern w:val="0"/>
                <w:sz w:val="24"/>
                <w:szCs w:val="24"/>
                <w:vertAlign w:val="subscript"/>
                <w:lang w:val="en-US" w:eastAsia="zh-CN" w:bidi="ar"/>
              </w:rPr>
              <w:t>2</w:t>
            </w:r>
            <w:r>
              <w:rPr>
                <w:rFonts w:hint="default" w:ascii="Times New Roman" w:hAnsi="Times New Roman" w:eastAsia="宋体" w:cs="Times New Roman"/>
                <w:color w:val="auto"/>
                <w:kern w:val="0"/>
                <w:sz w:val="24"/>
                <w:szCs w:val="24"/>
                <w:lang w:val="en-US" w:eastAsia="zh-CN" w:bidi="ar"/>
              </w:rPr>
              <w:t>S</w:t>
            </w:r>
            <w:r>
              <w:rPr>
                <w:rFonts w:hint="eastAsia" w:ascii="Times New Roman" w:hAnsi="Times New Roman" w:eastAsia="宋体" w:cs="Times New Roman"/>
                <w:color w:val="auto"/>
                <w:kern w:val="0"/>
                <w:sz w:val="24"/>
                <w:szCs w:val="24"/>
                <w:lang w:val="en-US" w:eastAsia="zh-CN" w:bidi="ar"/>
              </w:rPr>
              <w:t xml:space="preserve"> </w:t>
            </w:r>
            <w:r>
              <w:rPr>
                <w:rFonts w:hint="default" w:ascii="Times New Roman" w:hAnsi="Times New Roman" w:eastAsia="宋体" w:cs="Times New Roman"/>
                <w:color w:val="auto"/>
                <w:kern w:val="0"/>
                <w:sz w:val="24"/>
                <w:szCs w:val="24"/>
                <w:lang w:val="en-US" w:eastAsia="zh-CN" w:bidi="ar"/>
              </w:rPr>
              <w:t>产生量</w:t>
            </w:r>
            <w:r>
              <w:rPr>
                <w:rFonts w:hint="eastAsia" w:ascii="Times New Roman" w:hAnsi="Times New Roman" w:eastAsia="宋体" w:cs="Times New Roman"/>
                <w:color w:val="auto"/>
                <w:kern w:val="0"/>
                <w:sz w:val="24"/>
                <w:szCs w:val="24"/>
                <w:lang w:val="en-US" w:eastAsia="zh-CN" w:bidi="ar"/>
              </w:rPr>
              <w:t>为0.0006096</w:t>
            </w:r>
            <w:r>
              <w:rPr>
                <w:rFonts w:hint="default" w:ascii="Times New Roman" w:hAnsi="Times New Roman" w:eastAsia="宋体" w:cs="Times New Roman"/>
                <w:color w:val="auto"/>
                <w:kern w:val="0"/>
                <w:sz w:val="24"/>
                <w:szCs w:val="24"/>
                <w:lang w:val="en-US" w:eastAsia="zh-CN" w:bidi="ar"/>
              </w:rPr>
              <w:t>t/a。</w:t>
            </w:r>
          </w:p>
          <w:p w14:paraId="56B1E505">
            <w:pPr>
              <w:keepNext w:val="0"/>
              <w:keepLines w:val="0"/>
              <w:widowControl/>
              <w:suppressLineNumbers w:val="0"/>
              <w:spacing w:line="360" w:lineRule="auto"/>
              <w:ind w:firstLine="720" w:firstLineChars="300"/>
              <w:jc w:val="left"/>
              <w:rPr>
                <w:rFonts w:hint="default" w:ascii="Times New Roman" w:hAnsi="Times New Roman" w:cs="Times New Roman"/>
                <w:b w:val="0"/>
                <w:bCs w:val="0"/>
                <w:color w:val="auto"/>
              </w:rPr>
            </w:pPr>
            <w:r>
              <w:rPr>
                <w:rFonts w:hint="default" w:ascii="Times New Roman" w:hAnsi="Times New Roman" w:eastAsia="宋体" w:cs="Times New Roman"/>
                <w:b w:val="0"/>
                <w:bCs w:val="0"/>
                <w:color w:val="auto"/>
                <w:kern w:val="0"/>
                <w:sz w:val="24"/>
                <w:szCs w:val="24"/>
                <w:lang w:val="en-US" w:eastAsia="zh-CN" w:bidi="ar"/>
              </w:rPr>
              <w:t>本项目污水处理站采用地埋式结构，所有处理池体均采取全密闭加盖设计，池体废气通过密闭管道、负压引风方式统一收集，废气收集效率可达</w:t>
            </w:r>
            <w:r>
              <w:rPr>
                <w:rStyle w:val="20"/>
                <w:rFonts w:hint="default" w:ascii="Times New Roman" w:hAnsi="Times New Roman" w:eastAsia="宋体" w:cs="Times New Roman"/>
                <w:b w:val="0"/>
                <w:bCs w:val="0"/>
                <w:color w:val="auto"/>
                <w:kern w:val="0"/>
                <w:sz w:val="24"/>
                <w:szCs w:val="24"/>
                <w:lang w:val="en-US" w:eastAsia="zh-CN" w:bidi="ar"/>
              </w:rPr>
              <w:t>95%</w:t>
            </w:r>
            <w:r>
              <w:rPr>
                <w:rFonts w:hint="default" w:ascii="Times New Roman" w:hAnsi="Times New Roman" w:eastAsia="宋体" w:cs="Times New Roman"/>
                <w:b w:val="0"/>
                <w:bCs w:val="0"/>
                <w:color w:val="auto"/>
                <w:kern w:val="0"/>
                <w:sz w:val="24"/>
                <w:szCs w:val="24"/>
                <w:lang w:val="en-US" w:eastAsia="zh-CN" w:bidi="ar"/>
              </w:rPr>
              <w:t>。站内有效容积为500m³，依据恶臭废气收集相关规范，密闭构筑物换气次数按8～12次/h核算，经计算，池体密闭空间最大所需收集风量为5000m³/h。项目配套废气收集风机设计风量为5000m³/h，可完全满足池体恶臭废气全面收集需求，风量配置合理、余量充足，能够有效收集站内产生的恶臭废气，杜绝废气无组织散逸，收集后的废气统一输送至配套除臭设施进行集中净化处理。</w:t>
            </w:r>
          </w:p>
          <w:p w14:paraId="5458C169">
            <w:pPr>
              <w:keepNext w:val="0"/>
              <w:keepLines w:val="0"/>
              <w:widowControl/>
              <w:suppressLineNumbers w:val="0"/>
              <w:spacing w:line="360" w:lineRule="auto"/>
              <w:ind w:firstLine="480" w:firstLineChars="200"/>
              <w:jc w:val="left"/>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项目恶臭废气治理采用</w:t>
            </w:r>
            <w:r>
              <w:rPr>
                <w:rStyle w:val="20"/>
                <w:rFonts w:hint="default" w:ascii="Times New Roman" w:hAnsi="Times New Roman" w:eastAsia="宋体" w:cs="Times New Roman"/>
                <w:b w:val="0"/>
                <w:bCs w:val="0"/>
                <w:color w:val="auto"/>
                <w:kern w:val="0"/>
                <w:sz w:val="24"/>
                <w:szCs w:val="24"/>
                <w:lang w:val="en-US" w:eastAsia="zh-CN" w:bidi="ar"/>
              </w:rPr>
              <w:t>高能离子净化+活性炭吸附</w:t>
            </w:r>
            <w:r>
              <w:rPr>
                <w:rFonts w:hint="default" w:ascii="Times New Roman" w:hAnsi="Times New Roman" w:eastAsia="宋体" w:cs="Times New Roman"/>
                <w:b w:val="0"/>
                <w:bCs w:val="0"/>
                <w:color w:val="auto"/>
                <w:kern w:val="0"/>
                <w:sz w:val="24"/>
                <w:szCs w:val="24"/>
                <w:lang w:val="en-US" w:eastAsia="zh-CN" w:bidi="ar"/>
              </w:rPr>
              <w:t>组合式除臭工艺，为医疗机构地埋式污水站适配性极强的成熟治理工艺，整体综合处理效率可达</w:t>
            </w:r>
            <w:r>
              <w:rPr>
                <w:rStyle w:val="20"/>
                <w:rFonts w:hint="default" w:ascii="Times New Roman" w:hAnsi="Times New Roman" w:eastAsia="宋体" w:cs="Times New Roman"/>
                <w:b w:val="0"/>
                <w:bCs w:val="0"/>
                <w:color w:val="auto"/>
                <w:kern w:val="0"/>
                <w:sz w:val="24"/>
                <w:szCs w:val="24"/>
                <w:lang w:val="en-US" w:eastAsia="zh-CN" w:bidi="ar"/>
              </w:rPr>
              <w:t>90%</w:t>
            </w:r>
            <w:r>
              <w:rPr>
                <w:rFonts w:hint="default" w:ascii="Times New Roman" w:hAnsi="Times New Roman" w:eastAsia="宋体" w:cs="Times New Roman"/>
                <w:b w:val="0"/>
                <w:bCs w:val="0"/>
                <w:color w:val="auto"/>
                <w:kern w:val="0"/>
                <w:sz w:val="24"/>
                <w:szCs w:val="24"/>
                <w:lang w:val="en-US" w:eastAsia="zh-CN" w:bidi="ar"/>
              </w:rPr>
              <w:t>。处理后引至楼顶排放，对周围环境基本无影响。</w:t>
            </w:r>
          </w:p>
          <w:p w14:paraId="59A5E56A">
            <w:pPr>
              <w:pStyle w:val="7"/>
              <w:spacing w:before="271" w:line="219" w:lineRule="auto"/>
              <w:ind w:left="609"/>
              <w:rPr>
                <w:rFonts w:ascii="Times New Roman" w:hAnsi="Times New Roman" w:eastAsia="宋体" w:cs="Times New Roman"/>
                <w:b/>
                <w:color w:val="auto"/>
                <w:kern w:val="2"/>
                <w:sz w:val="24"/>
                <w:szCs w:val="24"/>
                <w:lang w:val="en-US" w:eastAsia="zh-CN" w:bidi="ar-SA"/>
              </w:rPr>
            </w:pPr>
            <w:r>
              <w:rPr>
                <w:rFonts w:ascii="Times New Roman" w:hAnsi="Times New Roman" w:eastAsia="宋体" w:cs="Times New Roman"/>
                <w:b/>
                <w:color w:val="auto"/>
                <w:kern w:val="2"/>
                <w:sz w:val="24"/>
                <w:szCs w:val="24"/>
                <w:lang w:val="en-US" w:eastAsia="zh-CN" w:bidi="ar-SA"/>
              </w:rPr>
              <w:t>（</w:t>
            </w:r>
            <w:r>
              <w:rPr>
                <w:rFonts w:hint="eastAsia" w:ascii="Times New Roman" w:hAnsi="Times New Roman" w:eastAsia="宋体" w:cs="Times New Roman"/>
                <w:b/>
                <w:color w:val="auto"/>
                <w:kern w:val="2"/>
                <w:sz w:val="24"/>
                <w:szCs w:val="24"/>
                <w:lang w:val="en-US" w:eastAsia="zh-CN" w:bidi="ar-SA"/>
              </w:rPr>
              <w:t>2</w:t>
            </w:r>
            <w:r>
              <w:rPr>
                <w:rFonts w:ascii="Times New Roman" w:hAnsi="Times New Roman" w:eastAsia="宋体" w:cs="Times New Roman"/>
                <w:b/>
                <w:color w:val="auto"/>
                <w:kern w:val="2"/>
                <w:sz w:val="24"/>
                <w:szCs w:val="24"/>
                <w:lang w:val="en-US" w:eastAsia="zh-CN" w:bidi="ar-SA"/>
              </w:rPr>
              <w:t>）医疗废物贮存间废气</w:t>
            </w:r>
          </w:p>
          <w:p w14:paraId="68E6C33B">
            <w:pPr>
              <w:pStyle w:val="7"/>
              <w:spacing w:before="180" w:line="361" w:lineRule="auto"/>
              <w:ind w:left="115" w:right="27" w:firstLine="493"/>
              <w:jc w:val="both"/>
              <w:rPr>
                <w:rFonts w:hint="eastAsia" w:ascii="宋体" w:hAnsi="宋体" w:eastAsia="宋体" w:cs="宋体"/>
                <w:color w:val="auto"/>
                <w:kern w:val="0"/>
                <w:sz w:val="24"/>
                <w:szCs w:val="24"/>
                <w:lang w:val="en-US" w:eastAsia="zh-CN" w:bidi="ar"/>
              </w:rPr>
            </w:pPr>
            <w:r>
              <w:rPr>
                <w:rFonts w:hint="eastAsia" w:ascii="Times New Roman" w:hAnsi="Times New Roman" w:eastAsia="宋体" w:cs="Times New Roman"/>
                <w:color w:val="auto"/>
                <w:kern w:val="2"/>
                <w:sz w:val="24"/>
                <w:szCs w:val="24"/>
                <w:lang w:val="en-US" w:eastAsia="zh-CN" w:bidi="ar-SA"/>
              </w:rPr>
              <w:t>医院医疗废物贮存间会产生一定臭气及含菌废气，医疗废物、废药物、药品、检验废液、废滤芯等危险废物贮存过程中均采用密闭容器包装，医疗废物贮存间每天按相关规定进行消毒，则医疗废物贮存间换气废气中致病菌等污染物的含量不大；本次评价仅对其提出污染防治措施要求，不进行定量分析。医疗废物暂存间采用密闭容器储存，日产日清，并定时消毒，减少恶臭产生。医疗废物暂存间应设置独立的排风系统，废气经紫外线消毒+活性炭处理后引至屋顶排放，排放浓度满足《恶臭污染物排放标准》（GB14554-93）表2标准。</w:t>
            </w:r>
          </w:p>
          <w:p w14:paraId="7D21B2B6">
            <w:pPr>
              <w:pStyle w:val="46"/>
              <w:adjustRightInd/>
              <w:snapToGrid/>
              <w:spacing w:line="360" w:lineRule="auto"/>
              <w:ind w:firstLine="482" w:firstLineChars="200"/>
              <w:rPr>
                <w:rFonts w:ascii="Times New Roman" w:hAnsi="Times New Roman" w:eastAsia="宋体" w:cs="Times New Roman"/>
                <w:b/>
                <w:color w:val="auto"/>
                <w:szCs w:val="28"/>
              </w:rPr>
            </w:pPr>
            <w:r>
              <w:rPr>
                <w:rFonts w:ascii="Times New Roman" w:hAnsi="Times New Roman" w:eastAsia="宋体" w:cs="Times New Roman"/>
                <w:b/>
                <w:color w:val="auto"/>
                <w:szCs w:val="28"/>
              </w:rPr>
              <w:t>（</w:t>
            </w:r>
            <w:r>
              <w:rPr>
                <w:rFonts w:hint="eastAsia" w:ascii="Times New Roman" w:hAnsi="Times New Roman" w:eastAsia="宋体" w:cs="Times New Roman"/>
                <w:b/>
                <w:color w:val="auto"/>
                <w:szCs w:val="28"/>
                <w:lang w:val="en-US" w:eastAsia="zh-CN"/>
              </w:rPr>
              <w:t>3</w:t>
            </w:r>
            <w:r>
              <w:rPr>
                <w:rFonts w:ascii="Times New Roman" w:hAnsi="Times New Roman" w:eastAsia="宋体" w:cs="Times New Roman"/>
                <w:b/>
                <w:color w:val="auto"/>
                <w:szCs w:val="28"/>
              </w:rPr>
              <w:t>）油烟废气</w:t>
            </w:r>
          </w:p>
          <w:p w14:paraId="6491589D">
            <w:pPr>
              <w:pStyle w:val="6"/>
              <w:spacing w:line="360" w:lineRule="auto"/>
              <w:ind w:firstLine="480" w:firstLineChars="200"/>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本项目定员</w:t>
            </w:r>
            <w:r>
              <w:rPr>
                <w:rFonts w:hint="eastAsia" w:ascii="Times New Roman" w:hAnsi="Times New Roman" w:eastAsia="宋体" w:cs="Times New Roman"/>
                <w:color w:val="auto"/>
                <w:kern w:val="2"/>
                <w:sz w:val="24"/>
                <w:szCs w:val="24"/>
                <w:lang w:val="en-US" w:eastAsia="zh-CN" w:bidi="ar-SA"/>
              </w:rPr>
              <w:t>303</w:t>
            </w:r>
            <w:r>
              <w:rPr>
                <w:rFonts w:hint="default" w:ascii="Times New Roman" w:hAnsi="Times New Roman" w:eastAsia="宋体" w:cs="Times New Roman"/>
                <w:color w:val="auto"/>
                <w:kern w:val="2"/>
                <w:sz w:val="24"/>
                <w:szCs w:val="24"/>
                <w:lang w:val="en-US" w:eastAsia="zh-CN" w:bidi="ar-SA"/>
              </w:rPr>
              <w:t>人，</w:t>
            </w:r>
            <w:r>
              <w:rPr>
                <w:rFonts w:hint="eastAsia" w:ascii="Times New Roman" w:hAnsi="Times New Roman" w:eastAsia="宋体" w:cs="Times New Roman"/>
                <w:color w:val="auto"/>
                <w:kern w:val="2"/>
                <w:sz w:val="24"/>
                <w:szCs w:val="24"/>
                <w:lang w:val="en-US" w:eastAsia="zh-CN" w:bidi="ar-SA"/>
              </w:rPr>
              <w:t>食堂</w:t>
            </w:r>
            <w:r>
              <w:rPr>
                <w:rFonts w:hint="default" w:ascii="Times New Roman" w:hAnsi="Times New Roman" w:eastAsia="宋体" w:cs="Times New Roman"/>
                <w:color w:val="auto"/>
                <w:kern w:val="2"/>
                <w:sz w:val="24"/>
                <w:szCs w:val="24"/>
                <w:lang w:val="en-US" w:eastAsia="zh-CN" w:bidi="ar-SA"/>
              </w:rPr>
              <w:t>每年开放365天，每天工作6小时。人均食用油用量以</w:t>
            </w:r>
            <w:r>
              <w:rPr>
                <w:rFonts w:hint="eastAsia" w:ascii="Times New Roman" w:hAnsi="Times New Roman" w:eastAsia="宋体" w:cs="Times New Roman"/>
                <w:color w:val="auto"/>
                <w:kern w:val="2"/>
                <w:sz w:val="24"/>
                <w:szCs w:val="24"/>
                <w:lang w:val="en-US" w:eastAsia="zh-CN" w:bidi="ar-SA"/>
              </w:rPr>
              <w:t>30</w:t>
            </w:r>
            <w:r>
              <w:rPr>
                <w:rFonts w:hint="default" w:ascii="Times New Roman" w:hAnsi="Times New Roman" w:eastAsia="宋体" w:cs="Times New Roman"/>
                <w:color w:val="auto"/>
                <w:kern w:val="2"/>
                <w:sz w:val="24"/>
                <w:szCs w:val="24"/>
                <w:lang w:val="en-US" w:eastAsia="zh-CN" w:bidi="ar-SA"/>
              </w:rPr>
              <w:t>g/d计算，则食用油使用量为</w:t>
            </w:r>
            <w:r>
              <w:rPr>
                <w:rFonts w:hint="eastAsia" w:ascii="Times New Roman" w:hAnsi="Times New Roman" w:eastAsia="宋体" w:cs="Times New Roman"/>
                <w:color w:val="auto"/>
                <w:kern w:val="2"/>
                <w:sz w:val="24"/>
                <w:szCs w:val="24"/>
                <w:lang w:val="en-US" w:eastAsia="zh-CN" w:bidi="ar-SA"/>
              </w:rPr>
              <w:t>3.32</w:t>
            </w:r>
            <w:r>
              <w:rPr>
                <w:rFonts w:hint="default" w:ascii="Times New Roman" w:hAnsi="Times New Roman" w:eastAsia="宋体" w:cs="Times New Roman"/>
                <w:color w:val="auto"/>
                <w:kern w:val="2"/>
                <w:sz w:val="24"/>
                <w:szCs w:val="24"/>
                <w:lang w:val="en-US" w:eastAsia="zh-CN" w:bidi="ar-SA"/>
              </w:rPr>
              <w:t>t/a，油烟产生量按使用量的2%计，则油烟产生量为</w:t>
            </w:r>
            <w:r>
              <w:rPr>
                <w:rFonts w:hint="eastAsia" w:ascii="Times New Roman" w:hAnsi="Times New Roman" w:eastAsia="宋体" w:cs="Times New Roman"/>
                <w:color w:val="auto"/>
                <w:kern w:val="2"/>
                <w:sz w:val="24"/>
                <w:szCs w:val="24"/>
                <w:lang w:val="en-US" w:eastAsia="zh-CN" w:bidi="ar-SA"/>
              </w:rPr>
              <w:t>0.0664</w:t>
            </w:r>
            <w:r>
              <w:rPr>
                <w:rFonts w:hint="default" w:ascii="Times New Roman" w:hAnsi="Times New Roman" w:eastAsia="宋体" w:cs="Times New Roman"/>
                <w:color w:val="auto"/>
                <w:kern w:val="2"/>
                <w:sz w:val="24"/>
                <w:szCs w:val="24"/>
                <w:lang w:val="en-US" w:eastAsia="zh-CN" w:bidi="ar-SA"/>
              </w:rPr>
              <w:t>t/a</w:t>
            </w:r>
            <w:r>
              <w:rPr>
                <w:rFonts w:hint="eastAsia" w:ascii="Times New Roman" w:hAnsi="Times New Roman" w:eastAsia="宋体" w:cs="Times New Roman"/>
                <w:color w:val="auto"/>
                <w:kern w:val="2"/>
                <w:sz w:val="24"/>
                <w:szCs w:val="24"/>
                <w:lang w:val="en-US" w:eastAsia="zh-CN" w:bidi="ar-SA"/>
              </w:rPr>
              <w:t>，根据《饮食业油烟排放标准（试行）》（GB18483-2001）要求，每个基准灶头风量宜按2000m</w:t>
            </w:r>
            <w:r>
              <w:rPr>
                <w:rFonts w:hint="eastAsia" w:ascii="Times New Roman" w:hAnsi="Times New Roman" w:eastAsia="宋体" w:cs="Times New Roman"/>
                <w:color w:val="auto"/>
                <w:kern w:val="2"/>
                <w:sz w:val="24"/>
                <w:szCs w:val="24"/>
                <w:vertAlign w:val="superscript"/>
                <w:lang w:val="en-US" w:eastAsia="zh-CN" w:bidi="ar-SA"/>
              </w:rPr>
              <w:t>3</w:t>
            </w:r>
            <w:r>
              <w:rPr>
                <w:rFonts w:hint="eastAsia" w:ascii="Times New Roman" w:hAnsi="Times New Roman" w:eastAsia="宋体" w:cs="Times New Roman"/>
                <w:color w:val="auto"/>
                <w:kern w:val="2"/>
                <w:sz w:val="24"/>
                <w:szCs w:val="24"/>
                <w:lang w:val="en-US" w:eastAsia="zh-CN" w:bidi="ar-SA"/>
              </w:rPr>
              <w:t>/h计，本项目拟设置8个基准灶头，配备风量为16000m³/h</w:t>
            </w:r>
          </w:p>
          <w:p w14:paraId="441C4EB5">
            <w:pPr>
              <w:pStyle w:val="30"/>
              <w:spacing w:before="135" w:line="360" w:lineRule="auto"/>
              <w:ind w:left="117" w:right="105" w:firstLine="483"/>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油烟去除效率不低于85%经油烟净化器去除后，油烟排放量</w:t>
            </w:r>
            <w:r>
              <w:rPr>
                <w:rFonts w:hint="eastAsia" w:ascii="Times New Roman" w:hAnsi="Times New Roman" w:eastAsia="宋体" w:cs="Times New Roman"/>
                <w:b w:val="0"/>
                <w:color w:val="auto"/>
                <w:spacing w:val="-3"/>
                <w:sz w:val="24"/>
                <w:szCs w:val="24"/>
                <w:lang w:val="en-US" w:eastAsia="zh-CN"/>
              </w:rPr>
              <w:t>0.00996</w:t>
            </w:r>
            <w:r>
              <w:rPr>
                <w:rFonts w:hint="eastAsia" w:ascii="Times New Roman" w:hAnsi="Times New Roman" w:eastAsia="宋体" w:cs="Times New Roman"/>
                <w:color w:val="auto"/>
                <w:kern w:val="2"/>
                <w:sz w:val="24"/>
                <w:szCs w:val="24"/>
                <w:lang w:val="en-US" w:eastAsia="zh-CN" w:bidi="ar-SA"/>
              </w:rPr>
              <w:t>t/a，本项目详细油烟产生量见表4.2-1。</w:t>
            </w:r>
          </w:p>
          <w:p w14:paraId="6856A45A">
            <w:pPr>
              <w:pStyle w:val="46"/>
              <w:adjustRightInd/>
              <w:snapToGrid/>
              <w:spacing w:line="360" w:lineRule="auto"/>
              <w:ind w:firstLine="482" w:firstLineChars="200"/>
              <w:rPr>
                <w:rFonts w:hint="default" w:ascii="Times New Roman" w:hAnsi="Times New Roman" w:eastAsia="宋体" w:cs="Times New Roman"/>
                <w:b/>
                <w:color w:val="auto"/>
                <w:szCs w:val="28"/>
                <w:lang w:val="en-US" w:eastAsia="zh-CN"/>
              </w:rPr>
            </w:pPr>
            <w:r>
              <w:rPr>
                <w:rFonts w:ascii="Times New Roman" w:hAnsi="Times New Roman" w:eastAsia="宋体" w:cs="Times New Roman"/>
                <w:b/>
                <w:color w:val="auto"/>
                <w:szCs w:val="28"/>
              </w:rPr>
              <w:t>（</w:t>
            </w:r>
            <w:r>
              <w:rPr>
                <w:rFonts w:hint="eastAsia" w:ascii="Times New Roman" w:hAnsi="Times New Roman" w:eastAsia="宋体" w:cs="Times New Roman"/>
                <w:b/>
                <w:color w:val="auto"/>
                <w:szCs w:val="28"/>
                <w:lang w:val="en-US" w:eastAsia="zh-CN"/>
              </w:rPr>
              <w:t>4</w:t>
            </w:r>
            <w:r>
              <w:rPr>
                <w:rFonts w:ascii="Times New Roman" w:hAnsi="Times New Roman" w:eastAsia="宋体" w:cs="Times New Roman"/>
                <w:b/>
                <w:color w:val="auto"/>
                <w:szCs w:val="28"/>
              </w:rPr>
              <w:t>）</w:t>
            </w:r>
            <w:r>
              <w:rPr>
                <w:rFonts w:hint="eastAsia" w:ascii="Times New Roman" w:hAnsi="Times New Roman" w:eastAsia="宋体" w:cs="Times New Roman"/>
                <w:b/>
                <w:color w:val="auto"/>
                <w:szCs w:val="28"/>
                <w:lang w:val="en-US" w:eastAsia="zh-CN"/>
              </w:rPr>
              <w:t>柴油发电废气</w:t>
            </w:r>
          </w:p>
          <w:p w14:paraId="62F95ECC">
            <w:pPr>
              <w:pStyle w:val="7"/>
              <w:tabs>
                <w:tab w:val="left" w:pos="9257"/>
              </w:tabs>
              <w:spacing w:before="180" w:line="360" w:lineRule="auto"/>
              <w:ind w:left="116" w:right="101" w:firstLine="576"/>
              <w:jc w:val="both"/>
              <w:rPr>
                <w:color w:val="auto"/>
                <w:spacing w:val="-2"/>
                <w:sz w:val="24"/>
                <w:szCs w:val="24"/>
              </w:rPr>
            </w:pPr>
            <w:r>
              <w:rPr>
                <w:color w:val="auto"/>
                <w:spacing w:val="-3"/>
                <w:sz w:val="24"/>
                <w:szCs w:val="24"/>
              </w:rPr>
              <w:t>根据工程分析，本项目设置柴油发电机作为医院的应急电源使用，燃料选用</w:t>
            </w:r>
            <w:r>
              <w:rPr>
                <w:color w:val="auto"/>
                <w:spacing w:val="-49"/>
                <w:sz w:val="24"/>
                <w:szCs w:val="24"/>
              </w:rPr>
              <w:t xml:space="preserve"> </w:t>
            </w:r>
            <w:r>
              <w:rPr>
                <w:rFonts w:ascii="Times New Roman" w:hAnsi="Times New Roman" w:eastAsia="Times New Roman" w:cs="Times New Roman"/>
                <w:color w:val="auto"/>
                <w:spacing w:val="-3"/>
                <w:sz w:val="24"/>
                <w:szCs w:val="24"/>
              </w:rPr>
              <w:t>0</w:t>
            </w:r>
            <w:r>
              <w:rPr>
                <w:rFonts w:ascii="Times New Roman" w:hAnsi="Times New Roman" w:eastAsia="Times New Roman" w:cs="Times New Roman"/>
                <w:color w:val="auto"/>
                <w:sz w:val="24"/>
                <w:szCs w:val="24"/>
              </w:rPr>
              <w:t xml:space="preserve"> </w:t>
            </w:r>
            <w:r>
              <w:rPr>
                <w:color w:val="auto"/>
                <w:spacing w:val="2"/>
                <w:sz w:val="24"/>
                <w:szCs w:val="24"/>
              </w:rPr>
              <w:t>#轻柴油，项目所在区域供电较为正常，且采用高</w:t>
            </w:r>
            <w:r>
              <w:rPr>
                <w:color w:val="auto"/>
                <w:spacing w:val="1"/>
                <w:sz w:val="24"/>
                <w:szCs w:val="24"/>
              </w:rPr>
              <w:t>可靠性三回路电源，发电机的使用次</w:t>
            </w:r>
            <w:r>
              <w:rPr>
                <w:color w:val="auto"/>
                <w:spacing w:val="-5"/>
                <w:sz w:val="24"/>
                <w:szCs w:val="24"/>
              </w:rPr>
              <w:t>数很少，完全燃烧后燃烧产物</w:t>
            </w:r>
            <w:r>
              <w:rPr>
                <w:rFonts w:hint="eastAsia"/>
                <w:color w:val="auto"/>
                <w:spacing w:val="-5"/>
                <w:sz w:val="24"/>
                <w:szCs w:val="24"/>
                <w:lang w:val="en-US" w:eastAsia="zh-CN"/>
              </w:rPr>
              <w:t>未</w:t>
            </w:r>
            <w:r>
              <w:rPr>
                <w:color w:val="auto"/>
                <w:spacing w:val="-45"/>
                <w:sz w:val="24"/>
                <w:szCs w:val="24"/>
              </w:rPr>
              <w:t xml:space="preserve"> </w:t>
            </w:r>
            <w:r>
              <w:rPr>
                <w:rFonts w:ascii="Times New Roman" w:hAnsi="Times New Roman" w:eastAsia="Times New Roman" w:cs="Times New Roman"/>
                <w:color w:val="auto"/>
                <w:spacing w:val="-5"/>
                <w:sz w:val="24"/>
                <w:szCs w:val="24"/>
              </w:rPr>
              <w:t>SO</w:t>
            </w:r>
            <w:r>
              <w:rPr>
                <w:rFonts w:ascii="Times New Roman" w:hAnsi="Times New Roman" w:eastAsia="Times New Roman" w:cs="Times New Roman"/>
                <w:color w:val="auto"/>
                <w:spacing w:val="-5"/>
                <w:position w:val="-1"/>
                <w:sz w:val="24"/>
                <w:szCs w:val="24"/>
                <w:vertAlign w:val="subscript"/>
              </w:rPr>
              <w:t>2</w:t>
            </w:r>
            <w:r>
              <w:rPr>
                <w:color w:val="auto"/>
                <w:spacing w:val="-5"/>
                <w:sz w:val="24"/>
                <w:szCs w:val="24"/>
              </w:rPr>
              <w:t>、</w:t>
            </w:r>
            <w:r>
              <w:rPr>
                <w:rFonts w:ascii="Times New Roman" w:hAnsi="Times New Roman" w:eastAsia="Times New Roman" w:cs="Times New Roman"/>
                <w:color w:val="auto"/>
                <w:spacing w:val="-5"/>
                <w:sz w:val="24"/>
                <w:szCs w:val="24"/>
              </w:rPr>
              <w:t>NO</w:t>
            </w:r>
            <w:r>
              <w:rPr>
                <w:rFonts w:ascii="Times New Roman" w:hAnsi="Times New Roman" w:eastAsia="Times New Roman" w:cs="Times New Roman"/>
                <w:color w:val="auto"/>
                <w:spacing w:val="-5"/>
                <w:position w:val="-1"/>
                <w:sz w:val="24"/>
                <w:szCs w:val="24"/>
                <w:vertAlign w:val="subscript"/>
              </w:rPr>
              <w:t>X</w:t>
            </w:r>
            <w:r>
              <w:rPr>
                <w:rFonts w:ascii="Times New Roman" w:hAnsi="Times New Roman" w:eastAsia="Times New Roman" w:cs="Times New Roman"/>
                <w:color w:val="auto"/>
                <w:spacing w:val="10"/>
                <w:position w:val="-1"/>
                <w:sz w:val="24"/>
                <w:szCs w:val="24"/>
              </w:rPr>
              <w:t xml:space="preserve"> </w:t>
            </w:r>
            <w:r>
              <w:rPr>
                <w:color w:val="auto"/>
                <w:spacing w:val="-5"/>
                <w:sz w:val="24"/>
                <w:szCs w:val="24"/>
              </w:rPr>
              <w:t>及烟尘浓度</w:t>
            </w:r>
            <w:r>
              <w:rPr>
                <w:color w:val="auto"/>
                <w:spacing w:val="-1"/>
                <w:sz w:val="24"/>
                <w:szCs w:val="24"/>
              </w:rPr>
              <w:t>。由于备用发</w:t>
            </w:r>
            <w:r>
              <w:rPr>
                <w:color w:val="auto"/>
                <w:spacing w:val="-2"/>
                <w:sz w:val="24"/>
                <w:szCs w:val="24"/>
              </w:rPr>
              <w:t>电机使用机率低且使用时间短，备用发电机房排放废气中大气污染物浓度很低。</w:t>
            </w:r>
            <w:r>
              <w:rPr>
                <w:rFonts w:hint="eastAsia"/>
                <w:color w:val="auto"/>
                <w:spacing w:val="-2"/>
                <w:sz w:val="24"/>
                <w:szCs w:val="24"/>
                <w:lang w:val="en-US" w:eastAsia="zh-CN"/>
              </w:rPr>
              <w:t>故本项目</w:t>
            </w:r>
            <w:r>
              <w:rPr>
                <w:rFonts w:hint="eastAsia" w:ascii="Times New Roman" w:hAnsi="Times New Roman" w:eastAsia="宋体" w:cs="Times New Roman"/>
                <w:color w:val="auto"/>
                <w:kern w:val="2"/>
                <w:sz w:val="24"/>
                <w:szCs w:val="24"/>
                <w:lang w:val="en-US" w:eastAsia="zh-CN" w:bidi="ar-SA"/>
              </w:rPr>
              <w:t>不进行定量分析。</w:t>
            </w:r>
            <w:r>
              <w:rPr>
                <w:color w:val="auto"/>
                <w:spacing w:val="-2"/>
                <w:sz w:val="24"/>
                <w:szCs w:val="24"/>
              </w:rPr>
              <w:t>项目设计柴油发电机房</w:t>
            </w:r>
            <w:r>
              <w:rPr>
                <w:color w:val="auto"/>
                <w:spacing w:val="-1"/>
                <w:sz w:val="24"/>
                <w:szCs w:val="24"/>
              </w:rPr>
              <w:t>引至楼顶排放</w:t>
            </w:r>
            <w:r>
              <w:rPr>
                <w:color w:val="auto"/>
                <w:spacing w:val="-2"/>
                <w:sz w:val="24"/>
                <w:szCs w:val="24"/>
              </w:rPr>
              <w:t>。对周围环境空气及敏感点影响甚小。</w:t>
            </w:r>
          </w:p>
          <w:p w14:paraId="5588B924">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82" w:firstLineChars="200"/>
              <w:jc w:val="both"/>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（5）汽车尾气</w:t>
            </w:r>
          </w:p>
          <w:p w14:paraId="059039B3">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据工程分析汽车尾气的污染物主要是 CO 、NOX 和 THC。</w:t>
            </w:r>
          </w:p>
          <w:p w14:paraId="7C03C96B">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①地上停车场汽车尾气影响分析</w:t>
            </w:r>
          </w:p>
          <w:p w14:paraId="2197B913">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项目地上停车场分散于项目各处，汽车在项目区域内行驶距离较短，产生的汽车尾气量不大，可迅速扩散，对项目区及周围环境空气质量不会产生显著影响。</w:t>
            </w:r>
          </w:p>
          <w:p w14:paraId="6B3948F1">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②地下停车场汽车尾气影响分析</w:t>
            </w:r>
          </w:p>
          <w:p w14:paraId="7F601946">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项目的特点，进出的车辆主要是轿车，地上停车场由于停车数量较少。车辆经专用车行道直接进入地下车库，因此汽车尾气对区域内的大气环境也影响不大。一般主要车型是燃汽油的轻型车，车在进出地下停车库时，在怠速状况下排放的尾气中的污染物主要含有 CO 、NOX 、THC ，地下车库设置专用的通风排气系统，排气口避开人群流动集中区，对周边环境影响不大。故本</w:t>
            </w:r>
            <w:r>
              <w:rPr>
                <w:rFonts w:hint="eastAsia"/>
                <w:color w:val="auto"/>
                <w:spacing w:val="-2"/>
                <w:sz w:val="24"/>
                <w:szCs w:val="24"/>
                <w:lang w:val="en-US" w:eastAsia="zh-CN"/>
              </w:rPr>
              <w:t>项目</w:t>
            </w:r>
            <w:r>
              <w:rPr>
                <w:rFonts w:hint="eastAsia" w:ascii="Times New Roman" w:hAnsi="Times New Roman" w:eastAsia="宋体" w:cs="Times New Roman"/>
                <w:color w:val="auto"/>
                <w:kern w:val="2"/>
                <w:sz w:val="24"/>
                <w:szCs w:val="24"/>
                <w:lang w:val="en-US" w:eastAsia="zh-CN" w:bidi="ar-SA"/>
              </w:rPr>
              <w:t>不进行定量分析。</w:t>
            </w:r>
          </w:p>
          <w:p w14:paraId="5E792598">
            <w:pPr>
              <w:pStyle w:val="7"/>
              <w:keepNext w:val="0"/>
              <w:keepLines w:val="0"/>
              <w:pageBreakBefore w:val="0"/>
              <w:widowControl/>
              <w:numPr>
                <w:ilvl w:val="0"/>
                <w:numId w:val="4"/>
              </w:numPr>
              <w:kinsoku/>
              <w:wordWrap/>
              <w:overflowPunct/>
              <w:topLinePunct w:val="0"/>
              <w:autoSpaceDE/>
              <w:autoSpaceDN/>
              <w:bidi w:val="0"/>
              <w:adjustRightInd/>
              <w:snapToGrid w:val="0"/>
              <w:spacing w:before="0" w:after="0" w:line="360" w:lineRule="auto"/>
              <w:ind w:left="0" w:right="0" w:firstLine="482" w:firstLineChars="200"/>
              <w:jc w:val="both"/>
              <w:textAlignment w:val="auto"/>
              <w:rPr>
                <w:rFonts w:hint="eastAsia"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 xml:space="preserve">VOCs </w:t>
            </w:r>
            <w:r>
              <w:rPr>
                <w:rFonts w:hint="eastAsia" w:ascii="Times New Roman" w:hAnsi="Times New Roman" w:eastAsia="宋体" w:cs="Times New Roman"/>
                <w:b/>
                <w:bCs/>
                <w:color w:val="auto"/>
                <w:kern w:val="2"/>
                <w:sz w:val="24"/>
                <w:szCs w:val="24"/>
                <w:lang w:val="en-US" w:eastAsia="zh-CN" w:bidi="ar-SA"/>
              </w:rPr>
              <w:t>废气</w:t>
            </w:r>
          </w:p>
          <w:p w14:paraId="6E46BC03">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jc w:val="both"/>
              <w:textAlignment w:val="auto"/>
              <w:rPr>
                <w:rFonts w:hint="eastAsia"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本医院运营过程存在少量 VOCs 无组织排放，主要来源于日常医护操作中的医用酒精擦拭消杀环节，院内消毒药剂优先选用低挥发性、低 VOCs 含量合规消杀产品，检验化验试剂使用量少且密闭储存、规范操作，整体 VOCs 产生强度极低。</w:t>
            </w:r>
            <w:r>
              <w:rPr>
                <w:rFonts w:hint="eastAsia" w:ascii="Times New Roman" w:hAnsi="Times New Roman" w:eastAsia="宋体" w:cs="Times New Roman"/>
                <w:b w:val="0"/>
                <w:bCs w:val="0"/>
                <w:color w:val="auto"/>
                <w:kern w:val="2"/>
                <w:sz w:val="24"/>
                <w:szCs w:val="24"/>
                <w:lang w:val="en-US" w:eastAsia="zh-CN" w:bidi="ar-SA"/>
              </w:rPr>
              <w:t>故本项目不定量分析。</w:t>
            </w:r>
          </w:p>
          <w:p w14:paraId="3E8E7318">
            <w:pPr>
              <w:pStyle w:val="46"/>
              <w:numPr>
                <w:ilvl w:val="0"/>
                <w:numId w:val="4"/>
              </w:numPr>
              <w:adjustRightInd/>
              <w:snapToGrid/>
              <w:spacing w:line="360" w:lineRule="auto"/>
              <w:ind w:left="0" w:leftChars="0" w:firstLine="482" w:firstLineChars="200"/>
              <w:rPr>
                <w:rFonts w:hint="eastAsia"/>
                <w:b/>
                <w:color w:val="auto"/>
                <w:szCs w:val="24"/>
                <w:lang w:val="en-US" w:eastAsia="zh-CN"/>
              </w:rPr>
            </w:pPr>
            <w:r>
              <w:rPr>
                <w:rFonts w:hint="eastAsia"/>
                <w:b/>
                <w:color w:val="auto"/>
                <w:szCs w:val="24"/>
                <w:lang w:val="en-US" w:eastAsia="zh-CN"/>
              </w:rPr>
              <w:t>检验科废气</w:t>
            </w:r>
          </w:p>
          <w:p w14:paraId="1C9EE0B6">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jc w:val="both"/>
              <w:textAlignment w:val="auto"/>
              <w:rPr>
                <w:rFonts w:hint="eastAsia" w:ascii="Times New Roman" w:hAnsi="Times New Roman" w:eastAsia="宋体" w:cs="Times New Roman"/>
                <w:b w:val="0"/>
                <w:bCs w:val="0"/>
                <w:color w:val="auto"/>
                <w:kern w:val="2"/>
                <w:sz w:val="24"/>
                <w:szCs w:val="24"/>
                <w:lang w:val="en-US" w:eastAsia="zh-CN" w:bidi="ar-SA"/>
              </w:rPr>
            </w:pPr>
            <w:r>
              <w:rPr>
                <w:rFonts w:ascii="宋体" w:hAnsi="宋体" w:eastAsia="宋体" w:cs="宋体"/>
                <w:color w:val="auto"/>
                <w:sz w:val="24"/>
                <w:szCs w:val="24"/>
              </w:rPr>
              <w:t>本次项目仅扩建综合住院大楼，</w:t>
            </w:r>
            <w:r>
              <w:rPr>
                <w:rStyle w:val="20"/>
                <w:rFonts w:ascii="宋体" w:hAnsi="宋体" w:eastAsia="宋体" w:cs="宋体"/>
                <w:b w:val="0"/>
                <w:bCs w:val="0"/>
                <w:color w:val="auto"/>
                <w:sz w:val="24"/>
                <w:szCs w:val="24"/>
              </w:rPr>
              <w:t>不新建、不增设检验科</w:t>
            </w:r>
            <w:r>
              <w:rPr>
                <w:rFonts w:ascii="宋体" w:hAnsi="宋体" w:eastAsia="宋体" w:cs="宋体"/>
                <w:b w:val="0"/>
                <w:bCs w:val="0"/>
                <w:color w:val="auto"/>
                <w:sz w:val="24"/>
                <w:szCs w:val="24"/>
              </w:rPr>
              <w:t>，</w:t>
            </w:r>
            <w:r>
              <w:rPr>
                <w:rFonts w:ascii="宋体" w:hAnsi="宋体" w:eastAsia="宋体" w:cs="宋体"/>
                <w:color w:val="auto"/>
                <w:sz w:val="24"/>
                <w:szCs w:val="24"/>
              </w:rPr>
              <w:t>院内各类检验化验业务均依托院区现有检验科开展，因此本次环评不再新增分析扩建项目检验废气产排情况。现有检验科已规范配套通风橱等局部集气排风设施，实验过程产生的少量试剂挥发废气、实验异味废气，通过专用排风管道统一收集后高空排放，废气收集及排放方式规范，对周边环境影响较小。</w:t>
            </w:r>
          </w:p>
          <w:p w14:paraId="00C20332">
            <w:pPr>
              <w:pStyle w:val="30"/>
              <w:spacing w:before="135" w:line="360" w:lineRule="auto"/>
              <w:ind w:right="105"/>
              <w:jc w:val="center"/>
              <w:rPr>
                <w:b/>
                <w:bCs/>
                <w:color w:val="auto"/>
                <w:spacing w:val="-2"/>
              </w:rPr>
            </w:pPr>
            <w:r>
              <w:rPr>
                <w:b/>
                <w:bCs/>
                <w:color w:val="auto"/>
                <w:spacing w:val="-2"/>
              </w:rPr>
              <w:t>表</w:t>
            </w:r>
            <w:r>
              <w:rPr>
                <w:rFonts w:ascii="Times New Roman" w:hAnsi="Times New Roman" w:eastAsia="Times New Roman" w:cs="Times New Roman"/>
                <w:b/>
                <w:bCs/>
                <w:color w:val="auto"/>
                <w:spacing w:val="-2"/>
              </w:rPr>
              <w:t>4</w:t>
            </w:r>
            <w:r>
              <w:rPr>
                <w:rFonts w:hint="eastAsia" w:ascii="Times New Roman" w:hAnsi="Times New Roman" w:cs="Times New Roman"/>
                <w:b/>
                <w:bCs/>
                <w:color w:val="auto"/>
                <w:spacing w:val="-2"/>
                <w:lang w:val="en-US" w:eastAsia="zh-CN"/>
              </w:rPr>
              <w:t>.2</w:t>
            </w:r>
            <w:r>
              <w:rPr>
                <w:rFonts w:ascii="Times New Roman" w:hAnsi="Times New Roman" w:eastAsia="Times New Roman" w:cs="Times New Roman"/>
                <w:b/>
                <w:bCs/>
                <w:color w:val="auto"/>
                <w:spacing w:val="-2"/>
              </w:rPr>
              <w:t>-</w:t>
            </w:r>
            <w:r>
              <w:rPr>
                <w:rFonts w:hint="eastAsia" w:ascii="Times New Roman" w:hAnsi="Times New Roman" w:cs="Times New Roman"/>
                <w:b/>
                <w:bCs/>
                <w:color w:val="auto"/>
                <w:spacing w:val="-2"/>
                <w:lang w:val="en-US" w:eastAsia="zh-CN"/>
              </w:rPr>
              <w:t>1</w:t>
            </w:r>
            <w:r>
              <w:rPr>
                <w:b/>
                <w:bCs/>
                <w:color w:val="auto"/>
                <w:spacing w:val="-2"/>
              </w:rPr>
              <w:t>本项目废气产排情况表</w:t>
            </w:r>
          </w:p>
          <w:tbl>
            <w:tblPr>
              <w:tblStyle w:val="32"/>
              <w:tblW w:w="4967"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282"/>
              <w:gridCol w:w="395"/>
              <w:gridCol w:w="756"/>
              <w:gridCol w:w="877"/>
              <w:gridCol w:w="956"/>
              <w:gridCol w:w="506"/>
              <w:gridCol w:w="461"/>
              <w:gridCol w:w="406"/>
              <w:gridCol w:w="584"/>
              <w:gridCol w:w="449"/>
              <w:gridCol w:w="856"/>
              <w:gridCol w:w="977"/>
              <w:gridCol w:w="953"/>
            </w:tblGrid>
            <w:tr w14:paraId="371CC9A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12" w:type="pct"/>
                  <w:vMerge w:val="restart"/>
                  <w:tcBorders>
                    <w:tl2br w:val="nil"/>
                    <w:tr2bl w:val="nil"/>
                  </w:tcBorders>
                  <w:shd w:val="clear" w:color="auto" w:fill="FFFFFF"/>
                  <w:noWrap w:val="0"/>
                  <w:vAlign w:val="center"/>
                </w:tcPr>
                <w:p w14:paraId="49238C49">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b w:val="0"/>
                      <w:color w:val="auto"/>
                      <w:sz w:val="20"/>
                      <w:szCs w:val="20"/>
                    </w:rPr>
                  </w:pPr>
                  <w:r>
                    <w:rPr>
                      <w:b w:val="0"/>
                      <w:bCs/>
                      <w:color w:val="auto"/>
                      <w:spacing w:val="-6"/>
                      <w:sz w:val="20"/>
                      <w:szCs w:val="20"/>
                    </w:rPr>
                    <w:t>污染</w:t>
                  </w:r>
                  <w:r>
                    <w:rPr>
                      <w:b w:val="0"/>
                      <w:bCs/>
                      <w:color w:val="auto"/>
                      <w:spacing w:val="-3"/>
                      <w:sz w:val="20"/>
                      <w:szCs w:val="20"/>
                    </w:rPr>
                    <w:t>源</w:t>
                  </w:r>
                </w:p>
              </w:tc>
              <w:tc>
                <w:tcPr>
                  <w:tcW w:w="233" w:type="pct"/>
                  <w:vMerge w:val="restart"/>
                  <w:tcBorders>
                    <w:tl2br w:val="nil"/>
                    <w:tr2bl w:val="nil"/>
                  </w:tcBorders>
                  <w:shd w:val="clear" w:color="auto" w:fill="FFFFFF"/>
                  <w:noWrap w:val="0"/>
                  <w:vAlign w:val="center"/>
                </w:tcPr>
                <w:p w14:paraId="4FF3187F">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b w:val="0"/>
                      <w:color w:val="auto"/>
                      <w:sz w:val="20"/>
                      <w:szCs w:val="20"/>
                    </w:rPr>
                  </w:pPr>
                  <w:r>
                    <w:rPr>
                      <w:b w:val="0"/>
                      <w:bCs/>
                      <w:color w:val="auto"/>
                      <w:spacing w:val="-5"/>
                      <w:sz w:val="20"/>
                      <w:szCs w:val="20"/>
                    </w:rPr>
                    <w:t>污染物名称</w:t>
                  </w:r>
                </w:p>
              </w:tc>
              <w:tc>
                <w:tcPr>
                  <w:tcW w:w="1509" w:type="pct"/>
                  <w:gridSpan w:val="3"/>
                  <w:tcBorders>
                    <w:tl2br w:val="nil"/>
                    <w:tr2bl w:val="nil"/>
                  </w:tcBorders>
                  <w:shd w:val="clear" w:color="auto" w:fill="FFFFFF"/>
                  <w:noWrap w:val="0"/>
                  <w:vAlign w:val="center"/>
                </w:tcPr>
                <w:p w14:paraId="51ABDCBA">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eastAsia" w:eastAsia="宋体"/>
                      <w:b w:val="0"/>
                      <w:color w:val="auto"/>
                      <w:sz w:val="20"/>
                      <w:szCs w:val="20"/>
                      <w:lang w:eastAsia="zh-CN"/>
                    </w:rPr>
                  </w:pPr>
                  <w:r>
                    <w:rPr>
                      <w:b w:val="0"/>
                      <w:bCs/>
                      <w:color w:val="auto"/>
                      <w:spacing w:val="-3"/>
                      <w:sz w:val="20"/>
                      <w:szCs w:val="20"/>
                    </w:rPr>
                    <w:t>产生</w:t>
                  </w:r>
                  <w:r>
                    <w:rPr>
                      <w:rFonts w:hint="eastAsia"/>
                      <w:b w:val="0"/>
                      <w:bCs/>
                      <w:color w:val="auto"/>
                      <w:spacing w:val="-3"/>
                      <w:sz w:val="20"/>
                      <w:szCs w:val="20"/>
                      <w:lang w:val="en-US" w:eastAsia="zh-CN"/>
                    </w:rPr>
                    <w:t>情况</w:t>
                  </w:r>
                </w:p>
              </w:tc>
              <w:tc>
                <w:tcPr>
                  <w:tcW w:w="1469" w:type="pct"/>
                  <w:gridSpan w:val="5"/>
                  <w:tcBorders>
                    <w:tl2br w:val="nil"/>
                    <w:tr2bl w:val="nil"/>
                  </w:tcBorders>
                  <w:shd w:val="clear" w:color="auto" w:fill="FFFFFF"/>
                  <w:noWrap w:val="0"/>
                  <w:vAlign w:val="center"/>
                </w:tcPr>
                <w:p w14:paraId="021BE10D">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b w:val="0"/>
                      <w:color w:val="auto"/>
                      <w:sz w:val="20"/>
                      <w:szCs w:val="20"/>
                    </w:rPr>
                  </w:pPr>
                  <w:r>
                    <w:rPr>
                      <w:rFonts w:hint="eastAsia"/>
                      <w:b w:val="0"/>
                      <w:bCs/>
                      <w:color w:val="auto"/>
                      <w:spacing w:val="-6"/>
                      <w:sz w:val="20"/>
                      <w:szCs w:val="20"/>
                      <w:lang w:val="en-US" w:eastAsia="zh-CN"/>
                    </w:rPr>
                    <w:t>治理设施</w:t>
                  </w:r>
                </w:p>
              </w:tc>
              <w:tc>
                <w:tcPr>
                  <w:tcW w:w="1575" w:type="pct"/>
                  <w:gridSpan w:val="3"/>
                  <w:tcBorders>
                    <w:tl2br w:val="nil"/>
                    <w:tr2bl w:val="nil"/>
                  </w:tcBorders>
                  <w:shd w:val="clear" w:color="auto" w:fill="FFFFFF"/>
                  <w:noWrap w:val="0"/>
                  <w:vAlign w:val="center"/>
                </w:tcPr>
                <w:p w14:paraId="13CF5D88">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b w:val="0"/>
                      <w:color w:val="auto"/>
                      <w:sz w:val="20"/>
                      <w:szCs w:val="20"/>
                    </w:rPr>
                  </w:pPr>
                  <w:r>
                    <w:rPr>
                      <w:b w:val="0"/>
                      <w:bCs/>
                      <w:color w:val="auto"/>
                      <w:spacing w:val="-3"/>
                      <w:sz w:val="20"/>
                      <w:szCs w:val="20"/>
                    </w:rPr>
                    <w:t>排放</w:t>
                  </w:r>
                  <w:r>
                    <w:rPr>
                      <w:rFonts w:hint="eastAsia"/>
                      <w:b w:val="0"/>
                      <w:bCs/>
                      <w:color w:val="auto"/>
                      <w:spacing w:val="-3"/>
                      <w:sz w:val="20"/>
                      <w:szCs w:val="20"/>
                      <w:lang w:val="en-US" w:eastAsia="zh-CN"/>
                    </w:rPr>
                    <w:t>情况</w:t>
                  </w:r>
                </w:p>
              </w:tc>
            </w:tr>
            <w:tr w14:paraId="5D9718A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212" w:type="pct"/>
                  <w:vMerge w:val="continue"/>
                  <w:tcBorders>
                    <w:tl2br w:val="nil"/>
                    <w:tr2bl w:val="nil"/>
                  </w:tcBorders>
                  <w:shd w:val="clear" w:color="auto" w:fill="FFFFFF"/>
                  <w:noWrap w:val="0"/>
                  <w:vAlign w:val="center"/>
                </w:tcPr>
                <w:p w14:paraId="561545A0">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ascii="Arial"/>
                      <w:b w:val="0"/>
                      <w:color w:val="auto"/>
                      <w:sz w:val="20"/>
                      <w:szCs w:val="22"/>
                    </w:rPr>
                  </w:pPr>
                </w:p>
              </w:tc>
              <w:tc>
                <w:tcPr>
                  <w:tcW w:w="233" w:type="pct"/>
                  <w:vMerge w:val="continue"/>
                  <w:tcBorders>
                    <w:tl2br w:val="nil"/>
                    <w:tr2bl w:val="nil"/>
                  </w:tcBorders>
                  <w:shd w:val="clear" w:color="auto" w:fill="FFFFFF"/>
                  <w:noWrap w:val="0"/>
                  <w:vAlign w:val="center"/>
                </w:tcPr>
                <w:p w14:paraId="46D84473">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ascii="Arial"/>
                      <w:b w:val="0"/>
                      <w:color w:val="auto"/>
                      <w:sz w:val="20"/>
                      <w:szCs w:val="22"/>
                    </w:rPr>
                  </w:pPr>
                </w:p>
              </w:tc>
              <w:tc>
                <w:tcPr>
                  <w:tcW w:w="340" w:type="pct"/>
                  <w:tcBorders>
                    <w:tl2br w:val="nil"/>
                    <w:tr2bl w:val="nil"/>
                  </w:tcBorders>
                  <w:shd w:val="clear" w:color="auto" w:fill="FFFFFF"/>
                  <w:noWrap w:val="0"/>
                  <w:vAlign w:val="center"/>
                </w:tcPr>
                <w:p w14:paraId="0056F101">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ascii="Times New Roman" w:hAnsi="Times New Roman" w:eastAsia="Times New Roman" w:cs="Times New Roman"/>
                      <w:b w:val="0"/>
                      <w:color w:val="auto"/>
                      <w:sz w:val="11"/>
                      <w:szCs w:val="11"/>
                    </w:rPr>
                  </w:pPr>
                  <w:r>
                    <w:rPr>
                      <w:b w:val="0"/>
                      <w:bCs/>
                      <w:color w:val="auto"/>
                      <w:spacing w:val="-3"/>
                      <w:sz w:val="20"/>
                      <w:szCs w:val="20"/>
                    </w:rPr>
                    <w:t>浓度</w:t>
                  </w:r>
                  <w:r>
                    <w:rPr>
                      <w:rFonts w:ascii="Times New Roman" w:hAnsi="Times New Roman" w:eastAsia="Times New Roman" w:cs="Times New Roman"/>
                      <w:b w:val="0"/>
                      <w:bCs/>
                      <w:color w:val="auto"/>
                      <w:spacing w:val="-3"/>
                      <w:sz w:val="20"/>
                      <w:szCs w:val="20"/>
                    </w:rPr>
                    <w:t>/</w:t>
                  </w:r>
                  <w:r>
                    <w:rPr>
                      <w:rFonts w:ascii="Times New Roman" w:hAnsi="Times New Roman" w:eastAsia="Times New Roman" w:cs="Times New Roman"/>
                      <w:b w:val="0"/>
                      <w:bCs/>
                      <w:color w:val="auto"/>
                      <w:spacing w:val="-1"/>
                      <w:sz w:val="20"/>
                      <w:szCs w:val="20"/>
                    </w:rPr>
                    <w:t>mg/m</w:t>
                  </w:r>
                  <w:r>
                    <w:rPr>
                      <w:rFonts w:ascii="Times New Roman" w:hAnsi="Times New Roman" w:eastAsia="Times New Roman" w:cs="Times New Roman"/>
                      <w:b w:val="0"/>
                      <w:bCs/>
                      <w:color w:val="auto"/>
                      <w:spacing w:val="-1"/>
                      <w:position w:val="6"/>
                      <w:sz w:val="11"/>
                      <w:szCs w:val="11"/>
                    </w:rPr>
                    <w:t>3</w:t>
                  </w:r>
                </w:p>
              </w:tc>
              <w:tc>
                <w:tcPr>
                  <w:tcW w:w="564" w:type="pct"/>
                  <w:tcBorders>
                    <w:tl2br w:val="nil"/>
                    <w:tr2bl w:val="nil"/>
                  </w:tcBorders>
                  <w:shd w:val="clear" w:color="auto" w:fill="FFFFFF"/>
                  <w:noWrap w:val="0"/>
                  <w:vAlign w:val="center"/>
                </w:tcPr>
                <w:p w14:paraId="1C8B01BC">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ascii="Times New Roman" w:hAnsi="Times New Roman" w:eastAsia="Times New Roman" w:cs="Times New Roman"/>
                      <w:b w:val="0"/>
                      <w:color w:val="auto"/>
                      <w:sz w:val="20"/>
                      <w:szCs w:val="20"/>
                    </w:rPr>
                  </w:pPr>
                  <w:r>
                    <w:rPr>
                      <w:b w:val="0"/>
                      <w:bCs/>
                      <w:color w:val="auto"/>
                      <w:spacing w:val="-5"/>
                      <w:sz w:val="20"/>
                      <w:szCs w:val="20"/>
                    </w:rPr>
                    <w:t>速率</w:t>
                  </w:r>
                  <w:r>
                    <w:rPr>
                      <w:rFonts w:ascii="Times New Roman" w:hAnsi="Times New Roman" w:eastAsia="Times New Roman" w:cs="Times New Roman"/>
                      <w:b w:val="0"/>
                      <w:bCs/>
                      <w:color w:val="auto"/>
                      <w:sz w:val="20"/>
                      <w:szCs w:val="20"/>
                    </w:rPr>
                    <w:t>/kg/h</w:t>
                  </w:r>
                </w:p>
              </w:tc>
              <w:tc>
                <w:tcPr>
                  <w:tcW w:w="605" w:type="pct"/>
                  <w:tcBorders>
                    <w:tl2br w:val="nil"/>
                    <w:tr2bl w:val="nil"/>
                  </w:tcBorders>
                  <w:shd w:val="clear" w:color="auto" w:fill="FFFFFF"/>
                  <w:noWrap w:val="0"/>
                  <w:vAlign w:val="center"/>
                </w:tcPr>
                <w:p w14:paraId="234C1A5C">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ascii="Times New Roman" w:hAnsi="Times New Roman" w:eastAsia="Times New Roman" w:cs="Times New Roman"/>
                      <w:b w:val="0"/>
                      <w:color w:val="auto"/>
                      <w:sz w:val="20"/>
                      <w:szCs w:val="20"/>
                    </w:rPr>
                  </w:pPr>
                  <w:r>
                    <w:rPr>
                      <w:b w:val="0"/>
                      <w:bCs/>
                      <w:color w:val="auto"/>
                      <w:spacing w:val="-6"/>
                      <w:sz w:val="20"/>
                      <w:szCs w:val="20"/>
                    </w:rPr>
                    <w:t>产生</w:t>
                  </w:r>
                  <w:r>
                    <w:rPr>
                      <w:b w:val="0"/>
                      <w:bCs/>
                      <w:color w:val="auto"/>
                      <w:spacing w:val="-2"/>
                      <w:sz w:val="20"/>
                      <w:szCs w:val="20"/>
                    </w:rPr>
                    <w:t>量</w:t>
                  </w:r>
                  <w:r>
                    <w:rPr>
                      <w:rFonts w:ascii="Times New Roman" w:hAnsi="Times New Roman" w:eastAsia="Times New Roman" w:cs="Times New Roman"/>
                      <w:b w:val="0"/>
                      <w:bCs/>
                      <w:color w:val="auto"/>
                      <w:spacing w:val="-2"/>
                      <w:sz w:val="20"/>
                      <w:szCs w:val="20"/>
                    </w:rPr>
                    <w:t>/t/a</w:t>
                  </w:r>
                </w:p>
              </w:tc>
              <w:tc>
                <w:tcPr>
                  <w:tcW w:w="298" w:type="pct"/>
                  <w:tcBorders>
                    <w:tl2br w:val="nil"/>
                    <w:tr2bl w:val="nil"/>
                  </w:tcBorders>
                  <w:shd w:val="clear" w:color="auto" w:fill="FFFFFF"/>
                  <w:noWrap w:val="0"/>
                  <w:vAlign w:val="center"/>
                </w:tcPr>
                <w:p w14:paraId="3A95D4AF">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Arial" w:eastAsia="宋体"/>
                      <w:b w:val="0"/>
                      <w:color w:val="auto"/>
                      <w:sz w:val="20"/>
                      <w:szCs w:val="22"/>
                      <w:lang w:val="en-US" w:eastAsia="zh-CN"/>
                    </w:rPr>
                  </w:pPr>
                  <w:r>
                    <w:rPr>
                      <w:rFonts w:hint="eastAsia" w:ascii="Arial"/>
                      <w:b w:val="0"/>
                      <w:color w:val="auto"/>
                      <w:sz w:val="20"/>
                      <w:szCs w:val="22"/>
                      <w:lang w:val="en-US" w:eastAsia="zh-CN"/>
                    </w:rPr>
                    <w:t>处理能力</w:t>
                  </w:r>
                  <w:r>
                    <w:rPr>
                      <w:rFonts w:ascii="Arial" w:hAnsi="Arial" w:eastAsia="Arial" w:cs="Arial"/>
                      <w:color w:val="auto"/>
                      <w:sz w:val="20"/>
                    </w:rPr>
                    <w:t>m³/h</w:t>
                  </w:r>
                </w:p>
              </w:tc>
              <w:tc>
                <w:tcPr>
                  <w:tcW w:w="272" w:type="pct"/>
                  <w:tcBorders>
                    <w:tl2br w:val="nil"/>
                    <w:tr2bl w:val="nil"/>
                  </w:tcBorders>
                  <w:shd w:val="clear" w:color="auto" w:fill="FFFFFF"/>
                  <w:noWrap w:val="0"/>
                  <w:vAlign w:val="center"/>
                </w:tcPr>
                <w:p w14:paraId="512DA13F">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Arial" w:eastAsia="宋体"/>
                      <w:b w:val="0"/>
                      <w:color w:val="auto"/>
                      <w:sz w:val="20"/>
                      <w:szCs w:val="22"/>
                      <w:lang w:val="en-US" w:eastAsia="zh-CN"/>
                    </w:rPr>
                  </w:pPr>
                  <w:r>
                    <w:rPr>
                      <w:rFonts w:hint="eastAsia" w:ascii="Arial"/>
                      <w:b w:val="0"/>
                      <w:color w:val="auto"/>
                      <w:sz w:val="20"/>
                      <w:szCs w:val="22"/>
                      <w:lang w:val="en-US" w:eastAsia="zh-CN"/>
                    </w:rPr>
                    <w:t>收集效率</w:t>
                  </w:r>
                </w:p>
              </w:tc>
              <w:tc>
                <w:tcPr>
                  <w:tcW w:w="239" w:type="pct"/>
                  <w:tcBorders>
                    <w:tl2br w:val="nil"/>
                    <w:tr2bl w:val="nil"/>
                  </w:tcBorders>
                  <w:shd w:val="clear" w:color="auto" w:fill="FFFFFF"/>
                  <w:noWrap w:val="0"/>
                  <w:vAlign w:val="center"/>
                </w:tcPr>
                <w:p w14:paraId="224114F9">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eastAsia" w:ascii="Arial" w:eastAsia="宋体"/>
                      <w:b w:val="0"/>
                      <w:color w:val="auto"/>
                      <w:sz w:val="20"/>
                      <w:szCs w:val="22"/>
                      <w:lang w:val="en-US" w:eastAsia="zh-CN"/>
                    </w:rPr>
                  </w:pPr>
                  <w:r>
                    <w:rPr>
                      <w:rFonts w:hint="eastAsia" w:ascii="Arial"/>
                      <w:b w:val="0"/>
                      <w:color w:val="auto"/>
                      <w:sz w:val="20"/>
                      <w:szCs w:val="22"/>
                      <w:lang w:val="en-US" w:eastAsia="zh-CN"/>
                    </w:rPr>
                    <w:t>治理工艺</w:t>
                  </w:r>
                </w:p>
              </w:tc>
              <w:tc>
                <w:tcPr>
                  <w:tcW w:w="344" w:type="pct"/>
                  <w:tcBorders>
                    <w:tl2br w:val="nil"/>
                    <w:tr2bl w:val="nil"/>
                  </w:tcBorders>
                  <w:shd w:val="clear" w:color="auto" w:fill="FFFFFF"/>
                  <w:noWrap w:val="0"/>
                  <w:vAlign w:val="center"/>
                </w:tcPr>
                <w:p w14:paraId="630C037C">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eastAsia" w:ascii="Arial" w:eastAsia="宋体"/>
                      <w:b w:val="0"/>
                      <w:color w:val="auto"/>
                      <w:sz w:val="20"/>
                      <w:szCs w:val="22"/>
                      <w:lang w:val="en-US" w:eastAsia="zh-CN"/>
                    </w:rPr>
                  </w:pPr>
                  <w:r>
                    <w:rPr>
                      <w:rFonts w:hint="eastAsia" w:ascii="Arial"/>
                      <w:b w:val="0"/>
                      <w:color w:val="auto"/>
                      <w:sz w:val="20"/>
                      <w:szCs w:val="22"/>
                      <w:lang w:val="en-US" w:eastAsia="zh-CN"/>
                    </w:rPr>
                    <w:t>去除率（%）</w:t>
                  </w:r>
                </w:p>
              </w:tc>
              <w:tc>
                <w:tcPr>
                  <w:tcW w:w="314" w:type="pct"/>
                  <w:tcBorders>
                    <w:tl2br w:val="nil"/>
                    <w:tr2bl w:val="nil"/>
                  </w:tcBorders>
                  <w:shd w:val="clear" w:color="auto" w:fill="FFFFFF"/>
                  <w:noWrap w:val="0"/>
                  <w:vAlign w:val="center"/>
                </w:tcPr>
                <w:p w14:paraId="5049E04C">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Arial" w:eastAsia="宋体"/>
                      <w:b w:val="0"/>
                      <w:color w:val="auto"/>
                      <w:sz w:val="20"/>
                      <w:szCs w:val="22"/>
                      <w:lang w:val="en-US" w:eastAsia="zh-CN"/>
                    </w:rPr>
                  </w:pPr>
                  <w:r>
                    <w:rPr>
                      <w:rFonts w:hint="eastAsia" w:ascii="Arial"/>
                      <w:b w:val="0"/>
                      <w:color w:val="auto"/>
                      <w:sz w:val="20"/>
                      <w:szCs w:val="22"/>
                      <w:lang w:val="en-US" w:eastAsia="zh-CN"/>
                    </w:rPr>
                    <w:t>是否为可行技术</w:t>
                  </w:r>
                </w:p>
              </w:tc>
              <w:tc>
                <w:tcPr>
                  <w:tcW w:w="389" w:type="pct"/>
                  <w:tcBorders>
                    <w:tl2br w:val="nil"/>
                    <w:tr2bl w:val="nil"/>
                  </w:tcBorders>
                  <w:shd w:val="clear" w:color="auto" w:fill="FFFFFF"/>
                  <w:noWrap w:val="0"/>
                  <w:vAlign w:val="center"/>
                </w:tcPr>
                <w:p w14:paraId="5D1B0325">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ascii="Times New Roman" w:hAnsi="Times New Roman" w:eastAsia="Times New Roman" w:cs="Times New Roman"/>
                      <w:b w:val="0"/>
                      <w:color w:val="auto"/>
                      <w:sz w:val="11"/>
                      <w:szCs w:val="11"/>
                    </w:rPr>
                  </w:pPr>
                  <w:r>
                    <w:rPr>
                      <w:b w:val="0"/>
                      <w:bCs/>
                      <w:color w:val="auto"/>
                      <w:spacing w:val="-3"/>
                      <w:sz w:val="20"/>
                      <w:szCs w:val="20"/>
                    </w:rPr>
                    <w:t>浓度</w:t>
                  </w:r>
                  <w:r>
                    <w:rPr>
                      <w:rFonts w:ascii="Times New Roman" w:hAnsi="Times New Roman" w:eastAsia="Times New Roman" w:cs="Times New Roman"/>
                      <w:b w:val="0"/>
                      <w:bCs/>
                      <w:color w:val="auto"/>
                      <w:spacing w:val="-3"/>
                      <w:sz w:val="20"/>
                      <w:szCs w:val="20"/>
                    </w:rPr>
                    <w:t>/</w:t>
                  </w:r>
                  <w:r>
                    <w:rPr>
                      <w:rFonts w:ascii="Times New Roman" w:hAnsi="Times New Roman" w:eastAsia="Times New Roman" w:cs="Times New Roman"/>
                      <w:b w:val="0"/>
                      <w:bCs/>
                      <w:color w:val="auto"/>
                      <w:sz w:val="20"/>
                      <w:szCs w:val="20"/>
                    </w:rPr>
                    <w:t>mg/m</w:t>
                  </w:r>
                  <w:r>
                    <w:rPr>
                      <w:rFonts w:ascii="Times New Roman" w:hAnsi="Times New Roman" w:eastAsia="Times New Roman" w:cs="Times New Roman"/>
                      <w:b w:val="0"/>
                      <w:bCs/>
                      <w:color w:val="auto"/>
                      <w:position w:val="6"/>
                      <w:sz w:val="11"/>
                      <w:szCs w:val="11"/>
                    </w:rPr>
                    <w:t>3</w:t>
                  </w:r>
                </w:p>
              </w:tc>
              <w:tc>
                <w:tcPr>
                  <w:tcW w:w="623" w:type="pct"/>
                  <w:tcBorders>
                    <w:tl2br w:val="nil"/>
                    <w:tr2bl w:val="nil"/>
                  </w:tcBorders>
                  <w:shd w:val="clear" w:color="auto" w:fill="FFFFFF"/>
                  <w:noWrap w:val="0"/>
                  <w:vAlign w:val="center"/>
                </w:tcPr>
                <w:p w14:paraId="74D8B48C">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ascii="Times New Roman" w:hAnsi="Times New Roman" w:eastAsia="Times New Roman" w:cs="Times New Roman"/>
                      <w:b w:val="0"/>
                      <w:color w:val="auto"/>
                      <w:sz w:val="20"/>
                      <w:szCs w:val="20"/>
                    </w:rPr>
                  </w:pPr>
                  <w:r>
                    <w:rPr>
                      <w:b w:val="0"/>
                      <w:bCs/>
                      <w:color w:val="auto"/>
                      <w:spacing w:val="-2"/>
                      <w:sz w:val="20"/>
                      <w:szCs w:val="20"/>
                    </w:rPr>
                    <w:t>速率</w:t>
                  </w:r>
                  <w:r>
                    <w:rPr>
                      <w:rFonts w:ascii="Times New Roman" w:hAnsi="Times New Roman" w:eastAsia="Times New Roman" w:cs="Times New Roman"/>
                      <w:b w:val="0"/>
                      <w:bCs/>
                      <w:color w:val="auto"/>
                      <w:spacing w:val="-2"/>
                      <w:sz w:val="20"/>
                      <w:szCs w:val="20"/>
                    </w:rPr>
                    <w:t>/kg/h</w:t>
                  </w:r>
                </w:p>
              </w:tc>
              <w:tc>
                <w:tcPr>
                  <w:tcW w:w="562" w:type="pct"/>
                  <w:tcBorders>
                    <w:tl2br w:val="nil"/>
                    <w:tr2bl w:val="nil"/>
                  </w:tcBorders>
                  <w:shd w:val="clear" w:color="auto" w:fill="FFFFFF"/>
                  <w:noWrap w:val="0"/>
                  <w:vAlign w:val="center"/>
                </w:tcPr>
                <w:p w14:paraId="29324247">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ascii="Times New Roman" w:hAnsi="Times New Roman" w:eastAsia="Times New Roman" w:cs="Times New Roman"/>
                      <w:b w:val="0"/>
                      <w:color w:val="auto"/>
                      <w:sz w:val="20"/>
                      <w:szCs w:val="20"/>
                    </w:rPr>
                  </w:pPr>
                  <w:r>
                    <w:rPr>
                      <w:b w:val="0"/>
                      <w:bCs/>
                      <w:color w:val="auto"/>
                      <w:spacing w:val="-2"/>
                      <w:sz w:val="20"/>
                      <w:szCs w:val="20"/>
                    </w:rPr>
                    <w:t>排放量</w:t>
                  </w:r>
                  <w:r>
                    <w:rPr>
                      <w:rFonts w:ascii="Times New Roman" w:hAnsi="Times New Roman" w:eastAsia="Times New Roman" w:cs="Times New Roman"/>
                      <w:b w:val="0"/>
                      <w:bCs/>
                      <w:color w:val="auto"/>
                      <w:spacing w:val="-2"/>
                      <w:sz w:val="20"/>
                      <w:szCs w:val="20"/>
                    </w:rPr>
                    <w:t>/</w:t>
                  </w:r>
                </w:p>
                <w:p w14:paraId="17581B2C">
                  <w:pPr>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ascii="Times New Roman" w:hAnsi="Times New Roman" w:eastAsia="Times New Roman" w:cs="Times New Roman"/>
                      <w:b w:val="0"/>
                      <w:color w:val="auto"/>
                      <w:sz w:val="20"/>
                      <w:szCs w:val="20"/>
                    </w:rPr>
                  </w:pPr>
                  <w:r>
                    <w:rPr>
                      <w:rFonts w:ascii="Times New Roman" w:hAnsi="Times New Roman" w:eastAsia="Times New Roman" w:cs="Times New Roman"/>
                      <w:b w:val="0"/>
                      <w:bCs/>
                      <w:color w:val="auto"/>
                      <w:spacing w:val="-2"/>
                      <w:sz w:val="20"/>
                      <w:szCs w:val="20"/>
                    </w:rPr>
                    <w:t>t/a</w:t>
                  </w:r>
                </w:p>
              </w:tc>
            </w:tr>
            <w:tr w14:paraId="25A21EB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212" w:type="pct"/>
                  <w:tcBorders>
                    <w:tl2br w:val="nil"/>
                    <w:tr2bl w:val="nil"/>
                  </w:tcBorders>
                  <w:shd w:val="clear" w:color="auto" w:fill="FFFFFF"/>
                  <w:noWrap w:val="0"/>
                  <w:vAlign w:val="center"/>
                </w:tcPr>
                <w:p w14:paraId="7054ED81">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eastAsia" w:eastAsia="宋体"/>
                      <w:b w:val="0"/>
                      <w:color w:val="auto"/>
                      <w:sz w:val="20"/>
                      <w:szCs w:val="20"/>
                      <w:lang w:eastAsia="zh-CN"/>
                    </w:rPr>
                  </w:pPr>
                  <w:r>
                    <w:rPr>
                      <w:rFonts w:hint="eastAsia"/>
                      <w:b w:val="0"/>
                      <w:color w:val="auto"/>
                      <w:spacing w:val="-2"/>
                      <w:sz w:val="20"/>
                      <w:szCs w:val="20"/>
                      <w:lang w:val="en-US" w:eastAsia="zh-CN"/>
                    </w:rPr>
                    <w:t>食堂</w:t>
                  </w:r>
                </w:p>
              </w:tc>
              <w:tc>
                <w:tcPr>
                  <w:tcW w:w="233" w:type="pct"/>
                  <w:tcBorders>
                    <w:tl2br w:val="nil"/>
                    <w:tr2bl w:val="nil"/>
                  </w:tcBorders>
                  <w:shd w:val="clear" w:color="auto" w:fill="FFFFFF"/>
                  <w:noWrap w:val="0"/>
                  <w:vAlign w:val="center"/>
                </w:tcPr>
                <w:p w14:paraId="2F51E7B7">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b w:val="0"/>
                      <w:color w:val="auto"/>
                      <w:sz w:val="20"/>
                      <w:szCs w:val="20"/>
                    </w:rPr>
                  </w:pPr>
                  <w:r>
                    <w:rPr>
                      <w:b w:val="0"/>
                      <w:color w:val="auto"/>
                      <w:spacing w:val="-3"/>
                      <w:sz w:val="20"/>
                      <w:szCs w:val="20"/>
                    </w:rPr>
                    <w:t>油烟</w:t>
                  </w:r>
                </w:p>
              </w:tc>
              <w:tc>
                <w:tcPr>
                  <w:tcW w:w="340" w:type="pct"/>
                  <w:tcBorders>
                    <w:tl2br w:val="nil"/>
                    <w:tr2bl w:val="nil"/>
                  </w:tcBorders>
                  <w:shd w:val="clear" w:color="auto" w:fill="FFFFFF"/>
                  <w:noWrap w:val="0"/>
                  <w:vAlign w:val="center"/>
                </w:tcPr>
                <w:p w14:paraId="6C9E874D">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b w:val="0"/>
                      <w:color w:val="auto"/>
                      <w:spacing w:val="-3"/>
                      <w:sz w:val="20"/>
                      <w:szCs w:val="20"/>
                      <w:lang w:val="en-US" w:eastAsia="zh-CN"/>
                    </w:rPr>
                  </w:pPr>
                  <w:r>
                    <w:rPr>
                      <w:rFonts w:hint="eastAsia" w:ascii="Times New Roman" w:hAnsi="Times New Roman" w:eastAsia="宋体" w:cs="Times New Roman"/>
                      <w:b w:val="0"/>
                      <w:color w:val="auto"/>
                      <w:spacing w:val="-3"/>
                      <w:sz w:val="20"/>
                      <w:szCs w:val="20"/>
                      <w:lang w:val="en-US" w:eastAsia="zh-CN"/>
                    </w:rPr>
                    <w:t>0.9</w:t>
                  </w:r>
                </w:p>
              </w:tc>
              <w:tc>
                <w:tcPr>
                  <w:tcW w:w="564" w:type="pct"/>
                  <w:tcBorders>
                    <w:tl2br w:val="nil"/>
                    <w:tr2bl w:val="nil"/>
                  </w:tcBorders>
                  <w:shd w:val="clear" w:color="auto" w:fill="FFFFFF"/>
                  <w:noWrap w:val="0"/>
                  <w:vAlign w:val="center"/>
                </w:tcPr>
                <w:p w14:paraId="40EBCA32">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b w:val="0"/>
                      <w:color w:val="auto"/>
                      <w:spacing w:val="-3"/>
                      <w:sz w:val="20"/>
                      <w:szCs w:val="20"/>
                      <w:lang w:val="en-US" w:eastAsia="zh-CN"/>
                    </w:rPr>
                  </w:pPr>
                  <w:r>
                    <w:rPr>
                      <w:rFonts w:hint="eastAsia" w:ascii="Times New Roman" w:hAnsi="Times New Roman" w:eastAsia="宋体" w:cs="Times New Roman"/>
                      <w:b w:val="0"/>
                      <w:color w:val="auto"/>
                      <w:spacing w:val="-3"/>
                      <w:sz w:val="20"/>
                      <w:szCs w:val="20"/>
                      <w:lang w:val="en-US" w:eastAsia="zh-CN"/>
                    </w:rPr>
                    <w:t>0.03</w:t>
                  </w:r>
                </w:p>
              </w:tc>
              <w:tc>
                <w:tcPr>
                  <w:tcW w:w="605" w:type="pct"/>
                  <w:tcBorders>
                    <w:tl2br w:val="nil"/>
                    <w:tr2bl w:val="nil"/>
                  </w:tcBorders>
                  <w:shd w:val="clear" w:color="auto" w:fill="FFFFFF"/>
                  <w:noWrap w:val="0"/>
                  <w:vAlign w:val="center"/>
                </w:tcPr>
                <w:p w14:paraId="33920C0E">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b w:val="0"/>
                      <w:color w:val="auto"/>
                      <w:spacing w:val="-3"/>
                      <w:kern w:val="2"/>
                      <w:sz w:val="20"/>
                      <w:szCs w:val="20"/>
                      <w:lang w:val="en-US" w:eastAsia="zh-CN" w:bidi="ar-SA"/>
                    </w:rPr>
                  </w:pPr>
                  <w:r>
                    <w:rPr>
                      <w:rFonts w:hint="eastAsia" w:ascii="Times New Roman" w:hAnsi="Times New Roman" w:cs="Times New Roman"/>
                      <w:b w:val="0"/>
                      <w:color w:val="auto"/>
                      <w:spacing w:val="-3"/>
                      <w:sz w:val="20"/>
                      <w:szCs w:val="20"/>
                      <w:lang w:val="en-US" w:eastAsia="zh-CN"/>
                    </w:rPr>
                    <w:t>0.0664</w:t>
                  </w:r>
                </w:p>
              </w:tc>
              <w:tc>
                <w:tcPr>
                  <w:tcW w:w="298" w:type="pct"/>
                  <w:tcBorders>
                    <w:tl2br w:val="nil"/>
                    <w:tr2bl w:val="nil"/>
                  </w:tcBorders>
                  <w:shd w:val="clear" w:color="auto" w:fill="FFFFFF"/>
                  <w:noWrap w:val="0"/>
                  <w:vAlign w:val="center"/>
                </w:tcPr>
                <w:p w14:paraId="42C7D765">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b w:val="0"/>
                      <w:color w:val="auto"/>
                      <w:spacing w:val="-3"/>
                      <w:sz w:val="20"/>
                      <w:szCs w:val="20"/>
                      <w:lang w:val="en-US" w:eastAsia="zh-CN"/>
                    </w:rPr>
                  </w:pPr>
                  <w:r>
                    <w:rPr>
                      <w:rFonts w:hint="eastAsia" w:ascii="Times New Roman" w:hAnsi="Times New Roman" w:eastAsia="宋体" w:cs="Times New Roman"/>
                      <w:b w:val="0"/>
                      <w:color w:val="auto"/>
                      <w:sz w:val="20"/>
                      <w:szCs w:val="20"/>
                      <w:lang w:val="en-US" w:eastAsia="zh-CN"/>
                    </w:rPr>
                    <w:t>16000</w:t>
                  </w:r>
                </w:p>
              </w:tc>
              <w:tc>
                <w:tcPr>
                  <w:tcW w:w="272" w:type="pct"/>
                  <w:tcBorders>
                    <w:tl2br w:val="nil"/>
                    <w:tr2bl w:val="nil"/>
                  </w:tcBorders>
                  <w:shd w:val="clear" w:color="auto" w:fill="FFFFFF"/>
                  <w:noWrap w:val="0"/>
                  <w:vAlign w:val="center"/>
                </w:tcPr>
                <w:p w14:paraId="5FA6F363">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cs="Times New Roman"/>
                      <w:b w:val="0"/>
                      <w:color w:val="auto"/>
                      <w:spacing w:val="-3"/>
                      <w:sz w:val="20"/>
                      <w:szCs w:val="20"/>
                    </w:rPr>
                  </w:pPr>
                  <w:r>
                    <w:rPr>
                      <w:rFonts w:hint="eastAsia" w:ascii="Times New Roman" w:hAnsi="Times New Roman" w:cs="Times New Roman"/>
                      <w:b w:val="0"/>
                      <w:color w:val="auto"/>
                      <w:spacing w:val="-3"/>
                      <w:sz w:val="20"/>
                      <w:szCs w:val="20"/>
                      <w:lang w:val="en-US" w:eastAsia="zh-CN"/>
                    </w:rPr>
                    <w:t>100%</w:t>
                  </w:r>
                </w:p>
              </w:tc>
              <w:tc>
                <w:tcPr>
                  <w:tcW w:w="239" w:type="pct"/>
                  <w:tcBorders>
                    <w:tl2br w:val="nil"/>
                    <w:tr2bl w:val="nil"/>
                  </w:tcBorders>
                  <w:shd w:val="clear" w:color="auto" w:fill="FFFFFF"/>
                  <w:noWrap w:val="0"/>
                  <w:vAlign w:val="center"/>
                </w:tcPr>
                <w:p w14:paraId="0AC3612D">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cs="Times New Roman"/>
                      <w:b w:val="0"/>
                      <w:color w:val="auto"/>
                      <w:spacing w:val="-3"/>
                      <w:sz w:val="20"/>
                      <w:szCs w:val="20"/>
                    </w:rPr>
                  </w:pPr>
                  <w:r>
                    <w:rPr>
                      <w:rFonts w:hint="default" w:ascii="Times New Roman" w:hAnsi="Times New Roman" w:cs="Times New Roman"/>
                      <w:b w:val="0"/>
                      <w:color w:val="auto"/>
                      <w:spacing w:val="-3"/>
                      <w:sz w:val="20"/>
                      <w:szCs w:val="20"/>
                    </w:rPr>
                    <w:t>油烟净</w:t>
                  </w:r>
                  <w:r>
                    <w:rPr>
                      <w:rFonts w:hint="default" w:ascii="Times New Roman" w:hAnsi="Times New Roman" w:cs="Times New Roman"/>
                      <w:b w:val="0"/>
                      <w:color w:val="auto"/>
                      <w:spacing w:val="-2"/>
                      <w:sz w:val="20"/>
                      <w:szCs w:val="20"/>
                    </w:rPr>
                    <w:t>化器</w:t>
                  </w:r>
                </w:p>
              </w:tc>
              <w:tc>
                <w:tcPr>
                  <w:tcW w:w="344" w:type="pct"/>
                  <w:tcBorders>
                    <w:tl2br w:val="nil"/>
                    <w:tr2bl w:val="nil"/>
                  </w:tcBorders>
                  <w:shd w:val="clear" w:color="auto" w:fill="FFFFFF"/>
                  <w:noWrap w:val="0"/>
                  <w:vAlign w:val="center"/>
                </w:tcPr>
                <w:p w14:paraId="0C369013">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color w:val="auto"/>
                      <w:spacing w:val="-3"/>
                      <w:sz w:val="20"/>
                      <w:szCs w:val="20"/>
                      <w:lang w:val="en-US" w:eastAsia="zh-CN"/>
                    </w:rPr>
                  </w:pPr>
                  <w:r>
                    <w:rPr>
                      <w:rFonts w:hint="eastAsia" w:ascii="Times New Roman" w:hAnsi="Times New Roman" w:cs="Times New Roman"/>
                      <w:b w:val="0"/>
                      <w:color w:val="auto"/>
                      <w:spacing w:val="-3"/>
                      <w:sz w:val="20"/>
                      <w:szCs w:val="20"/>
                      <w:lang w:val="en-US" w:eastAsia="zh-CN"/>
                    </w:rPr>
                    <w:t>85</w:t>
                  </w:r>
                </w:p>
              </w:tc>
              <w:tc>
                <w:tcPr>
                  <w:tcW w:w="314" w:type="pct"/>
                  <w:tcBorders>
                    <w:tl2br w:val="nil"/>
                    <w:tr2bl w:val="nil"/>
                  </w:tcBorders>
                  <w:shd w:val="clear" w:color="auto" w:fill="FFFFFF"/>
                  <w:noWrap w:val="0"/>
                  <w:vAlign w:val="center"/>
                </w:tcPr>
                <w:p w14:paraId="10D3905A">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eastAsia" w:ascii="Times New Roman" w:hAnsi="Times New Roman" w:eastAsia="宋体" w:cs="Times New Roman"/>
                      <w:b w:val="0"/>
                      <w:color w:val="auto"/>
                      <w:spacing w:val="-3"/>
                      <w:sz w:val="20"/>
                      <w:szCs w:val="20"/>
                      <w:lang w:val="en-US" w:eastAsia="zh-CN"/>
                    </w:rPr>
                  </w:pPr>
                  <w:r>
                    <w:rPr>
                      <w:rFonts w:hint="eastAsia" w:ascii="Times New Roman" w:hAnsi="Times New Roman" w:cs="Times New Roman"/>
                      <w:b w:val="0"/>
                      <w:color w:val="auto"/>
                      <w:spacing w:val="-3"/>
                      <w:sz w:val="20"/>
                      <w:szCs w:val="20"/>
                      <w:lang w:val="en-US" w:eastAsia="zh-CN"/>
                    </w:rPr>
                    <w:t>是</w:t>
                  </w:r>
                </w:p>
              </w:tc>
              <w:tc>
                <w:tcPr>
                  <w:tcW w:w="389" w:type="pct"/>
                  <w:tcBorders>
                    <w:tl2br w:val="nil"/>
                    <w:tr2bl w:val="nil"/>
                  </w:tcBorders>
                  <w:shd w:val="clear" w:color="auto" w:fill="FFFFFF"/>
                  <w:noWrap w:val="0"/>
                  <w:vAlign w:val="center"/>
                </w:tcPr>
                <w:p w14:paraId="709FEEFA">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b w:val="0"/>
                      <w:color w:val="auto"/>
                      <w:spacing w:val="-3"/>
                      <w:sz w:val="20"/>
                      <w:szCs w:val="20"/>
                      <w:lang w:val="en-US" w:eastAsia="zh-CN"/>
                    </w:rPr>
                  </w:pPr>
                  <w:r>
                    <w:rPr>
                      <w:rFonts w:hint="eastAsia" w:ascii="Times New Roman" w:hAnsi="Times New Roman" w:eastAsia="宋体" w:cs="Times New Roman"/>
                      <w:b w:val="0"/>
                      <w:color w:val="auto"/>
                      <w:spacing w:val="-3"/>
                      <w:sz w:val="20"/>
                      <w:szCs w:val="20"/>
                      <w:lang w:val="en-US" w:eastAsia="zh-CN"/>
                    </w:rPr>
                    <w:t>0.284</w:t>
                  </w:r>
                </w:p>
              </w:tc>
              <w:tc>
                <w:tcPr>
                  <w:tcW w:w="623" w:type="pct"/>
                  <w:tcBorders>
                    <w:tl2br w:val="nil"/>
                    <w:tr2bl w:val="nil"/>
                  </w:tcBorders>
                  <w:shd w:val="clear" w:color="auto" w:fill="FFFFFF"/>
                  <w:noWrap w:val="0"/>
                  <w:vAlign w:val="center"/>
                </w:tcPr>
                <w:p w14:paraId="55A3531E">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b w:val="0"/>
                      <w:color w:val="auto"/>
                      <w:spacing w:val="-3"/>
                      <w:sz w:val="20"/>
                      <w:szCs w:val="20"/>
                      <w:lang w:val="en-US" w:eastAsia="zh-CN"/>
                    </w:rPr>
                  </w:pPr>
                  <w:r>
                    <w:rPr>
                      <w:rFonts w:hint="eastAsia" w:ascii="Times New Roman" w:hAnsi="Times New Roman" w:eastAsia="宋体" w:cs="Times New Roman"/>
                      <w:b w:val="0"/>
                      <w:color w:val="auto"/>
                      <w:spacing w:val="-3"/>
                      <w:sz w:val="20"/>
                      <w:szCs w:val="20"/>
                      <w:lang w:val="en-US" w:eastAsia="zh-CN"/>
                    </w:rPr>
                    <w:t>0.00455</w:t>
                  </w:r>
                </w:p>
              </w:tc>
              <w:tc>
                <w:tcPr>
                  <w:tcW w:w="562" w:type="pct"/>
                  <w:tcBorders>
                    <w:tl2br w:val="nil"/>
                    <w:tr2bl w:val="nil"/>
                  </w:tcBorders>
                  <w:shd w:val="clear" w:color="auto" w:fill="FFFFFF"/>
                  <w:noWrap w:val="0"/>
                  <w:vAlign w:val="center"/>
                </w:tcPr>
                <w:p w14:paraId="5EF6AECB">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b w:val="0"/>
                      <w:color w:val="auto"/>
                      <w:spacing w:val="-3"/>
                      <w:sz w:val="20"/>
                      <w:szCs w:val="20"/>
                      <w:lang w:val="en-US" w:eastAsia="zh-CN"/>
                    </w:rPr>
                  </w:pPr>
                  <w:r>
                    <w:rPr>
                      <w:rFonts w:hint="eastAsia" w:ascii="Times New Roman" w:hAnsi="Times New Roman" w:eastAsia="宋体" w:cs="Times New Roman"/>
                      <w:b w:val="0"/>
                      <w:color w:val="auto"/>
                      <w:spacing w:val="-3"/>
                      <w:sz w:val="20"/>
                      <w:szCs w:val="20"/>
                      <w:lang w:val="en-US" w:eastAsia="zh-CN"/>
                    </w:rPr>
                    <w:t>0.00996</w:t>
                  </w:r>
                </w:p>
              </w:tc>
            </w:tr>
            <w:tr w14:paraId="0C1F55C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212" w:type="pct"/>
                  <w:vMerge w:val="restart"/>
                  <w:tcBorders>
                    <w:tl2br w:val="nil"/>
                    <w:tr2bl w:val="nil"/>
                  </w:tcBorders>
                  <w:shd w:val="clear" w:color="auto" w:fill="FFFFFF"/>
                  <w:noWrap w:val="0"/>
                  <w:vAlign w:val="center"/>
                </w:tcPr>
                <w:p w14:paraId="0A9AA015">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b w:val="0"/>
                      <w:color w:val="auto"/>
                      <w:spacing w:val="-2"/>
                      <w:sz w:val="20"/>
                      <w:szCs w:val="20"/>
                      <w:lang w:val="en-US" w:eastAsia="zh-CN"/>
                    </w:rPr>
                  </w:pPr>
                  <w:r>
                    <w:rPr>
                      <w:rFonts w:hint="eastAsia"/>
                      <w:b w:val="0"/>
                      <w:color w:val="auto"/>
                      <w:spacing w:val="-2"/>
                      <w:sz w:val="20"/>
                      <w:szCs w:val="20"/>
                      <w:lang w:val="en-US" w:eastAsia="zh-CN"/>
                    </w:rPr>
                    <w:t>污水站有组织</w:t>
                  </w:r>
                </w:p>
              </w:tc>
              <w:tc>
                <w:tcPr>
                  <w:tcW w:w="233" w:type="pct"/>
                  <w:tcBorders>
                    <w:tl2br w:val="nil"/>
                    <w:tr2bl w:val="nil"/>
                  </w:tcBorders>
                  <w:shd w:val="clear" w:color="auto" w:fill="FFFFFF"/>
                  <w:noWrap w:val="0"/>
                  <w:vAlign w:val="center"/>
                </w:tcPr>
                <w:p w14:paraId="5AB1AEDC">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b w:val="0"/>
                      <w:color w:val="auto"/>
                      <w:spacing w:val="-3"/>
                      <w:sz w:val="20"/>
                      <w:szCs w:val="20"/>
                    </w:rPr>
                  </w:pPr>
                  <w:r>
                    <w:rPr>
                      <w:rFonts w:hint="default" w:ascii="Times New Roman" w:hAnsi="Times New Roman" w:eastAsia="宋体" w:cs="Times New Roman"/>
                      <w:color w:val="auto"/>
                      <w:kern w:val="0"/>
                      <w:sz w:val="22"/>
                      <w:szCs w:val="22"/>
                      <w:lang w:val="en-US" w:eastAsia="zh-CN" w:bidi="ar"/>
                    </w:rPr>
                    <w:t>NH</w:t>
                  </w:r>
                  <w:r>
                    <w:rPr>
                      <w:rFonts w:hint="default" w:ascii="Times New Roman" w:hAnsi="Times New Roman" w:eastAsia="宋体" w:cs="Times New Roman"/>
                      <w:color w:val="auto"/>
                      <w:kern w:val="0"/>
                      <w:sz w:val="22"/>
                      <w:szCs w:val="22"/>
                      <w:vertAlign w:val="subscript"/>
                      <w:lang w:val="en-US" w:eastAsia="zh-CN" w:bidi="ar"/>
                    </w:rPr>
                    <w:t>3</w:t>
                  </w:r>
                </w:p>
              </w:tc>
              <w:tc>
                <w:tcPr>
                  <w:tcW w:w="340" w:type="pct"/>
                  <w:tcBorders>
                    <w:tl2br w:val="nil"/>
                    <w:tr2bl w:val="nil"/>
                  </w:tcBorders>
                  <w:shd w:val="clear" w:color="auto" w:fill="FFFFFF"/>
                  <w:noWrap w:val="0"/>
                  <w:vAlign w:val="center"/>
                </w:tcPr>
                <w:p w14:paraId="082E5A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0.341566</w:t>
                  </w:r>
                </w:p>
              </w:tc>
              <w:tc>
                <w:tcPr>
                  <w:tcW w:w="564" w:type="pct"/>
                  <w:tcBorders>
                    <w:tl2br w:val="nil"/>
                    <w:tr2bl w:val="nil"/>
                  </w:tcBorders>
                  <w:shd w:val="clear" w:color="auto" w:fill="FFFFFF"/>
                  <w:noWrap w:val="0"/>
                  <w:vAlign w:val="center"/>
                </w:tcPr>
                <w:p w14:paraId="38088EA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0"/>
                      <w:szCs w:val="20"/>
                      <w:u w:val="none"/>
                      <w:lang w:val="en-US" w:eastAsia="zh-CN" w:bidi="ar-SA"/>
                    </w:rPr>
                  </w:pPr>
                  <w:r>
                    <w:rPr>
                      <w:rFonts w:hint="default" w:ascii="Times New Roman" w:hAnsi="Times New Roman" w:eastAsia="宋体" w:cs="Times New Roman"/>
                      <w:i w:val="0"/>
                      <w:iCs w:val="0"/>
                      <w:color w:val="auto"/>
                      <w:kern w:val="0"/>
                      <w:sz w:val="20"/>
                      <w:szCs w:val="20"/>
                      <w:u w:val="none"/>
                      <w:lang w:val="en-US" w:eastAsia="zh-CN" w:bidi="ar"/>
                    </w:rPr>
                    <w:t>0.00170</w:t>
                  </w:r>
                </w:p>
              </w:tc>
              <w:tc>
                <w:tcPr>
                  <w:tcW w:w="605" w:type="pct"/>
                  <w:tcBorders>
                    <w:tl2br w:val="nil"/>
                    <w:tr2bl w:val="nil"/>
                  </w:tcBorders>
                  <w:shd w:val="clear" w:color="auto" w:fill="FFFFFF"/>
                  <w:noWrap w:val="0"/>
                  <w:vAlign w:val="center"/>
                </w:tcPr>
                <w:p w14:paraId="6D621BDB">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0.0149606</w:t>
                  </w:r>
                </w:p>
              </w:tc>
              <w:tc>
                <w:tcPr>
                  <w:tcW w:w="298" w:type="pct"/>
                  <w:vMerge w:val="restart"/>
                  <w:tcBorders>
                    <w:tl2br w:val="nil"/>
                    <w:tr2bl w:val="nil"/>
                  </w:tcBorders>
                  <w:shd w:val="clear" w:color="auto" w:fill="FFFFFF"/>
                  <w:noWrap w:val="0"/>
                  <w:vAlign w:val="center"/>
                </w:tcPr>
                <w:p w14:paraId="37BBB50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5000</w:t>
                  </w:r>
                </w:p>
              </w:tc>
              <w:tc>
                <w:tcPr>
                  <w:tcW w:w="272" w:type="pct"/>
                  <w:vMerge w:val="restart"/>
                  <w:tcBorders>
                    <w:tl2br w:val="nil"/>
                    <w:tr2bl w:val="nil"/>
                  </w:tcBorders>
                  <w:shd w:val="clear" w:color="auto" w:fill="FFFFFF"/>
                  <w:noWrap w:val="0"/>
                  <w:vAlign w:val="center"/>
                </w:tcPr>
                <w:p w14:paraId="6B881F4F">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95%</w:t>
                  </w:r>
                </w:p>
              </w:tc>
              <w:tc>
                <w:tcPr>
                  <w:tcW w:w="239" w:type="pct"/>
                  <w:vMerge w:val="restart"/>
                  <w:tcBorders>
                    <w:tl2br w:val="nil"/>
                    <w:tr2bl w:val="nil"/>
                  </w:tcBorders>
                  <w:shd w:val="clear" w:color="auto" w:fill="FFFFFF"/>
                  <w:noWrap w:val="0"/>
                  <w:vAlign w:val="center"/>
                </w:tcPr>
                <w:p w14:paraId="4CBB4C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除臭装置（高能离子净化+活性炭吸附）</w:t>
                  </w:r>
                </w:p>
              </w:tc>
              <w:tc>
                <w:tcPr>
                  <w:tcW w:w="344" w:type="pct"/>
                  <w:vMerge w:val="restart"/>
                  <w:tcBorders>
                    <w:tl2br w:val="nil"/>
                    <w:tr2bl w:val="nil"/>
                  </w:tcBorders>
                  <w:shd w:val="clear" w:color="auto" w:fill="FFFFFF"/>
                  <w:noWrap w:val="0"/>
                  <w:vAlign w:val="center"/>
                </w:tcPr>
                <w:p w14:paraId="19C4C2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90</w:t>
                  </w:r>
                </w:p>
              </w:tc>
              <w:tc>
                <w:tcPr>
                  <w:tcW w:w="314" w:type="pct"/>
                  <w:vMerge w:val="restart"/>
                  <w:tcBorders>
                    <w:tl2br w:val="nil"/>
                    <w:tr2bl w:val="nil"/>
                  </w:tcBorders>
                  <w:shd w:val="clear" w:color="auto" w:fill="FFFFFF"/>
                  <w:noWrap w:val="0"/>
                  <w:vAlign w:val="center"/>
                </w:tcPr>
                <w:p w14:paraId="5F248E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是</w:t>
                  </w:r>
                </w:p>
              </w:tc>
              <w:tc>
                <w:tcPr>
                  <w:tcW w:w="659" w:type="dxa"/>
                  <w:tcBorders>
                    <w:tl2br w:val="nil"/>
                    <w:tr2bl w:val="nil"/>
                  </w:tcBorders>
                  <w:shd w:val="clear" w:color="auto" w:fill="FFFFFF"/>
                  <w:noWrap w:val="0"/>
                  <w:vAlign w:val="center"/>
                </w:tcPr>
                <w:p w14:paraId="1CB38D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0.0341566</w:t>
                  </w:r>
                </w:p>
              </w:tc>
              <w:tc>
                <w:tcPr>
                  <w:tcW w:w="623" w:type="pct"/>
                  <w:tcBorders>
                    <w:tl2br w:val="nil"/>
                    <w:tr2bl w:val="nil"/>
                  </w:tcBorders>
                  <w:shd w:val="clear" w:color="auto" w:fill="FFFFFF"/>
                  <w:noWrap w:val="0"/>
                  <w:vAlign w:val="center"/>
                </w:tcPr>
                <w:p w14:paraId="7CC508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0.00</w:t>
                  </w:r>
                  <w:r>
                    <w:rPr>
                      <w:rFonts w:hint="eastAsia" w:ascii="Times New Roman" w:hAnsi="Times New Roman" w:eastAsia="宋体" w:cs="Times New Roman"/>
                      <w:i w:val="0"/>
                      <w:iCs w:val="0"/>
                      <w:color w:val="auto"/>
                      <w:kern w:val="0"/>
                      <w:sz w:val="20"/>
                      <w:szCs w:val="20"/>
                      <w:u w:val="none"/>
                      <w:lang w:val="en-US" w:eastAsia="zh-CN" w:bidi="ar"/>
                    </w:rPr>
                    <w:t>0</w:t>
                  </w:r>
                  <w:r>
                    <w:rPr>
                      <w:rFonts w:hint="default" w:ascii="Times New Roman" w:hAnsi="Times New Roman" w:eastAsia="宋体" w:cs="Times New Roman"/>
                      <w:i w:val="0"/>
                      <w:iCs w:val="0"/>
                      <w:color w:val="auto"/>
                      <w:kern w:val="0"/>
                      <w:sz w:val="20"/>
                      <w:szCs w:val="20"/>
                      <w:u w:val="none"/>
                      <w:lang w:val="en-US" w:eastAsia="zh-CN" w:bidi="ar"/>
                    </w:rPr>
                    <w:t>17</w:t>
                  </w:r>
                </w:p>
              </w:tc>
              <w:tc>
                <w:tcPr>
                  <w:tcW w:w="953" w:type="dxa"/>
                  <w:tcBorders>
                    <w:tl2br w:val="nil"/>
                    <w:tr2bl w:val="nil"/>
                  </w:tcBorders>
                  <w:shd w:val="clear" w:color="auto" w:fill="FFFFFF"/>
                  <w:noWrap w:val="0"/>
                  <w:vAlign w:val="center"/>
                </w:tcPr>
                <w:p w14:paraId="0CCA70F4">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0.00149606</w:t>
                  </w:r>
                </w:p>
              </w:tc>
            </w:tr>
            <w:tr w14:paraId="0BC17C5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212" w:type="pct"/>
                  <w:vMerge w:val="continue"/>
                  <w:tcBorders>
                    <w:tl2br w:val="nil"/>
                    <w:tr2bl w:val="nil"/>
                  </w:tcBorders>
                  <w:shd w:val="clear" w:color="auto" w:fill="FFFFFF"/>
                  <w:noWrap w:val="0"/>
                  <w:vAlign w:val="center"/>
                </w:tcPr>
                <w:p w14:paraId="3C716CF7">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eastAsia"/>
                      <w:b w:val="0"/>
                      <w:color w:val="auto"/>
                      <w:spacing w:val="-2"/>
                      <w:sz w:val="20"/>
                      <w:szCs w:val="20"/>
                      <w:lang w:val="en-US" w:eastAsia="zh-CN"/>
                    </w:rPr>
                  </w:pPr>
                </w:p>
              </w:tc>
              <w:tc>
                <w:tcPr>
                  <w:tcW w:w="233" w:type="pct"/>
                  <w:tcBorders>
                    <w:tl2br w:val="nil"/>
                    <w:tr2bl w:val="nil"/>
                  </w:tcBorders>
                  <w:shd w:val="clear" w:color="auto" w:fill="FFFFFF"/>
                  <w:noWrap w:val="0"/>
                  <w:vAlign w:val="center"/>
                </w:tcPr>
                <w:p w14:paraId="1A58822E">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H</w:t>
                  </w:r>
                  <w:r>
                    <w:rPr>
                      <w:rFonts w:hint="default" w:ascii="Times New Roman" w:hAnsi="Times New Roman" w:eastAsia="宋体" w:cs="Times New Roman"/>
                      <w:color w:val="auto"/>
                      <w:kern w:val="0"/>
                      <w:sz w:val="22"/>
                      <w:szCs w:val="22"/>
                      <w:vertAlign w:val="subscript"/>
                      <w:lang w:val="en-US" w:eastAsia="zh-CN" w:bidi="ar"/>
                    </w:rPr>
                    <w:t>2</w:t>
                  </w:r>
                  <w:r>
                    <w:rPr>
                      <w:rFonts w:hint="default" w:ascii="Times New Roman" w:hAnsi="Times New Roman" w:eastAsia="宋体" w:cs="Times New Roman"/>
                      <w:color w:val="auto"/>
                      <w:kern w:val="0"/>
                      <w:sz w:val="22"/>
                      <w:szCs w:val="22"/>
                      <w:lang w:val="en-US" w:eastAsia="zh-CN" w:bidi="ar"/>
                    </w:rPr>
                    <w:t>S</w:t>
                  </w:r>
                </w:p>
              </w:tc>
              <w:tc>
                <w:tcPr>
                  <w:tcW w:w="340" w:type="pct"/>
                  <w:tcBorders>
                    <w:tl2br w:val="nil"/>
                    <w:tr2bl w:val="nil"/>
                  </w:tcBorders>
                  <w:shd w:val="clear" w:color="auto" w:fill="FFFFFF"/>
                  <w:noWrap w:val="0"/>
                  <w:vAlign w:val="center"/>
                </w:tcPr>
                <w:p w14:paraId="32157F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0.01322</w:t>
                  </w:r>
                </w:p>
              </w:tc>
              <w:tc>
                <w:tcPr>
                  <w:tcW w:w="564" w:type="pct"/>
                  <w:tcBorders>
                    <w:tl2br w:val="nil"/>
                    <w:tr2bl w:val="nil"/>
                  </w:tcBorders>
                  <w:shd w:val="clear" w:color="auto" w:fill="FFFFFF"/>
                  <w:noWrap w:val="0"/>
                  <w:vAlign w:val="center"/>
                </w:tcPr>
                <w:p w14:paraId="36D196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0.00000</w:t>
                  </w:r>
                  <w:r>
                    <w:rPr>
                      <w:rFonts w:hint="eastAsia" w:ascii="Times New Roman" w:hAnsi="Times New Roman" w:eastAsia="宋体" w:cs="Times New Roman"/>
                      <w:i w:val="0"/>
                      <w:iCs w:val="0"/>
                      <w:color w:val="auto"/>
                      <w:kern w:val="0"/>
                      <w:sz w:val="20"/>
                      <w:szCs w:val="20"/>
                      <w:u w:val="none"/>
                      <w:lang w:val="en-US" w:eastAsia="zh-CN" w:bidi="ar"/>
                    </w:rPr>
                    <w:t>66</w:t>
                  </w:r>
                </w:p>
              </w:tc>
              <w:tc>
                <w:tcPr>
                  <w:tcW w:w="605" w:type="pct"/>
                  <w:tcBorders>
                    <w:tl2br w:val="nil"/>
                    <w:tr2bl w:val="nil"/>
                  </w:tcBorders>
                  <w:shd w:val="clear" w:color="auto" w:fill="FFFFFF"/>
                  <w:noWrap w:val="0"/>
                  <w:vAlign w:val="center"/>
                </w:tcPr>
                <w:p w14:paraId="58F81C5D">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0.000579</w:t>
                  </w:r>
                </w:p>
              </w:tc>
              <w:tc>
                <w:tcPr>
                  <w:tcW w:w="298" w:type="pct"/>
                  <w:vMerge w:val="continue"/>
                  <w:tcBorders>
                    <w:tl2br w:val="nil"/>
                    <w:tr2bl w:val="nil"/>
                  </w:tcBorders>
                  <w:shd w:val="clear" w:color="auto" w:fill="FFFFFF"/>
                  <w:noWrap w:val="0"/>
                  <w:vAlign w:val="center"/>
                </w:tcPr>
                <w:p w14:paraId="000F997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p>
              </w:tc>
              <w:tc>
                <w:tcPr>
                  <w:tcW w:w="272" w:type="pct"/>
                  <w:vMerge w:val="continue"/>
                  <w:tcBorders>
                    <w:tl2br w:val="nil"/>
                    <w:tr2bl w:val="nil"/>
                  </w:tcBorders>
                  <w:shd w:val="clear" w:color="auto" w:fill="FFFFFF"/>
                  <w:noWrap w:val="0"/>
                  <w:vAlign w:val="center"/>
                </w:tcPr>
                <w:p w14:paraId="7A9A9E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p>
              </w:tc>
              <w:tc>
                <w:tcPr>
                  <w:tcW w:w="239" w:type="pct"/>
                  <w:vMerge w:val="continue"/>
                  <w:tcBorders>
                    <w:tl2br w:val="nil"/>
                    <w:tr2bl w:val="nil"/>
                  </w:tcBorders>
                  <w:shd w:val="clear" w:color="auto" w:fill="FFFFFF"/>
                  <w:noWrap w:val="0"/>
                  <w:vAlign w:val="center"/>
                </w:tcPr>
                <w:p w14:paraId="2F8956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p>
              </w:tc>
              <w:tc>
                <w:tcPr>
                  <w:tcW w:w="344" w:type="pct"/>
                  <w:vMerge w:val="continue"/>
                  <w:tcBorders>
                    <w:tl2br w:val="nil"/>
                    <w:tr2bl w:val="nil"/>
                  </w:tcBorders>
                  <w:shd w:val="clear" w:color="auto" w:fill="FFFFFF"/>
                  <w:noWrap w:val="0"/>
                  <w:vAlign w:val="center"/>
                </w:tcPr>
                <w:p w14:paraId="14BC09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p>
              </w:tc>
              <w:tc>
                <w:tcPr>
                  <w:tcW w:w="314" w:type="pct"/>
                  <w:vMerge w:val="continue"/>
                  <w:tcBorders>
                    <w:tl2br w:val="nil"/>
                    <w:tr2bl w:val="nil"/>
                  </w:tcBorders>
                  <w:shd w:val="clear" w:color="auto" w:fill="FFFFFF"/>
                  <w:noWrap w:val="0"/>
                  <w:vAlign w:val="center"/>
                </w:tcPr>
                <w:p w14:paraId="36F895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p>
              </w:tc>
              <w:tc>
                <w:tcPr>
                  <w:tcW w:w="659" w:type="dxa"/>
                  <w:tcBorders>
                    <w:tl2br w:val="nil"/>
                    <w:tr2bl w:val="nil"/>
                  </w:tcBorders>
                  <w:shd w:val="clear" w:color="auto" w:fill="FFFFFF"/>
                  <w:noWrap w:val="0"/>
                  <w:vAlign w:val="center"/>
                </w:tcPr>
                <w:p w14:paraId="2BBC4C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0.001322</w:t>
                  </w:r>
                </w:p>
              </w:tc>
              <w:tc>
                <w:tcPr>
                  <w:tcW w:w="623" w:type="pct"/>
                  <w:tcBorders>
                    <w:tl2br w:val="nil"/>
                    <w:tr2bl w:val="nil"/>
                  </w:tcBorders>
                  <w:shd w:val="clear" w:color="auto" w:fill="FFFFFF"/>
                  <w:noWrap w:val="0"/>
                  <w:vAlign w:val="center"/>
                </w:tcPr>
                <w:p w14:paraId="2FDDF9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0.00</w:t>
                  </w:r>
                  <w:r>
                    <w:rPr>
                      <w:rFonts w:hint="eastAsia" w:ascii="Times New Roman" w:hAnsi="Times New Roman" w:eastAsia="宋体" w:cs="Times New Roman"/>
                      <w:i w:val="0"/>
                      <w:iCs w:val="0"/>
                      <w:color w:val="auto"/>
                      <w:kern w:val="0"/>
                      <w:sz w:val="20"/>
                      <w:szCs w:val="20"/>
                      <w:u w:val="none"/>
                      <w:lang w:val="en-US" w:eastAsia="zh-CN" w:bidi="ar"/>
                    </w:rPr>
                    <w:t>0</w:t>
                  </w:r>
                  <w:r>
                    <w:rPr>
                      <w:rFonts w:hint="default" w:ascii="Times New Roman" w:hAnsi="Times New Roman" w:eastAsia="宋体" w:cs="Times New Roman"/>
                      <w:i w:val="0"/>
                      <w:iCs w:val="0"/>
                      <w:color w:val="auto"/>
                      <w:kern w:val="0"/>
                      <w:sz w:val="20"/>
                      <w:szCs w:val="20"/>
                      <w:u w:val="none"/>
                      <w:lang w:val="en-US" w:eastAsia="zh-CN" w:bidi="ar"/>
                    </w:rPr>
                    <w:t>000</w:t>
                  </w:r>
                  <w:r>
                    <w:rPr>
                      <w:rFonts w:hint="eastAsia" w:ascii="Times New Roman" w:hAnsi="Times New Roman" w:eastAsia="宋体" w:cs="Times New Roman"/>
                      <w:i w:val="0"/>
                      <w:iCs w:val="0"/>
                      <w:color w:val="auto"/>
                      <w:kern w:val="0"/>
                      <w:sz w:val="20"/>
                      <w:szCs w:val="20"/>
                      <w:u w:val="none"/>
                      <w:lang w:val="en-US" w:eastAsia="zh-CN" w:bidi="ar"/>
                    </w:rPr>
                    <w:t>66</w:t>
                  </w:r>
                </w:p>
              </w:tc>
              <w:tc>
                <w:tcPr>
                  <w:tcW w:w="953" w:type="dxa"/>
                  <w:tcBorders>
                    <w:tl2br w:val="nil"/>
                    <w:tr2bl w:val="nil"/>
                  </w:tcBorders>
                  <w:shd w:val="clear" w:color="auto" w:fill="FFFFFF"/>
                  <w:noWrap w:val="0"/>
                  <w:vAlign w:val="center"/>
                </w:tcPr>
                <w:p w14:paraId="42FDF7D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0.0000579</w:t>
                  </w:r>
                </w:p>
              </w:tc>
            </w:tr>
            <w:tr w14:paraId="0F842E6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212" w:type="pct"/>
                  <w:vMerge w:val="restart"/>
                  <w:tcBorders>
                    <w:tl2br w:val="nil"/>
                    <w:tr2bl w:val="nil"/>
                  </w:tcBorders>
                  <w:shd w:val="clear" w:color="auto" w:fill="FFFFFF"/>
                  <w:noWrap w:val="0"/>
                  <w:vAlign w:val="center"/>
                </w:tcPr>
                <w:p w14:paraId="749E9AD9">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b w:val="0"/>
                      <w:color w:val="auto"/>
                      <w:spacing w:val="-2"/>
                      <w:sz w:val="20"/>
                      <w:szCs w:val="20"/>
                      <w:lang w:val="en-US" w:eastAsia="zh-CN"/>
                    </w:rPr>
                  </w:pPr>
                  <w:r>
                    <w:rPr>
                      <w:rFonts w:hint="eastAsia"/>
                      <w:b w:val="0"/>
                      <w:color w:val="auto"/>
                      <w:spacing w:val="-2"/>
                      <w:sz w:val="20"/>
                      <w:szCs w:val="20"/>
                      <w:lang w:val="en-US" w:eastAsia="zh-CN"/>
                    </w:rPr>
                    <w:t>污水站周边无组织</w:t>
                  </w:r>
                </w:p>
              </w:tc>
              <w:tc>
                <w:tcPr>
                  <w:tcW w:w="233" w:type="pct"/>
                  <w:tcBorders>
                    <w:tl2br w:val="nil"/>
                    <w:tr2bl w:val="nil"/>
                  </w:tcBorders>
                  <w:shd w:val="clear" w:color="auto" w:fill="FFFFFF"/>
                  <w:noWrap w:val="0"/>
                  <w:vAlign w:val="center"/>
                </w:tcPr>
                <w:p w14:paraId="004F3FF1">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宋体" w:hAnsi="宋体" w:eastAsia="宋体" w:cs="宋体"/>
                      <w:b w:val="0"/>
                      <w:color w:val="auto"/>
                      <w:spacing w:val="-3"/>
                      <w:kern w:val="2"/>
                      <w:sz w:val="20"/>
                      <w:szCs w:val="20"/>
                      <w:lang w:val="en-US" w:eastAsia="zh-CN" w:bidi="ar-SA"/>
                    </w:rPr>
                  </w:pPr>
                  <w:r>
                    <w:rPr>
                      <w:rFonts w:hint="default" w:ascii="Times New Roman" w:hAnsi="Times New Roman" w:eastAsia="宋体" w:cs="Times New Roman"/>
                      <w:color w:val="auto"/>
                      <w:kern w:val="0"/>
                      <w:sz w:val="22"/>
                      <w:szCs w:val="22"/>
                      <w:lang w:val="en-US" w:eastAsia="zh-CN" w:bidi="ar"/>
                    </w:rPr>
                    <w:t>NH</w:t>
                  </w:r>
                  <w:r>
                    <w:rPr>
                      <w:rFonts w:hint="default" w:ascii="Times New Roman" w:hAnsi="Times New Roman" w:eastAsia="宋体" w:cs="Times New Roman"/>
                      <w:color w:val="auto"/>
                      <w:kern w:val="0"/>
                      <w:sz w:val="22"/>
                      <w:szCs w:val="22"/>
                      <w:vertAlign w:val="subscript"/>
                      <w:lang w:val="en-US" w:eastAsia="zh-CN" w:bidi="ar"/>
                    </w:rPr>
                    <w:t>3</w:t>
                  </w:r>
                </w:p>
              </w:tc>
              <w:tc>
                <w:tcPr>
                  <w:tcW w:w="340" w:type="pct"/>
                  <w:tcBorders>
                    <w:tl2br w:val="nil"/>
                    <w:tr2bl w:val="nil"/>
                  </w:tcBorders>
                  <w:shd w:val="clear" w:color="auto" w:fill="FFFFFF"/>
                  <w:noWrap w:val="0"/>
                  <w:vAlign w:val="center"/>
                </w:tcPr>
                <w:p w14:paraId="528866C4">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w:t>
                  </w:r>
                </w:p>
              </w:tc>
              <w:tc>
                <w:tcPr>
                  <w:tcW w:w="564" w:type="pct"/>
                  <w:tcBorders>
                    <w:tl2br w:val="nil"/>
                    <w:tr2bl w:val="nil"/>
                  </w:tcBorders>
                  <w:shd w:val="clear" w:color="auto" w:fill="FFFFFF"/>
                  <w:noWrap w:val="0"/>
                  <w:vAlign w:val="center"/>
                </w:tcPr>
                <w:p w14:paraId="2CB5D98D">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w:t>
                  </w:r>
                </w:p>
              </w:tc>
              <w:tc>
                <w:tcPr>
                  <w:tcW w:w="605" w:type="pct"/>
                  <w:tcBorders>
                    <w:tl2br w:val="nil"/>
                    <w:tr2bl w:val="nil"/>
                  </w:tcBorders>
                  <w:shd w:val="clear" w:color="auto" w:fill="FFFFFF"/>
                  <w:noWrap w:val="0"/>
                  <w:vAlign w:val="center"/>
                </w:tcPr>
                <w:p w14:paraId="25DBADA1">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0.0007874</w:t>
                  </w:r>
                </w:p>
              </w:tc>
              <w:tc>
                <w:tcPr>
                  <w:tcW w:w="298" w:type="pct"/>
                  <w:tcBorders>
                    <w:tl2br w:val="nil"/>
                    <w:tr2bl w:val="nil"/>
                  </w:tcBorders>
                  <w:shd w:val="clear" w:color="auto" w:fill="FFFFFF"/>
                  <w:noWrap w:val="0"/>
                  <w:vAlign w:val="center"/>
                </w:tcPr>
                <w:p w14:paraId="51C487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w:t>
                  </w:r>
                </w:p>
              </w:tc>
              <w:tc>
                <w:tcPr>
                  <w:tcW w:w="272" w:type="pct"/>
                  <w:tcBorders>
                    <w:tl2br w:val="nil"/>
                    <w:tr2bl w:val="nil"/>
                  </w:tcBorders>
                  <w:shd w:val="clear" w:color="auto" w:fill="FFFFFF"/>
                  <w:noWrap w:val="0"/>
                  <w:vAlign w:val="center"/>
                </w:tcPr>
                <w:p w14:paraId="22DE42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w:t>
                  </w:r>
                </w:p>
              </w:tc>
              <w:tc>
                <w:tcPr>
                  <w:tcW w:w="239" w:type="pct"/>
                  <w:tcBorders>
                    <w:tl2br w:val="nil"/>
                    <w:tr2bl w:val="nil"/>
                  </w:tcBorders>
                  <w:shd w:val="clear" w:color="auto" w:fill="FFFFFF"/>
                  <w:noWrap w:val="0"/>
                  <w:vAlign w:val="center"/>
                </w:tcPr>
                <w:p w14:paraId="3B9EC0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w:t>
                  </w:r>
                </w:p>
              </w:tc>
              <w:tc>
                <w:tcPr>
                  <w:tcW w:w="344" w:type="pct"/>
                  <w:tcBorders>
                    <w:tl2br w:val="nil"/>
                    <w:tr2bl w:val="nil"/>
                  </w:tcBorders>
                  <w:shd w:val="clear" w:color="auto" w:fill="FFFFFF"/>
                  <w:noWrap w:val="0"/>
                  <w:vAlign w:val="center"/>
                </w:tcPr>
                <w:p w14:paraId="7378FE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w:t>
                  </w:r>
                </w:p>
              </w:tc>
              <w:tc>
                <w:tcPr>
                  <w:tcW w:w="314" w:type="pct"/>
                  <w:tcBorders>
                    <w:tl2br w:val="nil"/>
                    <w:tr2bl w:val="nil"/>
                  </w:tcBorders>
                  <w:shd w:val="clear" w:color="auto" w:fill="FFFFFF"/>
                  <w:noWrap w:val="0"/>
                  <w:vAlign w:val="center"/>
                </w:tcPr>
                <w:p w14:paraId="53C6B5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w:t>
                  </w:r>
                </w:p>
              </w:tc>
              <w:tc>
                <w:tcPr>
                  <w:tcW w:w="389" w:type="pct"/>
                  <w:tcBorders>
                    <w:tl2br w:val="nil"/>
                    <w:tr2bl w:val="nil"/>
                  </w:tcBorders>
                  <w:shd w:val="clear" w:color="auto" w:fill="FFFFFF"/>
                  <w:noWrap w:val="0"/>
                  <w:vAlign w:val="center"/>
                </w:tcPr>
                <w:p w14:paraId="3188007F">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w:t>
                  </w:r>
                </w:p>
              </w:tc>
              <w:tc>
                <w:tcPr>
                  <w:tcW w:w="623" w:type="pct"/>
                  <w:tcBorders>
                    <w:tl2br w:val="nil"/>
                    <w:tr2bl w:val="nil"/>
                  </w:tcBorders>
                  <w:shd w:val="clear" w:color="auto" w:fill="FFFFFF"/>
                  <w:noWrap w:val="0"/>
                  <w:vAlign w:val="center"/>
                </w:tcPr>
                <w:p w14:paraId="1204FB6C">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w:t>
                  </w:r>
                </w:p>
              </w:tc>
              <w:tc>
                <w:tcPr>
                  <w:tcW w:w="987" w:type="dxa"/>
                  <w:tcBorders>
                    <w:tl2br w:val="nil"/>
                    <w:tr2bl w:val="nil"/>
                  </w:tcBorders>
                  <w:shd w:val="clear" w:color="auto" w:fill="FFFFFF"/>
                  <w:noWrap w:val="0"/>
                  <w:vAlign w:val="center"/>
                </w:tcPr>
                <w:p w14:paraId="6B68814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0.0007874</w:t>
                  </w:r>
                </w:p>
              </w:tc>
            </w:tr>
            <w:tr w14:paraId="3D7C921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212" w:type="pct"/>
                  <w:vMerge w:val="continue"/>
                  <w:tcBorders>
                    <w:tl2br w:val="nil"/>
                    <w:tr2bl w:val="nil"/>
                  </w:tcBorders>
                  <w:shd w:val="clear" w:color="auto" w:fill="auto"/>
                  <w:noWrap w:val="0"/>
                  <w:vAlign w:val="top"/>
                </w:tcPr>
                <w:p w14:paraId="368B5C37">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b w:val="0"/>
                      <w:color w:val="auto"/>
                      <w:spacing w:val="-2"/>
                      <w:sz w:val="20"/>
                      <w:szCs w:val="20"/>
                      <w:lang w:val="en-US" w:eastAsia="zh-CN"/>
                    </w:rPr>
                  </w:pPr>
                </w:p>
              </w:tc>
              <w:tc>
                <w:tcPr>
                  <w:tcW w:w="233" w:type="pct"/>
                  <w:tcBorders>
                    <w:tl2br w:val="nil"/>
                    <w:tr2bl w:val="nil"/>
                  </w:tcBorders>
                  <w:shd w:val="clear" w:color="auto" w:fill="FFFFFF"/>
                  <w:noWrap w:val="0"/>
                  <w:vAlign w:val="center"/>
                </w:tcPr>
                <w:p w14:paraId="5E8A3413">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color w:val="auto"/>
                      <w:kern w:val="0"/>
                      <w:sz w:val="22"/>
                      <w:szCs w:val="22"/>
                      <w:lang w:val="en-US" w:eastAsia="zh-CN" w:bidi="ar"/>
                    </w:rPr>
                  </w:pPr>
                  <w:r>
                    <w:rPr>
                      <w:rFonts w:hint="default" w:ascii="Times New Roman" w:hAnsi="Times New Roman" w:eastAsia="宋体" w:cs="Times New Roman"/>
                      <w:color w:val="auto"/>
                      <w:kern w:val="0"/>
                      <w:sz w:val="22"/>
                      <w:szCs w:val="22"/>
                      <w:lang w:val="en-US" w:eastAsia="zh-CN" w:bidi="ar"/>
                    </w:rPr>
                    <w:t>H</w:t>
                  </w:r>
                  <w:r>
                    <w:rPr>
                      <w:rFonts w:hint="default" w:ascii="Times New Roman" w:hAnsi="Times New Roman" w:eastAsia="宋体" w:cs="Times New Roman"/>
                      <w:color w:val="auto"/>
                      <w:kern w:val="0"/>
                      <w:sz w:val="22"/>
                      <w:szCs w:val="22"/>
                      <w:vertAlign w:val="subscript"/>
                      <w:lang w:val="en-US" w:eastAsia="zh-CN" w:bidi="ar"/>
                    </w:rPr>
                    <w:t>2</w:t>
                  </w:r>
                  <w:r>
                    <w:rPr>
                      <w:rFonts w:hint="default" w:ascii="Times New Roman" w:hAnsi="Times New Roman" w:eastAsia="宋体" w:cs="Times New Roman"/>
                      <w:color w:val="auto"/>
                      <w:kern w:val="0"/>
                      <w:sz w:val="22"/>
                      <w:szCs w:val="22"/>
                      <w:lang w:val="en-US" w:eastAsia="zh-CN" w:bidi="ar"/>
                    </w:rPr>
                    <w:t>S</w:t>
                  </w:r>
                </w:p>
              </w:tc>
              <w:tc>
                <w:tcPr>
                  <w:tcW w:w="340" w:type="pct"/>
                  <w:tcBorders>
                    <w:tl2br w:val="nil"/>
                    <w:tr2bl w:val="nil"/>
                  </w:tcBorders>
                  <w:noWrap w:val="0"/>
                  <w:vAlign w:val="top"/>
                </w:tcPr>
                <w:p w14:paraId="5D377A1A">
                  <w:pPr>
                    <w:keepNext w:val="0"/>
                    <w:keepLines w:val="0"/>
                    <w:widowControl/>
                    <w:suppressLineNumbers w:val="0"/>
                    <w:jc w:val="center"/>
                    <w:textAlignment w:val="top"/>
                    <w:rPr>
                      <w:rFonts w:hint="eastAsia" w:ascii="Times New Roman" w:hAnsi="Times New Roman" w:eastAsia="宋体" w:cs="Times New Roman"/>
                      <w:b w:val="0"/>
                      <w:color w:val="auto"/>
                      <w:spacing w:val="-3"/>
                      <w:sz w:val="20"/>
                      <w:szCs w:val="20"/>
                      <w:lang w:val="en-US" w:eastAsia="zh-CN"/>
                    </w:rPr>
                  </w:pPr>
                  <w:r>
                    <w:rPr>
                      <w:rFonts w:hint="default" w:ascii="Times New Roman" w:hAnsi="Times New Roman" w:eastAsia="宋体" w:cs="Times New Roman"/>
                      <w:i w:val="0"/>
                      <w:iCs w:val="0"/>
                      <w:color w:val="auto"/>
                      <w:kern w:val="0"/>
                      <w:sz w:val="20"/>
                      <w:szCs w:val="20"/>
                      <w:u w:val="none"/>
                      <w:lang w:val="en-US" w:eastAsia="zh-CN" w:bidi="ar"/>
                    </w:rPr>
                    <w:t>/</w:t>
                  </w:r>
                </w:p>
              </w:tc>
              <w:tc>
                <w:tcPr>
                  <w:tcW w:w="564" w:type="pct"/>
                  <w:tcBorders>
                    <w:tl2br w:val="nil"/>
                    <w:tr2bl w:val="nil"/>
                  </w:tcBorders>
                  <w:noWrap w:val="0"/>
                  <w:vAlign w:val="top"/>
                </w:tcPr>
                <w:p w14:paraId="7CDCB80C">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w:t>
                  </w:r>
                </w:p>
              </w:tc>
              <w:tc>
                <w:tcPr>
                  <w:tcW w:w="605" w:type="pct"/>
                  <w:tcBorders>
                    <w:tl2br w:val="nil"/>
                    <w:tr2bl w:val="nil"/>
                  </w:tcBorders>
                  <w:noWrap w:val="0"/>
                  <w:vAlign w:val="center"/>
                </w:tcPr>
                <w:p w14:paraId="5DC59BB5">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0.00003048</w:t>
                  </w:r>
                </w:p>
              </w:tc>
              <w:tc>
                <w:tcPr>
                  <w:tcW w:w="298" w:type="pct"/>
                  <w:tcBorders>
                    <w:tl2br w:val="nil"/>
                    <w:tr2bl w:val="nil"/>
                  </w:tcBorders>
                  <w:noWrap w:val="0"/>
                  <w:vAlign w:val="top"/>
                </w:tcPr>
                <w:p w14:paraId="5483FD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eastAsia" w:ascii="Times New Roman" w:hAnsi="Times New Roman" w:eastAsia="宋体" w:cs="Times New Roman"/>
                      <w:i w:val="0"/>
                      <w:iCs w:val="0"/>
                      <w:color w:val="auto"/>
                      <w:kern w:val="0"/>
                      <w:sz w:val="20"/>
                      <w:szCs w:val="20"/>
                      <w:u w:val="none"/>
                      <w:lang w:val="en-US" w:eastAsia="zh-CN" w:bidi="ar"/>
                    </w:rPr>
                    <w:t>/</w:t>
                  </w:r>
                </w:p>
              </w:tc>
              <w:tc>
                <w:tcPr>
                  <w:tcW w:w="272" w:type="pct"/>
                  <w:tcBorders>
                    <w:tl2br w:val="nil"/>
                    <w:tr2bl w:val="nil"/>
                  </w:tcBorders>
                  <w:noWrap w:val="0"/>
                  <w:vAlign w:val="top"/>
                </w:tcPr>
                <w:p w14:paraId="5FABC156">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b w:val="0"/>
                      <w:color w:val="auto"/>
                      <w:spacing w:val="-3"/>
                      <w:sz w:val="20"/>
                      <w:szCs w:val="20"/>
                      <w:lang w:val="en-US" w:eastAsia="zh-CN"/>
                    </w:rPr>
                  </w:pPr>
                  <w:r>
                    <w:rPr>
                      <w:rFonts w:hint="eastAsia" w:ascii="Times New Roman" w:hAnsi="Times New Roman" w:eastAsia="宋体" w:cs="Times New Roman"/>
                      <w:b w:val="0"/>
                      <w:color w:val="auto"/>
                      <w:spacing w:val="-3"/>
                      <w:sz w:val="20"/>
                      <w:szCs w:val="20"/>
                      <w:lang w:val="en-US" w:eastAsia="zh-CN"/>
                    </w:rPr>
                    <w:t>/</w:t>
                  </w:r>
                </w:p>
              </w:tc>
              <w:tc>
                <w:tcPr>
                  <w:tcW w:w="239" w:type="pct"/>
                  <w:tcBorders>
                    <w:tl2br w:val="nil"/>
                    <w:tr2bl w:val="nil"/>
                  </w:tcBorders>
                  <w:noWrap w:val="0"/>
                  <w:vAlign w:val="top"/>
                </w:tcPr>
                <w:p w14:paraId="0E18E768">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b w:val="0"/>
                      <w:color w:val="auto"/>
                      <w:spacing w:val="-3"/>
                      <w:sz w:val="20"/>
                      <w:szCs w:val="20"/>
                      <w:lang w:val="en-US" w:eastAsia="zh-CN"/>
                    </w:rPr>
                  </w:pPr>
                  <w:r>
                    <w:rPr>
                      <w:rFonts w:hint="eastAsia" w:ascii="Times New Roman" w:hAnsi="Times New Roman" w:eastAsia="宋体" w:cs="Times New Roman"/>
                      <w:b w:val="0"/>
                      <w:color w:val="auto"/>
                      <w:spacing w:val="-3"/>
                      <w:sz w:val="20"/>
                      <w:szCs w:val="20"/>
                      <w:lang w:val="en-US" w:eastAsia="zh-CN"/>
                    </w:rPr>
                    <w:t>/</w:t>
                  </w:r>
                </w:p>
              </w:tc>
              <w:tc>
                <w:tcPr>
                  <w:tcW w:w="344" w:type="pct"/>
                  <w:tcBorders>
                    <w:tl2br w:val="nil"/>
                    <w:tr2bl w:val="nil"/>
                  </w:tcBorders>
                  <w:noWrap w:val="0"/>
                  <w:vAlign w:val="top"/>
                </w:tcPr>
                <w:p w14:paraId="02554777">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b w:val="0"/>
                      <w:color w:val="auto"/>
                      <w:spacing w:val="-3"/>
                      <w:sz w:val="20"/>
                      <w:szCs w:val="20"/>
                      <w:lang w:val="en-US" w:eastAsia="zh-CN"/>
                    </w:rPr>
                  </w:pPr>
                  <w:r>
                    <w:rPr>
                      <w:rFonts w:hint="eastAsia" w:ascii="Times New Roman" w:hAnsi="Times New Roman" w:eastAsia="宋体" w:cs="Times New Roman"/>
                      <w:b w:val="0"/>
                      <w:color w:val="auto"/>
                      <w:spacing w:val="-3"/>
                      <w:sz w:val="20"/>
                      <w:szCs w:val="20"/>
                      <w:lang w:val="en-US" w:eastAsia="zh-CN"/>
                    </w:rPr>
                    <w:t>/</w:t>
                  </w:r>
                </w:p>
              </w:tc>
              <w:tc>
                <w:tcPr>
                  <w:tcW w:w="314" w:type="pct"/>
                  <w:tcBorders>
                    <w:tl2br w:val="nil"/>
                    <w:tr2bl w:val="nil"/>
                  </w:tcBorders>
                  <w:noWrap w:val="0"/>
                  <w:vAlign w:val="top"/>
                </w:tcPr>
                <w:p w14:paraId="3E804EE8">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b w:val="0"/>
                      <w:color w:val="auto"/>
                      <w:spacing w:val="-3"/>
                      <w:sz w:val="20"/>
                      <w:szCs w:val="20"/>
                      <w:lang w:val="en-US" w:eastAsia="zh-CN"/>
                    </w:rPr>
                  </w:pPr>
                  <w:r>
                    <w:rPr>
                      <w:rFonts w:hint="eastAsia" w:ascii="Times New Roman" w:hAnsi="Times New Roman" w:eastAsia="宋体" w:cs="Times New Roman"/>
                      <w:b w:val="0"/>
                      <w:color w:val="auto"/>
                      <w:spacing w:val="-3"/>
                      <w:sz w:val="20"/>
                      <w:szCs w:val="20"/>
                      <w:lang w:val="en-US" w:eastAsia="zh-CN"/>
                    </w:rPr>
                    <w:t>/</w:t>
                  </w:r>
                </w:p>
              </w:tc>
              <w:tc>
                <w:tcPr>
                  <w:tcW w:w="389" w:type="pct"/>
                  <w:tcBorders>
                    <w:tl2br w:val="nil"/>
                    <w:tr2bl w:val="nil"/>
                  </w:tcBorders>
                  <w:noWrap w:val="0"/>
                  <w:vAlign w:val="top"/>
                </w:tcPr>
                <w:p w14:paraId="282D4D04">
                  <w:pPr>
                    <w:keepNext w:val="0"/>
                    <w:keepLines w:val="0"/>
                    <w:widowControl/>
                    <w:suppressLineNumbers w:val="0"/>
                    <w:jc w:val="center"/>
                    <w:textAlignment w:val="top"/>
                    <w:rPr>
                      <w:rFonts w:hint="eastAsia" w:ascii="Times New Roman" w:hAnsi="Times New Roman" w:eastAsia="宋体" w:cs="Times New Roman"/>
                      <w:b w:val="0"/>
                      <w:color w:val="auto"/>
                      <w:spacing w:val="-3"/>
                      <w:sz w:val="20"/>
                      <w:szCs w:val="20"/>
                      <w:lang w:val="en-US" w:eastAsia="zh-CN"/>
                    </w:rPr>
                  </w:pPr>
                  <w:r>
                    <w:rPr>
                      <w:rFonts w:hint="default" w:ascii="Times New Roman" w:hAnsi="Times New Roman" w:eastAsia="宋体" w:cs="Times New Roman"/>
                      <w:i w:val="0"/>
                      <w:iCs w:val="0"/>
                      <w:color w:val="auto"/>
                      <w:kern w:val="0"/>
                      <w:sz w:val="20"/>
                      <w:szCs w:val="20"/>
                      <w:u w:val="none"/>
                      <w:lang w:val="en-US" w:eastAsia="zh-CN" w:bidi="ar"/>
                    </w:rPr>
                    <w:t>/</w:t>
                  </w:r>
                </w:p>
              </w:tc>
              <w:tc>
                <w:tcPr>
                  <w:tcW w:w="623" w:type="pct"/>
                  <w:tcBorders>
                    <w:tl2br w:val="nil"/>
                    <w:tr2bl w:val="nil"/>
                  </w:tcBorders>
                  <w:noWrap w:val="0"/>
                  <w:vAlign w:val="top"/>
                </w:tcPr>
                <w:p w14:paraId="2CB917F6">
                  <w:pPr>
                    <w:keepNext w:val="0"/>
                    <w:keepLines w:val="0"/>
                    <w:widowControl/>
                    <w:suppressLineNumbers w:val="0"/>
                    <w:jc w:val="center"/>
                    <w:textAlignment w:val="top"/>
                    <w:rPr>
                      <w:rFonts w:hint="eastAsia" w:ascii="Times New Roman" w:hAnsi="Times New Roman" w:eastAsia="宋体" w:cs="Times New Roman"/>
                      <w:b w:val="0"/>
                      <w:color w:val="auto"/>
                      <w:spacing w:val="-3"/>
                      <w:sz w:val="20"/>
                      <w:szCs w:val="20"/>
                      <w:lang w:val="en-US" w:eastAsia="zh-CN"/>
                    </w:rPr>
                  </w:pPr>
                  <w:r>
                    <w:rPr>
                      <w:rFonts w:hint="default" w:ascii="Times New Roman" w:hAnsi="Times New Roman" w:eastAsia="宋体" w:cs="Times New Roman"/>
                      <w:i w:val="0"/>
                      <w:iCs w:val="0"/>
                      <w:color w:val="auto"/>
                      <w:kern w:val="0"/>
                      <w:sz w:val="20"/>
                      <w:szCs w:val="20"/>
                      <w:u w:val="none"/>
                      <w:lang w:val="en-US" w:eastAsia="zh-CN" w:bidi="ar"/>
                    </w:rPr>
                    <w:t>/</w:t>
                  </w:r>
                </w:p>
              </w:tc>
              <w:tc>
                <w:tcPr>
                  <w:tcW w:w="987" w:type="dxa"/>
                  <w:tcBorders>
                    <w:tl2br w:val="nil"/>
                    <w:tr2bl w:val="nil"/>
                  </w:tcBorders>
                  <w:noWrap w:val="0"/>
                  <w:vAlign w:val="center"/>
                </w:tcPr>
                <w:p w14:paraId="4C40DA02">
                  <w:pPr>
                    <w:keepNext w:val="0"/>
                    <w:keepLines w:val="0"/>
                    <w:widowControl/>
                    <w:suppressLineNumbers w:val="0"/>
                    <w:jc w:val="center"/>
                    <w:textAlignment w:val="center"/>
                    <w:rPr>
                      <w:rFonts w:hint="eastAsia" w:ascii="Times New Roman" w:hAnsi="Times New Roman" w:eastAsia="宋体" w:cs="Times New Roman"/>
                      <w:b w:val="0"/>
                      <w:color w:val="auto"/>
                      <w:spacing w:val="-3"/>
                      <w:sz w:val="20"/>
                      <w:szCs w:val="20"/>
                      <w:lang w:val="en-US" w:eastAsia="zh-CN"/>
                    </w:rPr>
                  </w:pPr>
                  <w:r>
                    <w:rPr>
                      <w:rFonts w:hint="eastAsia" w:ascii="Times New Roman" w:hAnsi="Times New Roman" w:eastAsia="宋体" w:cs="Times New Roman"/>
                      <w:i w:val="0"/>
                      <w:iCs w:val="0"/>
                      <w:color w:val="auto"/>
                      <w:kern w:val="0"/>
                      <w:sz w:val="20"/>
                      <w:szCs w:val="20"/>
                      <w:u w:val="none"/>
                      <w:lang w:val="en-US" w:eastAsia="zh-CN" w:bidi="ar"/>
                    </w:rPr>
                    <w:t>0.00003048</w:t>
                  </w:r>
                </w:p>
              </w:tc>
            </w:tr>
          </w:tbl>
          <w:p w14:paraId="5089050C">
            <w:pPr>
              <w:pStyle w:val="23"/>
              <w:ind w:left="0" w:leftChars="0" w:firstLine="480" w:firstLineChars="200"/>
              <w:rPr>
                <w:rFonts w:hint="eastAsia" w:cs="Times New Roman"/>
                <w:b/>
                <w:bCs/>
                <w:color w:val="auto"/>
                <w:sz w:val="24"/>
                <w:szCs w:val="24"/>
              </w:rPr>
            </w:pPr>
          </w:p>
          <w:p w14:paraId="1900B28A">
            <w:pPr>
              <w:pStyle w:val="23"/>
              <w:ind w:left="0" w:leftChars="0" w:firstLine="480" w:firstLineChars="200"/>
              <w:rPr>
                <w:rFonts w:cs="Times New Roman"/>
                <w:b/>
                <w:bCs/>
                <w:color w:val="auto"/>
                <w:sz w:val="24"/>
                <w:szCs w:val="24"/>
              </w:rPr>
            </w:pPr>
            <w:r>
              <w:rPr>
                <w:rFonts w:hint="eastAsia" w:cs="Times New Roman"/>
                <w:b/>
                <w:bCs/>
                <w:color w:val="auto"/>
                <w:sz w:val="24"/>
                <w:szCs w:val="24"/>
              </w:rPr>
              <w:t>二、环境空气影响分析</w:t>
            </w:r>
          </w:p>
          <w:p w14:paraId="2E857A85">
            <w:pPr>
              <w:pStyle w:val="12"/>
              <w:pBdr>
                <w:bottom w:val="none" w:color="auto" w:sz="0" w:space="0"/>
              </w:pBdr>
              <w:spacing w:line="360" w:lineRule="auto"/>
              <w:ind w:firstLine="482" w:firstLineChars="200"/>
              <w:jc w:val="left"/>
              <w:rPr>
                <w:rFonts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1、正常排放影响分析</w:t>
            </w:r>
          </w:p>
          <w:p w14:paraId="4DC77E09">
            <w:pPr>
              <w:spacing w:line="360" w:lineRule="auto"/>
              <w:ind w:firstLine="472" w:firstLineChars="196"/>
              <w:rPr>
                <w:b/>
                <w:color w:val="auto"/>
                <w:sz w:val="24"/>
              </w:rPr>
            </w:pPr>
            <w:r>
              <w:rPr>
                <w:b/>
                <w:color w:val="auto"/>
                <w:sz w:val="24"/>
              </w:rPr>
              <w:t>（1）污水处理站处恶臭</w:t>
            </w:r>
          </w:p>
          <w:p w14:paraId="5019434A">
            <w:pPr>
              <w:spacing w:line="360" w:lineRule="auto"/>
              <w:ind w:firstLine="480" w:firstLineChars="200"/>
              <w:rPr>
                <w:rFonts w:hint="eastAsia" w:eastAsia="宋体"/>
                <w:color w:val="auto"/>
                <w:sz w:val="24"/>
                <w:lang w:eastAsia="zh-CN"/>
              </w:rPr>
            </w:pPr>
            <w:r>
              <w:rPr>
                <w:color w:val="auto"/>
                <w:sz w:val="24"/>
              </w:rPr>
              <w:t>项目污水处理站处、生活垃圾桶会产生一定的恶臭</w:t>
            </w:r>
            <w:r>
              <w:rPr>
                <w:rFonts w:hint="eastAsia"/>
                <w:color w:val="auto"/>
                <w:sz w:val="24"/>
                <w:lang w:eastAsia="zh-CN"/>
              </w:rPr>
              <w:t>。</w:t>
            </w:r>
          </w:p>
          <w:p w14:paraId="04E5ADE2">
            <w:pPr>
              <w:spacing w:line="360" w:lineRule="auto"/>
              <w:ind w:firstLine="480" w:firstLineChars="200"/>
              <w:rPr>
                <w:color w:val="auto"/>
                <w:sz w:val="24"/>
              </w:rPr>
            </w:pPr>
            <w:r>
              <w:rPr>
                <w:color w:val="auto"/>
                <w:sz w:val="24"/>
              </w:rPr>
              <w:t>①恶臭产生情况</w:t>
            </w:r>
          </w:p>
          <w:p w14:paraId="1D500388">
            <w:pPr>
              <w:spacing w:line="360" w:lineRule="auto"/>
              <w:ind w:firstLine="480" w:firstLineChars="200"/>
              <w:rPr>
                <w:color w:val="auto"/>
                <w:sz w:val="24"/>
              </w:rPr>
            </w:pPr>
            <w:r>
              <w:rPr>
                <w:color w:val="auto"/>
                <w:sz w:val="24"/>
              </w:rPr>
              <w:t>项目污水处理站处设于</w:t>
            </w:r>
            <w:r>
              <w:rPr>
                <w:rFonts w:hint="eastAsia"/>
                <w:color w:val="auto"/>
                <w:sz w:val="24"/>
                <w:lang w:val="en-US" w:eastAsia="zh-CN"/>
              </w:rPr>
              <w:t>东北</w:t>
            </w:r>
            <w:r>
              <w:rPr>
                <w:color w:val="auto"/>
                <w:sz w:val="24"/>
              </w:rPr>
              <w:t>侧，运行期间的污泥和污水中有机物的分解、发酵过程将产生异味，主要种类有：硫化物、氨等。</w:t>
            </w:r>
          </w:p>
          <w:p w14:paraId="42DA0E31">
            <w:pPr>
              <w:spacing w:line="360" w:lineRule="auto"/>
              <w:ind w:firstLine="480" w:firstLineChars="200"/>
              <w:rPr>
                <w:color w:val="auto"/>
                <w:sz w:val="24"/>
              </w:rPr>
            </w:pPr>
            <w:r>
              <w:rPr>
                <w:color w:val="auto"/>
                <w:sz w:val="24"/>
              </w:rPr>
              <w:t>②恶臭影响分析</w:t>
            </w:r>
          </w:p>
          <w:p w14:paraId="4B810A67">
            <w:pPr>
              <w:spacing w:line="360" w:lineRule="auto"/>
              <w:ind w:firstLine="480" w:firstLineChars="200"/>
              <w:rPr>
                <w:color w:val="auto"/>
                <w:sz w:val="24"/>
              </w:rPr>
            </w:pPr>
            <w:r>
              <w:rPr>
                <w:color w:val="auto"/>
                <w:sz w:val="24"/>
              </w:rPr>
              <w:t>项目污水处理站位于</w:t>
            </w:r>
            <w:r>
              <w:rPr>
                <w:rFonts w:hint="eastAsia"/>
                <w:color w:val="auto"/>
                <w:sz w:val="24"/>
                <w:lang w:val="en-US" w:eastAsia="zh-CN"/>
              </w:rPr>
              <w:t>医院东北</w:t>
            </w:r>
            <w:r>
              <w:rPr>
                <w:color w:val="auto"/>
                <w:sz w:val="24"/>
              </w:rPr>
              <w:t>侧</w:t>
            </w:r>
            <w:r>
              <w:rPr>
                <w:rFonts w:hint="eastAsia"/>
                <w:color w:val="auto"/>
                <w:sz w:val="24"/>
              </w:rPr>
              <w:t>，</w:t>
            </w:r>
            <w:r>
              <w:rPr>
                <w:color w:val="auto"/>
                <w:sz w:val="24"/>
              </w:rPr>
              <w:t>医院污水处理站应独立设置，与</w:t>
            </w:r>
            <w:r>
              <w:rPr>
                <w:rFonts w:hint="eastAsia"/>
                <w:color w:val="auto"/>
                <w:sz w:val="24"/>
              </w:rPr>
              <w:t>医务楼</w:t>
            </w:r>
            <w:r>
              <w:rPr>
                <w:color w:val="auto"/>
                <w:sz w:val="24"/>
              </w:rPr>
              <w:t>、</w:t>
            </w:r>
            <w:r>
              <w:rPr>
                <w:rFonts w:hint="eastAsia"/>
                <w:color w:val="auto"/>
                <w:sz w:val="24"/>
              </w:rPr>
              <w:t>监舍楼</w:t>
            </w:r>
            <w:r>
              <w:rPr>
                <w:color w:val="auto"/>
                <w:sz w:val="24"/>
              </w:rPr>
              <w:t>的距离</w:t>
            </w:r>
            <w:r>
              <w:rPr>
                <w:rFonts w:hint="eastAsia"/>
                <w:color w:val="auto"/>
                <w:sz w:val="24"/>
              </w:rPr>
              <w:t>均不</w:t>
            </w:r>
            <w:r>
              <w:rPr>
                <w:color w:val="auto"/>
                <w:sz w:val="24"/>
              </w:rPr>
              <w:t>小于10m，并设置</w:t>
            </w:r>
            <w:r>
              <w:rPr>
                <w:rFonts w:hint="eastAsia"/>
                <w:color w:val="auto"/>
                <w:sz w:val="24"/>
              </w:rPr>
              <w:t>绿化</w:t>
            </w:r>
            <w:r>
              <w:rPr>
                <w:color w:val="auto"/>
                <w:sz w:val="24"/>
              </w:rPr>
              <w:t>隔离带。满足《医院污水处理设计规范》（CECS07：2004）中“8.0.2医院污水处理站应独立设置，与病房、居民区建筑物的距离不宜小于10m，并设置隔离带”的要求</w:t>
            </w:r>
            <w:r>
              <w:rPr>
                <w:rFonts w:hint="eastAsia"/>
                <w:color w:val="auto"/>
                <w:sz w:val="24"/>
              </w:rPr>
              <w:t>。</w:t>
            </w:r>
            <w:r>
              <w:rPr>
                <w:color w:val="auto"/>
                <w:sz w:val="24"/>
              </w:rPr>
              <w:t>污水处理站处与</w:t>
            </w:r>
            <w:r>
              <w:rPr>
                <w:rFonts w:hint="eastAsia"/>
                <w:color w:val="auto"/>
                <w:sz w:val="24"/>
              </w:rPr>
              <w:t>医疗楼</w:t>
            </w:r>
            <w:r>
              <w:rPr>
                <w:color w:val="auto"/>
                <w:sz w:val="24"/>
              </w:rPr>
              <w:t>有绿化</w:t>
            </w:r>
            <w:r>
              <w:rPr>
                <w:rFonts w:hint="eastAsia"/>
                <w:color w:val="auto"/>
                <w:sz w:val="24"/>
              </w:rPr>
              <w:t>带</w:t>
            </w:r>
            <w:r>
              <w:rPr>
                <w:color w:val="auto"/>
                <w:sz w:val="24"/>
              </w:rPr>
              <w:t>相隔，且</w:t>
            </w:r>
            <w:r>
              <w:rPr>
                <w:rFonts w:hint="eastAsia"/>
                <w:color w:val="auto"/>
                <w:sz w:val="24"/>
              </w:rPr>
              <w:t>医疗楼</w:t>
            </w:r>
            <w:r>
              <w:rPr>
                <w:color w:val="auto"/>
                <w:sz w:val="24"/>
              </w:rPr>
              <w:t>楼朝向污水处理站处一侧为墙体，无开窗，恶臭影响不大。</w:t>
            </w:r>
          </w:p>
          <w:p w14:paraId="6CD43E33">
            <w:pPr>
              <w:keepNext w:val="0"/>
              <w:keepLines w:val="0"/>
              <w:widowControl/>
              <w:suppressLineNumbers w:val="0"/>
              <w:spacing w:line="360" w:lineRule="auto"/>
              <w:ind w:firstLine="480" w:firstLineChars="200"/>
              <w:jc w:val="left"/>
              <w:rPr>
                <w:color w:val="auto"/>
              </w:rPr>
            </w:pPr>
            <w:r>
              <w:rPr>
                <w:rFonts w:hint="eastAsia"/>
                <w:color w:val="auto"/>
                <w:sz w:val="24"/>
              </w:rPr>
              <w:t>项目污水处理站恶臭经</w:t>
            </w:r>
            <w:r>
              <w:rPr>
                <w:rFonts w:hint="eastAsia"/>
                <w:color w:val="auto"/>
                <w:sz w:val="24"/>
                <w:lang w:val="en-US" w:eastAsia="zh-CN"/>
              </w:rPr>
              <w:t>除臭装置</w:t>
            </w:r>
            <w:r>
              <w:rPr>
                <w:rFonts w:hint="eastAsia"/>
                <w:color w:val="auto"/>
                <w:sz w:val="24"/>
                <w:szCs w:val="32"/>
              </w:rPr>
              <w:t>（高能离子净化+活性炭吸附）</w:t>
            </w:r>
            <w:r>
              <w:rPr>
                <w:rFonts w:hint="eastAsia"/>
                <w:color w:val="auto"/>
                <w:sz w:val="24"/>
                <w:szCs w:val="24"/>
                <w:lang w:val="en-US" w:eastAsia="zh-CN"/>
              </w:rPr>
              <w:t>处</w:t>
            </w:r>
            <w:r>
              <w:rPr>
                <w:rFonts w:hint="eastAsia"/>
                <w:color w:val="auto"/>
                <w:sz w:val="24"/>
                <w:lang w:val="en-US" w:eastAsia="zh-CN"/>
              </w:rPr>
              <w:t>理，</w:t>
            </w:r>
            <w:r>
              <w:rPr>
                <w:rFonts w:hint="default" w:ascii="Times New Roman" w:hAnsi="Times New Roman" w:eastAsia="宋体" w:cs="Times New Roman"/>
                <w:color w:val="auto"/>
                <w:kern w:val="0"/>
                <w:sz w:val="24"/>
                <w:szCs w:val="24"/>
                <w:lang w:val="en-US" w:eastAsia="zh-CN" w:bidi="ar"/>
              </w:rPr>
              <w:t>高能离子除臭技术通过离子发生装置产生正负氧离子，可与废气中的硫化氢、氨气、挥发性有机异味物质发生氧化分解反应，破坏恶臭污染物分子结构，快速降解大部分恶臭有害气体，同时具备抑菌、抑味效果，适用于污水池密闭空间低浓度恶臭废气预处理；后续配套活性炭吸附装置，利用活性炭多孔结构的强物理吸附性能，对废气中残留的微量恶臭组分、异味物质及少量VOCs进行深度吸附净化，双重工艺协同互补，弥补单一工艺治理短板，保障废气治理效果稳定。</w:t>
            </w:r>
          </w:p>
          <w:p w14:paraId="1C471FDE">
            <w:pPr>
              <w:spacing w:line="360" w:lineRule="auto"/>
              <w:ind w:firstLine="480" w:firstLineChars="200"/>
              <w:rPr>
                <w:rFonts w:hint="eastAsia"/>
                <w:color w:val="auto"/>
                <w:sz w:val="24"/>
              </w:rPr>
            </w:pPr>
            <w:r>
              <w:rPr>
                <w:rFonts w:hint="eastAsia"/>
                <w:color w:val="auto"/>
                <w:sz w:val="24"/>
                <w:lang w:val="en-US" w:eastAsia="zh-CN"/>
              </w:rPr>
              <w:t>有组织</w:t>
            </w:r>
            <w:r>
              <w:rPr>
                <w:rFonts w:hint="eastAsia"/>
                <w:color w:val="auto"/>
                <w:sz w:val="24"/>
              </w:rPr>
              <w:t>氨、硫化氢、臭气浓度均能达到《恶臭污染物排放标准》（GB14554-93）中表2标准限值要求，无组织氨、硫化氢、臭气浓度、甲烷均能达到《医疗机构水污染物排放标准》（GB18466-2005）表3标准。</w:t>
            </w:r>
          </w:p>
          <w:p w14:paraId="782D418B">
            <w:pPr>
              <w:numPr>
                <w:ilvl w:val="0"/>
                <w:numId w:val="0"/>
              </w:numPr>
              <w:spacing w:line="360" w:lineRule="auto"/>
              <w:ind w:left="588" w:leftChars="0"/>
              <w:rPr>
                <w:rFonts w:hint="eastAsia" w:ascii="Times New Roman" w:hAnsi="Times New Roman" w:eastAsia="宋体" w:cs="Times New Roman"/>
                <w:b/>
                <w:color w:val="auto"/>
                <w:sz w:val="24"/>
                <w:lang w:eastAsia="zh-CN"/>
              </w:rPr>
            </w:pPr>
            <w:r>
              <w:rPr>
                <w:rFonts w:hint="eastAsia" w:ascii="Times New Roman" w:hAnsi="Times New Roman" w:eastAsia="宋体" w:cs="Times New Roman"/>
                <w:b/>
                <w:color w:val="auto"/>
                <w:sz w:val="24"/>
                <w:lang w:eastAsia="zh-CN"/>
              </w:rPr>
              <w:t>（</w:t>
            </w:r>
            <w:r>
              <w:rPr>
                <w:rFonts w:hint="eastAsia" w:ascii="Times New Roman" w:hAnsi="Times New Roman" w:eastAsia="宋体" w:cs="Times New Roman"/>
                <w:b/>
                <w:color w:val="auto"/>
                <w:sz w:val="24"/>
                <w:lang w:val="en-US" w:eastAsia="zh-CN"/>
              </w:rPr>
              <w:t>2</w:t>
            </w:r>
            <w:r>
              <w:rPr>
                <w:rFonts w:hint="eastAsia" w:ascii="Times New Roman" w:hAnsi="Times New Roman" w:eastAsia="宋体" w:cs="Times New Roman"/>
                <w:b/>
                <w:color w:val="auto"/>
                <w:sz w:val="24"/>
                <w:lang w:eastAsia="zh-CN"/>
              </w:rPr>
              <w:t>）油烟废气</w:t>
            </w:r>
          </w:p>
          <w:p w14:paraId="172C27D5">
            <w:pPr>
              <w:pStyle w:val="30"/>
              <w:spacing w:before="161" w:line="358" w:lineRule="auto"/>
              <w:ind w:left="108" w:firstLine="479"/>
              <w:rPr>
                <w:rFonts w:hint="default" w:ascii="Times New Roman" w:hAnsi="Times New Roman" w:cs="Times New Roman"/>
                <w:color w:val="auto"/>
                <w:spacing w:val="-2"/>
              </w:rPr>
            </w:pPr>
            <w:r>
              <w:rPr>
                <w:color w:val="auto"/>
              </w:rPr>
              <w:t>本项目油烟采用油烟净化器进行处理，油烟净</w:t>
            </w:r>
            <w:r>
              <w:rPr>
                <w:color w:val="auto"/>
                <w:spacing w:val="-1"/>
              </w:rPr>
              <w:t>化器是处理食堂餐饮油烟的专用设备，可以有效的去除食堂油烟，油烟经油烟净化</w:t>
            </w:r>
            <w:r>
              <w:rPr>
                <w:color w:val="auto"/>
                <w:spacing w:val="-2"/>
              </w:rPr>
              <w:t>器处理后经专用烟道引</w:t>
            </w:r>
            <w:r>
              <w:rPr>
                <w:color w:val="auto"/>
                <w:spacing w:val="-6"/>
              </w:rPr>
              <w:t>至楼顶达标排放，</w:t>
            </w:r>
            <w:r>
              <w:rPr>
                <w:rFonts w:hint="default" w:ascii="Times New Roman" w:hAnsi="Times New Roman" w:cs="Times New Roman"/>
                <w:color w:val="auto"/>
                <w:spacing w:val="-6"/>
              </w:rPr>
              <w:t>处理后的油烟浓度</w:t>
            </w:r>
            <w:r>
              <w:rPr>
                <w:rFonts w:hint="default" w:ascii="Times New Roman" w:hAnsi="Times New Roman" w:cs="Times New Roman"/>
                <w:color w:val="auto"/>
                <w:spacing w:val="-6"/>
                <w:lang w:val="en-US" w:eastAsia="zh-CN"/>
              </w:rPr>
              <w:t>分别</w:t>
            </w:r>
            <w:r>
              <w:rPr>
                <w:rFonts w:hint="default" w:ascii="Times New Roman" w:hAnsi="Times New Roman" w:cs="Times New Roman"/>
                <w:color w:val="auto"/>
                <w:spacing w:val="-6"/>
              </w:rPr>
              <w:t>为</w:t>
            </w:r>
            <w:r>
              <w:rPr>
                <w:rFonts w:hint="eastAsia" w:ascii="Times New Roman" w:hAnsi="Times New Roman" w:cs="Times New Roman"/>
                <w:color w:val="auto"/>
                <w:spacing w:val="-6"/>
                <w:lang w:val="en-US" w:eastAsia="zh-CN"/>
              </w:rPr>
              <w:t>0.284</w:t>
            </w:r>
            <w:r>
              <w:rPr>
                <w:rFonts w:hint="default" w:ascii="Times New Roman" w:hAnsi="Times New Roman" w:eastAsia="Times New Roman" w:cs="Times New Roman"/>
                <w:color w:val="auto"/>
                <w:spacing w:val="-7"/>
              </w:rPr>
              <w:t>mg/m</w:t>
            </w:r>
            <w:r>
              <w:rPr>
                <w:rFonts w:hint="default" w:ascii="Times New Roman" w:hAnsi="Times New Roman" w:cs="Times New Roman"/>
                <w:color w:val="auto"/>
                <w:spacing w:val="-7"/>
                <w:vertAlign w:val="superscript"/>
                <w:lang w:val="en-US" w:eastAsia="zh-CN"/>
              </w:rPr>
              <w:t>3</w:t>
            </w:r>
            <w:r>
              <w:rPr>
                <w:rFonts w:hint="eastAsia" w:ascii="Times New Roman" w:hAnsi="Times New Roman" w:cs="Times New Roman"/>
                <w:color w:val="auto"/>
                <w:spacing w:val="-7"/>
                <w:vertAlign w:val="baseline"/>
                <w:lang w:val="en-US" w:eastAsia="zh-CN"/>
              </w:rPr>
              <w:t>，</w:t>
            </w:r>
            <w:r>
              <w:rPr>
                <w:rFonts w:hint="default" w:ascii="Times New Roman" w:hAnsi="Times New Roman" w:cs="Times New Roman"/>
                <w:color w:val="auto"/>
                <w:spacing w:val="-7"/>
              </w:rPr>
              <w:t>满足《饮食业油烟排放标准</w:t>
            </w:r>
            <w:r>
              <w:rPr>
                <w:rFonts w:hint="default" w:ascii="Times New Roman" w:hAnsi="Times New Roman" w:cs="Times New Roman"/>
                <w:color w:val="auto"/>
                <w:spacing w:val="-7"/>
                <w:lang w:eastAsia="zh-CN"/>
              </w:rPr>
              <w:t>（</w:t>
            </w:r>
            <w:r>
              <w:rPr>
                <w:rFonts w:hint="default" w:ascii="Times New Roman" w:hAnsi="Times New Roman" w:cs="Times New Roman"/>
                <w:color w:val="auto"/>
                <w:spacing w:val="-7"/>
                <w:lang w:val="en-US" w:eastAsia="zh-CN"/>
              </w:rPr>
              <w:t>试行</w:t>
            </w:r>
            <w:r>
              <w:rPr>
                <w:rFonts w:hint="default" w:ascii="Times New Roman" w:hAnsi="Times New Roman" w:cs="Times New Roman"/>
                <w:color w:val="auto"/>
                <w:spacing w:val="-7"/>
                <w:lang w:eastAsia="zh-CN"/>
              </w:rPr>
              <w:t>）</w:t>
            </w:r>
            <w:r>
              <w:rPr>
                <w:rFonts w:hint="default" w:ascii="Times New Roman" w:hAnsi="Times New Roman" w:cs="Times New Roman"/>
                <w:color w:val="auto"/>
                <w:spacing w:val="-7"/>
              </w:rPr>
              <w:t>》</w:t>
            </w:r>
            <w:r>
              <w:rPr>
                <w:rFonts w:hint="default" w:ascii="Times New Roman" w:hAnsi="Times New Roman" w:cs="Times New Roman"/>
                <w:color w:val="auto"/>
                <w:spacing w:val="-2"/>
              </w:rPr>
              <w:t>（</w:t>
            </w:r>
            <w:r>
              <w:rPr>
                <w:rFonts w:hint="default" w:ascii="Times New Roman" w:hAnsi="Times New Roman" w:eastAsia="Times New Roman" w:cs="Times New Roman"/>
                <w:color w:val="auto"/>
                <w:spacing w:val="-2"/>
              </w:rPr>
              <w:t>GB18483-2001</w:t>
            </w:r>
            <w:r>
              <w:rPr>
                <w:rFonts w:hint="default" w:ascii="Times New Roman" w:hAnsi="Times New Roman" w:cs="Times New Roman"/>
                <w:color w:val="auto"/>
                <w:spacing w:val="-2"/>
              </w:rPr>
              <w:t>）最高允许排放浓度</w:t>
            </w:r>
            <w:r>
              <w:rPr>
                <w:rFonts w:hint="default" w:ascii="Times New Roman" w:hAnsi="Times New Roman" w:eastAsia="Times New Roman" w:cs="Times New Roman"/>
                <w:color w:val="auto"/>
                <w:spacing w:val="-2"/>
              </w:rPr>
              <w:t>2.0mg/</w:t>
            </w:r>
            <w:r>
              <w:rPr>
                <w:rFonts w:hint="default" w:ascii="Times New Roman" w:hAnsi="Times New Roman" w:cs="Times New Roman"/>
                <w:color w:val="auto"/>
                <w:spacing w:val="-2"/>
                <w:lang w:val="en-US" w:eastAsia="zh-CN"/>
              </w:rPr>
              <w:t>m</w:t>
            </w:r>
            <w:r>
              <w:rPr>
                <w:rFonts w:hint="default" w:ascii="Times New Roman" w:hAnsi="Times New Roman" w:cs="Times New Roman"/>
                <w:color w:val="auto"/>
                <w:spacing w:val="-2"/>
                <w:vertAlign w:val="superscript"/>
                <w:lang w:val="en-US" w:eastAsia="zh-CN"/>
              </w:rPr>
              <w:t>3</w:t>
            </w:r>
            <w:r>
              <w:rPr>
                <w:rFonts w:hint="default" w:ascii="Times New Roman" w:hAnsi="Times New Roman" w:cs="Times New Roman"/>
                <w:color w:val="auto"/>
                <w:spacing w:val="-2"/>
              </w:rPr>
              <w:t>的要求。</w:t>
            </w:r>
          </w:p>
          <w:p w14:paraId="566F9543">
            <w:pPr>
              <w:pStyle w:val="12"/>
              <w:pBdr>
                <w:bottom w:val="none" w:color="auto" w:sz="0" w:space="0"/>
              </w:pBdr>
              <w:spacing w:line="360" w:lineRule="auto"/>
              <w:ind w:firstLine="482" w:firstLineChars="200"/>
              <w:jc w:val="left"/>
              <w:rPr>
                <w:rFonts w:hint="default"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2、非正常排放影响分析</w:t>
            </w:r>
          </w:p>
          <w:p w14:paraId="08C5C8BF">
            <w:pPr>
              <w:spacing w:before="120" w:beforeLines="50" w:line="360" w:lineRule="auto"/>
              <w:ind w:firstLine="480" w:firstLineChars="200"/>
              <w:rPr>
                <w:rFonts w:hint="default" w:ascii="Times New Roman" w:hAnsi="Times New Roman" w:cs="Times New Roman"/>
                <w:bCs/>
                <w:color w:val="auto"/>
                <w:sz w:val="24"/>
                <w:highlight w:val="none"/>
                <w:lang w:val="en-US" w:eastAsia="zh-CN"/>
              </w:rPr>
            </w:pPr>
            <w:r>
              <w:rPr>
                <w:rFonts w:hint="default" w:ascii="Times New Roman" w:hAnsi="Times New Roman" w:cs="Times New Roman"/>
                <w:bCs/>
                <w:color w:val="auto"/>
                <w:sz w:val="24"/>
                <w:highlight w:val="none"/>
                <w:lang w:val="en-US" w:eastAsia="zh-CN"/>
              </w:rPr>
              <w:t>本项目的非正常排放情况主要考虑废气处理装置运转不正常造成的非正常排放，主要表现为环保设备故障，处理效率达不到应有处理效率时的污染物排放情况。本项目非正常排放考虑废气处理设施发生故障处理效率为0。根据前述分析，项目非正常工况污染物排放情况核算内容见表4</w:t>
            </w:r>
            <w:r>
              <w:rPr>
                <w:rFonts w:hint="eastAsia" w:ascii="Times New Roman" w:hAnsi="Times New Roman" w:cs="Times New Roman"/>
                <w:bCs/>
                <w:color w:val="auto"/>
                <w:sz w:val="24"/>
                <w:highlight w:val="none"/>
                <w:lang w:val="en-US" w:eastAsia="zh-CN"/>
              </w:rPr>
              <w:t>.2-2</w:t>
            </w:r>
            <w:r>
              <w:rPr>
                <w:rFonts w:hint="default" w:ascii="Times New Roman" w:hAnsi="Times New Roman" w:cs="Times New Roman"/>
                <w:bCs/>
                <w:color w:val="auto"/>
                <w:sz w:val="24"/>
                <w:highlight w:val="none"/>
                <w:lang w:val="en-US" w:eastAsia="zh-CN"/>
              </w:rPr>
              <w:t>。</w:t>
            </w:r>
          </w:p>
          <w:p w14:paraId="58A98097">
            <w:pPr>
              <w:spacing w:before="120" w:beforeLines="5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表4</w:t>
            </w:r>
            <w:r>
              <w:rPr>
                <w:rFonts w:hint="eastAsia" w:ascii="Times New Roman" w:hAnsi="Times New Roman" w:eastAsia="宋体" w:cs="Times New Roman"/>
                <w:b/>
                <w:bCs/>
                <w:color w:val="auto"/>
                <w:sz w:val="24"/>
                <w:highlight w:val="none"/>
                <w:lang w:val="en-US" w:eastAsia="zh-CN"/>
              </w:rPr>
              <w:t>.</w:t>
            </w:r>
            <w:r>
              <w:rPr>
                <w:rFonts w:hint="eastAsia" w:ascii="Times New Roman" w:hAnsi="Times New Roman" w:cs="Times New Roman"/>
                <w:b/>
                <w:bCs/>
                <w:color w:val="auto"/>
                <w:sz w:val="24"/>
                <w:highlight w:val="none"/>
                <w:lang w:val="en-US" w:eastAsia="zh-CN"/>
              </w:rPr>
              <w:t>2</w:t>
            </w:r>
            <w:r>
              <w:rPr>
                <w:rFonts w:hint="eastAsia" w:ascii="Times New Roman" w:hAnsi="Times New Roman" w:eastAsia="宋体" w:cs="Times New Roman"/>
                <w:b/>
                <w:bCs/>
                <w:color w:val="auto"/>
                <w:sz w:val="24"/>
                <w:highlight w:val="none"/>
                <w:lang w:val="en-US" w:eastAsia="zh-CN"/>
              </w:rPr>
              <w:t>-</w:t>
            </w:r>
            <w:r>
              <w:rPr>
                <w:rFonts w:hint="eastAsia" w:ascii="Times New Roman" w:hAnsi="Times New Roman" w:cs="Times New Roman"/>
                <w:b/>
                <w:bCs/>
                <w:color w:val="auto"/>
                <w:sz w:val="24"/>
                <w:highlight w:val="none"/>
                <w:lang w:val="en-US" w:eastAsia="zh-CN"/>
              </w:rPr>
              <w:t>2</w:t>
            </w:r>
            <w:r>
              <w:rPr>
                <w:rFonts w:hint="default" w:ascii="Times New Roman" w:hAnsi="Times New Roman" w:cs="Times New Roman"/>
                <w:b/>
                <w:bCs/>
                <w:color w:val="auto"/>
                <w:sz w:val="24"/>
                <w:highlight w:val="none"/>
              </w:rPr>
              <w:t xml:space="preserve"> 项目污染源非正常排放核算表</w:t>
            </w:r>
          </w:p>
          <w:tbl>
            <w:tblPr>
              <w:tblStyle w:val="1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684"/>
              <w:gridCol w:w="1116"/>
              <w:gridCol w:w="900"/>
              <w:gridCol w:w="1200"/>
              <w:gridCol w:w="1080"/>
              <w:gridCol w:w="936"/>
              <w:gridCol w:w="852"/>
              <w:gridCol w:w="963"/>
            </w:tblGrid>
            <w:tr w14:paraId="0925B1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426" w:type="dxa"/>
                  <w:noWrap w:val="0"/>
                  <w:vAlign w:val="center"/>
                </w:tcPr>
                <w:p w14:paraId="1173182E">
                  <w:pPr>
                    <w:keepNext w:val="0"/>
                    <w:keepLines w:val="0"/>
                    <w:pageBreakBefore w:val="0"/>
                    <w:widowControl/>
                    <w:kinsoku/>
                    <w:wordWrap/>
                    <w:overflowPunct/>
                    <w:topLinePunct w:val="0"/>
                    <w:autoSpaceDE/>
                    <w:autoSpaceDN/>
                    <w:bidi w:val="0"/>
                    <w:adjustRightInd/>
                    <w:snapToGrid/>
                    <w:spacing w:line="240" w:lineRule="auto"/>
                    <w:jc w:val="both"/>
                    <w:textAlignment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序号</w:t>
                  </w:r>
                </w:p>
              </w:tc>
              <w:tc>
                <w:tcPr>
                  <w:tcW w:w="684" w:type="dxa"/>
                  <w:noWrap w:val="0"/>
                  <w:vAlign w:val="center"/>
                </w:tcPr>
                <w:p w14:paraId="3CEA4D7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污染源</w:t>
                  </w:r>
                </w:p>
              </w:tc>
              <w:tc>
                <w:tcPr>
                  <w:tcW w:w="1116" w:type="dxa"/>
                  <w:noWrap w:val="0"/>
                  <w:vAlign w:val="center"/>
                </w:tcPr>
                <w:p w14:paraId="57589F8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非正常排放原因</w:t>
                  </w:r>
                </w:p>
              </w:tc>
              <w:tc>
                <w:tcPr>
                  <w:tcW w:w="900" w:type="dxa"/>
                  <w:noWrap w:val="0"/>
                  <w:vAlign w:val="center"/>
                </w:tcPr>
                <w:p w14:paraId="14F13BA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污染物</w:t>
                  </w:r>
                </w:p>
              </w:tc>
              <w:tc>
                <w:tcPr>
                  <w:tcW w:w="1200" w:type="dxa"/>
                  <w:noWrap w:val="0"/>
                  <w:vAlign w:val="center"/>
                </w:tcPr>
                <w:p w14:paraId="27AFC13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非正常排放浓度</w:t>
                  </w:r>
                </w:p>
                <w:p w14:paraId="1B3253F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w:t>
                  </w:r>
                  <w:r>
                    <w:rPr>
                      <w:rFonts w:hint="default" w:ascii="Times New Roman" w:hAnsi="Times New Roman" w:cs="Times New Roman"/>
                      <w:color w:val="auto"/>
                      <w:kern w:val="0"/>
                      <w:sz w:val="21"/>
                      <w:szCs w:val="21"/>
                      <w:highlight w:val="none"/>
                      <w:lang w:val="en-US" w:eastAsia="zh-CN" w:bidi="ar"/>
                    </w:rPr>
                    <w:t>mg/m</w:t>
                  </w:r>
                  <w:r>
                    <w:rPr>
                      <w:rFonts w:hint="default" w:ascii="Times New Roman" w:hAnsi="Times New Roman" w:cs="Times New Roman"/>
                      <w:color w:val="auto"/>
                      <w:kern w:val="0"/>
                      <w:sz w:val="21"/>
                      <w:szCs w:val="21"/>
                      <w:highlight w:val="none"/>
                      <w:vertAlign w:val="superscript"/>
                      <w:lang w:val="en-US" w:eastAsia="zh-CN" w:bidi="ar"/>
                    </w:rPr>
                    <w:t>3</w:t>
                  </w:r>
                  <w:r>
                    <w:rPr>
                      <w:rFonts w:hint="eastAsia" w:ascii="Times New Roman" w:hAnsi="Times New Roman" w:cs="Times New Roman"/>
                      <w:color w:val="auto"/>
                      <w:kern w:val="0"/>
                      <w:sz w:val="21"/>
                      <w:szCs w:val="21"/>
                      <w:highlight w:val="none"/>
                      <w:lang w:val="en-US" w:eastAsia="zh-CN" w:bidi="ar"/>
                    </w:rPr>
                    <w:t>）</w:t>
                  </w:r>
                </w:p>
              </w:tc>
              <w:tc>
                <w:tcPr>
                  <w:tcW w:w="1080" w:type="dxa"/>
                  <w:noWrap w:val="0"/>
                  <w:vAlign w:val="center"/>
                </w:tcPr>
                <w:p w14:paraId="6E9670E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非正常排放速率</w:t>
                  </w:r>
                </w:p>
                <w:p w14:paraId="291F2B6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w:t>
                  </w:r>
                  <w:r>
                    <w:rPr>
                      <w:rFonts w:hint="default" w:ascii="Times New Roman" w:hAnsi="Times New Roman" w:cs="Times New Roman"/>
                      <w:color w:val="auto"/>
                      <w:kern w:val="0"/>
                      <w:sz w:val="21"/>
                      <w:szCs w:val="21"/>
                      <w:highlight w:val="none"/>
                      <w:lang w:val="en-US" w:eastAsia="zh-CN" w:bidi="ar"/>
                    </w:rPr>
                    <w:t>kg/h</w:t>
                  </w:r>
                  <w:r>
                    <w:rPr>
                      <w:rFonts w:hint="eastAsia" w:ascii="Times New Roman" w:hAnsi="Times New Roman" w:cs="Times New Roman"/>
                      <w:color w:val="auto"/>
                      <w:kern w:val="0"/>
                      <w:sz w:val="21"/>
                      <w:szCs w:val="21"/>
                      <w:highlight w:val="none"/>
                      <w:lang w:val="en-US" w:eastAsia="zh-CN" w:bidi="ar"/>
                    </w:rPr>
                    <w:t>）</w:t>
                  </w:r>
                </w:p>
              </w:tc>
              <w:tc>
                <w:tcPr>
                  <w:tcW w:w="936" w:type="dxa"/>
                  <w:noWrap w:val="0"/>
                  <w:vAlign w:val="center"/>
                </w:tcPr>
                <w:p w14:paraId="14762E8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设</w:t>
                  </w:r>
                  <w:r>
                    <w:rPr>
                      <w:rFonts w:hint="eastAsia" w:cs="Times New Roman"/>
                      <w:color w:val="auto"/>
                      <w:kern w:val="0"/>
                      <w:sz w:val="21"/>
                      <w:szCs w:val="21"/>
                      <w:highlight w:val="none"/>
                      <w:lang w:val="en-US" w:eastAsia="zh-CN" w:bidi="ar"/>
                    </w:rPr>
                    <w:t>备</w:t>
                  </w:r>
                  <w:r>
                    <w:rPr>
                      <w:rFonts w:hint="default" w:ascii="Times New Roman" w:hAnsi="Times New Roman" w:eastAsia="宋体" w:cs="Times New Roman"/>
                      <w:color w:val="auto"/>
                      <w:kern w:val="0"/>
                      <w:sz w:val="21"/>
                      <w:szCs w:val="21"/>
                      <w:highlight w:val="none"/>
                      <w:lang w:val="en-US" w:eastAsia="zh-CN" w:bidi="ar"/>
                    </w:rPr>
                    <w:t>检修响应时间</w:t>
                  </w:r>
                </w:p>
                <w:p w14:paraId="251AE2A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h</w:t>
                  </w:r>
                  <w:r>
                    <w:rPr>
                      <w:rFonts w:hint="eastAsia" w:ascii="Times New Roman" w:hAnsi="Times New Roman" w:eastAsia="宋体" w:cs="Times New Roman"/>
                      <w:color w:val="auto"/>
                      <w:kern w:val="0"/>
                      <w:sz w:val="21"/>
                      <w:szCs w:val="21"/>
                      <w:highlight w:val="none"/>
                      <w:lang w:val="en-US" w:eastAsia="zh-CN" w:bidi="ar"/>
                    </w:rPr>
                    <w:t>）</w:t>
                  </w:r>
                </w:p>
              </w:tc>
              <w:tc>
                <w:tcPr>
                  <w:tcW w:w="852" w:type="dxa"/>
                  <w:noWrap w:val="0"/>
                  <w:vAlign w:val="center"/>
                </w:tcPr>
                <w:p w14:paraId="05AC840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年发生频次</w:t>
                  </w:r>
                </w:p>
                <w:p w14:paraId="0B75542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w:t>
                  </w:r>
                  <w:r>
                    <w:rPr>
                      <w:rFonts w:hint="default" w:ascii="Times New Roman" w:hAnsi="Times New Roman" w:cs="Times New Roman"/>
                      <w:color w:val="auto"/>
                      <w:kern w:val="0"/>
                      <w:sz w:val="21"/>
                      <w:szCs w:val="21"/>
                      <w:highlight w:val="none"/>
                      <w:lang w:val="en-US" w:eastAsia="zh-CN" w:bidi="ar"/>
                    </w:rPr>
                    <w:t>次</w:t>
                  </w:r>
                  <w:r>
                    <w:rPr>
                      <w:rFonts w:hint="eastAsia" w:ascii="Times New Roman" w:hAnsi="Times New Roman" w:cs="Times New Roman"/>
                      <w:color w:val="auto"/>
                      <w:kern w:val="0"/>
                      <w:sz w:val="21"/>
                      <w:szCs w:val="21"/>
                      <w:highlight w:val="none"/>
                      <w:lang w:val="en-US" w:eastAsia="zh-CN" w:bidi="ar"/>
                    </w:rPr>
                    <w:t>）</w:t>
                  </w:r>
                </w:p>
              </w:tc>
              <w:tc>
                <w:tcPr>
                  <w:tcW w:w="963" w:type="dxa"/>
                  <w:noWrap w:val="0"/>
                  <w:vAlign w:val="center"/>
                </w:tcPr>
                <w:p w14:paraId="7DA2111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应对措施</w:t>
                  </w:r>
                </w:p>
              </w:tc>
            </w:tr>
            <w:tr w14:paraId="3B0E88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dxa"/>
                  <w:noWrap w:val="0"/>
                  <w:vAlign w:val="center"/>
                </w:tcPr>
                <w:p w14:paraId="5C5A77B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w:t>
                  </w:r>
                </w:p>
              </w:tc>
              <w:tc>
                <w:tcPr>
                  <w:tcW w:w="684" w:type="dxa"/>
                  <w:noWrap w:val="0"/>
                  <w:vAlign w:val="center"/>
                </w:tcPr>
                <w:p w14:paraId="4CDCAF6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napToGrid w:val="0"/>
                      <w:color w:val="auto"/>
                      <w:kern w:val="0"/>
                      <w:sz w:val="21"/>
                      <w:szCs w:val="21"/>
                      <w:highlight w:val="none"/>
                      <w:lang w:val="en-US" w:eastAsia="zh-CN" w:bidi="ar"/>
                    </w:rPr>
                  </w:pPr>
                  <w:r>
                    <w:rPr>
                      <w:rFonts w:hint="eastAsia" w:ascii="Times New Roman" w:hAnsi="Times New Roman" w:eastAsia="宋体" w:cs="Times New Roman"/>
                      <w:snapToGrid w:val="0"/>
                      <w:color w:val="auto"/>
                      <w:kern w:val="0"/>
                      <w:sz w:val="21"/>
                      <w:szCs w:val="21"/>
                      <w:highlight w:val="none"/>
                      <w:lang w:val="en-US" w:eastAsia="zh-CN" w:bidi="ar"/>
                    </w:rPr>
                    <w:t>食堂</w:t>
                  </w:r>
                </w:p>
              </w:tc>
              <w:tc>
                <w:tcPr>
                  <w:tcW w:w="1116" w:type="dxa"/>
                  <w:vMerge w:val="restart"/>
                  <w:noWrap w:val="0"/>
                  <w:vAlign w:val="center"/>
                </w:tcPr>
                <w:p w14:paraId="740A0AB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napToGrid w:val="0"/>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处理设施故障</w:t>
                  </w:r>
                </w:p>
              </w:tc>
              <w:tc>
                <w:tcPr>
                  <w:tcW w:w="900" w:type="dxa"/>
                  <w:noWrap w:val="0"/>
                  <w:vAlign w:val="center"/>
                </w:tcPr>
                <w:p w14:paraId="5C323487">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
                    </w:rPr>
                  </w:pPr>
                  <w:r>
                    <w:rPr>
                      <w:b w:val="0"/>
                      <w:color w:val="auto"/>
                      <w:spacing w:val="-3"/>
                      <w:sz w:val="20"/>
                      <w:szCs w:val="20"/>
                    </w:rPr>
                    <w:t>油烟</w:t>
                  </w:r>
                </w:p>
              </w:tc>
              <w:tc>
                <w:tcPr>
                  <w:tcW w:w="1200" w:type="dxa"/>
                  <w:noWrap w:val="0"/>
                  <w:vAlign w:val="center"/>
                </w:tcPr>
                <w:p w14:paraId="274E2947">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eastAsia" w:ascii="Times New Roman" w:hAnsi="Times New Roman"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b w:val="0"/>
                      <w:color w:val="auto"/>
                      <w:spacing w:val="-3"/>
                      <w:sz w:val="20"/>
                      <w:szCs w:val="20"/>
                      <w:lang w:val="en-US" w:eastAsia="zh-CN"/>
                    </w:rPr>
                    <w:t>0.9</w:t>
                  </w:r>
                </w:p>
              </w:tc>
              <w:tc>
                <w:tcPr>
                  <w:tcW w:w="1080" w:type="dxa"/>
                  <w:noWrap w:val="0"/>
                  <w:vAlign w:val="center"/>
                </w:tcPr>
                <w:p w14:paraId="7B513090">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eastAsia" w:ascii="Times New Roman" w:hAnsi="Times New Roman" w:eastAsia="宋体" w:cs="Times New Roman"/>
                      <w:i w:val="0"/>
                      <w:iCs w:val="0"/>
                      <w:color w:val="auto"/>
                      <w:kern w:val="0"/>
                      <w:sz w:val="20"/>
                      <w:szCs w:val="20"/>
                      <w:highlight w:val="none"/>
                      <w:u w:val="none"/>
                      <w:lang w:val="en-US" w:eastAsia="zh-CN" w:bidi="ar"/>
                    </w:rPr>
                  </w:pPr>
                  <w:r>
                    <w:rPr>
                      <w:rFonts w:hint="eastAsia" w:ascii="Times New Roman" w:hAnsi="Times New Roman" w:eastAsia="宋体" w:cs="Times New Roman"/>
                      <w:b w:val="0"/>
                      <w:color w:val="auto"/>
                      <w:spacing w:val="-3"/>
                      <w:sz w:val="20"/>
                      <w:szCs w:val="20"/>
                      <w:lang w:val="en-US" w:eastAsia="zh-CN"/>
                    </w:rPr>
                    <w:t>0.03</w:t>
                  </w:r>
                </w:p>
              </w:tc>
              <w:tc>
                <w:tcPr>
                  <w:tcW w:w="936" w:type="dxa"/>
                  <w:noWrap w:val="0"/>
                  <w:vAlign w:val="center"/>
                </w:tcPr>
                <w:p w14:paraId="1F64C07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w:t>
                  </w:r>
                </w:p>
              </w:tc>
              <w:tc>
                <w:tcPr>
                  <w:tcW w:w="852" w:type="dxa"/>
                  <w:noWrap w:val="0"/>
                  <w:vAlign w:val="center"/>
                </w:tcPr>
                <w:p w14:paraId="45FE413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w:t>
                  </w:r>
                </w:p>
              </w:tc>
              <w:tc>
                <w:tcPr>
                  <w:tcW w:w="963" w:type="dxa"/>
                  <w:noWrap w:val="0"/>
                  <w:vAlign w:val="center"/>
                </w:tcPr>
                <w:p w14:paraId="0A6AA49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napToGrid w:val="0"/>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停产检修</w:t>
                  </w:r>
                </w:p>
              </w:tc>
            </w:tr>
            <w:tr w14:paraId="7FC7EB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dxa"/>
                  <w:noWrap w:val="0"/>
                  <w:vAlign w:val="center"/>
                </w:tcPr>
                <w:p w14:paraId="63210EC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w:t>
                  </w:r>
                </w:p>
              </w:tc>
              <w:tc>
                <w:tcPr>
                  <w:tcW w:w="684" w:type="dxa"/>
                  <w:vMerge w:val="restart"/>
                  <w:noWrap w:val="0"/>
                  <w:vAlign w:val="center"/>
                </w:tcPr>
                <w:p w14:paraId="232AB17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napToGrid w:val="0"/>
                      <w:color w:val="auto"/>
                      <w:kern w:val="0"/>
                      <w:sz w:val="21"/>
                      <w:szCs w:val="21"/>
                      <w:highlight w:val="none"/>
                      <w:lang w:val="en-US" w:eastAsia="zh-CN" w:bidi="ar"/>
                    </w:rPr>
                  </w:pPr>
                  <w:r>
                    <w:rPr>
                      <w:rFonts w:hint="eastAsia" w:ascii="Times New Roman" w:hAnsi="Times New Roman" w:eastAsia="宋体" w:cs="Times New Roman"/>
                      <w:snapToGrid w:val="0"/>
                      <w:color w:val="auto"/>
                      <w:kern w:val="0"/>
                      <w:sz w:val="21"/>
                      <w:szCs w:val="21"/>
                      <w:highlight w:val="none"/>
                      <w:lang w:val="en-US" w:eastAsia="zh-CN" w:bidi="ar"/>
                    </w:rPr>
                    <w:t>污水站</w:t>
                  </w:r>
                </w:p>
              </w:tc>
              <w:tc>
                <w:tcPr>
                  <w:tcW w:w="1116" w:type="dxa"/>
                  <w:vMerge w:val="continue"/>
                  <w:noWrap w:val="0"/>
                  <w:vAlign w:val="center"/>
                </w:tcPr>
                <w:p w14:paraId="16046E8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napToGrid w:val="0"/>
                      <w:color w:val="auto"/>
                      <w:kern w:val="0"/>
                      <w:sz w:val="21"/>
                      <w:szCs w:val="21"/>
                      <w:highlight w:val="none"/>
                      <w:lang w:val="en-US" w:eastAsia="zh-CN" w:bidi="ar"/>
                    </w:rPr>
                  </w:pPr>
                </w:p>
              </w:tc>
              <w:tc>
                <w:tcPr>
                  <w:tcW w:w="900" w:type="dxa"/>
                  <w:noWrap w:val="0"/>
                  <w:vAlign w:val="center"/>
                </w:tcPr>
                <w:p w14:paraId="2D8D0FDD">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
                    </w:rPr>
                  </w:pPr>
                  <w:r>
                    <w:rPr>
                      <w:rFonts w:hint="default" w:ascii="Times New Roman" w:hAnsi="Times New Roman" w:eastAsia="宋体" w:cs="Times New Roman"/>
                      <w:color w:val="auto"/>
                      <w:kern w:val="0"/>
                      <w:sz w:val="22"/>
                      <w:szCs w:val="22"/>
                      <w:lang w:val="en-US" w:eastAsia="zh-CN" w:bidi="ar"/>
                    </w:rPr>
                    <w:t>NH</w:t>
                  </w:r>
                  <w:r>
                    <w:rPr>
                      <w:rFonts w:hint="default" w:ascii="Times New Roman" w:hAnsi="Times New Roman" w:eastAsia="宋体" w:cs="Times New Roman"/>
                      <w:color w:val="auto"/>
                      <w:kern w:val="0"/>
                      <w:sz w:val="22"/>
                      <w:szCs w:val="22"/>
                      <w:vertAlign w:val="subscript"/>
                      <w:lang w:val="en-US" w:eastAsia="zh-CN" w:bidi="ar"/>
                    </w:rPr>
                    <w:t>3</w:t>
                  </w:r>
                </w:p>
              </w:tc>
              <w:tc>
                <w:tcPr>
                  <w:tcW w:w="1200" w:type="dxa"/>
                  <w:noWrap w:val="0"/>
                  <w:vAlign w:val="center"/>
                </w:tcPr>
                <w:p w14:paraId="0D25F6CF">
                  <w:pPr>
                    <w:keepNext w:val="0"/>
                    <w:keepLines w:val="0"/>
                    <w:widowControl/>
                    <w:suppressLineNumbers w:val="0"/>
                    <w:jc w:val="center"/>
                    <w:textAlignment w:val="center"/>
                    <w:rPr>
                      <w:rFonts w:hint="eastAsia" w:ascii="Times New Roman" w:hAnsi="Times New Roman"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0.341566</w:t>
                  </w:r>
                </w:p>
              </w:tc>
              <w:tc>
                <w:tcPr>
                  <w:tcW w:w="1080" w:type="dxa"/>
                  <w:noWrap w:val="0"/>
                  <w:vAlign w:val="center"/>
                </w:tcPr>
                <w:p w14:paraId="6B66270D">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0.00170</w:t>
                  </w:r>
                </w:p>
              </w:tc>
              <w:tc>
                <w:tcPr>
                  <w:tcW w:w="936" w:type="dxa"/>
                  <w:noWrap w:val="0"/>
                  <w:vAlign w:val="center"/>
                </w:tcPr>
                <w:p w14:paraId="073E9F3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w:t>
                  </w:r>
                </w:p>
              </w:tc>
              <w:tc>
                <w:tcPr>
                  <w:tcW w:w="852" w:type="dxa"/>
                  <w:noWrap w:val="0"/>
                  <w:vAlign w:val="center"/>
                </w:tcPr>
                <w:p w14:paraId="7B97237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1</w:t>
                  </w:r>
                </w:p>
              </w:tc>
              <w:tc>
                <w:tcPr>
                  <w:tcW w:w="963" w:type="dxa"/>
                  <w:noWrap w:val="0"/>
                  <w:vAlign w:val="center"/>
                </w:tcPr>
                <w:p w14:paraId="709E6BB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napToGrid w:val="0"/>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停产检修</w:t>
                  </w:r>
                </w:p>
              </w:tc>
            </w:tr>
            <w:tr w14:paraId="7CF5D7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dxa"/>
                  <w:noWrap w:val="0"/>
                  <w:vAlign w:val="center"/>
                </w:tcPr>
                <w:p w14:paraId="747E043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3</w:t>
                  </w:r>
                </w:p>
              </w:tc>
              <w:tc>
                <w:tcPr>
                  <w:tcW w:w="684" w:type="dxa"/>
                  <w:vMerge w:val="continue"/>
                  <w:noWrap w:val="0"/>
                  <w:vAlign w:val="center"/>
                </w:tcPr>
                <w:p w14:paraId="7E63EFF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napToGrid w:val="0"/>
                      <w:color w:val="auto"/>
                      <w:kern w:val="0"/>
                      <w:sz w:val="21"/>
                      <w:szCs w:val="21"/>
                      <w:highlight w:val="none"/>
                      <w:lang w:val="en-US" w:eastAsia="zh-CN" w:bidi="ar"/>
                    </w:rPr>
                  </w:pPr>
                </w:p>
              </w:tc>
              <w:tc>
                <w:tcPr>
                  <w:tcW w:w="1116" w:type="dxa"/>
                  <w:vMerge w:val="continue"/>
                  <w:noWrap w:val="0"/>
                  <w:vAlign w:val="center"/>
                </w:tcPr>
                <w:p w14:paraId="073C22E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napToGrid w:val="0"/>
                      <w:color w:val="auto"/>
                      <w:kern w:val="0"/>
                      <w:sz w:val="21"/>
                      <w:szCs w:val="21"/>
                      <w:highlight w:val="none"/>
                      <w:lang w:val="en-US" w:eastAsia="zh-CN" w:bidi="ar"/>
                    </w:rPr>
                  </w:pPr>
                </w:p>
              </w:tc>
              <w:tc>
                <w:tcPr>
                  <w:tcW w:w="900" w:type="dxa"/>
                  <w:noWrap w:val="0"/>
                  <w:vAlign w:val="center"/>
                </w:tcPr>
                <w:p w14:paraId="0102F971">
                  <w:pPr>
                    <w:pStyle w:val="30"/>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lang w:val="en-US" w:eastAsia="zh-CN" w:bidi="ar"/>
                    </w:rPr>
                  </w:pPr>
                  <w:r>
                    <w:rPr>
                      <w:rFonts w:hint="default" w:ascii="Times New Roman" w:hAnsi="Times New Roman" w:eastAsia="宋体" w:cs="Times New Roman"/>
                      <w:color w:val="auto"/>
                      <w:kern w:val="0"/>
                      <w:sz w:val="22"/>
                      <w:szCs w:val="22"/>
                      <w:lang w:val="en-US" w:eastAsia="zh-CN" w:bidi="ar"/>
                    </w:rPr>
                    <w:t>H</w:t>
                  </w:r>
                  <w:r>
                    <w:rPr>
                      <w:rFonts w:hint="default" w:ascii="Times New Roman" w:hAnsi="Times New Roman" w:eastAsia="宋体" w:cs="Times New Roman"/>
                      <w:color w:val="auto"/>
                      <w:kern w:val="0"/>
                      <w:sz w:val="22"/>
                      <w:szCs w:val="22"/>
                      <w:vertAlign w:val="subscript"/>
                      <w:lang w:val="en-US" w:eastAsia="zh-CN" w:bidi="ar"/>
                    </w:rPr>
                    <w:t>2</w:t>
                  </w:r>
                  <w:r>
                    <w:rPr>
                      <w:rFonts w:hint="default" w:ascii="Times New Roman" w:hAnsi="Times New Roman" w:eastAsia="宋体" w:cs="Times New Roman"/>
                      <w:color w:val="auto"/>
                      <w:kern w:val="0"/>
                      <w:sz w:val="22"/>
                      <w:szCs w:val="22"/>
                      <w:lang w:val="en-US" w:eastAsia="zh-CN" w:bidi="ar"/>
                    </w:rPr>
                    <w:t>S</w:t>
                  </w:r>
                </w:p>
              </w:tc>
              <w:tc>
                <w:tcPr>
                  <w:tcW w:w="1200" w:type="dxa"/>
                  <w:noWrap w:val="0"/>
                  <w:vAlign w:val="center"/>
                </w:tcPr>
                <w:p w14:paraId="66359651">
                  <w:pPr>
                    <w:keepNext w:val="0"/>
                    <w:keepLines w:val="0"/>
                    <w:widowControl/>
                    <w:suppressLineNumbers w:val="0"/>
                    <w:jc w:val="center"/>
                    <w:textAlignment w:val="center"/>
                    <w:rPr>
                      <w:rFonts w:hint="eastAsia" w:ascii="Times New Roman" w:hAnsi="Times New Roman"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0.01322</w:t>
                  </w:r>
                </w:p>
              </w:tc>
              <w:tc>
                <w:tcPr>
                  <w:tcW w:w="1080" w:type="dxa"/>
                  <w:noWrap w:val="0"/>
                  <w:vAlign w:val="center"/>
                </w:tcPr>
                <w:p w14:paraId="1E9C8B6F">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0.00000</w:t>
                  </w:r>
                  <w:r>
                    <w:rPr>
                      <w:rFonts w:hint="eastAsia" w:ascii="Times New Roman" w:hAnsi="Times New Roman" w:eastAsia="宋体" w:cs="Times New Roman"/>
                      <w:i w:val="0"/>
                      <w:iCs w:val="0"/>
                      <w:color w:val="auto"/>
                      <w:kern w:val="0"/>
                      <w:sz w:val="20"/>
                      <w:szCs w:val="20"/>
                      <w:u w:val="none"/>
                      <w:lang w:val="en-US" w:eastAsia="zh-CN" w:bidi="ar"/>
                    </w:rPr>
                    <w:t>66</w:t>
                  </w:r>
                </w:p>
              </w:tc>
              <w:tc>
                <w:tcPr>
                  <w:tcW w:w="936" w:type="dxa"/>
                  <w:noWrap w:val="0"/>
                  <w:vAlign w:val="center"/>
                </w:tcPr>
                <w:p w14:paraId="2979402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w:t>
                  </w:r>
                </w:p>
              </w:tc>
              <w:tc>
                <w:tcPr>
                  <w:tcW w:w="852" w:type="dxa"/>
                  <w:noWrap w:val="0"/>
                  <w:vAlign w:val="center"/>
                </w:tcPr>
                <w:p w14:paraId="51AECDB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1</w:t>
                  </w:r>
                </w:p>
              </w:tc>
              <w:tc>
                <w:tcPr>
                  <w:tcW w:w="963" w:type="dxa"/>
                  <w:noWrap w:val="0"/>
                  <w:vAlign w:val="center"/>
                </w:tcPr>
                <w:p w14:paraId="669D6B6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snapToGrid w:val="0"/>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val="en-US" w:eastAsia="zh-CN" w:bidi="ar"/>
                    </w:rPr>
                    <w:t>停产检修</w:t>
                  </w:r>
                </w:p>
              </w:tc>
            </w:tr>
          </w:tbl>
          <w:p w14:paraId="4913142D">
            <w:pPr>
              <w:pStyle w:val="30"/>
              <w:spacing w:before="161" w:line="358" w:lineRule="auto"/>
              <w:ind w:left="108" w:firstLine="479"/>
              <w:rPr>
                <w:rFonts w:hint="eastAsia" w:ascii="Times New Roman" w:hAnsi="Times New Roman" w:cs="Times New Roman"/>
                <w:color w:val="auto"/>
                <w:spacing w:val="-2"/>
                <w:lang w:eastAsia="zh-CN"/>
              </w:rPr>
            </w:pPr>
            <w:r>
              <w:rPr>
                <w:rFonts w:hint="eastAsia" w:ascii="Times New Roman" w:hAnsi="Times New Roman" w:cs="Times New Roman"/>
                <w:bCs/>
                <w:color w:val="auto"/>
                <w:sz w:val="24"/>
                <w:highlight w:val="none"/>
                <w:lang w:val="en-US" w:eastAsia="zh-CN"/>
              </w:rPr>
              <w:t>根据上表可知，项目处理设施发生故障，破损情况时，废气不能得到有效处理，将出现非正常排放的情况，会对周边大气环境和环境敏感目标造成一定的影响，持续的非正常排放将对周边人群的身体健康造成影响，引起投诉，影响社会和谐。</w:t>
            </w:r>
            <w:r>
              <w:rPr>
                <w:rFonts w:ascii="宋体" w:hAnsi="宋体" w:eastAsia="宋体" w:cs="宋体"/>
                <w:snapToGrid w:val="0"/>
                <w:color w:val="auto"/>
                <w:kern w:val="0"/>
                <w:sz w:val="24"/>
                <w:szCs w:val="24"/>
                <w:lang w:val="en-US" w:eastAsia="zh-CN" w:bidi="ar"/>
              </w:rPr>
              <w:t>为严控非正常环境影响，建设单位需强化全过程环境管理与运维管控：</w:t>
            </w:r>
          </w:p>
          <w:p w14:paraId="3EA54097">
            <w:pPr>
              <w:spacing w:line="360" w:lineRule="auto"/>
              <w:rPr>
                <w:rFonts w:hint="eastAsia"/>
                <w:b/>
                <w:color w:val="auto"/>
                <w:kern w:val="0"/>
                <w:sz w:val="28"/>
                <w:szCs w:val="28"/>
              </w:rPr>
            </w:pPr>
            <w:r>
              <w:rPr>
                <w:b/>
                <w:bCs/>
                <w:color w:val="auto"/>
                <w:sz w:val="28"/>
                <w:szCs w:val="28"/>
              </w:rPr>
              <w:t>4.</w:t>
            </w:r>
            <w:r>
              <w:rPr>
                <w:rFonts w:hint="eastAsia"/>
                <w:b/>
                <w:bCs/>
                <w:color w:val="auto"/>
                <w:sz w:val="28"/>
                <w:szCs w:val="28"/>
              </w:rPr>
              <w:t>2</w:t>
            </w:r>
            <w:r>
              <w:rPr>
                <w:b/>
                <w:bCs/>
                <w:color w:val="auto"/>
                <w:sz w:val="28"/>
                <w:szCs w:val="28"/>
              </w:rPr>
              <w:t>.</w:t>
            </w:r>
            <w:r>
              <w:rPr>
                <w:rFonts w:hint="eastAsia"/>
                <w:b/>
                <w:bCs/>
                <w:color w:val="auto"/>
                <w:sz w:val="28"/>
                <w:szCs w:val="28"/>
              </w:rPr>
              <w:t>2</w:t>
            </w:r>
            <w:r>
              <w:rPr>
                <w:rFonts w:hint="eastAsia"/>
                <w:b/>
                <w:color w:val="auto"/>
                <w:kern w:val="0"/>
                <w:sz w:val="28"/>
                <w:szCs w:val="28"/>
              </w:rPr>
              <w:t>水</w:t>
            </w:r>
            <w:r>
              <w:rPr>
                <w:b/>
                <w:color w:val="auto"/>
                <w:kern w:val="0"/>
                <w:sz w:val="28"/>
                <w:szCs w:val="28"/>
              </w:rPr>
              <w:t>环境影响</w:t>
            </w:r>
            <w:r>
              <w:rPr>
                <w:rFonts w:hint="eastAsia"/>
                <w:b/>
                <w:color w:val="auto"/>
                <w:kern w:val="0"/>
                <w:sz w:val="28"/>
                <w:szCs w:val="28"/>
              </w:rPr>
              <w:t>和保护措施</w:t>
            </w:r>
          </w:p>
          <w:p w14:paraId="6295378C">
            <w:pPr>
              <w:pStyle w:val="16"/>
              <w:numPr>
                <w:ilvl w:val="0"/>
                <w:numId w:val="5"/>
              </w:numPr>
              <w:ind w:left="0" w:leftChars="0" w:firstLine="482"/>
              <w:rPr>
                <w:rFonts w:hint="eastAsia"/>
                <w:b/>
                <w:color w:val="auto"/>
                <w:szCs w:val="24"/>
              </w:rPr>
            </w:pPr>
            <w:r>
              <w:rPr>
                <w:rFonts w:hint="eastAsia"/>
                <w:b/>
                <w:color w:val="auto"/>
                <w:szCs w:val="24"/>
              </w:rPr>
              <w:t>废水源强分析</w:t>
            </w:r>
          </w:p>
          <w:p w14:paraId="7F597CA2">
            <w:pPr>
              <w:spacing w:line="360" w:lineRule="auto"/>
              <w:ind w:firstLine="480" w:firstLineChars="200"/>
              <w:jc w:val="left"/>
              <w:rPr>
                <w:rFonts w:hint="default" w:eastAsia="宋体"/>
                <w:color w:val="auto"/>
                <w:sz w:val="24"/>
                <w:lang w:val="en-US" w:eastAsia="zh-CN"/>
              </w:rPr>
            </w:pPr>
            <w:r>
              <w:rPr>
                <w:rFonts w:hint="eastAsia"/>
                <w:color w:val="auto"/>
                <w:sz w:val="24"/>
                <w:lang w:val="en-US" w:eastAsia="zh-CN"/>
              </w:rPr>
              <w:t>因本项目扩建后，现有污水处理设施拆除，故本环评分析扩建后全院区的废水。</w:t>
            </w:r>
          </w:p>
          <w:p w14:paraId="56BC2062">
            <w:pPr>
              <w:pStyle w:val="33"/>
              <w:ind w:left="0" w:leftChars="0"/>
              <w:jc w:val="left"/>
              <w:rPr>
                <w:rFonts w:hint="default" w:ascii="Times New Roman" w:hAnsi="Times New Roman"/>
                <w:color w:val="auto"/>
                <w:lang w:val="en-US"/>
              </w:rPr>
            </w:pPr>
            <w:r>
              <w:rPr>
                <w:rFonts w:hint="eastAsia" w:ascii="Times New Roman" w:hAnsi="Times New Roman"/>
                <w:color w:val="auto"/>
              </w:rPr>
              <w:t>根据项目资料可知，项目用水主要为职工生活用水、门诊病人用水、病房病人用水</w:t>
            </w:r>
            <w:r>
              <w:rPr>
                <w:rFonts w:hint="eastAsia" w:ascii="Times New Roman" w:hAnsi="Times New Roman"/>
                <w:color w:val="auto"/>
                <w:lang w:eastAsia="zh-CN"/>
              </w:rPr>
              <w:t>、</w:t>
            </w:r>
            <w:r>
              <w:rPr>
                <w:rFonts w:hint="eastAsia" w:ascii="Times New Roman" w:hAnsi="Times New Roman" w:eastAsia="宋体" w:cs="Times New Roman"/>
                <w:color w:val="auto"/>
                <w:kern w:val="2"/>
                <w:sz w:val="24"/>
                <w:szCs w:val="20"/>
                <w:highlight w:val="none"/>
                <w:lang w:val="en-US" w:eastAsia="zh-CN" w:bidi="ar-SA"/>
              </w:rPr>
              <w:t>化验室用水、口腔科用水、</w:t>
            </w:r>
            <w:r>
              <w:rPr>
                <w:rFonts w:hint="eastAsia" w:ascii="Times New Roman" w:hAnsi="Times New Roman"/>
                <w:color w:val="auto"/>
                <w:lang w:val="en-US" w:eastAsia="zh-CN"/>
              </w:rPr>
              <w:t>纯水制备用水、</w:t>
            </w:r>
            <w:r>
              <w:rPr>
                <w:rFonts w:hint="eastAsia" w:ascii="Times New Roman" w:hAnsi="Times New Roman" w:eastAsia="宋体" w:cs="Times New Roman"/>
                <w:color w:val="auto"/>
                <w:lang w:val="en-US" w:eastAsia="zh-CN"/>
              </w:rPr>
              <w:t>清洗用水、</w:t>
            </w:r>
            <w:r>
              <w:rPr>
                <w:rFonts w:hint="eastAsia" w:ascii="Times New Roman" w:hAnsi="Times New Roman"/>
                <w:color w:val="auto"/>
                <w:lang w:val="en-US" w:eastAsia="zh-CN"/>
              </w:rPr>
              <w:t>手术用水、蒸汽用水、食堂用水、绿化用水</w:t>
            </w:r>
            <w:r>
              <w:rPr>
                <w:rFonts w:hint="eastAsia" w:ascii="Times New Roman" w:hAnsi="Times New Roman"/>
                <w:color w:val="auto"/>
              </w:rPr>
              <w:t>。</w:t>
            </w:r>
            <w:r>
              <w:rPr>
                <w:rFonts w:hint="eastAsia" w:ascii="Times New Roman" w:hAnsi="Times New Roman"/>
                <w:color w:val="auto"/>
                <w:lang w:val="en-US" w:eastAsia="zh-CN"/>
              </w:rPr>
              <w:t>医院不涉及放射性同位素使用，无放射性废水。不设置洗衣房，无洗衣废水，床单、病号服洗涤委外处置。</w:t>
            </w:r>
          </w:p>
          <w:p w14:paraId="6CEE9045">
            <w:pPr>
              <w:pStyle w:val="15"/>
              <w:ind w:left="0" w:leftChars="0" w:firstLine="480" w:firstLineChars="200"/>
              <w:rPr>
                <w:rFonts w:hint="eastAsia"/>
                <w:b w:val="0"/>
                <w:bCs/>
                <w:color w:val="auto"/>
                <w:sz w:val="24"/>
                <w:szCs w:val="40"/>
                <w:lang w:val="en-US" w:eastAsia="zh-CN"/>
              </w:rPr>
            </w:pPr>
            <w:r>
              <w:rPr>
                <w:rFonts w:hint="eastAsia"/>
                <w:b w:val="0"/>
                <w:bCs/>
                <w:color w:val="auto"/>
                <w:sz w:val="24"/>
                <w:szCs w:val="40"/>
                <w:lang w:val="en-US" w:eastAsia="zh-CN"/>
              </w:rPr>
              <w:t>根据工程分析水平衡数据，本项目用水排水情况详见表4.2-3。</w:t>
            </w:r>
          </w:p>
          <w:p w14:paraId="11714C68">
            <w:pPr>
              <w:jc w:val="center"/>
              <w:rPr>
                <w:rFonts w:hint="default"/>
                <w:color w:val="auto"/>
                <w:lang w:val="en-US" w:eastAsia="zh-CN"/>
              </w:rPr>
            </w:pPr>
            <w:r>
              <w:rPr>
                <w:rFonts w:hint="eastAsia"/>
                <w:b/>
                <w:color w:val="auto"/>
                <w:szCs w:val="24"/>
                <w:lang w:val="en-US" w:eastAsia="zh-CN"/>
              </w:rPr>
              <w:t>表4.2-3用水排水情况表</w:t>
            </w:r>
          </w:p>
          <w:tbl>
            <w:tblPr>
              <w:tblStyle w:val="17"/>
              <w:tblW w:w="8502"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108" w:type="dxa"/>
                <w:bottom w:w="0" w:type="dxa"/>
                <w:right w:w="108" w:type="dxa"/>
              </w:tblCellMar>
            </w:tblPr>
            <w:tblGrid>
              <w:gridCol w:w="780"/>
              <w:gridCol w:w="885"/>
              <w:gridCol w:w="979"/>
              <w:gridCol w:w="1678"/>
              <w:gridCol w:w="794"/>
              <w:gridCol w:w="1004"/>
              <w:gridCol w:w="584"/>
              <w:gridCol w:w="794"/>
              <w:gridCol w:w="1004"/>
            </w:tblGrid>
            <w:tr w14:paraId="3C8256B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55" w:hRule="atLeast"/>
                <w:jc w:val="center"/>
              </w:trPr>
              <w:tc>
                <w:tcPr>
                  <w:tcW w:w="1665" w:type="dxa"/>
                  <w:gridSpan w:val="2"/>
                  <w:tcBorders>
                    <w:tl2br w:val="nil"/>
                    <w:tr2bl w:val="nil"/>
                  </w:tcBorders>
                  <w:noWrap w:val="0"/>
                  <w:vAlign w:val="center"/>
                </w:tcPr>
                <w:p w14:paraId="5C82489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用水项目</w:t>
                  </w:r>
                </w:p>
              </w:tc>
              <w:tc>
                <w:tcPr>
                  <w:tcW w:w="979" w:type="dxa"/>
                  <w:tcBorders>
                    <w:tl2br w:val="nil"/>
                    <w:tr2bl w:val="nil"/>
                  </w:tcBorders>
                  <w:noWrap w:val="0"/>
                  <w:vAlign w:val="center"/>
                </w:tcPr>
                <w:p w14:paraId="78A0551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规模</w:t>
                  </w:r>
                </w:p>
              </w:tc>
              <w:tc>
                <w:tcPr>
                  <w:tcW w:w="1678" w:type="dxa"/>
                  <w:tcBorders>
                    <w:tl2br w:val="nil"/>
                    <w:tr2bl w:val="nil"/>
                  </w:tcBorders>
                  <w:noWrap w:val="0"/>
                  <w:vAlign w:val="center"/>
                </w:tcPr>
                <w:p w14:paraId="2159841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用水标准</w:t>
                  </w:r>
                </w:p>
              </w:tc>
              <w:tc>
                <w:tcPr>
                  <w:tcW w:w="794" w:type="dxa"/>
                  <w:tcBorders>
                    <w:tl2br w:val="nil"/>
                    <w:tr2bl w:val="nil"/>
                  </w:tcBorders>
                  <w:noWrap w:val="0"/>
                  <w:vAlign w:val="center"/>
                </w:tcPr>
                <w:p w14:paraId="729098E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最大日用水量</w:t>
                  </w:r>
                  <w:r>
                    <w:rPr>
                      <w:rFonts w:hint="default" w:ascii="Times New Roman" w:hAnsi="Times New Roman" w:eastAsia="宋体" w:cs="Times New Roman"/>
                      <w:i w:val="0"/>
                      <w:iCs w:val="0"/>
                      <w:color w:val="auto"/>
                      <w:kern w:val="0"/>
                      <w:sz w:val="21"/>
                      <w:szCs w:val="21"/>
                      <w:u w:val="no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/d</w:t>
                  </w:r>
                </w:p>
              </w:tc>
              <w:tc>
                <w:tcPr>
                  <w:tcW w:w="1004" w:type="dxa"/>
                  <w:tcBorders>
                    <w:tl2br w:val="nil"/>
                    <w:tr2bl w:val="nil"/>
                  </w:tcBorders>
                  <w:noWrap w:val="0"/>
                  <w:vAlign w:val="center"/>
                </w:tcPr>
                <w:p w14:paraId="310D92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最大年用水量</w:t>
                  </w:r>
                  <w:r>
                    <w:rPr>
                      <w:rFonts w:hint="default" w:ascii="Times New Roman" w:hAnsi="Times New Roman" w:eastAsia="宋体" w:cs="Times New Roman"/>
                      <w:i w:val="0"/>
                      <w:iCs w:val="0"/>
                      <w:color w:val="auto"/>
                      <w:kern w:val="0"/>
                      <w:sz w:val="21"/>
                      <w:szCs w:val="21"/>
                      <w:u w:val="no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/a</w:t>
                  </w:r>
                </w:p>
              </w:tc>
              <w:tc>
                <w:tcPr>
                  <w:tcW w:w="584" w:type="dxa"/>
                  <w:tcBorders>
                    <w:tl2br w:val="nil"/>
                    <w:tr2bl w:val="nil"/>
                  </w:tcBorders>
                  <w:noWrap w:val="0"/>
                  <w:vAlign w:val="center"/>
                </w:tcPr>
                <w:p w14:paraId="20C7620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废水系数</w:t>
                  </w:r>
                </w:p>
              </w:tc>
              <w:tc>
                <w:tcPr>
                  <w:tcW w:w="794" w:type="dxa"/>
                  <w:tcBorders>
                    <w:tl2br w:val="nil"/>
                    <w:tr2bl w:val="nil"/>
                  </w:tcBorders>
                  <w:noWrap w:val="0"/>
                  <w:vAlign w:val="center"/>
                </w:tcPr>
                <w:p w14:paraId="12F15B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废水产生量</w:t>
                  </w:r>
                  <w:r>
                    <w:rPr>
                      <w:rFonts w:hint="default" w:ascii="Times New Roman" w:hAnsi="Times New Roman" w:eastAsia="宋体" w:cs="Times New Roman"/>
                      <w:i w:val="0"/>
                      <w:iCs w:val="0"/>
                      <w:color w:val="auto"/>
                      <w:kern w:val="0"/>
                      <w:sz w:val="21"/>
                      <w:szCs w:val="21"/>
                      <w:u w:val="no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/d</w:t>
                  </w:r>
                </w:p>
              </w:tc>
              <w:tc>
                <w:tcPr>
                  <w:tcW w:w="1004" w:type="dxa"/>
                  <w:tcBorders>
                    <w:tl2br w:val="nil"/>
                    <w:tr2bl w:val="nil"/>
                  </w:tcBorders>
                  <w:noWrap w:val="0"/>
                  <w:vAlign w:val="center"/>
                </w:tcPr>
                <w:p w14:paraId="7C622E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最大年排水量</w:t>
                  </w:r>
                  <w:r>
                    <w:rPr>
                      <w:rFonts w:hint="default" w:ascii="Times New Roman" w:hAnsi="Times New Roman" w:eastAsia="宋体" w:cs="Times New Roman"/>
                      <w:i w:val="0"/>
                      <w:iCs w:val="0"/>
                      <w:color w:val="auto"/>
                      <w:kern w:val="0"/>
                      <w:sz w:val="21"/>
                      <w:szCs w:val="21"/>
                      <w:u w:val="no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a</w:t>
                  </w:r>
                </w:p>
              </w:tc>
            </w:tr>
            <w:tr w14:paraId="7F896AA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40" w:hRule="atLeast"/>
                <w:jc w:val="center"/>
              </w:trPr>
              <w:tc>
                <w:tcPr>
                  <w:tcW w:w="780" w:type="dxa"/>
                  <w:vMerge w:val="restart"/>
                  <w:tcBorders>
                    <w:tl2br w:val="nil"/>
                    <w:tr2bl w:val="nil"/>
                  </w:tcBorders>
                  <w:noWrap w:val="0"/>
                  <w:vAlign w:val="center"/>
                </w:tcPr>
                <w:p w14:paraId="3D2DEA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医疗废水</w:t>
                  </w:r>
                </w:p>
              </w:tc>
              <w:tc>
                <w:tcPr>
                  <w:tcW w:w="885" w:type="dxa"/>
                  <w:tcBorders>
                    <w:tl2br w:val="nil"/>
                    <w:tr2bl w:val="nil"/>
                  </w:tcBorders>
                  <w:noWrap w:val="0"/>
                  <w:vAlign w:val="center"/>
                </w:tcPr>
                <w:p w14:paraId="0FC5C89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病床医疗用水</w:t>
                  </w:r>
                </w:p>
              </w:tc>
              <w:tc>
                <w:tcPr>
                  <w:tcW w:w="979" w:type="dxa"/>
                  <w:tcBorders>
                    <w:tl2br w:val="nil"/>
                    <w:tr2bl w:val="nil"/>
                  </w:tcBorders>
                  <w:noWrap w:val="0"/>
                  <w:vAlign w:val="center"/>
                </w:tcPr>
                <w:p w14:paraId="191B2C5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350床</w:t>
                  </w:r>
                </w:p>
              </w:tc>
              <w:tc>
                <w:tcPr>
                  <w:tcW w:w="1678" w:type="dxa"/>
                  <w:tcBorders>
                    <w:tl2br w:val="nil"/>
                    <w:tr2bl w:val="nil"/>
                  </w:tcBorders>
                  <w:noWrap w:val="0"/>
                  <w:vAlign w:val="center"/>
                </w:tcPr>
                <w:p w14:paraId="03B646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350L/</w:t>
                  </w:r>
                  <w:r>
                    <w:rPr>
                      <w:rFonts w:hint="eastAsia" w:ascii="宋体" w:hAnsi="宋体" w:eastAsia="宋体" w:cs="宋体"/>
                      <w:i w:val="0"/>
                      <w:iCs w:val="0"/>
                      <w:color w:val="auto"/>
                      <w:kern w:val="0"/>
                      <w:sz w:val="21"/>
                      <w:szCs w:val="21"/>
                      <w:u w:val="none"/>
                      <w:lang w:val="en-US" w:eastAsia="zh-CN" w:bidi="ar"/>
                    </w:rPr>
                    <w:t>床</w:t>
                  </w:r>
                  <w:r>
                    <w:rPr>
                      <w:rFonts w:hint="default" w:ascii="Times New Roman" w:hAnsi="Times New Roman" w:eastAsia="宋体" w:cs="Times New Roman"/>
                      <w:i w:val="0"/>
                      <w:iCs w:val="0"/>
                      <w:color w:val="auto"/>
                      <w:kern w:val="0"/>
                      <w:sz w:val="21"/>
                      <w:szCs w:val="21"/>
                      <w:u w:val="none"/>
                      <w:lang w:val="en-US" w:eastAsia="zh-CN" w:bidi="ar"/>
                    </w:rPr>
                    <w:t>·d</w:t>
                  </w:r>
                </w:p>
              </w:tc>
              <w:tc>
                <w:tcPr>
                  <w:tcW w:w="794" w:type="dxa"/>
                  <w:tcBorders>
                    <w:tl2br w:val="nil"/>
                    <w:tr2bl w:val="nil"/>
                  </w:tcBorders>
                  <w:noWrap w:val="0"/>
                  <w:vAlign w:val="center"/>
                </w:tcPr>
                <w:p w14:paraId="714FC6A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122.50 </w:t>
                  </w:r>
                </w:p>
              </w:tc>
              <w:tc>
                <w:tcPr>
                  <w:tcW w:w="1004" w:type="dxa"/>
                  <w:tcBorders>
                    <w:tl2br w:val="nil"/>
                    <w:tr2bl w:val="nil"/>
                  </w:tcBorders>
                  <w:noWrap w:val="0"/>
                  <w:vAlign w:val="center"/>
                </w:tcPr>
                <w:p w14:paraId="4A831F4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44712.50 </w:t>
                  </w:r>
                </w:p>
              </w:tc>
              <w:tc>
                <w:tcPr>
                  <w:tcW w:w="584" w:type="dxa"/>
                  <w:tcBorders>
                    <w:tl2br w:val="nil"/>
                    <w:tr2bl w:val="nil"/>
                  </w:tcBorders>
                  <w:noWrap w:val="0"/>
                  <w:vAlign w:val="center"/>
                </w:tcPr>
                <w:p w14:paraId="1A9A289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0.8 </w:t>
                  </w:r>
                </w:p>
              </w:tc>
              <w:tc>
                <w:tcPr>
                  <w:tcW w:w="794" w:type="dxa"/>
                  <w:tcBorders>
                    <w:tl2br w:val="nil"/>
                    <w:tr2bl w:val="nil"/>
                  </w:tcBorders>
                  <w:noWrap w:val="0"/>
                  <w:vAlign w:val="center"/>
                </w:tcPr>
                <w:p w14:paraId="360ECEA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98.00 </w:t>
                  </w:r>
                </w:p>
              </w:tc>
              <w:tc>
                <w:tcPr>
                  <w:tcW w:w="1004" w:type="dxa"/>
                  <w:tcBorders>
                    <w:tl2br w:val="nil"/>
                    <w:tr2bl w:val="nil"/>
                  </w:tcBorders>
                  <w:noWrap w:val="0"/>
                  <w:vAlign w:val="center"/>
                </w:tcPr>
                <w:p w14:paraId="4CF2B47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35770.00 </w:t>
                  </w:r>
                </w:p>
              </w:tc>
            </w:tr>
            <w:tr w14:paraId="4599577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5" w:hRule="atLeast"/>
                <w:jc w:val="center"/>
              </w:trPr>
              <w:tc>
                <w:tcPr>
                  <w:tcW w:w="780" w:type="dxa"/>
                  <w:vMerge w:val="continue"/>
                  <w:tcBorders>
                    <w:tl2br w:val="nil"/>
                    <w:tr2bl w:val="nil"/>
                  </w:tcBorders>
                  <w:noWrap w:val="0"/>
                  <w:vAlign w:val="center"/>
                </w:tcPr>
                <w:p w14:paraId="7B8625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885" w:type="dxa"/>
                  <w:tcBorders>
                    <w:tl2br w:val="nil"/>
                    <w:tr2bl w:val="nil"/>
                  </w:tcBorders>
                  <w:noWrap w:val="0"/>
                  <w:vAlign w:val="center"/>
                </w:tcPr>
                <w:p w14:paraId="02DF153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门诊医疗用水</w:t>
                  </w:r>
                </w:p>
              </w:tc>
              <w:tc>
                <w:tcPr>
                  <w:tcW w:w="979" w:type="dxa"/>
                  <w:tcBorders>
                    <w:tl2br w:val="nil"/>
                    <w:tr2bl w:val="nil"/>
                  </w:tcBorders>
                  <w:noWrap w:val="0"/>
                  <w:vAlign w:val="center"/>
                </w:tcPr>
                <w:p w14:paraId="5986FD2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822</w:t>
                  </w:r>
                  <w:r>
                    <w:rPr>
                      <w:rFonts w:hint="eastAsia" w:ascii="宋体" w:hAnsi="宋体" w:eastAsia="宋体" w:cs="宋体"/>
                      <w:i w:val="0"/>
                      <w:iCs w:val="0"/>
                      <w:color w:val="auto"/>
                      <w:kern w:val="0"/>
                      <w:sz w:val="21"/>
                      <w:szCs w:val="21"/>
                      <w:u w:val="none"/>
                      <w:lang w:val="en-US" w:eastAsia="zh-CN" w:bidi="ar"/>
                    </w:rPr>
                    <w:t>人</w:t>
                  </w:r>
                </w:p>
              </w:tc>
              <w:tc>
                <w:tcPr>
                  <w:tcW w:w="1678" w:type="dxa"/>
                  <w:tcBorders>
                    <w:tl2br w:val="nil"/>
                    <w:tr2bl w:val="nil"/>
                  </w:tcBorders>
                  <w:noWrap w:val="0"/>
                  <w:vAlign w:val="center"/>
                </w:tcPr>
                <w:p w14:paraId="19ACE8D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15L人·次</w:t>
                  </w:r>
                </w:p>
              </w:tc>
              <w:tc>
                <w:tcPr>
                  <w:tcW w:w="794" w:type="dxa"/>
                  <w:tcBorders>
                    <w:tl2br w:val="nil"/>
                    <w:tr2bl w:val="nil"/>
                  </w:tcBorders>
                  <w:noWrap w:val="0"/>
                  <w:vAlign w:val="center"/>
                </w:tcPr>
                <w:p w14:paraId="4F51E5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12.33 </w:t>
                  </w:r>
                </w:p>
              </w:tc>
              <w:tc>
                <w:tcPr>
                  <w:tcW w:w="1004" w:type="dxa"/>
                  <w:tcBorders>
                    <w:tl2br w:val="nil"/>
                    <w:tr2bl w:val="nil"/>
                  </w:tcBorders>
                  <w:noWrap w:val="0"/>
                  <w:vAlign w:val="center"/>
                </w:tcPr>
                <w:p w14:paraId="5BC3725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4500.45 </w:t>
                  </w:r>
                </w:p>
              </w:tc>
              <w:tc>
                <w:tcPr>
                  <w:tcW w:w="584" w:type="dxa"/>
                  <w:tcBorders>
                    <w:tl2br w:val="nil"/>
                    <w:tr2bl w:val="nil"/>
                  </w:tcBorders>
                  <w:noWrap w:val="0"/>
                  <w:vAlign w:val="center"/>
                </w:tcPr>
                <w:p w14:paraId="71A9AB8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794" w:type="dxa"/>
                  <w:tcBorders>
                    <w:tl2br w:val="nil"/>
                    <w:tr2bl w:val="nil"/>
                  </w:tcBorders>
                  <w:noWrap w:val="0"/>
                  <w:vAlign w:val="center"/>
                </w:tcPr>
                <w:p w14:paraId="57F7355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9.86 </w:t>
                  </w:r>
                </w:p>
              </w:tc>
              <w:tc>
                <w:tcPr>
                  <w:tcW w:w="1004" w:type="dxa"/>
                  <w:tcBorders>
                    <w:tl2br w:val="nil"/>
                    <w:tr2bl w:val="nil"/>
                  </w:tcBorders>
                  <w:noWrap w:val="0"/>
                  <w:vAlign w:val="center"/>
                </w:tcPr>
                <w:p w14:paraId="7C8E277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3600.36 </w:t>
                  </w:r>
                </w:p>
              </w:tc>
            </w:tr>
            <w:tr w14:paraId="7090CF9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30" w:hRule="atLeast"/>
                <w:jc w:val="center"/>
              </w:trPr>
              <w:tc>
                <w:tcPr>
                  <w:tcW w:w="780" w:type="dxa"/>
                  <w:vMerge w:val="continue"/>
                  <w:tcBorders>
                    <w:tl2br w:val="nil"/>
                    <w:tr2bl w:val="nil"/>
                  </w:tcBorders>
                  <w:noWrap/>
                  <w:vAlign w:val="center"/>
                </w:tcPr>
                <w:p w14:paraId="1DA3FFDE">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p>
              </w:tc>
              <w:tc>
                <w:tcPr>
                  <w:tcW w:w="885" w:type="dxa"/>
                  <w:tcBorders>
                    <w:tl2br w:val="nil"/>
                    <w:tr2bl w:val="nil"/>
                  </w:tcBorders>
                  <w:noWrap/>
                  <w:vAlign w:val="center"/>
                </w:tcPr>
                <w:p w14:paraId="21E51BE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手术用水</w:t>
                  </w:r>
                </w:p>
              </w:tc>
              <w:tc>
                <w:tcPr>
                  <w:tcW w:w="979" w:type="dxa"/>
                  <w:tcBorders>
                    <w:tl2br w:val="nil"/>
                    <w:tr2bl w:val="nil"/>
                  </w:tcBorders>
                  <w:noWrap w:val="0"/>
                  <w:vAlign w:val="center"/>
                </w:tcPr>
                <w:p w14:paraId="12B4C7F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台</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天</w:t>
                  </w:r>
                </w:p>
              </w:tc>
              <w:tc>
                <w:tcPr>
                  <w:tcW w:w="1678" w:type="dxa"/>
                  <w:tcBorders>
                    <w:tl2br w:val="nil"/>
                    <w:tr2bl w:val="nil"/>
                  </w:tcBorders>
                  <w:noWrap/>
                  <w:vAlign w:val="center"/>
                </w:tcPr>
                <w:p w14:paraId="1A1FDF8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150L/</w:t>
                  </w:r>
                  <w:r>
                    <w:rPr>
                      <w:rFonts w:hint="eastAsia" w:ascii="宋体" w:hAnsi="宋体" w:eastAsia="宋体" w:cs="宋体"/>
                      <w:i w:val="0"/>
                      <w:iCs w:val="0"/>
                      <w:color w:val="auto"/>
                      <w:kern w:val="0"/>
                      <w:sz w:val="21"/>
                      <w:szCs w:val="21"/>
                      <w:u w:val="none"/>
                      <w:lang w:val="en-US" w:eastAsia="zh-CN" w:bidi="ar"/>
                    </w:rPr>
                    <w:t>台</w:t>
                  </w:r>
                  <w:r>
                    <w:rPr>
                      <w:rFonts w:hint="default" w:ascii="Times New Roman" w:hAnsi="Times New Roman" w:eastAsia="宋体" w:cs="Times New Roman"/>
                      <w:i w:val="0"/>
                      <w:iCs w:val="0"/>
                      <w:color w:val="auto"/>
                      <w:kern w:val="0"/>
                      <w:sz w:val="21"/>
                      <w:szCs w:val="21"/>
                      <w:u w:val="none"/>
                      <w:lang w:val="en-US" w:eastAsia="zh-CN" w:bidi="ar"/>
                    </w:rPr>
                    <w:t>/d</w:t>
                  </w:r>
                </w:p>
              </w:tc>
              <w:tc>
                <w:tcPr>
                  <w:tcW w:w="794" w:type="dxa"/>
                  <w:tcBorders>
                    <w:tl2br w:val="nil"/>
                    <w:tr2bl w:val="nil"/>
                  </w:tcBorders>
                  <w:noWrap w:val="0"/>
                  <w:vAlign w:val="center"/>
                </w:tcPr>
                <w:p w14:paraId="4B9E59E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0.30 </w:t>
                  </w:r>
                </w:p>
              </w:tc>
              <w:tc>
                <w:tcPr>
                  <w:tcW w:w="1004" w:type="dxa"/>
                  <w:tcBorders>
                    <w:tl2br w:val="nil"/>
                    <w:tr2bl w:val="nil"/>
                  </w:tcBorders>
                  <w:noWrap w:val="0"/>
                  <w:vAlign w:val="center"/>
                </w:tcPr>
                <w:p w14:paraId="7BA8EDC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109.50 </w:t>
                  </w:r>
                </w:p>
              </w:tc>
              <w:tc>
                <w:tcPr>
                  <w:tcW w:w="584" w:type="dxa"/>
                  <w:tcBorders>
                    <w:tl2br w:val="nil"/>
                    <w:tr2bl w:val="nil"/>
                  </w:tcBorders>
                  <w:noWrap w:val="0"/>
                  <w:vAlign w:val="center"/>
                </w:tcPr>
                <w:p w14:paraId="5F7C8F9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794" w:type="dxa"/>
                  <w:tcBorders>
                    <w:tl2br w:val="nil"/>
                    <w:tr2bl w:val="nil"/>
                  </w:tcBorders>
                  <w:noWrap w:val="0"/>
                  <w:vAlign w:val="center"/>
                </w:tcPr>
                <w:p w14:paraId="273652B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0.24 </w:t>
                  </w:r>
                </w:p>
              </w:tc>
              <w:tc>
                <w:tcPr>
                  <w:tcW w:w="1004" w:type="dxa"/>
                  <w:tcBorders>
                    <w:tl2br w:val="nil"/>
                    <w:tr2bl w:val="nil"/>
                  </w:tcBorders>
                  <w:noWrap w:val="0"/>
                  <w:vAlign w:val="center"/>
                </w:tcPr>
                <w:p w14:paraId="7A0A599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87.60 </w:t>
                  </w:r>
                </w:p>
              </w:tc>
            </w:tr>
            <w:tr w14:paraId="045B1F6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00" w:hRule="atLeast"/>
                <w:jc w:val="center"/>
              </w:trPr>
              <w:tc>
                <w:tcPr>
                  <w:tcW w:w="780" w:type="dxa"/>
                  <w:vMerge w:val="continue"/>
                  <w:tcBorders>
                    <w:tl2br w:val="nil"/>
                    <w:tr2bl w:val="nil"/>
                  </w:tcBorders>
                  <w:noWrap/>
                  <w:vAlign w:val="center"/>
                </w:tcPr>
                <w:p w14:paraId="129FC90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p>
              </w:tc>
              <w:tc>
                <w:tcPr>
                  <w:tcW w:w="885" w:type="dxa"/>
                  <w:tcBorders>
                    <w:tl2br w:val="nil"/>
                    <w:tr2bl w:val="nil"/>
                  </w:tcBorders>
                  <w:noWrap/>
                  <w:vAlign w:val="center"/>
                </w:tcPr>
                <w:p w14:paraId="4D9AFC8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化验室用水</w:t>
                  </w:r>
                </w:p>
              </w:tc>
              <w:tc>
                <w:tcPr>
                  <w:tcW w:w="979" w:type="dxa"/>
                  <w:tcBorders>
                    <w:tl2br w:val="nil"/>
                    <w:tr2bl w:val="nil"/>
                  </w:tcBorders>
                  <w:noWrap w:val="0"/>
                  <w:vAlign w:val="center"/>
                </w:tcPr>
                <w:p w14:paraId="1711AB64">
                  <w:pPr>
                    <w:jc w:val="center"/>
                    <w:rPr>
                      <w:rFonts w:hint="eastAsia" w:ascii="Times New Roman" w:hAnsi="Times New Roman" w:eastAsia="宋体" w:cs="Times New Roman"/>
                      <w:i w:val="0"/>
                      <w:iCs w:val="0"/>
                      <w:color w:val="auto"/>
                      <w:sz w:val="21"/>
                      <w:szCs w:val="21"/>
                      <w:u w:val="none"/>
                      <w:lang w:val="en-US" w:eastAsia="zh-CN"/>
                    </w:rPr>
                  </w:pPr>
                  <w:r>
                    <w:rPr>
                      <w:rFonts w:hint="eastAsia" w:ascii="Times New Roman" w:hAnsi="Times New Roman" w:eastAsia="宋体" w:cs="Times New Roman"/>
                      <w:i w:val="0"/>
                      <w:iCs w:val="0"/>
                      <w:color w:val="auto"/>
                      <w:sz w:val="21"/>
                      <w:szCs w:val="21"/>
                      <w:u w:val="none"/>
                      <w:lang w:val="en-US" w:eastAsia="zh-CN"/>
                    </w:rPr>
                    <w:t>/</w:t>
                  </w:r>
                </w:p>
              </w:tc>
              <w:tc>
                <w:tcPr>
                  <w:tcW w:w="1678" w:type="dxa"/>
                  <w:tcBorders>
                    <w:tl2br w:val="nil"/>
                    <w:tr2bl w:val="nil"/>
                  </w:tcBorders>
                  <w:noWrap w:val="0"/>
                  <w:vAlign w:val="center"/>
                </w:tcPr>
                <w:p w14:paraId="7AAA0C74">
                  <w:pPr>
                    <w:jc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w:t>
                  </w:r>
                </w:p>
              </w:tc>
              <w:tc>
                <w:tcPr>
                  <w:tcW w:w="794" w:type="dxa"/>
                  <w:tcBorders>
                    <w:tl2br w:val="nil"/>
                    <w:tr2bl w:val="nil"/>
                  </w:tcBorders>
                  <w:noWrap w:val="0"/>
                  <w:vAlign w:val="center"/>
                </w:tcPr>
                <w:p w14:paraId="57EFED0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0.10 </w:t>
                  </w:r>
                </w:p>
              </w:tc>
              <w:tc>
                <w:tcPr>
                  <w:tcW w:w="1004" w:type="dxa"/>
                  <w:tcBorders>
                    <w:tl2br w:val="nil"/>
                    <w:tr2bl w:val="nil"/>
                  </w:tcBorders>
                  <w:noWrap w:val="0"/>
                  <w:vAlign w:val="center"/>
                </w:tcPr>
                <w:p w14:paraId="5763DB3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36.50 </w:t>
                  </w:r>
                </w:p>
              </w:tc>
              <w:tc>
                <w:tcPr>
                  <w:tcW w:w="584" w:type="dxa"/>
                  <w:tcBorders>
                    <w:tl2br w:val="nil"/>
                    <w:tr2bl w:val="nil"/>
                  </w:tcBorders>
                  <w:noWrap w:val="0"/>
                  <w:vAlign w:val="center"/>
                </w:tcPr>
                <w:p w14:paraId="4F1C1C3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794" w:type="dxa"/>
                  <w:tcBorders>
                    <w:tl2br w:val="nil"/>
                    <w:tr2bl w:val="nil"/>
                  </w:tcBorders>
                  <w:noWrap w:val="0"/>
                  <w:vAlign w:val="center"/>
                </w:tcPr>
                <w:p w14:paraId="191CDD4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0.08 </w:t>
                  </w:r>
                </w:p>
              </w:tc>
              <w:tc>
                <w:tcPr>
                  <w:tcW w:w="1004" w:type="dxa"/>
                  <w:tcBorders>
                    <w:tl2br w:val="nil"/>
                    <w:tr2bl w:val="nil"/>
                  </w:tcBorders>
                  <w:noWrap w:val="0"/>
                  <w:vAlign w:val="center"/>
                </w:tcPr>
                <w:p w14:paraId="5E5849A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29.20 </w:t>
                  </w:r>
                </w:p>
              </w:tc>
            </w:tr>
            <w:tr w14:paraId="629ABE2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00" w:hRule="atLeast"/>
                <w:jc w:val="center"/>
              </w:trPr>
              <w:tc>
                <w:tcPr>
                  <w:tcW w:w="780" w:type="dxa"/>
                  <w:vMerge w:val="continue"/>
                  <w:tcBorders>
                    <w:tl2br w:val="nil"/>
                    <w:tr2bl w:val="nil"/>
                  </w:tcBorders>
                  <w:noWrap/>
                  <w:vAlign w:val="center"/>
                </w:tcPr>
                <w:p w14:paraId="65D8B55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p>
              </w:tc>
              <w:tc>
                <w:tcPr>
                  <w:tcW w:w="885" w:type="dxa"/>
                  <w:tcBorders>
                    <w:tl2br w:val="nil"/>
                    <w:tr2bl w:val="nil"/>
                  </w:tcBorders>
                  <w:noWrap/>
                  <w:vAlign w:val="center"/>
                </w:tcPr>
                <w:p w14:paraId="15097CE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口腔科用水</w:t>
                  </w:r>
                </w:p>
              </w:tc>
              <w:tc>
                <w:tcPr>
                  <w:tcW w:w="979" w:type="dxa"/>
                  <w:tcBorders>
                    <w:tl2br w:val="nil"/>
                    <w:tr2bl w:val="nil"/>
                  </w:tcBorders>
                  <w:noWrap w:val="0"/>
                  <w:vAlign w:val="center"/>
                </w:tcPr>
                <w:p w14:paraId="7EA03236">
                  <w:pPr>
                    <w:jc w:val="center"/>
                    <w:rPr>
                      <w:rFonts w:hint="eastAsia" w:ascii="Times New Roman" w:hAnsi="Times New Roman" w:eastAsia="宋体" w:cs="Times New Roman"/>
                      <w:i w:val="0"/>
                      <w:iCs w:val="0"/>
                      <w:color w:val="auto"/>
                      <w:sz w:val="21"/>
                      <w:szCs w:val="21"/>
                      <w:u w:val="none"/>
                      <w:lang w:val="en-US" w:eastAsia="zh-CN"/>
                    </w:rPr>
                  </w:pPr>
                  <w:r>
                    <w:rPr>
                      <w:rFonts w:hint="eastAsia" w:ascii="Times New Roman" w:hAnsi="Times New Roman" w:eastAsia="宋体" w:cs="Times New Roman"/>
                      <w:i w:val="0"/>
                      <w:iCs w:val="0"/>
                      <w:color w:val="auto"/>
                      <w:sz w:val="21"/>
                      <w:szCs w:val="21"/>
                      <w:u w:val="none"/>
                      <w:lang w:val="en-US" w:eastAsia="zh-CN"/>
                    </w:rPr>
                    <w:t>/</w:t>
                  </w:r>
                </w:p>
              </w:tc>
              <w:tc>
                <w:tcPr>
                  <w:tcW w:w="1678" w:type="dxa"/>
                  <w:tcBorders>
                    <w:tl2br w:val="nil"/>
                    <w:tr2bl w:val="nil"/>
                  </w:tcBorders>
                  <w:noWrap w:val="0"/>
                  <w:vAlign w:val="center"/>
                </w:tcPr>
                <w:p w14:paraId="3E60097D">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w:t>
                  </w:r>
                </w:p>
              </w:tc>
              <w:tc>
                <w:tcPr>
                  <w:tcW w:w="794" w:type="dxa"/>
                  <w:tcBorders>
                    <w:tl2br w:val="nil"/>
                    <w:tr2bl w:val="nil"/>
                  </w:tcBorders>
                  <w:noWrap w:val="0"/>
                  <w:vAlign w:val="center"/>
                </w:tcPr>
                <w:p w14:paraId="22B97EE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0.10 </w:t>
                  </w:r>
                </w:p>
              </w:tc>
              <w:tc>
                <w:tcPr>
                  <w:tcW w:w="1004" w:type="dxa"/>
                  <w:tcBorders>
                    <w:tl2br w:val="nil"/>
                    <w:tr2bl w:val="nil"/>
                  </w:tcBorders>
                  <w:noWrap w:val="0"/>
                  <w:vAlign w:val="center"/>
                </w:tcPr>
                <w:p w14:paraId="692F12D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36.50 </w:t>
                  </w:r>
                </w:p>
              </w:tc>
              <w:tc>
                <w:tcPr>
                  <w:tcW w:w="584" w:type="dxa"/>
                  <w:tcBorders>
                    <w:tl2br w:val="nil"/>
                    <w:tr2bl w:val="nil"/>
                  </w:tcBorders>
                  <w:noWrap w:val="0"/>
                  <w:vAlign w:val="center"/>
                </w:tcPr>
                <w:p w14:paraId="03E8F5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794" w:type="dxa"/>
                  <w:tcBorders>
                    <w:tl2br w:val="nil"/>
                    <w:tr2bl w:val="nil"/>
                  </w:tcBorders>
                  <w:noWrap w:val="0"/>
                  <w:vAlign w:val="center"/>
                </w:tcPr>
                <w:p w14:paraId="4094D88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0.08 </w:t>
                  </w:r>
                </w:p>
              </w:tc>
              <w:tc>
                <w:tcPr>
                  <w:tcW w:w="1004" w:type="dxa"/>
                  <w:tcBorders>
                    <w:tl2br w:val="nil"/>
                    <w:tr2bl w:val="nil"/>
                  </w:tcBorders>
                  <w:noWrap w:val="0"/>
                  <w:vAlign w:val="center"/>
                </w:tcPr>
                <w:p w14:paraId="7BCD965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29.20 </w:t>
                  </w:r>
                </w:p>
              </w:tc>
            </w:tr>
            <w:tr w14:paraId="5D54AB7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40" w:hRule="atLeast"/>
                <w:jc w:val="center"/>
              </w:trPr>
              <w:tc>
                <w:tcPr>
                  <w:tcW w:w="780" w:type="dxa"/>
                  <w:vMerge w:val="continue"/>
                  <w:tcBorders>
                    <w:tl2br w:val="nil"/>
                    <w:tr2bl w:val="nil"/>
                  </w:tcBorders>
                  <w:noWrap w:val="0"/>
                  <w:vAlign w:val="center"/>
                </w:tcPr>
                <w:p w14:paraId="5329213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885" w:type="dxa"/>
                  <w:tcBorders>
                    <w:tl2br w:val="nil"/>
                    <w:tr2bl w:val="nil"/>
                  </w:tcBorders>
                  <w:noWrap w:val="0"/>
                  <w:vAlign w:val="center"/>
                </w:tcPr>
                <w:p w14:paraId="216E70E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纯水制备用水</w:t>
                  </w:r>
                </w:p>
              </w:tc>
              <w:tc>
                <w:tcPr>
                  <w:tcW w:w="979" w:type="dxa"/>
                  <w:tcBorders>
                    <w:tl2br w:val="nil"/>
                    <w:tr2bl w:val="nil"/>
                  </w:tcBorders>
                  <w:noWrap w:val="0"/>
                  <w:vAlign w:val="center"/>
                </w:tcPr>
                <w:p w14:paraId="3B47F4E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15</w:t>
                  </w:r>
                  <w:r>
                    <w:rPr>
                      <w:rFonts w:hint="default" w:ascii="Times New Roman" w:hAnsi="Times New Roman" w:eastAsia="宋体" w:cs="Times New Roman"/>
                      <w:i w:val="0"/>
                      <w:iCs w:val="0"/>
                      <w:color w:val="auto"/>
                      <w:kern w:val="0"/>
                      <w:sz w:val="21"/>
                      <w:szCs w:val="21"/>
                      <w:u w:val="no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/d</w:t>
                  </w:r>
                </w:p>
              </w:tc>
              <w:tc>
                <w:tcPr>
                  <w:tcW w:w="1678" w:type="dxa"/>
                  <w:tcBorders>
                    <w:tl2br w:val="nil"/>
                    <w:tr2bl w:val="nil"/>
                  </w:tcBorders>
                  <w:noWrap w:val="0"/>
                  <w:vAlign w:val="center"/>
                </w:tcPr>
                <w:p w14:paraId="1D0865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制水率</w:t>
                  </w:r>
                  <w:r>
                    <w:rPr>
                      <w:rFonts w:hint="default" w:ascii="Times New Roman" w:hAnsi="Times New Roman" w:eastAsia="宋体" w:cs="Times New Roman"/>
                      <w:i w:val="0"/>
                      <w:iCs w:val="0"/>
                      <w:color w:val="auto"/>
                      <w:kern w:val="0"/>
                      <w:sz w:val="21"/>
                      <w:szCs w:val="21"/>
                      <w:u w:val="none"/>
                      <w:lang w:val="en-US" w:eastAsia="zh-CN" w:bidi="ar"/>
                    </w:rPr>
                    <w:t>50%</w:t>
                  </w:r>
                </w:p>
              </w:tc>
              <w:tc>
                <w:tcPr>
                  <w:tcW w:w="794" w:type="dxa"/>
                  <w:tcBorders>
                    <w:tl2br w:val="nil"/>
                    <w:tr2bl w:val="nil"/>
                  </w:tcBorders>
                  <w:noWrap w:val="0"/>
                  <w:vAlign w:val="center"/>
                </w:tcPr>
                <w:p w14:paraId="1DDEA7A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30</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1004" w:type="dxa"/>
                  <w:tcBorders>
                    <w:tl2br w:val="nil"/>
                    <w:tr2bl w:val="nil"/>
                  </w:tcBorders>
                  <w:noWrap w:val="0"/>
                  <w:vAlign w:val="center"/>
                </w:tcPr>
                <w:p w14:paraId="7EC6D18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10950</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584" w:type="dxa"/>
                  <w:tcBorders>
                    <w:tl2br w:val="nil"/>
                    <w:tr2bl w:val="nil"/>
                  </w:tcBorders>
                  <w:noWrap w:val="0"/>
                  <w:vAlign w:val="center"/>
                </w:tcPr>
                <w:p w14:paraId="7CF517E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w:t>
                  </w:r>
                </w:p>
              </w:tc>
              <w:tc>
                <w:tcPr>
                  <w:tcW w:w="794" w:type="dxa"/>
                  <w:tcBorders>
                    <w:tl2br w:val="nil"/>
                    <w:tr2bl w:val="nil"/>
                  </w:tcBorders>
                  <w:noWrap w:val="0"/>
                  <w:vAlign w:val="center"/>
                </w:tcPr>
                <w:p w14:paraId="7A89EAB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eastAsia" w:ascii="Times New Roman" w:hAnsi="Times New Roman" w:eastAsia="宋体" w:cs="Times New Roman"/>
                      <w:i w:val="0"/>
                      <w:iCs w:val="0"/>
                      <w:color w:val="auto"/>
                      <w:kern w:val="0"/>
                      <w:sz w:val="21"/>
                      <w:szCs w:val="21"/>
                      <w:u w:val="none"/>
                      <w:lang w:val="en-US" w:eastAsia="zh-CN" w:bidi="ar"/>
                    </w:rPr>
                    <w:t>15</w:t>
                  </w:r>
                </w:p>
              </w:tc>
              <w:tc>
                <w:tcPr>
                  <w:tcW w:w="1004" w:type="dxa"/>
                  <w:tcBorders>
                    <w:tl2br w:val="nil"/>
                    <w:tr2bl w:val="nil"/>
                  </w:tcBorders>
                  <w:noWrap w:val="0"/>
                  <w:vAlign w:val="center"/>
                </w:tcPr>
                <w:p w14:paraId="5665DF6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5475</w:t>
                  </w:r>
                  <w:r>
                    <w:rPr>
                      <w:rFonts w:hint="default" w:ascii="Times New Roman" w:hAnsi="Times New Roman" w:eastAsia="宋体" w:cs="Times New Roman"/>
                      <w:i w:val="0"/>
                      <w:iCs w:val="0"/>
                      <w:color w:val="auto"/>
                      <w:kern w:val="0"/>
                      <w:sz w:val="21"/>
                      <w:szCs w:val="21"/>
                      <w:u w:val="none"/>
                      <w:lang w:val="en-US" w:eastAsia="zh-CN" w:bidi="ar"/>
                    </w:rPr>
                    <w:t xml:space="preserve"> </w:t>
                  </w:r>
                </w:p>
              </w:tc>
            </w:tr>
            <w:tr w14:paraId="7FA4119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30" w:hRule="atLeast"/>
                <w:jc w:val="center"/>
              </w:trPr>
              <w:tc>
                <w:tcPr>
                  <w:tcW w:w="780" w:type="dxa"/>
                  <w:vMerge w:val="continue"/>
                  <w:tcBorders>
                    <w:tl2br w:val="nil"/>
                    <w:tr2bl w:val="nil"/>
                  </w:tcBorders>
                  <w:noWrap/>
                  <w:vAlign w:val="center"/>
                </w:tcPr>
                <w:p w14:paraId="15BF82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885" w:type="dxa"/>
                  <w:tcBorders>
                    <w:tl2br w:val="nil"/>
                    <w:tr2bl w:val="nil"/>
                  </w:tcBorders>
                  <w:noWrap/>
                  <w:vAlign w:val="center"/>
                </w:tcPr>
                <w:p w14:paraId="6E16EBE0">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蒸汽用水</w:t>
                  </w:r>
                </w:p>
              </w:tc>
              <w:tc>
                <w:tcPr>
                  <w:tcW w:w="979" w:type="dxa"/>
                  <w:tcBorders>
                    <w:tl2br w:val="nil"/>
                    <w:tr2bl w:val="nil"/>
                  </w:tcBorders>
                  <w:noWrap w:val="0"/>
                  <w:vAlign w:val="center"/>
                </w:tcPr>
                <w:p w14:paraId="4D32D05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1t</w:t>
                  </w:r>
                </w:p>
              </w:tc>
              <w:tc>
                <w:tcPr>
                  <w:tcW w:w="1678" w:type="dxa"/>
                  <w:tcBorders>
                    <w:tl2br w:val="nil"/>
                    <w:tr2bl w:val="nil"/>
                  </w:tcBorders>
                  <w:noWrap/>
                  <w:vAlign w:val="center"/>
                </w:tcPr>
                <w:p w14:paraId="48711F9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1t/h</w:t>
                  </w:r>
                </w:p>
              </w:tc>
              <w:tc>
                <w:tcPr>
                  <w:tcW w:w="794" w:type="dxa"/>
                  <w:tcBorders>
                    <w:tl2br w:val="nil"/>
                    <w:tr2bl w:val="nil"/>
                  </w:tcBorders>
                  <w:noWrap w:val="0"/>
                  <w:vAlign w:val="center"/>
                </w:tcPr>
                <w:p w14:paraId="503ECD4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32.00 </w:t>
                  </w:r>
                </w:p>
              </w:tc>
              <w:tc>
                <w:tcPr>
                  <w:tcW w:w="1004" w:type="dxa"/>
                  <w:tcBorders>
                    <w:tl2br w:val="nil"/>
                    <w:tr2bl w:val="nil"/>
                  </w:tcBorders>
                  <w:noWrap w:val="0"/>
                  <w:vAlign w:val="center"/>
                </w:tcPr>
                <w:p w14:paraId="2E7F303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11680.00 </w:t>
                  </w:r>
                </w:p>
              </w:tc>
              <w:tc>
                <w:tcPr>
                  <w:tcW w:w="584" w:type="dxa"/>
                  <w:tcBorders>
                    <w:tl2br w:val="nil"/>
                    <w:tr2bl w:val="nil"/>
                  </w:tcBorders>
                  <w:noWrap w:val="0"/>
                  <w:vAlign w:val="center"/>
                </w:tcPr>
                <w:p w14:paraId="7716524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0.02 </w:t>
                  </w:r>
                </w:p>
              </w:tc>
              <w:tc>
                <w:tcPr>
                  <w:tcW w:w="794" w:type="dxa"/>
                  <w:tcBorders>
                    <w:tl2br w:val="nil"/>
                    <w:tr2bl w:val="nil"/>
                  </w:tcBorders>
                  <w:noWrap w:val="0"/>
                  <w:vAlign w:val="center"/>
                </w:tcPr>
                <w:p w14:paraId="650B54B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0.64 </w:t>
                  </w:r>
                </w:p>
              </w:tc>
              <w:tc>
                <w:tcPr>
                  <w:tcW w:w="1004" w:type="dxa"/>
                  <w:tcBorders>
                    <w:tl2br w:val="nil"/>
                    <w:tr2bl w:val="nil"/>
                  </w:tcBorders>
                  <w:noWrap w:val="0"/>
                  <w:vAlign w:val="center"/>
                </w:tcPr>
                <w:p w14:paraId="405B2CA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233.60 </w:t>
                  </w:r>
                </w:p>
              </w:tc>
            </w:tr>
            <w:tr w14:paraId="22DEF68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30" w:hRule="atLeast"/>
                <w:jc w:val="center"/>
              </w:trPr>
              <w:tc>
                <w:tcPr>
                  <w:tcW w:w="780" w:type="dxa"/>
                  <w:vMerge w:val="continue"/>
                  <w:tcBorders>
                    <w:tl2br w:val="nil"/>
                    <w:tr2bl w:val="nil"/>
                  </w:tcBorders>
                  <w:noWrap/>
                  <w:vAlign w:val="center"/>
                </w:tcPr>
                <w:p w14:paraId="749ACC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885" w:type="dxa"/>
                  <w:tcBorders>
                    <w:tl2br w:val="nil"/>
                    <w:tr2bl w:val="nil"/>
                  </w:tcBorders>
                  <w:noWrap/>
                  <w:vAlign w:val="center"/>
                </w:tcPr>
                <w:p w14:paraId="023DE17C">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清洗用水</w:t>
                  </w:r>
                </w:p>
              </w:tc>
              <w:tc>
                <w:tcPr>
                  <w:tcW w:w="979" w:type="dxa"/>
                  <w:tcBorders>
                    <w:tl2br w:val="nil"/>
                    <w:tr2bl w:val="nil"/>
                  </w:tcBorders>
                  <w:noWrap w:val="0"/>
                  <w:vAlign w:val="center"/>
                </w:tcPr>
                <w:p w14:paraId="5F452BF1">
                  <w:pPr>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sz w:val="21"/>
                      <w:szCs w:val="21"/>
                      <w:u w:val="none"/>
                      <w:lang w:val="en-US" w:eastAsia="zh-CN"/>
                    </w:rPr>
                    <w:t>/</w:t>
                  </w:r>
                </w:p>
              </w:tc>
              <w:tc>
                <w:tcPr>
                  <w:tcW w:w="1678" w:type="dxa"/>
                  <w:tcBorders>
                    <w:tl2br w:val="nil"/>
                    <w:tr2bl w:val="nil"/>
                  </w:tcBorders>
                  <w:noWrap/>
                  <w:vAlign w:val="center"/>
                </w:tcPr>
                <w:p w14:paraId="419F668E">
                  <w:pPr>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auto"/>
                      <w:sz w:val="21"/>
                      <w:szCs w:val="21"/>
                      <w:u w:val="none"/>
                      <w:lang w:val="en-US" w:eastAsia="zh-CN"/>
                    </w:rPr>
                    <w:t>/</w:t>
                  </w:r>
                </w:p>
              </w:tc>
              <w:tc>
                <w:tcPr>
                  <w:tcW w:w="794" w:type="dxa"/>
                  <w:tcBorders>
                    <w:tl2br w:val="nil"/>
                    <w:tr2bl w:val="nil"/>
                  </w:tcBorders>
                  <w:noWrap w:val="0"/>
                  <w:vAlign w:val="center"/>
                </w:tcPr>
                <w:p w14:paraId="60948A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1.38</w:t>
                  </w:r>
                </w:p>
              </w:tc>
              <w:tc>
                <w:tcPr>
                  <w:tcW w:w="1004" w:type="dxa"/>
                  <w:tcBorders>
                    <w:tl2br w:val="nil"/>
                    <w:tr2bl w:val="nil"/>
                  </w:tcBorders>
                  <w:noWrap w:val="0"/>
                  <w:vAlign w:val="center"/>
                </w:tcPr>
                <w:p w14:paraId="0CA220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503.7</w:t>
                  </w:r>
                </w:p>
              </w:tc>
              <w:tc>
                <w:tcPr>
                  <w:tcW w:w="584" w:type="dxa"/>
                  <w:tcBorders>
                    <w:tl2br w:val="nil"/>
                    <w:tr2bl w:val="nil"/>
                  </w:tcBorders>
                  <w:noWrap w:val="0"/>
                  <w:vAlign w:val="center"/>
                </w:tcPr>
                <w:p w14:paraId="11484A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w:t>
                  </w:r>
                </w:p>
              </w:tc>
              <w:tc>
                <w:tcPr>
                  <w:tcW w:w="794" w:type="dxa"/>
                  <w:tcBorders>
                    <w:tl2br w:val="nil"/>
                    <w:tr2bl w:val="nil"/>
                  </w:tcBorders>
                  <w:noWrap w:val="0"/>
                  <w:vAlign w:val="center"/>
                </w:tcPr>
                <w:p w14:paraId="363664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1.24</w:t>
                  </w:r>
                </w:p>
              </w:tc>
              <w:tc>
                <w:tcPr>
                  <w:tcW w:w="1004" w:type="dxa"/>
                  <w:tcBorders>
                    <w:tl2br w:val="nil"/>
                    <w:tr2bl w:val="nil"/>
                  </w:tcBorders>
                  <w:noWrap w:val="0"/>
                  <w:vAlign w:val="center"/>
                </w:tcPr>
                <w:p w14:paraId="460FDA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453.33</w:t>
                  </w:r>
                </w:p>
              </w:tc>
            </w:tr>
            <w:tr w14:paraId="2ECF998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55" w:hRule="atLeast"/>
                <w:jc w:val="center"/>
              </w:trPr>
              <w:tc>
                <w:tcPr>
                  <w:tcW w:w="1665" w:type="dxa"/>
                  <w:gridSpan w:val="2"/>
                  <w:tcBorders>
                    <w:tl2br w:val="nil"/>
                    <w:tr2bl w:val="nil"/>
                  </w:tcBorders>
                  <w:noWrap w:val="0"/>
                  <w:vAlign w:val="center"/>
                </w:tcPr>
                <w:p w14:paraId="679A46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职工生活用水</w:t>
                  </w:r>
                </w:p>
              </w:tc>
              <w:tc>
                <w:tcPr>
                  <w:tcW w:w="979" w:type="dxa"/>
                  <w:tcBorders>
                    <w:tl2br w:val="nil"/>
                    <w:tr2bl w:val="nil"/>
                  </w:tcBorders>
                  <w:noWrap w:val="0"/>
                  <w:vAlign w:val="center"/>
                </w:tcPr>
                <w:p w14:paraId="7A02BD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303人</w:t>
                  </w:r>
                </w:p>
              </w:tc>
              <w:tc>
                <w:tcPr>
                  <w:tcW w:w="1678" w:type="dxa"/>
                  <w:tcBorders>
                    <w:tl2br w:val="nil"/>
                    <w:tr2bl w:val="nil"/>
                  </w:tcBorders>
                  <w:noWrap w:val="0"/>
                  <w:vAlign w:val="center"/>
                </w:tcPr>
                <w:p w14:paraId="194490F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200L/</w:t>
                  </w:r>
                  <w:r>
                    <w:rPr>
                      <w:rFonts w:hint="eastAsia" w:ascii="宋体" w:hAnsi="宋体" w:eastAsia="宋体" w:cs="宋体"/>
                      <w:i w:val="0"/>
                      <w:iCs w:val="0"/>
                      <w:color w:val="auto"/>
                      <w:kern w:val="0"/>
                      <w:sz w:val="21"/>
                      <w:szCs w:val="21"/>
                      <w:u w:val="none"/>
                      <w:lang w:val="en-US" w:eastAsia="zh-CN" w:bidi="ar"/>
                    </w:rPr>
                    <w:t>人</w:t>
                  </w:r>
                  <w:r>
                    <w:rPr>
                      <w:rFonts w:hint="default" w:ascii="Times New Roman" w:hAnsi="Times New Roman" w:eastAsia="宋体" w:cs="Times New Roman"/>
                      <w:i w:val="0"/>
                      <w:iCs w:val="0"/>
                      <w:color w:val="auto"/>
                      <w:kern w:val="0"/>
                      <w:sz w:val="21"/>
                      <w:szCs w:val="21"/>
                      <w:u w:val="none"/>
                      <w:lang w:val="en-US" w:eastAsia="zh-CN" w:bidi="ar"/>
                    </w:rPr>
                    <w:t>·d</w:t>
                  </w:r>
                </w:p>
              </w:tc>
              <w:tc>
                <w:tcPr>
                  <w:tcW w:w="794" w:type="dxa"/>
                  <w:tcBorders>
                    <w:tl2br w:val="nil"/>
                    <w:tr2bl w:val="nil"/>
                  </w:tcBorders>
                  <w:noWrap w:val="0"/>
                  <w:vAlign w:val="center"/>
                </w:tcPr>
                <w:p w14:paraId="7E1ECA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60.60 </w:t>
                  </w:r>
                </w:p>
              </w:tc>
              <w:tc>
                <w:tcPr>
                  <w:tcW w:w="1004" w:type="dxa"/>
                  <w:tcBorders>
                    <w:tl2br w:val="nil"/>
                    <w:tr2bl w:val="nil"/>
                  </w:tcBorders>
                  <w:noWrap w:val="0"/>
                  <w:vAlign w:val="center"/>
                </w:tcPr>
                <w:p w14:paraId="2506C9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22119.00 </w:t>
                  </w:r>
                </w:p>
              </w:tc>
              <w:tc>
                <w:tcPr>
                  <w:tcW w:w="584" w:type="dxa"/>
                  <w:tcBorders>
                    <w:tl2br w:val="nil"/>
                    <w:tr2bl w:val="nil"/>
                  </w:tcBorders>
                  <w:noWrap w:val="0"/>
                  <w:vAlign w:val="center"/>
                </w:tcPr>
                <w:p w14:paraId="3FCB94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w:t>
                  </w:r>
                </w:p>
              </w:tc>
              <w:tc>
                <w:tcPr>
                  <w:tcW w:w="794" w:type="dxa"/>
                  <w:tcBorders>
                    <w:tl2br w:val="nil"/>
                    <w:tr2bl w:val="nil"/>
                  </w:tcBorders>
                  <w:noWrap w:val="0"/>
                  <w:vAlign w:val="center"/>
                </w:tcPr>
                <w:p w14:paraId="0E1BB6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48.48 </w:t>
                  </w:r>
                </w:p>
              </w:tc>
              <w:tc>
                <w:tcPr>
                  <w:tcW w:w="1004" w:type="dxa"/>
                  <w:tcBorders>
                    <w:tl2br w:val="nil"/>
                    <w:tr2bl w:val="nil"/>
                  </w:tcBorders>
                  <w:noWrap w:val="0"/>
                  <w:vAlign w:val="center"/>
                </w:tcPr>
                <w:p w14:paraId="584986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17695.20 </w:t>
                  </w:r>
                </w:p>
              </w:tc>
            </w:tr>
            <w:tr w14:paraId="27E744F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55" w:hRule="atLeast"/>
                <w:jc w:val="center"/>
              </w:trPr>
              <w:tc>
                <w:tcPr>
                  <w:tcW w:w="1665" w:type="dxa"/>
                  <w:gridSpan w:val="2"/>
                  <w:tcBorders>
                    <w:tl2br w:val="nil"/>
                    <w:tr2bl w:val="nil"/>
                  </w:tcBorders>
                  <w:noWrap w:val="0"/>
                  <w:vAlign w:val="center"/>
                </w:tcPr>
                <w:p w14:paraId="7111940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食堂用水</w:t>
                  </w:r>
                </w:p>
              </w:tc>
              <w:tc>
                <w:tcPr>
                  <w:tcW w:w="979" w:type="dxa"/>
                  <w:tcBorders>
                    <w:tl2br w:val="nil"/>
                    <w:tr2bl w:val="nil"/>
                  </w:tcBorders>
                  <w:noWrap w:val="0"/>
                  <w:vAlign w:val="center"/>
                </w:tcPr>
                <w:p w14:paraId="2A8AFAD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303</w:t>
                  </w:r>
                </w:p>
              </w:tc>
              <w:tc>
                <w:tcPr>
                  <w:tcW w:w="1678" w:type="dxa"/>
                  <w:tcBorders>
                    <w:tl2br w:val="nil"/>
                    <w:tr2bl w:val="nil"/>
                  </w:tcBorders>
                  <w:noWrap w:val="0"/>
                  <w:vAlign w:val="center"/>
                </w:tcPr>
                <w:p w14:paraId="37ABBB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20L/</w:t>
                  </w:r>
                  <w:r>
                    <w:rPr>
                      <w:rFonts w:hint="eastAsia" w:ascii="宋体" w:hAnsi="宋体" w:eastAsia="宋体" w:cs="宋体"/>
                      <w:i w:val="0"/>
                      <w:iCs w:val="0"/>
                      <w:color w:val="auto"/>
                      <w:kern w:val="0"/>
                      <w:sz w:val="21"/>
                      <w:szCs w:val="21"/>
                      <w:u w:val="none"/>
                      <w:lang w:val="en-US" w:eastAsia="zh-CN" w:bidi="ar"/>
                    </w:rPr>
                    <w:t>（人</w:t>
                  </w:r>
                  <w:r>
                    <w:rPr>
                      <w:rFonts w:hint="default" w:ascii="Times New Roman" w:hAnsi="Times New Roman" w:eastAsia="宋体" w:cs="Times New Roman"/>
                      <w:i w:val="0"/>
                      <w:iCs w:val="0"/>
                      <w:color w:val="auto"/>
                      <w:kern w:val="0"/>
                      <w:sz w:val="21"/>
                      <w:szCs w:val="21"/>
                      <w:u w:val="none"/>
                      <w:lang w:val="en-US" w:eastAsia="zh-CN" w:bidi="ar"/>
                    </w:rPr>
                    <w:t>·d</w:t>
                  </w:r>
                  <w:r>
                    <w:rPr>
                      <w:rFonts w:hint="eastAsia" w:ascii="宋体" w:hAnsi="宋体" w:eastAsia="宋体" w:cs="宋体"/>
                      <w:i w:val="0"/>
                      <w:iCs w:val="0"/>
                      <w:color w:val="auto"/>
                      <w:kern w:val="0"/>
                      <w:sz w:val="21"/>
                      <w:szCs w:val="21"/>
                      <w:u w:val="none"/>
                      <w:lang w:val="en-US" w:eastAsia="zh-CN" w:bidi="ar"/>
                    </w:rPr>
                    <w:t>）</w:t>
                  </w:r>
                </w:p>
              </w:tc>
              <w:tc>
                <w:tcPr>
                  <w:tcW w:w="794" w:type="dxa"/>
                  <w:tcBorders>
                    <w:tl2br w:val="nil"/>
                    <w:tr2bl w:val="nil"/>
                  </w:tcBorders>
                  <w:noWrap w:val="0"/>
                  <w:vAlign w:val="center"/>
                </w:tcPr>
                <w:p w14:paraId="10542C3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6.06 </w:t>
                  </w:r>
                </w:p>
              </w:tc>
              <w:tc>
                <w:tcPr>
                  <w:tcW w:w="1004" w:type="dxa"/>
                  <w:tcBorders>
                    <w:tl2br w:val="nil"/>
                    <w:tr2bl w:val="nil"/>
                  </w:tcBorders>
                  <w:noWrap w:val="0"/>
                  <w:vAlign w:val="center"/>
                </w:tcPr>
                <w:p w14:paraId="1A2FC9D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2211.90 </w:t>
                  </w:r>
                </w:p>
              </w:tc>
              <w:tc>
                <w:tcPr>
                  <w:tcW w:w="584" w:type="dxa"/>
                  <w:tcBorders>
                    <w:tl2br w:val="nil"/>
                    <w:tr2bl w:val="nil"/>
                  </w:tcBorders>
                  <w:noWrap w:val="0"/>
                  <w:vAlign w:val="center"/>
                </w:tcPr>
                <w:p w14:paraId="330D58D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794" w:type="dxa"/>
                  <w:tcBorders>
                    <w:tl2br w:val="nil"/>
                    <w:tr2bl w:val="nil"/>
                  </w:tcBorders>
                  <w:noWrap w:val="0"/>
                  <w:vAlign w:val="center"/>
                </w:tcPr>
                <w:p w14:paraId="15F8B0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4.85 </w:t>
                  </w:r>
                </w:p>
              </w:tc>
              <w:tc>
                <w:tcPr>
                  <w:tcW w:w="1004" w:type="dxa"/>
                  <w:tcBorders>
                    <w:tl2br w:val="nil"/>
                    <w:tr2bl w:val="nil"/>
                  </w:tcBorders>
                  <w:noWrap w:val="0"/>
                  <w:vAlign w:val="center"/>
                </w:tcPr>
                <w:p w14:paraId="12598DF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1769.52 </w:t>
                  </w:r>
                </w:p>
              </w:tc>
            </w:tr>
            <w:tr w14:paraId="30CB811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5" w:hRule="atLeast"/>
                <w:jc w:val="center"/>
              </w:trPr>
              <w:tc>
                <w:tcPr>
                  <w:tcW w:w="1665" w:type="dxa"/>
                  <w:gridSpan w:val="2"/>
                  <w:tcBorders>
                    <w:tl2br w:val="nil"/>
                    <w:tr2bl w:val="nil"/>
                  </w:tcBorders>
                  <w:noWrap w:val="0"/>
                  <w:vAlign w:val="center"/>
                </w:tcPr>
                <w:p w14:paraId="1551086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绿化用水</w:t>
                  </w:r>
                </w:p>
              </w:tc>
              <w:tc>
                <w:tcPr>
                  <w:tcW w:w="979" w:type="dxa"/>
                  <w:tcBorders>
                    <w:tl2br w:val="nil"/>
                    <w:tr2bl w:val="nil"/>
                  </w:tcBorders>
                  <w:noWrap/>
                  <w:vAlign w:val="center"/>
                </w:tcPr>
                <w:p w14:paraId="1F4B64ED">
                  <w:pPr>
                    <w:keepNext w:val="0"/>
                    <w:keepLines w:val="0"/>
                    <w:widowControl/>
                    <w:suppressLineNumbers w:val="0"/>
                    <w:jc w:val="left"/>
                    <w:textAlignment w:val="center"/>
                    <w:rPr>
                      <w:rFonts w:ascii="楷体" w:hAnsi="楷体" w:eastAsia="楷体" w:cs="楷体"/>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6303.2</w:t>
                  </w:r>
                  <w:r>
                    <w:rPr>
                      <w:rFonts w:hint="eastAsia" w:ascii="楷体" w:hAnsi="楷体" w:eastAsia="楷体" w:cs="楷体"/>
                      <w:i w:val="0"/>
                      <w:iCs w:val="0"/>
                      <w:color w:val="auto"/>
                      <w:kern w:val="0"/>
                      <w:sz w:val="21"/>
                      <w:szCs w:val="21"/>
                      <w:u w:val="none"/>
                      <w:lang w:val="en-US" w:eastAsia="zh-CN" w:bidi="ar"/>
                    </w:rPr>
                    <w:t>m</w:t>
                  </w:r>
                  <w:r>
                    <w:rPr>
                      <w:rFonts w:hint="eastAsia" w:ascii="楷体" w:hAnsi="楷体" w:eastAsia="楷体" w:cs="楷体"/>
                      <w:i w:val="0"/>
                      <w:iCs w:val="0"/>
                      <w:color w:val="auto"/>
                      <w:kern w:val="0"/>
                      <w:sz w:val="21"/>
                      <w:szCs w:val="21"/>
                      <w:u w:val="none"/>
                      <w:vertAlign w:val="superscript"/>
                      <w:lang w:val="en-US" w:eastAsia="zh-CN" w:bidi="ar"/>
                    </w:rPr>
                    <w:t>2</w:t>
                  </w:r>
                </w:p>
              </w:tc>
              <w:tc>
                <w:tcPr>
                  <w:tcW w:w="1678" w:type="dxa"/>
                  <w:tcBorders>
                    <w:tl2br w:val="nil"/>
                    <w:tr2bl w:val="nil"/>
                  </w:tcBorders>
                  <w:noWrap w:val="0"/>
                  <w:vAlign w:val="center"/>
                </w:tcPr>
                <w:p w14:paraId="603F2F4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1.0L/m</w:t>
                  </w:r>
                  <w:r>
                    <w:rPr>
                      <w:rFonts w:hint="default" w:ascii="Times New Roman" w:hAnsi="Times New Roman" w:eastAsia="宋体" w:cs="Times New Roman"/>
                      <w:i w:val="0"/>
                      <w:iCs w:val="0"/>
                      <w:color w:val="auto"/>
                      <w:kern w:val="0"/>
                      <w:sz w:val="21"/>
                      <w:szCs w:val="21"/>
                      <w:u w:val="none"/>
                      <w:vertAlign w:val="superscript"/>
                      <w:lang w:val="en-US" w:eastAsia="zh-CN" w:bidi="ar"/>
                    </w:rPr>
                    <w:t>2</w:t>
                  </w:r>
                  <w:r>
                    <w:rPr>
                      <w:rFonts w:hint="default" w:ascii="Times New Roman" w:hAnsi="Times New Roman" w:eastAsia="宋体" w:cs="Times New Roman"/>
                      <w:i w:val="0"/>
                      <w:iCs w:val="0"/>
                      <w:color w:val="auto"/>
                      <w:kern w:val="0"/>
                      <w:sz w:val="21"/>
                      <w:szCs w:val="21"/>
                      <w:u w:val="none"/>
                      <w:lang w:val="en-US" w:eastAsia="zh-CN" w:bidi="ar"/>
                    </w:rPr>
                    <w:t>·d</w:t>
                  </w:r>
                </w:p>
              </w:tc>
              <w:tc>
                <w:tcPr>
                  <w:tcW w:w="794" w:type="dxa"/>
                  <w:tcBorders>
                    <w:tl2br w:val="nil"/>
                    <w:tr2bl w:val="nil"/>
                  </w:tcBorders>
                  <w:noWrap w:val="0"/>
                  <w:vAlign w:val="center"/>
                </w:tcPr>
                <w:p w14:paraId="093EDC4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3.799</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1004" w:type="dxa"/>
                  <w:tcBorders>
                    <w:tl2br w:val="nil"/>
                    <w:tr2bl w:val="nil"/>
                  </w:tcBorders>
                  <w:noWrap w:val="0"/>
                  <w:vAlign w:val="center"/>
                </w:tcPr>
                <w:p w14:paraId="7BAD6E6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1386.64</w:t>
                  </w:r>
                </w:p>
              </w:tc>
              <w:tc>
                <w:tcPr>
                  <w:tcW w:w="584" w:type="dxa"/>
                  <w:tcBorders>
                    <w:tl2br w:val="nil"/>
                    <w:tr2bl w:val="nil"/>
                  </w:tcBorders>
                  <w:noWrap w:val="0"/>
                  <w:vAlign w:val="center"/>
                </w:tcPr>
                <w:p w14:paraId="2926313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794" w:type="dxa"/>
                  <w:tcBorders>
                    <w:tl2br w:val="nil"/>
                    <w:tr2bl w:val="nil"/>
                  </w:tcBorders>
                  <w:noWrap w:val="0"/>
                  <w:vAlign w:val="center"/>
                </w:tcPr>
                <w:p w14:paraId="66BC8D7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蒸发、损耗</w:t>
                  </w:r>
                </w:p>
              </w:tc>
              <w:tc>
                <w:tcPr>
                  <w:tcW w:w="1004" w:type="dxa"/>
                  <w:tcBorders>
                    <w:tl2br w:val="nil"/>
                    <w:tr2bl w:val="nil"/>
                  </w:tcBorders>
                  <w:noWrap w:val="0"/>
                  <w:vAlign w:val="center"/>
                </w:tcPr>
                <w:p w14:paraId="1C827E1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 xml:space="preserve"> </w:t>
                  </w:r>
                </w:p>
              </w:tc>
            </w:tr>
            <w:tr w14:paraId="77474E1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00" w:hRule="atLeast"/>
                <w:jc w:val="center"/>
              </w:trPr>
              <w:tc>
                <w:tcPr>
                  <w:tcW w:w="1665" w:type="dxa"/>
                  <w:gridSpan w:val="2"/>
                  <w:tcBorders>
                    <w:tl2br w:val="nil"/>
                    <w:tr2bl w:val="nil"/>
                  </w:tcBorders>
                  <w:noWrap w:val="0"/>
                  <w:vAlign w:val="center"/>
                </w:tcPr>
                <w:p w14:paraId="770AE7B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合计</w:t>
                  </w:r>
                </w:p>
              </w:tc>
              <w:tc>
                <w:tcPr>
                  <w:tcW w:w="979" w:type="dxa"/>
                  <w:tcBorders>
                    <w:tl2br w:val="nil"/>
                    <w:tr2bl w:val="nil"/>
                  </w:tcBorders>
                  <w:noWrap w:val="0"/>
                  <w:vAlign w:val="center"/>
                </w:tcPr>
                <w:p w14:paraId="6837A84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678" w:type="dxa"/>
                  <w:tcBorders>
                    <w:tl2br w:val="nil"/>
                    <w:tr2bl w:val="nil"/>
                  </w:tcBorders>
                  <w:noWrap w:val="0"/>
                  <w:vAlign w:val="center"/>
                </w:tcPr>
                <w:p w14:paraId="1F29058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794" w:type="dxa"/>
                  <w:tcBorders>
                    <w:tl2br w:val="nil"/>
                    <w:tr2bl w:val="nil"/>
                  </w:tcBorders>
                  <w:noWrap w:val="0"/>
                  <w:vAlign w:val="center"/>
                </w:tcPr>
                <w:p w14:paraId="0451D5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269.17 </w:t>
                  </w:r>
                </w:p>
              </w:tc>
              <w:tc>
                <w:tcPr>
                  <w:tcW w:w="1004" w:type="dxa"/>
                  <w:tcBorders>
                    <w:tl2br w:val="nil"/>
                    <w:tr2bl w:val="nil"/>
                  </w:tcBorders>
                  <w:noWrap w:val="0"/>
                  <w:vAlign w:val="center"/>
                </w:tcPr>
                <w:p w14:paraId="487B613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98246.69 </w:t>
                  </w:r>
                </w:p>
              </w:tc>
              <w:tc>
                <w:tcPr>
                  <w:tcW w:w="584" w:type="dxa"/>
                  <w:tcBorders>
                    <w:tl2br w:val="nil"/>
                    <w:tr2bl w:val="nil"/>
                  </w:tcBorders>
                  <w:noWrap w:val="0"/>
                  <w:vAlign w:val="center"/>
                </w:tcPr>
                <w:p w14:paraId="1EF493A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794" w:type="dxa"/>
                  <w:tcBorders>
                    <w:tl2br w:val="nil"/>
                    <w:tr2bl w:val="nil"/>
                  </w:tcBorders>
                  <w:noWrap/>
                  <w:vAlign w:val="center"/>
                </w:tcPr>
                <w:p w14:paraId="160F58C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178.47</w:t>
                  </w:r>
                </w:p>
              </w:tc>
              <w:tc>
                <w:tcPr>
                  <w:tcW w:w="1004" w:type="dxa"/>
                  <w:tcBorders>
                    <w:tl2br w:val="nil"/>
                    <w:tr2bl w:val="nil"/>
                  </w:tcBorders>
                  <w:noWrap w:val="0"/>
                  <w:vAlign w:val="center"/>
                </w:tcPr>
                <w:p w14:paraId="5B88A68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 xml:space="preserve">65143.01 </w:t>
                  </w:r>
                </w:p>
              </w:tc>
            </w:tr>
          </w:tbl>
          <w:p w14:paraId="1F39F91F">
            <w:pPr>
              <w:keepNext w:val="0"/>
              <w:keepLines w:val="0"/>
              <w:widowControl/>
              <w:suppressLineNumbers w:val="0"/>
              <w:ind w:firstLine="400" w:firstLineChars="200"/>
              <w:jc w:val="left"/>
              <w:rPr>
                <w:rFonts w:hint="eastAsia" w:ascii="宋体" w:hAnsi="宋体" w:eastAsia="宋体" w:cs="宋体"/>
                <w:color w:val="auto"/>
                <w:kern w:val="0"/>
                <w:sz w:val="20"/>
                <w:szCs w:val="20"/>
                <w:lang w:val="en-US" w:eastAsia="zh-CN" w:bidi="ar"/>
              </w:rPr>
            </w:pPr>
          </w:p>
          <w:p w14:paraId="65C30CC0">
            <w:pPr>
              <w:pStyle w:val="16"/>
              <w:numPr>
                <w:ilvl w:val="0"/>
                <w:numId w:val="5"/>
              </w:numPr>
              <w:ind w:left="0" w:leftChars="0" w:firstLine="482"/>
              <w:rPr>
                <w:rFonts w:hint="default" w:ascii="宋体" w:hAnsi="宋体" w:eastAsia="宋体" w:cs="宋体"/>
                <w:color w:val="auto"/>
                <w:kern w:val="0"/>
                <w:sz w:val="24"/>
                <w:szCs w:val="24"/>
                <w:lang w:val="en-US" w:eastAsia="zh-CN" w:bidi="ar"/>
              </w:rPr>
            </w:pPr>
            <w:r>
              <w:rPr>
                <w:rFonts w:hint="eastAsia"/>
                <w:b/>
                <w:color w:val="auto"/>
                <w:szCs w:val="24"/>
              </w:rPr>
              <w:t>废水</w:t>
            </w:r>
            <w:r>
              <w:rPr>
                <w:rFonts w:hint="eastAsia"/>
                <w:b/>
                <w:color w:val="auto"/>
                <w:szCs w:val="24"/>
                <w:lang w:val="en-US" w:eastAsia="zh-CN"/>
              </w:rPr>
              <w:t>水质</w:t>
            </w:r>
            <w:r>
              <w:rPr>
                <w:rFonts w:hint="eastAsia"/>
                <w:b/>
                <w:color w:val="auto"/>
                <w:szCs w:val="24"/>
              </w:rPr>
              <w:t>分析</w:t>
            </w:r>
          </w:p>
          <w:p w14:paraId="0225F5C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①医疗废水</w:t>
            </w:r>
          </w:p>
          <w:p w14:paraId="63CD327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firstLineChars="200"/>
              <w:jc w:val="left"/>
              <w:rPr>
                <w:rFonts w:hint="default"/>
                <w:color w:val="auto"/>
                <w:sz w:val="24"/>
                <w:szCs w:val="24"/>
                <w:lang w:val="en-US"/>
              </w:rPr>
            </w:pPr>
            <w:r>
              <w:rPr>
                <w:rFonts w:hint="default" w:ascii="宋体" w:hAnsi="宋体" w:eastAsia="宋体" w:cs="宋体"/>
                <w:color w:val="auto"/>
                <w:kern w:val="0"/>
                <w:sz w:val="24"/>
                <w:szCs w:val="24"/>
                <w:lang w:val="en-US" w:eastAsia="zh-CN" w:bidi="ar"/>
              </w:rPr>
              <w:t>医院废水水质</w:t>
            </w:r>
            <w:r>
              <w:rPr>
                <w:rFonts w:hint="eastAsia" w:ascii="宋体" w:hAnsi="宋体" w:eastAsia="宋体" w:cs="宋体"/>
                <w:color w:val="auto"/>
                <w:kern w:val="0"/>
                <w:sz w:val="24"/>
                <w:szCs w:val="24"/>
                <w:lang w:val="en-US" w:eastAsia="zh-CN" w:bidi="ar"/>
              </w:rPr>
              <w:t>参照《医院污水处理工程技术指南》 （</w:t>
            </w:r>
            <w:r>
              <w:rPr>
                <w:rFonts w:hint="default" w:ascii="Times New Roman" w:hAnsi="Times New Roman" w:eastAsia="宋体" w:cs="Times New Roman"/>
                <w:color w:val="auto"/>
                <w:kern w:val="0"/>
                <w:sz w:val="24"/>
                <w:szCs w:val="24"/>
                <w:lang w:val="en-US" w:eastAsia="zh-CN" w:bidi="ar"/>
              </w:rPr>
              <w:t>HJ2029-2013</w:t>
            </w:r>
            <w:r>
              <w:rPr>
                <w:rFonts w:hint="eastAsia" w:ascii="宋体" w:hAnsi="宋体" w:eastAsia="宋体" w:cs="宋体"/>
                <w:color w:val="auto"/>
                <w:kern w:val="0"/>
                <w:sz w:val="24"/>
                <w:szCs w:val="24"/>
                <w:lang w:val="en-US" w:eastAsia="zh-CN" w:bidi="ar"/>
              </w:rPr>
              <w:t xml:space="preserve">）表 </w:t>
            </w:r>
            <w:r>
              <w:rPr>
                <w:rFonts w:hint="default" w:ascii="Times New Roman" w:hAnsi="Times New Roman" w:eastAsia="宋体" w:cs="Times New Roman"/>
                <w:color w:val="auto"/>
                <w:kern w:val="0"/>
                <w:sz w:val="24"/>
                <w:szCs w:val="24"/>
                <w:lang w:val="en-US" w:eastAsia="zh-CN" w:bidi="ar"/>
              </w:rPr>
              <w:t xml:space="preserve">1 </w:t>
            </w:r>
            <w:r>
              <w:rPr>
                <w:rFonts w:hint="eastAsia" w:ascii="宋体" w:hAnsi="宋体" w:eastAsia="宋体" w:cs="宋体"/>
                <w:color w:val="auto"/>
                <w:kern w:val="0"/>
                <w:sz w:val="24"/>
                <w:szCs w:val="24"/>
                <w:lang w:val="en-US" w:eastAsia="zh-CN" w:bidi="ar"/>
              </w:rPr>
              <w:t>中的</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医院污水水质指标参考数据</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w:t>
            </w:r>
          </w:p>
          <w:p w14:paraId="30BF5667">
            <w:pPr>
              <w:spacing w:line="360" w:lineRule="auto"/>
              <w:ind w:firstLine="482" w:firstLineChars="200"/>
              <w:jc w:val="center"/>
              <w:rPr>
                <w:rFonts w:ascii="Times New Roman" w:hAnsi="Times New Roman" w:eastAsia="宋体" w:cs="Times New Roman"/>
                <w:b/>
                <w:bCs/>
                <w:color w:val="auto"/>
                <w:sz w:val="24"/>
              </w:rPr>
            </w:pPr>
            <w:r>
              <w:rPr>
                <w:rFonts w:ascii="Times New Roman" w:hAnsi="Times New Roman" w:eastAsia="宋体" w:cs="Times New Roman"/>
                <w:b/>
                <w:bCs/>
                <w:color w:val="auto"/>
                <w:sz w:val="24"/>
                <w:lang w:val="en-US" w:eastAsia="zh-CN"/>
              </w:rPr>
              <w:t>表</w:t>
            </w:r>
            <w:r>
              <w:rPr>
                <w:rFonts w:hint="default" w:ascii="Times New Roman" w:hAnsi="Times New Roman" w:eastAsia="宋体" w:cs="Times New Roman"/>
                <w:b/>
                <w:bCs/>
                <w:color w:val="auto"/>
                <w:sz w:val="24"/>
                <w:lang w:val="en-US" w:eastAsia="zh-CN"/>
              </w:rPr>
              <w:t>4</w:t>
            </w:r>
            <w:r>
              <w:rPr>
                <w:rFonts w:hint="eastAsia" w:ascii="Times New Roman" w:hAnsi="Times New Roman" w:eastAsia="宋体" w:cs="Times New Roman"/>
                <w:b/>
                <w:bCs/>
                <w:color w:val="auto"/>
                <w:sz w:val="24"/>
                <w:lang w:val="en-US" w:eastAsia="zh-CN"/>
              </w:rPr>
              <w:t>.2-2</w:t>
            </w:r>
            <w:r>
              <w:rPr>
                <w:rFonts w:hint="default" w:ascii="Times New Roman" w:hAnsi="Times New Roman" w:eastAsia="宋体" w:cs="Times New Roman"/>
                <w:b/>
                <w:bCs/>
                <w:color w:val="auto"/>
                <w:sz w:val="24"/>
                <w:lang w:val="en-US" w:eastAsia="zh-CN"/>
              </w:rPr>
              <w:t xml:space="preserve"> </w:t>
            </w:r>
            <w:r>
              <w:rPr>
                <w:rFonts w:hint="eastAsia" w:ascii="Times New Roman" w:hAnsi="Times New Roman" w:eastAsia="宋体" w:cs="Times New Roman"/>
                <w:b/>
                <w:bCs/>
                <w:color w:val="auto"/>
                <w:sz w:val="24"/>
                <w:lang w:val="en-US" w:eastAsia="zh-CN"/>
              </w:rPr>
              <w:t>医院污水水质指标参考数据 单位：</w:t>
            </w:r>
            <w:r>
              <w:rPr>
                <w:rFonts w:hint="default" w:ascii="Times New Roman" w:hAnsi="Times New Roman" w:eastAsia="宋体" w:cs="Times New Roman"/>
                <w:b/>
                <w:bCs/>
                <w:color w:val="auto"/>
                <w:sz w:val="24"/>
                <w:lang w:val="en-US" w:eastAsia="zh-CN"/>
              </w:rPr>
              <w:t>mg/L</w:t>
            </w:r>
          </w:p>
          <w:tbl>
            <w:tblPr>
              <w:tblStyle w:val="41"/>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431"/>
              <w:gridCol w:w="2013"/>
              <w:gridCol w:w="1150"/>
              <w:gridCol w:w="1284"/>
              <w:gridCol w:w="1368"/>
              <w:gridCol w:w="1265"/>
            </w:tblGrid>
            <w:tr w14:paraId="2662CA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40" w:type="pct"/>
                  <w:noWrap w:val="0"/>
                  <w:vAlign w:val="center"/>
                </w:tcPr>
                <w:p w14:paraId="28F18B00">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污染物</w:t>
                  </w:r>
                </w:p>
              </w:tc>
              <w:tc>
                <w:tcPr>
                  <w:tcW w:w="1182" w:type="pct"/>
                  <w:noWrap w:val="0"/>
                  <w:vAlign w:val="center"/>
                </w:tcPr>
                <w:p w14:paraId="2FDB29DA">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粪大肠菌群数</w:t>
                  </w:r>
                </w:p>
              </w:tc>
              <w:tc>
                <w:tcPr>
                  <w:tcW w:w="675" w:type="pct"/>
                  <w:noWrap w:val="0"/>
                  <w:vAlign w:val="center"/>
                </w:tcPr>
                <w:p w14:paraId="7E4C32AC">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COD</w:t>
                  </w:r>
                </w:p>
              </w:tc>
              <w:tc>
                <w:tcPr>
                  <w:tcW w:w="754" w:type="pct"/>
                  <w:noWrap w:val="0"/>
                  <w:vAlign w:val="center"/>
                </w:tcPr>
                <w:p w14:paraId="1AD29FDE">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BOD</w:t>
                  </w:r>
                  <w:r>
                    <w:rPr>
                      <w:rFonts w:hint="default" w:ascii="Times New Roman" w:hAnsi="Times New Roman" w:eastAsia="宋体" w:cs="Times New Roman"/>
                      <w:color w:val="auto"/>
                      <w:kern w:val="2"/>
                      <w:sz w:val="21"/>
                      <w:szCs w:val="21"/>
                      <w:highlight w:val="none"/>
                      <w:vertAlign w:val="subscript"/>
                      <w:lang w:val="en-US" w:eastAsia="zh-CN" w:bidi="ar-SA"/>
                    </w:rPr>
                    <w:t>5</w:t>
                  </w:r>
                </w:p>
              </w:tc>
              <w:tc>
                <w:tcPr>
                  <w:tcW w:w="803" w:type="pct"/>
                  <w:noWrap w:val="0"/>
                  <w:vAlign w:val="center"/>
                </w:tcPr>
                <w:p w14:paraId="10B4269B">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SS</w:t>
                  </w:r>
                </w:p>
              </w:tc>
              <w:tc>
                <w:tcPr>
                  <w:tcW w:w="743" w:type="pct"/>
                  <w:noWrap w:val="0"/>
                  <w:vAlign w:val="center"/>
                </w:tcPr>
                <w:p w14:paraId="1E523D40">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NH3-N</w:t>
                  </w:r>
                </w:p>
              </w:tc>
            </w:tr>
            <w:tr w14:paraId="1450BF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40" w:type="pct"/>
                  <w:noWrap w:val="0"/>
                  <w:vAlign w:val="center"/>
                </w:tcPr>
                <w:p w14:paraId="7D4E9DE4">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浓度范围</w:t>
                  </w:r>
                </w:p>
              </w:tc>
              <w:tc>
                <w:tcPr>
                  <w:tcW w:w="1182" w:type="pct"/>
                  <w:noWrap w:val="0"/>
                  <w:vAlign w:val="center"/>
                </w:tcPr>
                <w:p w14:paraId="07A8B833">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1.0×10 </w:t>
                  </w:r>
                  <w:r>
                    <w:rPr>
                      <w:rFonts w:hint="default" w:ascii="Times New Roman" w:hAnsi="Times New Roman" w:eastAsia="宋体" w:cs="Times New Roman"/>
                      <w:color w:val="auto"/>
                      <w:kern w:val="2"/>
                      <w:sz w:val="21"/>
                      <w:szCs w:val="21"/>
                      <w:highlight w:val="none"/>
                      <w:vertAlign w:val="superscript"/>
                      <w:lang w:val="en-US" w:eastAsia="zh-CN" w:bidi="ar-SA"/>
                    </w:rPr>
                    <w:t>6</w:t>
                  </w:r>
                  <w:r>
                    <w:rPr>
                      <w:rFonts w:hint="default" w:ascii="Times New Roman" w:hAnsi="Times New Roman" w:eastAsia="宋体" w:cs="Times New Roman"/>
                      <w:color w:val="auto"/>
                      <w:kern w:val="2"/>
                      <w:sz w:val="21"/>
                      <w:szCs w:val="21"/>
                      <w:highlight w:val="none"/>
                      <w:lang w:val="en-US" w:eastAsia="zh-CN" w:bidi="ar-SA"/>
                    </w:rPr>
                    <w:t xml:space="preserve">~3.0×10 </w:t>
                  </w:r>
                  <w:r>
                    <w:rPr>
                      <w:rFonts w:hint="default" w:ascii="Times New Roman" w:hAnsi="Times New Roman" w:eastAsia="宋体" w:cs="Times New Roman"/>
                      <w:color w:val="auto"/>
                      <w:kern w:val="2"/>
                      <w:sz w:val="21"/>
                      <w:szCs w:val="21"/>
                      <w:highlight w:val="none"/>
                      <w:vertAlign w:val="superscript"/>
                      <w:lang w:val="en-US" w:eastAsia="zh-CN" w:bidi="ar-SA"/>
                    </w:rPr>
                    <w:t>8</w:t>
                  </w:r>
                  <w:r>
                    <w:rPr>
                      <w:rFonts w:hint="default" w:ascii="Times New Roman" w:hAnsi="Times New Roman" w:eastAsia="宋体" w:cs="Times New Roman"/>
                      <w:color w:val="auto"/>
                      <w:kern w:val="2"/>
                      <w:sz w:val="21"/>
                      <w:szCs w:val="21"/>
                      <w:highlight w:val="none"/>
                      <w:lang w:val="en-US" w:eastAsia="zh-CN" w:bidi="ar-SA"/>
                    </w:rPr>
                    <w:t xml:space="preserve"> </w:t>
                  </w:r>
                </w:p>
                <w:p w14:paraId="37673BBC">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个</w:t>
                  </w:r>
                </w:p>
              </w:tc>
              <w:tc>
                <w:tcPr>
                  <w:tcW w:w="675" w:type="pct"/>
                  <w:noWrap w:val="0"/>
                  <w:vAlign w:val="center"/>
                </w:tcPr>
                <w:p w14:paraId="4A848FA0">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150~300</w:t>
                  </w:r>
                </w:p>
              </w:tc>
              <w:tc>
                <w:tcPr>
                  <w:tcW w:w="754" w:type="pct"/>
                  <w:noWrap w:val="0"/>
                  <w:vAlign w:val="center"/>
                </w:tcPr>
                <w:p w14:paraId="37C60334">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80~150</w:t>
                  </w:r>
                </w:p>
              </w:tc>
              <w:tc>
                <w:tcPr>
                  <w:tcW w:w="803" w:type="pct"/>
                  <w:noWrap w:val="0"/>
                  <w:vAlign w:val="center"/>
                </w:tcPr>
                <w:p w14:paraId="27C3001A">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40~120</w:t>
                  </w:r>
                </w:p>
              </w:tc>
              <w:tc>
                <w:tcPr>
                  <w:tcW w:w="743" w:type="pct"/>
                  <w:noWrap w:val="0"/>
                  <w:vAlign w:val="center"/>
                </w:tcPr>
                <w:p w14:paraId="78C60A27">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10~50</w:t>
                  </w:r>
                </w:p>
              </w:tc>
            </w:tr>
            <w:tr w14:paraId="6AB765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40" w:type="pct"/>
                  <w:noWrap w:val="0"/>
                  <w:vAlign w:val="center"/>
                </w:tcPr>
                <w:p w14:paraId="74309BFC">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本项目取值</w:t>
                  </w:r>
                </w:p>
              </w:tc>
              <w:tc>
                <w:tcPr>
                  <w:tcW w:w="1182" w:type="pct"/>
                  <w:noWrap w:val="0"/>
                  <w:vAlign w:val="center"/>
                </w:tcPr>
                <w:p w14:paraId="0064891F">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1.6×10 </w:t>
                  </w:r>
                  <w:r>
                    <w:rPr>
                      <w:rFonts w:hint="default" w:ascii="Times New Roman" w:hAnsi="Times New Roman" w:eastAsia="宋体" w:cs="Times New Roman"/>
                      <w:color w:val="auto"/>
                      <w:kern w:val="2"/>
                      <w:sz w:val="21"/>
                      <w:szCs w:val="21"/>
                      <w:highlight w:val="none"/>
                      <w:vertAlign w:val="superscript"/>
                      <w:lang w:val="en-US" w:eastAsia="zh-CN" w:bidi="ar-SA"/>
                    </w:rPr>
                    <w:t>8</w:t>
                  </w:r>
                  <w:r>
                    <w:rPr>
                      <w:rFonts w:hint="default" w:ascii="Times New Roman" w:hAnsi="Times New Roman" w:eastAsia="宋体" w:cs="Times New Roman"/>
                      <w:color w:val="auto"/>
                      <w:kern w:val="2"/>
                      <w:sz w:val="21"/>
                      <w:szCs w:val="21"/>
                      <w:highlight w:val="none"/>
                      <w:lang w:val="en-US" w:eastAsia="zh-CN" w:bidi="ar-SA"/>
                    </w:rPr>
                    <w:t>个</w:t>
                  </w:r>
                </w:p>
              </w:tc>
              <w:tc>
                <w:tcPr>
                  <w:tcW w:w="1151" w:type="dxa"/>
                  <w:noWrap w:val="0"/>
                  <w:vAlign w:val="center"/>
                </w:tcPr>
                <w:p w14:paraId="0A43C9C0">
                  <w:pPr>
                    <w:widowControl/>
                    <w:spacing w:line="340" w:lineRule="exact"/>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rPr>
                    <w:t>250</w:t>
                  </w:r>
                </w:p>
              </w:tc>
              <w:tc>
                <w:tcPr>
                  <w:tcW w:w="1285" w:type="dxa"/>
                  <w:noWrap w:val="0"/>
                  <w:vAlign w:val="center"/>
                </w:tcPr>
                <w:p w14:paraId="57F282DC">
                  <w:pPr>
                    <w:widowControl/>
                    <w:spacing w:line="340" w:lineRule="exact"/>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rPr>
                    <w:t>100</w:t>
                  </w:r>
                </w:p>
              </w:tc>
              <w:tc>
                <w:tcPr>
                  <w:tcW w:w="1369" w:type="dxa"/>
                  <w:noWrap w:val="0"/>
                  <w:vAlign w:val="center"/>
                </w:tcPr>
                <w:p w14:paraId="76FBC6DF">
                  <w:pPr>
                    <w:widowControl/>
                    <w:spacing w:line="340" w:lineRule="exact"/>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rPr>
                    <w:t>80</w:t>
                  </w:r>
                </w:p>
              </w:tc>
              <w:tc>
                <w:tcPr>
                  <w:tcW w:w="743" w:type="pct"/>
                  <w:noWrap w:val="0"/>
                  <w:vAlign w:val="center"/>
                </w:tcPr>
                <w:p w14:paraId="01D42C1C">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r>
          </w:tbl>
          <w:p w14:paraId="1E19700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②生活污水</w:t>
            </w:r>
          </w:p>
          <w:p w14:paraId="4E2892E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0"/>
                <w:sz w:val="24"/>
                <w:szCs w:val="24"/>
                <w:lang w:val="en-US" w:eastAsia="zh-CN" w:bidi="ar"/>
              </w:rPr>
            </w:pPr>
            <w:r>
              <w:rPr>
                <w:rFonts w:hint="default" w:ascii="宋体" w:hAnsi="宋体" w:eastAsia="宋体" w:cs="宋体"/>
                <w:color w:val="auto"/>
                <w:kern w:val="0"/>
                <w:sz w:val="24"/>
                <w:szCs w:val="24"/>
                <w:lang w:val="en-US" w:eastAsia="zh-CN" w:bidi="ar"/>
              </w:rPr>
              <w:t>根据《排放源统计调查产排污核算方法和系数手册-生活源产排污核算系数手册》 及相关经验系数，典型生活污</w:t>
            </w:r>
            <w:r>
              <w:rPr>
                <w:rFonts w:hint="default" w:ascii="Times New Roman" w:hAnsi="Times New Roman" w:eastAsia="宋体" w:cs="Times New Roman"/>
                <w:color w:val="auto"/>
                <w:kern w:val="0"/>
                <w:sz w:val="24"/>
                <w:szCs w:val="24"/>
                <w:lang w:val="en-US" w:eastAsia="zh-CN" w:bidi="ar"/>
              </w:rPr>
              <w:t>水的污染物浓度为COD 340mg/L，BOD</w:t>
            </w:r>
            <w:r>
              <w:rPr>
                <w:rFonts w:hint="default" w:ascii="Times New Roman" w:hAnsi="Times New Roman" w:eastAsia="宋体" w:cs="Times New Roman"/>
                <w:color w:val="auto"/>
                <w:kern w:val="0"/>
                <w:sz w:val="24"/>
                <w:szCs w:val="24"/>
                <w:vertAlign w:val="subscript"/>
                <w:lang w:val="en-US" w:eastAsia="zh-CN" w:bidi="ar"/>
              </w:rPr>
              <w:t>5</w:t>
            </w:r>
            <w:r>
              <w:rPr>
                <w:rFonts w:hint="default" w:ascii="Times New Roman" w:hAnsi="Times New Roman" w:eastAsia="宋体" w:cs="Times New Roman"/>
                <w:color w:val="auto"/>
                <w:kern w:val="0"/>
                <w:sz w:val="24"/>
                <w:szCs w:val="24"/>
                <w:lang w:val="en-US" w:eastAsia="zh-CN" w:bidi="ar"/>
              </w:rPr>
              <w:t xml:space="preserve"> 180mg/L，SS 200mg/L，NH</w:t>
            </w:r>
            <w:r>
              <w:rPr>
                <w:rFonts w:hint="default" w:ascii="Times New Roman" w:hAnsi="Times New Roman" w:eastAsia="宋体" w:cs="Times New Roman"/>
                <w:color w:val="auto"/>
                <w:kern w:val="0"/>
                <w:sz w:val="24"/>
                <w:szCs w:val="24"/>
                <w:vertAlign w:val="subscript"/>
                <w:lang w:val="en-US" w:eastAsia="zh-CN" w:bidi="ar"/>
              </w:rPr>
              <w:t>3</w:t>
            </w:r>
            <w:r>
              <w:rPr>
                <w:rFonts w:hint="default" w:ascii="Times New Roman" w:hAnsi="Times New Roman" w:eastAsia="宋体" w:cs="Times New Roman"/>
                <w:color w:val="auto"/>
                <w:kern w:val="0"/>
                <w:sz w:val="24"/>
                <w:szCs w:val="24"/>
                <w:lang w:val="en-US" w:eastAsia="zh-CN" w:bidi="ar"/>
              </w:rPr>
              <w:t>-N 35mg/L。</w:t>
            </w:r>
          </w:p>
          <w:p w14:paraId="11BF79B3">
            <w:pPr>
              <w:pStyle w:val="23"/>
              <w:keepNext w:val="0"/>
              <w:keepLines w:val="0"/>
              <w:pageBreakBefore w:val="0"/>
              <w:widowControl w:val="0"/>
              <w:numPr>
                <w:ilvl w:val="0"/>
                <w:numId w:val="0"/>
              </w:numPr>
              <w:kinsoku/>
              <w:wordWrap w:val="0"/>
              <w:overflowPunct/>
              <w:topLinePunct/>
              <w:autoSpaceDE/>
              <w:autoSpaceDN/>
              <w:bidi w:val="0"/>
              <w:adjustRightInd w:val="0"/>
              <w:snapToGrid/>
              <w:ind w:left="0" w:leftChars="0" w:right="0" w:rightChars="0" w:firstLine="480" w:firstLineChars="200"/>
              <w:textAlignment w:val="baseline"/>
              <w:rPr>
                <w:rFonts w:hint="eastAsia" w:eastAsia="宋体" w:cs="Times New Roman"/>
                <w:b w:val="0"/>
                <w:bCs w:val="0"/>
                <w:color w:val="auto"/>
                <w:sz w:val="24"/>
                <w:highlight w:val="none"/>
                <w:lang w:val="en-US" w:eastAsia="zh-CN"/>
              </w:rPr>
            </w:pPr>
            <w:r>
              <w:rPr>
                <w:rFonts w:hint="eastAsia" w:ascii="宋体" w:hAnsi="宋体" w:eastAsia="宋体" w:cs="宋体"/>
                <w:color w:val="auto"/>
                <w:kern w:val="0"/>
                <w:sz w:val="24"/>
                <w:szCs w:val="24"/>
                <w:lang w:val="en-US" w:eastAsia="zh-CN" w:bidi="ar"/>
              </w:rPr>
              <w:t>③</w:t>
            </w:r>
            <w:r>
              <w:rPr>
                <w:rFonts w:hint="eastAsia" w:eastAsia="宋体" w:cs="Times New Roman"/>
                <w:b w:val="0"/>
                <w:bCs w:val="0"/>
                <w:color w:val="auto"/>
                <w:sz w:val="24"/>
                <w:highlight w:val="none"/>
                <w:lang w:val="en-US" w:eastAsia="zh-CN"/>
              </w:rPr>
              <w:t>食堂废水</w:t>
            </w:r>
          </w:p>
          <w:p w14:paraId="3C3312F5">
            <w:pPr>
              <w:pStyle w:val="23"/>
              <w:keepNext w:val="0"/>
              <w:keepLines w:val="0"/>
              <w:pageBreakBefore w:val="0"/>
              <w:widowControl w:val="0"/>
              <w:numPr>
                <w:ilvl w:val="0"/>
                <w:numId w:val="0"/>
              </w:numPr>
              <w:kinsoku/>
              <w:wordWrap w:val="0"/>
              <w:overflowPunct/>
              <w:topLinePunct/>
              <w:autoSpaceDE/>
              <w:autoSpaceDN/>
              <w:bidi w:val="0"/>
              <w:adjustRightInd w:val="0"/>
              <w:snapToGrid/>
              <w:ind w:left="0" w:leftChars="0" w:right="0" w:rightChars="0" w:firstLine="480" w:firstLineChars="200"/>
              <w:textAlignment w:val="baseline"/>
              <w:rPr>
                <w:rFonts w:hint="default" w:ascii="Times New Roman" w:hAnsi="Times New Roman" w:cs="Times New Roman"/>
                <w:b w:val="0"/>
                <w:bCs w:val="0"/>
                <w:color w:val="auto"/>
                <w:sz w:val="24"/>
                <w:highlight w:val="none"/>
              </w:rPr>
            </w:pPr>
            <w:r>
              <w:rPr>
                <w:rFonts w:hint="default" w:ascii="Times New Roman" w:hAnsi="Times New Roman" w:cs="Times New Roman"/>
                <w:b w:val="0"/>
                <w:bCs w:val="0"/>
                <w:color w:val="auto"/>
                <w:sz w:val="24"/>
                <w:highlight w:val="none"/>
              </w:rPr>
              <w:t>根据《饮食业环境保护技术规范》（HJ554-2010），食堂废水水质参考饮食业废水水质，典型饮食业废水的污染物浓度为 COD 800~1200mg/L，BOD</w:t>
            </w:r>
            <w:r>
              <w:rPr>
                <w:rFonts w:hint="default" w:ascii="Times New Roman" w:hAnsi="Times New Roman" w:cs="Times New Roman"/>
                <w:b w:val="0"/>
                <w:bCs w:val="0"/>
                <w:color w:val="auto"/>
                <w:sz w:val="24"/>
                <w:highlight w:val="none"/>
                <w:vertAlign w:val="subscript"/>
              </w:rPr>
              <w:t>5</w:t>
            </w:r>
            <w:r>
              <w:rPr>
                <w:rFonts w:hint="default" w:ascii="Times New Roman" w:hAnsi="Times New Roman" w:cs="Times New Roman"/>
                <w:b w:val="0"/>
                <w:bCs w:val="0"/>
                <w:color w:val="auto"/>
                <w:sz w:val="24"/>
                <w:highlight w:val="none"/>
              </w:rPr>
              <w:t>400~600mg/L，SS300~500mg/L，NH</w:t>
            </w:r>
            <w:r>
              <w:rPr>
                <w:rFonts w:hint="default" w:ascii="Times New Roman" w:hAnsi="Times New Roman" w:cs="Times New Roman"/>
                <w:b w:val="0"/>
                <w:bCs w:val="0"/>
                <w:color w:val="auto"/>
                <w:sz w:val="24"/>
                <w:highlight w:val="none"/>
                <w:vertAlign w:val="subscript"/>
              </w:rPr>
              <w:t>3</w:t>
            </w:r>
            <w:r>
              <w:rPr>
                <w:rFonts w:hint="default" w:ascii="Times New Roman" w:hAnsi="Times New Roman" w:cs="Times New Roman"/>
                <w:b w:val="0"/>
                <w:bCs w:val="0"/>
                <w:color w:val="auto"/>
                <w:sz w:val="24"/>
                <w:highlight w:val="none"/>
              </w:rPr>
              <w:t>-N 0~20mg/L，动植物油 100~200mg/L。</w:t>
            </w:r>
          </w:p>
          <w:p w14:paraId="01A49F3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firstLineChars="200"/>
              <w:jc w:val="left"/>
              <w:rPr>
                <w:rFonts w:hint="default" w:ascii="Times New Roman" w:hAnsi="Times New Roman" w:eastAsia="宋体" w:cs="Times New Roman"/>
                <w:color w:val="auto"/>
                <w:szCs w:val="21"/>
                <w:lang w:val="en-US" w:eastAsia="zh-CN"/>
              </w:rPr>
            </w:pPr>
            <w:r>
              <w:rPr>
                <w:rFonts w:hint="default" w:ascii="Times New Roman" w:hAnsi="Times New Roman" w:eastAsia="Times New Roman" w:cs="Times New Roman"/>
                <w:b w:val="0"/>
                <w:bCs w:val="0"/>
                <w:color w:val="auto"/>
                <w:kern w:val="2"/>
                <w:sz w:val="24"/>
                <w:szCs w:val="24"/>
                <w:highlight w:val="none"/>
                <w:lang w:val="en-US" w:eastAsia="zh-CN" w:bidi="ar-SA"/>
              </w:rPr>
              <w:t>生活污水经化粪池预处理、</w:t>
            </w:r>
            <w:r>
              <w:rPr>
                <w:rFonts w:hint="eastAsia" w:ascii="Times New Roman" w:hAnsi="Times New Roman" w:eastAsia="Times New Roman" w:cs="Times New Roman"/>
                <w:b w:val="0"/>
                <w:bCs w:val="0"/>
                <w:color w:val="auto"/>
                <w:kern w:val="2"/>
                <w:sz w:val="24"/>
                <w:szCs w:val="24"/>
                <w:highlight w:val="none"/>
                <w:lang w:val="en-US" w:eastAsia="zh-CN" w:bidi="ar-SA"/>
              </w:rPr>
              <w:t>化验室口腔科医疗废水经</w:t>
            </w:r>
            <w:r>
              <w:rPr>
                <w:rFonts w:hint="eastAsia" w:ascii="Times New Roman" w:hAnsi="Times New Roman" w:eastAsia="宋体" w:cs="Times New Roman"/>
                <w:color w:val="auto"/>
                <w:sz w:val="24"/>
                <w:szCs w:val="24"/>
                <w:lang w:val="en-US" w:eastAsia="zh-CN"/>
              </w:rPr>
              <w:t>化学沉淀池处理与其他医疗废水进入</w:t>
            </w:r>
            <w:r>
              <w:rPr>
                <w:rFonts w:hint="eastAsia" w:ascii="Times New Roman" w:hAnsi="Times New Roman" w:eastAsia="Times New Roman" w:cs="Times New Roman"/>
                <w:b w:val="0"/>
                <w:bCs w:val="0"/>
                <w:color w:val="auto"/>
                <w:kern w:val="2"/>
                <w:sz w:val="24"/>
                <w:szCs w:val="24"/>
                <w:highlight w:val="none"/>
                <w:lang w:val="en-US" w:eastAsia="zh-CN" w:bidi="ar-SA"/>
              </w:rPr>
              <w:t>化粪池预处理</w:t>
            </w:r>
            <w:r>
              <w:rPr>
                <w:rFonts w:hint="default" w:ascii="Times New Roman" w:hAnsi="Times New Roman" w:eastAsia="Times New Roman" w:cs="Times New Roman"/>
                <w:b w:val="0"/>
                <w:bCs w:val="0"/>
                <w:color w:val="auto"/>
                <w:kern w:val="2"/>
                <w:sz w:val="24"/>
                <w:szCs w:val="24"/>
                <w:highlight w:val="none"/>
                <w:lang w:val="en-US" w:eastAsia="zh-CN" w:bidi="ar-SA"/>
              </w:rPr>
              <w:t>、餐厨废水经隔油池 + 化粪池预处理后，</w:t>
            </w:r>
            <w:r>
              <w:rPr>
                <w:rFonts w:hint="default" w:ascii="Times New Roman" w:hAnsi="Times New Roman" w:eastAsia="Times New Roman" w:cs="Times New Roman"/>
                <w:b w:val="0"/>
                <w:bCs w:val="0"/>
                <w:color w:val="auto"/>
                <w:kern w:val="2"/>
                <w:sz w:val="24"/>
                <w:szCs w:val="20"/>
                <w:highlight w:val="none"/>
                <w:lang w:val="en-US" w:eastAsia="zh-CN" w:bidi="ar-SA"/>
              </w:rPr>
              <w:t>一并进入处理规模为500t/d的污水处理站处理，医院综合废水</w:t>
            </w:r>
            <w:r>
              <w:rPr>
                <w:rFonts w:hint="eastAsia" w:ascii="Times New Roman" w:hAnsi="Times New Roman" w:eastAsia="Times New Roman" w:cs="Times New Roman"/>
                <w:b w:val="0"/>
                <w:bCs w:val="0"/>
                <w:color w:val="auto"/>
                <w:kern w:val="2"/>
                <w:sz w:val="24"/>
                <w:szCs w:val="20"/>
                <w:highlight w:val="none"/>
                <w:lang w:val="en-US" w:eastAsia="zh-CN" w:bidi="ar-SA"/>
              </w:rPr>
              <w:t>出</w:t>
            </w:r>
            <w:r>
              <w:rPr>
                <w:rFonts w:hint="default" w:ascii="Times New Roman" w:hAnsi="Times New Roman" w:eastAsia="Times New Roman" w:cs="Times New Roman"/>
                <w:b w:val="0"/>
                <w:bCs w:val="0"/>
                <w:color w:val="auto"/>
                <w:kern w:val="2"/>
                <w:sz w:val="24"/>
                <w:szCs w:val="20"/>
                <w:highlight w:val="none"/>
                <w:lang w:val="en-US" w:eastAsia="zh-CN" w:bidi="ar-SA"/>
              </w:rPr>
              <w:t>水水质达到《医疗机构水污染物排放标准》（GB18466-2005）表2预处理标准</w:t>
            </w:r>
            <w:r>
              <w:rPr>
                <w:rFonts w:hint="eastAsia" w:ascii="Times New Roman" w:hAnsi="Times New Roman" w:eastAsia="Times New Roman" w:cs="Times New Roman"/>
                <w:b w:val="0"/>
                <w:bCs w:val="0"/>
                <w:color w:val="auto"/>
                <w:kern w:val="2"/>
                <w:sz w:val="24"/>
                <w:szCs w:val="20"/>
                <w:highlight w:val="none"/>
                <w:lang w:val="en-US" w:eastAsia="zh-CN" w:bidi="ar-SA"/>
              </w:rPr>
              <w:t>。</w:t>
            </w:r>
            <w:r>
              <w:rPr>
                <w:rFonts w:hint="default" w:ascii="Times New Roman" w:hAnsi="Times New Roman" w:eastAsia="Times New Roman" w:cs="Times New Roman"/>
                <w:b w:val="0"/>
                <w:bCs w:val="0"/>
                <w:color w:val="auto"/>
                <w:kern w:val="2"/>
                <w:sz w:val="24"/>
                <w:szCs w:val="20"/>
                <w:highlight w:val="none"/>
                <w:lang w:val="en-US" w:eastAsia="zh-CN" w:bidi="ar-SA"/>
              </w:rPr>
              <w:t>达标后由密闭污水槽车清运至青口汽车工业开发区污水处理厂集中处置</w:t>
            </w:r>
            <w:r>
              <w:rPr>
                <w:rFonts w:hint="default" w:ascii="Times New Roman" w:hAnsi="Times New Roman" w:eastAsia="宋体" w:cs="Times New Roman"/>
                <w:color w:val="auto"/>
                <w:szCs w:val="21"/>
                <w:lang w:val="en-US" w:eastAsia="zh-CN"/>
              </w:rPr>
              <w:t>。</w:t>
            </w:r>
          </w:p>
          <w:p w14:paraId="60E2F29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firstLineChars="200"/>
              <w:jc w:val="left"/>
              <w:rPr>
                <w:rFonts w:hint="eastAsia" w:ascii="Times New Roman" w:hAnsi="Times New Roman" w:eastAsia="Times New Roman" w:cs="Times New Roman"/>
                <w:b w:val="0"/>
                <w:bCs w:val="0"/>
                <w:color w:val="auto"/>
                <w:kern w:val="2"/>
                <w:sz w:val="24"/>
                <w:szCs w:val="20"/>
                <w:highlight w:val="none"/>
                <w:lang w:val="en-US" w:eastAsia="zh-CN" w:bidi="ar-SA"/>
              </w:rPr>
            </w:pPr>
            <w:r>
              <w:rPr>
                <w:rFonts w:hint="eastAsia" w:ascii="Times New Roman" w:hAnsi="Times New Roman" w:eastAsia="Times New Roman" w:cs="Times New Roman"/>
                <w:b w:val="0"/>
                <w:bCs w:val="0"/>
                <w:color w:val="auto"/>
                <w:kern w:val="2"/>
                <w:sz w:val="24"/>
                <w:szCs w:val="20"/>
                <w:highlight w:val="none"/>
                <w:lang w:val="en-US" w:eastAsia="zh-CN" w:bidi="ar-SA"/>
              </w:rPr>
              <w:t>因旧院区未进行验收，无进出口实测数据，故本环评采用理论估算处理效率。</w:t>
            </w:r>
          </w:p>
          <w:p w14:paraId="73F0C00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firstLineChars="200"/>
              <w:jc w:val="left"/>
              <w:rPr>
                <w:rFonts w:hint="eastAsia"/>
                <w:color w:val="auto"/>
                <w:sz w:val="24"/>
              </w:rPr>
            </w:pPr>
            <w:r>
              <w:rPr>
                <w:rFonts w:hint="eastAsia" w:cs="宋体"/>
                <w:color w:val="auto"/>
                <w:sz w:val="24"/>
              </w:rPr>
              <w:t>化粪池对各污染物的去除率约为：</w:t>
            </w:r>
            <w:r>
              <w:rPr>
                <w:color w:val="auto"/>
                <w:sz w:val="24"/>
              </w:rPr>
              <w:t>COD：</w:t>
            </w:r>
            <w:r>
              <w:rPr>
                <w:rFonts w:ascii="Times New Roman" w:hAnsi="Times New Roman" w:cs="Times New Roman"/>
                <w:color w:val="auto"/>
                <w:sz w:val="24"/>
              </w:rPr>
              <w:t>2</w:t>
            </w:r>
            <w:r>
              <w:rPr>
                <w:rFonts w:hint="eastAsia" w:ascii="Times New Roman" w:hAnsi="Times New Roman" w:cs="Times New Roman"/>
                <w:color w:val="auto"/>
                <w:sz w:val="24"/>
                <w:lang w:val="en-US" w:eastAsia="zh-CN"/>
              </w:rPr>
              <w:t>0</w:t>
            </w:r>
            <w:r>
              <w:rPr>
                <w:color w:val="auto"/>
                <w:sz w:val="24"/>
              </w:rPr>
              <w:t>%，BOD</w:t>
            </w:r>
            <w:r>
              <w:rPr>
                <w:rFonts w:ascii="Times New Roman" w:hAnsi="Times New Roman" w:cs="Times New Roman"/>
                <w:color w:val="auto"/>
                <w:sz w:val="24"/>
                <w:vertAlign w:val="subscript"/>
              </w:rPr>
              <w:t>5</w:t>
            </w:r>
            <w:r>
              <w:rPr>
                <w:color w:val="auto"/>
                <w:sz w:val="24"/>
              </w:rPr>
              <w:t>：</w:t>
            </w:r>
            <w:r>
              <w:rPr>
                <w:rFonts w:ascii="Times New Roman" w:hAnsi="Times New Roman" w:cs="Times New Roman"/>
                <w:color w:val="auto"/>
                <w:sz w:val="24"/>
              </w:rPr>
              <w:t>40</w:t>
            </w:r>
            <w:r>
              <w:rPr>
                <w:color w:val="auto"/>
                <w:sz w:val="24"/>
              </w:rPr>
              <w:t>%，SS：</w:t>
            </w:r>
            <w:r>
              <w:rPr>
                <w:rFonts w:ascii="Times New Roman" w:hAnsi="Times New Roman" w:cs="Times New Roman"/>
                <w:color w:val="auto"/>
                <w:sz w:val="24"/>
              </w:rPr>
              <w:t>30</w:t>
            </w:r>
            <w:r>
              <w:rPr>
                <w:color w:val="auto"/>
                <w:sz w:val="24"/>
              </w:rPr>
              <w:t>%，NH</w:t>
            </w:r>
            <w:r>
              <w:rPr>
                <w:rFonts w:ascii="Times New Roman" w:hAnsi="Times New Roman" w:cs="Times New Roman"/>
                <w:color w:val="auto"/>
                <w:sz w:val="24"/>
                <w:vertAlign w:val="subscript"/>
              </w:rPr>
              <w:t>3</w:t>
            </w:r>
            <w:r>
              <w:rPr>
                <w:color w:val="auto"/>
                <w:sz w:val="24"/>
              </w:rPr>
              <w:t>-N：</w:t>
            </w:r>
            <w:r>
              <w:rPr>
                <w:rFonts w:ascii="Times New Roman" w:hAnsi="Times New Roman" w:cs="Times New Roman"/>
                <w:color w:val="auto"/>
                <w:sz w:val="24"/>
              </w:rPr>
              <w:t>15</w:t>
            </w:r>
            <w:r>
              <w:rPr>
                <w:color w:val="auto"/>
                <w:sz w:val="24"/>
              </w:rPr>
              <w:t>%</w:t>
            </w:r>
            <w:r>
              <w:rPr>
                <w:rFonts w:hint="eastAsia"/>
                <w:color w:val="auto"/>
                <w:sz w:val="24"/>
              </w:rPr>
              <w:t>；</w:t>
            </w:r>
          </w:p>
          <w:p w14:paraId="7E360C90">
            <w:pPr>
              <w:spacing w:line="360" w:lineRule="auto"/>
              <w:ind w:firstLine="482" w:firstLineChars="200"/>
              <w:jc w:val="center"/>
              <w:rPr>
                <w:rFonts w:hint="eastAsia"/>
                <w:color w:val="auto"/>
                <w:sz w:val="24"/>
              </w:rPr>
            </w:pPr>
            <w:r>
              <w:rPr>
                <w:rFonts w:ascii="Times New Roman" w:hAnsi="Times New Roman" w:eastAsia="宋体" w:cs="Times New Roman"/>
                <w:b/>
                <w:bCs/>
                <w:color w:val="auto"/>
                <w:sz w:val="24"/>
                <w:lang w:val="en-US" w:eastAsia="zh-CN"/>
              </w:rPr>
              <w:t>表</w:t>
            </w:r>
            <w:r>
              <w:rPr>
                <w:rFonts w:hint="default" w:ascii="Times New Roman" w:hAnsi="Times New Roman" w:eastAsia="宋体" w:cs="Times New Roman"/>
                <w:b/>
                <w:bCs/>
                <w:color w:val="auto"/>
                <w:sz w:val="24"/>
                <w:lang w:val="en-US" w:eastAsia="zh-CN"/>
              </w:rPr>
              <w:t>4</w:t>
            </w:r>
            <w:r>
              <w:rPr>
                <w:rFonts w:hint="eastAsia" w:ascii="Times New Roman" w:hAnsi="Times New Roman" w:eastAsia="宋体" w:cs="Times New Roman"/>
                <w:b/>
                <w:bCs/>
                <w:color w:val="auto"/>
                <w:sz w:val="24"/>
                <w:lang w:val="en-US" w:eastAsia="zh-CN"/>
              </w:rPr>
              <w:t xml:space="preserve">.2-3医院污水处理站各单元去除效率 </w:t>
            </w:r>
          </w:p>
          <w:tbl>
            <w:tblPr>
              <w:tblStyle w:val="17"/>
              <w:tblW w:w="0" w:type="auto"/>
              <w:tblInd w:w="-15" w:type="dxa"/>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autofit"/>
              <w:tblCellMar>
                <w:top w:w="15" w:type="dxa"/>
                <w:left w:w="15" w:type="dxa"/>
                <w:bottom w:w="15" w:type="dxa"/>
                <w:right w:w="15" w:type="dxa"/>
              </w:tblCellMar>
            </w:tblPr>
            <w:tblGrid>
              <w:gridCol w:w="655"/>
              <w:gridCol w:w="1874"/>
              <w:gridCol w:w="1894"/>
              <w:gridCol w:w="1352"/>
              <w:gridCol w:w="2739"/>
            </w:tblGrid>
            <w:tr w14:paraId="40AEFAF9">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15" w:type="dxa"/>
                  <w:left w:w="15" w:type="dxa"/>
                  <w:bottom w:w="15" w:type="dxa"/>
                  <w:right w:w="15" w:type="dxa"/>
                </w:tblCellMar>
              </w:tblPrEx>
              <w:trPr>
                <w:trHeight w:val="615" w:hRule="atLeast"/>
              </w:trPr>
              <w:tc>
                <w:tcPr>
                  <w:tcW w:w="0" w:type="auto"/>
                  <w:tcBorders>
                    <w:tl2br w:val="nil"/>
                    <w:tr2bl w:val="nil"/>
                  </w:tcBorders>
                  <w:noWrap w:val="0"/>
                  <w:vAlign w:val="center"/>
                </w:tcPr>
                <w:p w14:paraId="1FE4214F">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处理单元</w:t>
                  </w:r>
                </w:p>
              </w:tc>
              <w:tc>
                <w:tcPr>
                  <w:tcW w:w="0" w:type="auto"/>
                  <w:tcBorders>
                    <w:tl2br w:val="nil"/>
                    <w:tr2bl w:val="nil"/>
                  </w:tcBorders>
                  <w:noWrap w:val="0"/>
                  <w:vAlign w:val="center"/>
                </w:tcPr>
                <w:p w14:paraId="37EA74D9">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主要去除对象</w:t>
                  </w:r>
                </w:p>
              </w:tc>
              <w:tc>
                <w:tcPr>
                  <w:tcW w:w="1894" w:type="dxa"/>
                  <w:tcBorders>
                    <w:tl2br w:val="nil"/>
                    <w:tr2bl w:val="nil"/>
                  </w:tcBorders>
                  <w:noWrap w:val="0"/>
                  <w:vAlign w:val="center"/>
                </w:tcPr>
                <w:p w14:paraId="36985584">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处理效率参考值</w:t>
                  </w:r>
                </w:p>
              </w:tc>
              <w:tc>
                <w:tcPr>
                  <w:tcW w:w="1352" w:type="dxa"/>
                  <w:tcBorders>
                    <w:tl2br w:val="nil"/>
                    <w:tr2bl w:val="nil"/>
                  </w:tcBorders>
                  <w:noWrap w:val="0"/>
                  <w:vAlign w:val="center"/>
                </w:tcPr>
                <w:p w14:paraId="7F1A7026">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lang w:val="en-US" w:eastAsia="zh-CN"/>
                    </w:rPr>
                  </w:pPr>
                  <w:r>
                    <w:rPr>
                      <w:rFonts w:hint="eastAsia" w:ascii="Times New Roman" w:hAnsi="Times New Roman" w:eastAsia="宋体" w:cs="Times New Roman"/>
                      <w:b w:val="0"/>
                      <w:bCs/>
                      <w:color w:val="auto"/>
                      <w:spacing w:val="-6"/>
                      <w:sz w:val="21"/>
                      <w:szCs w:val="21"/>
                      <w:lang w:val="en-US" w:eastAsia="zh-CN"/>
                    </w:rPr>
                    <w:t>本项目取值</w:t>
                  </w:r>
                </w:p>
              </w:tc>
              <w:tc>
                <w:tcPr>
                  <w:tcW w:w="0" w:type="auto"/>
                  <w:tcBorders>
                    <w:tl2br w:val="nil"/>
                    <w:tr2bl w:val="nil"/>
                  </w:tcBorders>
                  <w:noWrap w:val="0"/>
                  <w:vAlign w:val="center"/>
                </w:tcPr>
                <w:p w14:paraId="2D648EF7">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依据文件</w:t>
                  </w:r>
                </w:p>
              </w:tc>
            </w:tr>
            <w:tr w14:paraId="2761A252">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15" w:type="dxa"/>
                  <w:left w:w="15" w:type="dxa"/>
                  <w:bottom w:w="15" w:type="dxa"/>
                  <w:right w:w="15" w:type="dxa"/>
                </w:tblCellMar>
              </w:tblPrEx>
              <w:trPr>
                <w:trHeight w:val="720" w:hRule="atLeast"/>
              </w:trPr>
              <w:tc>
                <w:tcPr>
                  <w:tcW w:w="0" w:type="auto"/>
                  <w:tcBorders>
                    <w:tl2br w:val="nil"/>
                    <w:tr2bl w:val="nil"/>
                  </w:tcBorders>
                  <w:noWrap w:val="0"/>
                  <w:vAlign w:val="center"/>
                </w:tcPr>
                <w:p w14:paraId="2F994F5D">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水解酸化池</w:t>
                  </w:r>
                </w:p>
              </w:tc>
              <w:tc>
                <w:tcPr>
                  <w:tcW w:w="0" w:type="auto"/>
                  <w:tcBorders>
                    <w:tl2br w:val="nil"/>
                    <w:tr2bl w:val="nil"/>
                  </w:tcBorders>
                  <w:noWrap w:val="0"/>
                  <w:vAlign w:val="center"/>
                </w:tcPr>
                <w:p w14:paraId="7A32A25E">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悬浮有机物、大分子有机物（提高可生化性）</w:t>
                  </w:r>
                </w:p>
              </w:tc>
              <w:tc>
                <w:tcPr>
                  <w:tcW w:w="1894" w:type="dxa"/>
                  <w:tcBorders>
                    <w:tl2br w:val="nil"/>
                    <w:tr2bl w:val="nil"/>
                  </w:tcBorders>
                  <w:noWrap w:val="0"/>
                  <w:vAlign w:val="center"/>
                </w:tcPr>
                <w:p w14:paraId="0C50E632">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COD 去除率：10%~30%(工业废水)；SS 去除率：30%~50%</w:t>
                  </w:r>
                </w:p>
              </w:tc>
              <w:tc>
                <w:tcPr>
                  <w:tcW w:w="1352" w:type="dxa"/>
                  <w:tcBorders>
                    <w:tl2br w:val="nil"/>
                    <w:tr2bl w:val="nil"/>
                  </w:tcBorders>
                  <w:noWrap w:val="0"/>
                  <w:vAlign w:val="center"/>
                </w:tcPr>
                <w:p w14:paraId="5DE7C8C0">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lang w:val="en-US" w:eastAsia="zh-CN"/>
                    </w:rPr>
                  </w:pPr>
                  <w:r>
                    <w:rPr>
                      <w:rFonts w:hint="default" w:ascii="Times New Roman" w:hAnsi="Times New Roman" w:eastAsia="宋体" w:cs="Times New Roman"/>
                      <w:b w:val="0"/>
                      <w:bCs/>
                      <w:color w:val="auto"/>
                      <w:spacing w:val="-6"/>
                      <w:sz w:val="21"/>
                      <w:szCs w:val="21"/>
                      <w:lang w:val="en-US" w:eastAsia="zh-CN"/>
                    </w:rPr>
                    <w:t>COD 去除率：</w:t>
                  </w:r>
                  <w:r>
                    <w:rPr>
                      <w:rFonts w:hint="eastAsia" w:ascii="Times New Roman" w:hAnsi="Times New Roman" w:eastAsia="宋体" w:cs="Times New Roman"/>
                      <w:b w:val="0"/>
                      <w:bCs/>
                      <w:color w:val="auto"/>
                      <w:spacing w:val="-6"/>
                      <w:sz w:val="21"/>
                      <w:szCs w:val="21"/>
                      <w:lang w:val="en-US" w:eastAsia="zh-CN"/>
                    </w:rPr>
                    <w:t>15</w:t>
                  </w:r>
                  <w:r>
                    <w:rPr>
                      <w:rFonts w:hint="default" w:ascii="Times New Roman" w:hAnsi="Times New Roman" w:eastAsia="宋体" w:cs="Times New Roman"/>
                      <w:b w:val="0"/>
                      <w:bCs/>
                      <w:color w:val="auto"/>
                      <w:spacing w:val="-6"/>
                      <w:sz w:val="21"/>
                      <w:szCs w:val="21"/>
                      <w:lang w:val="en-US" w:eastAsia="zh-CN"/>
                    </w:rPr>
                    <w:t>%；SS 去除率：</w:t>
                  </w:r>
                  <w:r>
                    <w:rPr>
                      <w:rFonts w:hint="eastAsia" w:ascii="Times New Roman" w:hAnsi="Times New Roman" w:eastAsia="宋体" w:cs="Times New Roman"/>
                      <w:b w:val="0"/>
                      <w:bCs/>
                      <w:color w:val="auto"/>
                      <w:spacing w:val="-6"/>
                      <w:sz w:val="21"/>
                      <w:szCs w:val="21"/>
                      <w:lang w:val="en-US" w:eastAsia="zh-CN"/>
                    </w:rPr>
                    <w:t>45%</w:t>
                  </w:r>
                </w:p>
              </w:tc>
              <w:tc>
                <w:tcPr>
                  <w:tcW w:w="0" w:type="auto"/>
                  <w:tcBorders>
                    <w:tl2br w:val="nil"/>
                    <w:tr2bl w:val="nil"/>
                  </w:tcBorders>
                  <w:noWrap w:val="0"/>
                  <w:vAlign w:val="center"/>
                </w:tcPr>
                <w:p w14:paraId="2831C238">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《水解酸化反应器污水处理工程技术规范》(HJ2047—2015)表 1</w:t>
                  </w:r>
                </w:p>
              </w:tc>
            </w:tr>
            <w:tr w14:paraId="055C062F">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15" w:type="dxa"/>
                  <w:left w:w="15" w:type="dxa"/>
                  <w:bottom w:w="15" w:type="dxa"/>
                  <w:right w:w="15" w:type="dxa"/>
                </w:tblCellMar>
              </w:tblPrEx>
              <w:trPr>
                <w:trHeight w:val="720" w:hRule="atLeast"/>
              </w:trPr>
              <w:tc>
                <w:tcPr>
                  <w:tcW w:w="0" w:type="auto"/>
                  <w:tcBorders>
                    <w:tl2br w:val="nil"/>
                    <w:tr2bl w:val="nil"/>
                  </w:tcBorders>
                  <w:noWrap w:val="0"/>
                  <w:vAlign w:val="center"/>
                </w:tcPr>
                <w:p w14:paraId="2B0FBC2F">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接触氧化池</w:t>
                  </w:r>
                </w:p>
              </w:tc>
              <w:tc>
                <w:tcPr>
                  <w:tcW w:w="0" w:type="auto"/>
                  <w:tcBorders>
                    <w:tl2br w:val="nil"/>
                    <w:tr2bl w:val="nil"/>
                  </w:tcBorders>
                  <w:noWrap w:val="0"/>
                  <w:vAlign w:val="center"/>
                </w:tcPr>
                <w:p w14:paraId="20470655">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溶解性有机物（BOD、COD）、氨氮</w:t>
                  </w:r>
                </w:p>
              </w:tc>
              <w:tc>
                <w:tcPr>
                  <w:tcW w:w="1894" w:type="dxa"/>
                  <w:tcBorders>
                    <w:tl2br w:val="nil"/>
                    <w:tr2bl w:val="nil"/>
                  </w:tcBorders>
                  <w:noWrap w:val="0"/>
                  <w:vAlign w:val="center"/>
                </w:tcPr>
                <w:p w14:paraId="4C714130">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COD 去除率：60%~90%；BOD₅ 去除率：70%~95%；氨氮去除率：50%~90%</w:t>
                  </w:r>
                </w:p>
              </w:tc>
              <w:tc>
                <w:tcPr>
                  <w:tcW w:w="1352" w:type="dxa"/>
                  <w:tcBorders>
                    <w:tl2br w:val="nil"/>
                    <w:tr2bl w:val="nil"/>
                  </w:tcBorders>
                  <w:noWrap w:val="0"/>
                  <w:vAlign w:val="center"/>
                </w:tcPr>
                <w:p w14:paraId="14058E3E">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lang w:val="en-US" w:eastAsia="zh-CN"/>
                    </w:rPr>
                  </w:pPr>
                  <w:r>
                    <w:rPr>
                      <w:rFonts w:hint="default" w:ascii="Times New Roman" w:hAnsi="Times New Roman" w:eastAsia="宋体" w:cs="Times New Roman"/>
                      <w:b w:val="0"/>
                      <w:bCs/>
                      <w:color w:val="auto"/>
                      <w:spacing w:val="-6"/>
                      <w:sz w:val="21"/>
                      <w:szCs w:val="21"/>
                      <w:lang w:val="en-US" w:eastAsia="zh-CN"/>
                    </w:rPr>
                    <w:t>COD 去除率：</w:t>
                  </w:r>
                  <w:r>
                    <w:rPr>
                      <w:rFonts w:hint="eastAsia" w:ascii="Times New Roman" w:hAnsi="Times New Roman" w:eastAsia="宋体" w:cs="Times New Roman"/>
                      <w:b w:val="0"/>
                      <w:bCs/>
                      <w:color w:val="auto"/>
                      <w:spacing w:val="-6"/>
                      <w:sz w:val="21"/>
                      <w:szCs w:val="21"/>
                      <w:lang w:val="en-US" w:eastAsia="zh-CN"/>
                    </w:rPr>
                    <w:t>75</w:t>
                  </w:r>
                  <w:r>
                    <w:rPr>
                      <w:rFonts w:hint="default" w:ascii="Times New Roman" w:hAnsi="Times New Roman" w:eastAsia="宋体" w:cs="Times New Roman"/>
                      <w:b w:val="0"/>
                      <w:bCs/>
                      <w:color w:val="auto"/>
                      <w:spacing w:val="-6"/>
                      <w:sz w:val="21"/>
                      <w:szCs w:val="21"/>
                      <w:lang w:val="en-US" w:eastAsia="zh-CN"/>
                    </w:rPr>
                    <w:t>%；BOD₅ 去除率：</w:t>
                  </w:r>
                  <w:r>
                    <w:rPr>
                      <w:rFonts w:hint="eastAsia" w:ascii="Times New Roman" w:hAnsi="Times New Roman" w:eastAsia="宋体" w:cs="Times New Roman"/>
                      <w:b w:val="0"/>
                      <w:bCs/>
                      <w:color w:val="auto"/>
                      <w:spacing w:val="-6"/>
                      <w:sz w:val="21"/>
                      <w:szCs w:val="21"/>
                      <w:lang w:val="en-US" w:eastAsia="zh-CN"/>
                    </w:rPr>
                    <w:t>82.5</w:t>
                  </w:r>
                  <w:r>
                    <w:rPr>
                      <w:rFonts w:hint="default" w:ascii="Times New Roman" w:hAnsi="Times New Roman" w:eastAsia="宋体" w:cs="Times New Roman"/>
                      <w:b w:val="0"/>
                      <w:bCs/>
                      <w:color w:val="auto"/>
                      <w:spacing w:val="-6"/>
                      <w:sz w:val="21"/>
                      <w:szCs w:val="21"/>
                      <w:lang w:val="en-US" w:eastAsia="zh-CN"/>
                    </w:rPr>
                    <w:t>%；氨氮去除率：</w:t>
                  </w:r>
                  <w:r>
                    <w:rPr>
                      <w:rFonts w:hint="eastAsia" w:ascii="Times New Roman" w:hAnsi="Times New Roman" w:eastAsia="宋体" w:cs="Times New Roman"/>
                      <w:b w:val="0"/>
                      <w:bCs/>
                      <w:color w:val="auto"/>
                      <w:spacing w:val="-6"/>
                      <w:sz w:val="21"/>
                      <w:szCs w:val="21"/>
                      <w:lang w:val="en-US" w:eastAsia="zh-CN"/>
                    </w:rPr>
                    <w:t>70</w:t>
                  </w:r>
                  <w:r>
                    <w:rPr>
                      <w:rFonts w:hint="default" w:ascii="Times New Roman" w:hAnsi="Times New Roman" w:eastAsia="宋体" w:cs="Times New Roman"/>
                      <w:b w:val="0"/>
                      <w:bCs/>
                      <w:color w:val="auto"/>
                      <w:spacing w:val="-6"/>
                      <w:sz w:val="21"/>
                      <w:szCs w:val="21"/>
                      <w:lang w:val="en-US" w:eastAsia="zh-CN"/>
                    </w:rPr>
                    <w:t>%</w:t>
                  </w:r>
                </w:p>
              </w:tc>
              <w:tc>
                <w:tcPr>
                  <w:tcW w:w="0" w:type="auto"/>
                  <w:tcBorders>
                    <w:tl2br w:val="nil"/>
                    <w:tr2bl w:val="nil"/>
                  </w:tcBorders>
                  <w:noWrap w:val="0"/>
                  <w:vAlign w:val="center"/>
                </w:tcPr>
                <w:p w14:paraId="779E972C">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《生物接触氧化法污水处理工程技术规范》(HJ2009-2011)表 2</w:t>
                  </w:r>
                </w:p>
              </w:tc>
            </w:tr>
            <w:tr w14:paraId="5104DD25">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15" w:type="dxa"/>
                  <w:left w:w="15" w:type="dxa"/>
                  <w:bottom w:w="15" w:type="dxa"/>
                  <w:right w:w="15" w:type="dxa"/>
                </w:tblCellMar>
              </w:tblPrEx>
              <w:trPr>
                <w:trHeight w:val="720" w:hRule="atLeast"/>
              </w:trPr>
              <w:tc>
                <w:tcPr>
                  <w:tcW w:w="0" w:type="auto"/>
                  <w:tcBorders>
                    <w:tl2br w:val="nil"/>
                    <w:tr2bl w:val="nil"/>
                  </w:tcBorders>
                  <w:noWrap w:val="0"/>
                  <w:vAlign w:val="center"/>
                </w:tcPr>
                <w:p w14:paraId="7D1F8AE3">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MBR膜池</w:t>
                  </w:r>
                </w:p>
              </w:tc>
              <w:tc>
                <w:tcPr>
                  <w:tcW w:w="0" w:type="auto"/>
                  <w:tcBorders>
                    <w:tl2br w:val="nil"/>
                    <w:tr2bl w:val="nil"/>
                  </w:tcBorders>
                  <w:noWrap w:val="0"/>
                  <w:vAlign w:val="center"/>
                </w:tcPr>
                <w:p w14:paraId="75F140AB">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悬浮物、细菌、病毒、残余有机物、氨氮</w:t>
                  </w:r>
                </w:p>
              </w:tc>
              <w:tc>
                <w:tcPr>
                  <w:tcW w:w="1894" w:type="dxa"/>
                  <w:tcBorders>
                    <w:tl2br w:val="nil"/>
                    <w:tr2bl w:val="nil"/>
                  </w:tcBorders>
                  <w:noWrap w:val="0"/>
                  <w:vAlign w:val="center"/>
                </w:tcPr>
                <w:p w14:paraId="1D15DCD9">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COD 去除率：≥90%；BOD₅ 去除率：≥95%；SS 去除率：≥99%；氨氮去除率：≥90%</w:t>
                  </w:r>
                </w:p>
              </w:tc>
              <w:tc>
                <w:tcPr>
                  <w:tcW w:w="1352" w:type="dxa"/>
                  <w:tcBorders>
                    <w:tl2br w:val="nil"/>
                    <w:tr2bl w:val="nil"/>
                  </w:tcBorders>
                  <w:noWrap w:val="0"/>
                  <w:vAlign w:val="center"/>
                </w:tcPr>
                <w:p w14:paraId="2D277179">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lang w:val="en-US" w:eastAsia="zh-CN"/>
                    </w:rPr>
                  </w:pPr>
                  <w:r>
                    <w:rPr>
                      <w:rFonts w:hint="default" w:ascii="Times New Roman" w:hAnsi="Times New Roman" w:eastAsia="宋体" w:cs="Times New Roman"/>
                      <w:b w:val="0"/>
                      <w:bCs/>
                      <w:color w:val="auto"/>
                      <w:spacing w:val="-6"/>
                      <w:sz w:val="21"/>
                      <w:szCs w:val="21"/>
                      <w:lang w:val="en-US" w:eastAsia="zh-CN"/>
                    </w:rPr>
                    <w:t>COD 去除率：90%；BOD₅ 去除率：95%；SS 去除率：99%；氨氮去除率：90%</w:t>
                  </w:r>
                </w:p>
              </w:tc>
              <w:tc>
                <w:tcPr>
                  <w:tcW w:w="0" w:type="auto"/>
                  <w:tcBorders>
                    <w:tl2br w:val="nil"/>
                    <w:tr2bl w:val="nil"/>
                  </w:tcBorders>
                  <w:noWrap w:val="0"/>
                  <w:vAlign w:val="center"/>
                </w:tcPr>
                <w:p w14:paraId="08011256">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《膜生物法污水处理工程技术规范》(HJ2010-2011)第 6.1.6 条</w:t>
                  </w:r>
                </w:p>
              </w:tc>
            </w:tr>
            <w:tr w14:paraId="4F0B3F21">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15" w:type="dxa"/>
                  <w:left w:w="15" w:type="dxa"/>
                  <w:bottom w:w="15" w:type="dxa"/>
                  <w:right w:w="15" w:type="dxa"/>
                </w:tblCellMar>
              </w:tblPrEx>
              <w:trPr>
                <w:trHeight w:val="720" w:hRule="atLeast"/>
              </w:trPr>
              <w:tc>
                <w:tcPr>
                  <w:tcW w:w="0" w:type="auto"/>
                  <w:tcBorders>
                    <w:tl2br w:val="nil"/>
                    <w:tr2bl w:val="nil"/>
                  </w:tcBorders>
                  <w:noWrap w:val="0"/>
                  <w:vAlign w:val="center"/>
                </w:tcPr>
                <w:p w14:paraId="43B614F5">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消毒池</w:t>
                  </w:r>
                </w:p>
              </w:tc>
              <w:tc>
                <w:tcPr>
                  <w:tcW w:w="0" w:type="auto"/>
                  <w:tcBorders>
                    <w:tl2br w:val="nil"/>
                    <w:tr2bl w:val="nil"/>
                  </w:tcBorders>
                  <w:noWrap w:val="0"/>
                  <w:vAlign w:val="center"/>
                </w:tcPr>
                <w:p w14:paraId="06FB2972">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病原微生物（细菌、病毒）</w:t>
                  </w:r>
                </w:p>
              </w:tc>
              <w:tc>
                <w:tcPr>
                  <w:tcW w:w="1894" w:type="dxa"/>
                  <w:tcBorders>
                    <w:tl2br w:val="nil"/>
                    <w:tr2bl w:val="nil"/>
                  </w:tcBorders>
                  <w:noWrap w:val="0"/>
                  <w:vAlign w:val="center"/>
                </w:tcPr>
                <w:p w14:paraId="42A1BCF1">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粪大肠菌群去除率：≥99.99%</w:t>
                  </w:r>
                </w:p>
              </w:tc>
              <w:tc>
                <w:tcPr>
                  <w:tcW w:w="1352" w:type="dxa"/>
                  <w:tcBorders>
                    <w:tl2br w:val="nil"/>
                    <w:tr2bl w:val="nil"/>
                  </w:tcBorders>
                  <w:noWrap w:val="0"/>
                  <w:vAlign w:val="center"/>
                </w:tcPr>
                <w:p w14:paraId="3F18D7B6">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lang w:val="en-US" w:eastAsia="zh-CN"/>
                    </w:rPr>
                  </w:pPr>
                  <w:r>
                    <w:rPr>
                      <w:rFonts w:hint="default" w:ascii="Times New Roman" w:hAnsi="Times New Roman" w:eastAsia="宋体" w:cs="Times New Roman"/>
                      <w:b w:val="0"/>
                      <w:bCs/>
                      <w:color w:val="auto"/>
                      <w:spacing w:val="-6"/>
                      <w:sz w:val="21"/>
                      <w:szCs w:val="21"/>
                      <w:lang w:val="en-US" w:eastAsia="zh-CN"/>
                    </w:rPr>
                    <w:t>粪大肠菌群去除率：≥99.99%</w:t>
                  </w:r>
                </w:p>
              </w:tc>
              <w:tc>
                <w:tcPr>
                  <w:tcW w:w="0" w:type="auto"/>
                  <w:tcBorders>
                    <w:tl2br w:val="nil"/>
                    <w:tr2bl w:val="nil"/>
                  </w:tcBorders>
                  <w:noWrap w:val="0"/>
                  <w:vAlign w:val="center"/>
                </w:tcPr>
                <w:p w14:paraId="3E5EA570">
                  <w:pPr>
                    <w:pStyle w:val="30"/>
                    <w:keepNext w:val="0"/>
                    <w:keepLines w:val="0"/>
                    <w:pageBreakBefore w:val="0"/>
                    <w:widowControl w:val="0"/>
                    <w:kinsoku/>
                    <w:wordWrap/>
                    <w:overflowPunct/>
                    <w:topLinePunct w:val="0"/>
                    <w:autoSpaceDE/>
                    <w:autoSpaceDN/>
                    <w:bidi w:val="0"/>
                    <w:adjustRightInd/>
                    <w:snapToGrid/>
                    <w:spacing w:line="340" w:lineRule="exact"/>
                    <w:ind w:left="0" w:right="0" w:firstLine="0"/>
                    <w:jc w:val="center"/>
                    <w:textAlignment w:val="auto"/>
                    <w:rPr>
                      <w:rFonts w:hint="default" w:ascii="Times New Roman" w:hAnsi="Times New Roman" w:eastAsia="宋体" w:cs="Times New Roman"/>
                      <w:b w:val="0"/>
                      <w:bCs/>
                      <w:color w:val="auto"/>
                      <w:spacing w:val="-6"/>
                      <w:sz w:val="21"/>
                      <w:szCs w:val="21"/>
                    </w:rPr>
                  </w:pPr>
                  <w:r>
                    <w:rPr>
                      <w:rFonts w:hint="default" w:ascii="Times New Roman" w:hAnsi="Times New Roman" w:eastAsia="宋体" w:cs="Times New Roman"/>
                      <w:b w:val="0"/>
                      <w:bCs/>
                      <w:color w:val="auto"/>
                      <w:spacing w:val="-6"/>
                      <w:sz w:val="21"/>
                      <w:szCs w:val="21"/>
                      <w:lang w:val="en-US" w:eastAsia="zh-CN"/>
                    </w:rPr>
                    <w:t>《医疗机构水污染物排放标准》(GB18466-2005)表 2</w:t>
                  </w:r>
                </w:p>
              </w:tc>
            </w:tr>
          </w:tbl>
          <w:p w14:paraId="4DDB4C2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80" w:firstLineChars="200"/>
              <w:jc w:val="left"/>
              <w:rPr>
                <w:rFonts w:hint="default"/>
                <w:color w:val="auto"/>
                <w:sz w:val="24"/>
                <w:lang w:val="en-US" w:eastAsia="zh-CN"/>
              </w:rPr>
            </w:pPr>
          </w:p>
          <w:p w14:paraId="15560C2E">
            <w:pPr>
              <w:pStyle w:val="23"/>
              <w:keepNext w:val="0"/>
              <w:keepLines w:val="0"/>
              <w:pageBreakBefore w:val="0"/>
              <w:widowControl w:val="0"/>
              <w:numPr>
                <w:ilvl w:val="0"/>
                <w:numId w:val="0"/>
              </w:numPr>
              <w:kinsoku/>
              <w:wordWrap w:val="0"/>
              <w:overflowPunct/>
              <w:topLinePunct/>
              <w:autoSpaceDE/>
              <w:autoSpaceDN/>
              <w:bidi w:val="0"/>
              <w:adjustRightInd w:val="0"/>
              <w:snapToGrid/>
              <w:ind w:left="0" w:leftChars="0" w:right="0" w:rightChars="0" w:firstLine="480" w:firstLineChars="200"/>
              <w:textAlignment w:val="baseline"/>
              <w:rPr>
                <w:rFonts w:hint="default" w:ascii="Times New Roman" w:hAnsi="Times New Roman" w:cs="Times New Roman"/>
                <w:b w:val="0"/>
                <w:bCs w:val="0"/>
                <w:color w:val="auto"/>
                <w:sz w:val="24"/>
                <w:highlight w:val="none"/>
                <w:lang w:val="en-US" w:eastAsia="zh-CN"/>
              </w:rPr>
            </w:pPr>
            <w:r>
              <w:rPr>
                <w:rFonts w:hint="default" w:ascii="Times New Roman" w:hAnsi="Times New Roman" w:cs="Times New Roman"/>
                <w:b w:val="0"/>
                <w:bCs w:val="0"/>
                <w:color w:val="auto"/>
                <w:sz w:val="24"/>
                <w:highlight w:val="none"/>
              </w:rPr>
              <w:t>项目</w:t>
            </w:r>
            <w:r>
              <w:rPr>
                <w:rFonts w:hint="default" w:ascii="Times New Roman" w:hAnsi="Times New Roman" w:cs="Times New Roman"/>
                <w:b w:val="0"/>
                <w:bCs w:val="0"/>
                <w:color w:val="auto"/>
                <w:sz w:val="24"/>
                <w:highlight w:val="none"/>
                <w:lang w:val="en-US" w:eastAsia="zh-CN"/>
              </w:rPr>
              <w:t>废</w:t>
            </w:r>
            <w:r>
              <w:rPr>
                <w:rFonts w:hint="default" w:ascii="Times New Roman" w:hAnsi="Times New Roman" w:cs="Times New Roman"/>
                <w:b w:val="0"/>
                <w:bCs w:val="0"/>
                <w:color w:val="auto"/>
                <w:sz w:val="24"/>
                <w:highlight w:val="none"/>
              </w:rPr>
              <w:t>水污染物产生及排放情况一览表</w:t>
            </w:r>
            <w:r>
              <w:rPr>
                <w:rFonts w:hint="default" w:ascii="Times New Roman" w:hAnsi="Times New Roman" w:cs="Times New Roman"/>
                <w:b w:val="0"/>
                <w:bCs w:val="0"/>
                <w:color w:val="auto"/>
                <w:sz w:val="24"/>
                <w:highlight w:val="none"/>
                <w:lang w:val="en-US" w:eastAsia="zh-CN"/>
              </w:rPr>
              <w:t>见表4.2-</w:t>
            </w:r>
            <w:r>
              <w:rPr>
                <w:rFonts w:hint="eastAsia" w:cs="Times New Roman"/>
                <w:b w:val="0"/>
                <w:bCs w:val="0"/>
                <w:color w:val="auto"/>
                <w:sz w:val="24"/>
                <w:highlight w:val="none"/>
                <w:lang w:val="en-US" w:eastAsia="zh-CN"/>
              </w:rPr>
              <w:t>3</w:t>
            </w:r>
            <w:r>
              <w:rPr>
                <w:rFonts w:hint="default" w:ascii="Times New Roman" w:hAnsi="Times New Roman" w:cs="Times New Roman"/>
                <w:b w:val="0"/>
                <w:bCs w:val="0"/>
                <w:color w:val="auto"/>
                <w:sz w:val="24"/>
                <w:highlight w:val="none"/>
                <w:lang w:val="en-US" w:eastAsia="zh-CN"/>
              </w:rPr>
              <w:t>。</w:t>
            </w:r>
          </w:p>
          <w:p w14:paraId="09B51382">
            <w:pPr>
              <w:spacing w:line="360" w:lineRule="auto"/>
              <w:ind w:firstLine="482" w:firstLineChars="200"/>
              <w:jc w:val="center"/>
              <w:rPr>
                <w:b/>
                <w:bCs/>
                <w:color w:val="auto"/>
                <w:sz w:val="24"/>
              </w:rPr>
            </w:pPr>
            <w:r>
              <w:rPr>
                <w:b/>
                <w:bCs/>
                <w:color w:val="auto"/>
                <w:sz w:val="24"/>
              </w:rPr>
              <w:t>表</w:t>
            </w:r>
            <w:r>
              <w:rPr>
                <w:rFonts w:hint="eastAsia"/>
                <w:b/>
                <w:bCs/>
                <w:color w:val="auto"/>
                <w:sz w:val="24"/>
              </w:rPr>
              <w:t>4.2-3</w:t>
            </w:r>
            <w:r>
              <w:rPr>
                <w:b/>
                <w:bCs/>
                <w:color w:val="auto"/>
                <w:sz w:val="24"/>
              </w:rPr>
              <w:t>项目</w:t>
            </w:r>
            <w:r>
              <w:rPr>
                <w:rFonts w:hint="eastAsia"/>
                <w:b/>
                <w:bCs/>
                <w:color w:val="auto"/>
                <w:sz w:val="24"/>
              </w:rPr>
              <w:t>废</w:t>
            </w:r>
            <w:r>
              <w:rPr>
                <w:b/>
                <w:bCs/>
                <w:color w:val="auto"/>
                <w:sz w:val="24"/>
              </w:rPr>
              <w:t>水污染物产生及排放情况一览表</w:t>
            </w:r>
          </w:p>
          <w:tbl>
            <w:tblPr>
              <w:tblStyle w:val="17"/>
              <w:tblW w:w="4997"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108" w:type="dxa"/>
                <w:bottom w:w="0" w:type="dxa"/>
                <w:right w:w="108" w:type="dxa"/>
              </w:tblCellMar>
            </w:tblPr>
            <w:tblGrid>
              <w:gridCol w:w="732"/>
              <w:gridCol w:w="1004"/>
              <w:gridCol w:w="1048"/>
              <w:gridCol w:w="1048"/>
              <w:gridCol w:w="1048"/>
              <w:gridCol w:w="918"/>
              <w:gridCol w:w="918"/>
              <w:gridCol w:w="918"/>
              <w:gridCol w:w="875"/>
            </w:tblGrid>
            <w:tr w14:paraId="1BA268B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55" w:hRule="atLeast"/>
              </w:trPr>
              <w:tc>
                <w:tcPr>
                  <w:tcW w:w="455" w:type="pct"/>
                  <w:tcBorders>
                    <w:tl2br w:val="nil"/>
                    <w:tr2bl w:val="nil"/>
                  </w:tcBorders>
                  <w:shd w:val="clear" w:color="auto" w:fill="FFFFFF"/>
                  <w:noWrap w:val="0"/>
                  <w:vAlign w:val="center"/>
                </w:tcPr>
                <w:p w14:paraId="555D6C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类别</w:t>
                  </w:r>
                </w:p>
              </w:tc>
              <w:tc>
                <w:tcPr>
                  <w:tcW w:w="475" w:type="pct"/>
                  <w:tcBorders>
                    <w:tl2br w:val="nil"/>
                    <w:tr2bl w:val="nil"/>
                  </w:tcBorders>
                  <w:shd w:val="clear" w:color="auto" w:fill="FFFFFF"/>
                  <w:noWrap w:val="0"/>
                  <w:vAlign w:val="center"/>
                </w:tcPr>
                <w:p w14:paraId="6CBB2A2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废水量</w:t>
                  </w:r>
                  <w:r>
                    <w:rPr>
                      <w:rFonts w:hint="default" w:ascii="Times New Roman" w:hAnsi="Times New Roman" w:eastAsia="宋体" w:cs="Times New Roman"/>
                      <w:i w:val="0"/>
                      <w:iCs w:val="0"/>
                      <w:color w:val="auto"/>
                      <w:kern w:val="0"/>
                      <w:sz w:val="21"/>
                      <w:szCs w:val="21"/>
                      <w:u w:val="none"/>
                      <w:lang w:val="en-US" w:eastAsia="zh-CN" w:bidi="ar"/>
                    </w:rPr>
                    <w:t>t/a</w:t>
                  </w:r>
                </w:p>
              </w:tc>
              <w:tc>
                <w:tcPr>
                  <w:tcW w:w="640" w:type="pct"/>
                  <w:tcBorders>
                    <w:tl2br w:val="nil"/>
                    <w:tr2bl w:val="nil"/>
                  </w:tcBorders>
                  <w:shd w:val="clear" w:color="auto" w:fill="FFFFFF"/>
                  <w:noWrap w:val="0"/>
                  <w:vAlign w:val="center"/>
                </w:tcPr>
                <w:p w14:paraId="42B9C20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项目</w:t>
                  </w:r>
                </w:p>
              </w:tc>
              <w:tc>
                <w:tcPr>
                  <w:tcW w:w="640" w:type="pct"/>
                  <w:tcBorders>
                    <w:tl2br w:val="nil"/>
                    <w:tr2bl w:val="nil"/>
                  </w:tcBorders>
                  <w:shd w:val="clear" w:color="auto" w:fill="FFFFFF"/>
                  <w:noWrap w:val="0"/>
                  <w:vAlign w:val="center"/>
                </w:tcPr>
                <w:p w14:paraId="7B8A28A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COD</w:t>
                  </w:r>
                </w:p>
              </w:tc>
              <w:tc>
                <w:tcPr>
                  <w:tcW w:w="640" w:type="pct"/>
                  <w:tcBorders>
                    <w:tl2br w:val="nil"/>
                    <w:tr2bl w:val="nil"/>
                  </w:tcBorders>
                  <w:shd w:val="clear" w:color="auto" w:fill="FFFFFF"/>
                  <w:noWrap w:val="0"/>
                  <w:vAlign w:val="center"/>
                </w:tcPr>
                <w:p w14:paraId="55963BA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BOD</w:t>
                  </w:r>
                  <w:r>
                    <w:rPr>
                      <w:rFonts w:hint="default" w:ascii="Times New Roman" w:hAnsi="Times New Roman" w:eastAsia="宋体" w:cs="Times New Roman"/>
                      <w:i w:val="0"/>
                      <w:iCs w:val="0"/>
                      <w:color w:val="auto"/>
                      <w:kern w:val="0"/>
                      <w:sz w:val="21"/>
                      <w:szCs w:val="21"/>
                      <w:u w:val="none"/>
                      <w:vertAlign w:val="subscript"/>
                      <w:lang w:val="en-US" w:eastAsia="zh-CN" w:bidi="ar"/>
                    </w:rPr>
                    <w:t>5</w:t>
                  </w:r>
                </w:p>
              </w:tc>
              <w:tc>
                <w:tcPr>
                  <w:tcW w:w="564" w:type="pct"/>
                  <w:tcBorders>
                    <w:tl2br w:val="nil"/>
                    <w:tr2bl w:val="nil"/>
                  </w:tcBorders>
                  <w:shd w:val="clear" w:color="auto" w:fill="FFFFFF"/>
                  <w:noWrap w:val="0"/>
                  <w:vAlign w:val="center"/>
                </w:tcPr>
                <w:p w14:paraId="159A92D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SS</w:t>
                  </w:r>
                </w:p>
              </w:tc>
              <w:tc>
                <w:tcPr>
                  <w:tcW w:w="564" w:type="pct"/>
                  <w:tcBorders>
                    <w:tl2br w:val="nil"/>
                    <w:tr2bl w:val="nil"/>
                  </w:tcBorders>
                  <w:shd w:val="clear" w:color="auto" w:fill="FFFFFF"/>
                  <w:noWrap w:val="0"/>
                  <w:vAlign w:val="center"/>
                </w:tcPr>
                <w:p w14:paraId="3899FA4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NH</w:t>
                  </w:r>
                  <w:r>
                    <w:rPr>
                      <w:rFonts w:hint="default" w:ascii="Times New Roman" w:hAnsi="Times New Roman" w:eastAsia="宋体" w:cs="Times New Roman"/>
                      <w:i w:val="0"/>
                      <w:iCs w:val="0"/>
                      <w:color w:val="auto"/>
                      <w:kern w:val="0"/>
                      <w:sz w:val="21"/>
                      <w:szCs w:val="21"/>
                      <w:u w:val="none"/>
                      <w:vertAlign w:val="sub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-N</w:t>
                  </w:r>
                </w:p>
              </w:tc>
              <w:tc>
                <w:tcPr>
                  <w:tcW w:w="564" w:type="pct"/>
                  <w:tcBorders>
                    <w:tl2br w:val="nil"/>
                    <w:tr2bl w:val="nil"/>
                  </w:tcBorders>
                  <w:shd w:val="clear" w:color="auto" w:fill="FFFFFF"/>
                  <w:noWrap w:val="0"/>
                  <w:vAlign w:val="center"/>
                </w:tcPr>
                <w:p w14:paraId="1019E2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动植物油</w:t>
                  </w:r>
                </w:p>
              </w:tc>
              <w:tc>
                <w:tcPr>
                  <w:tcW w:w="455" w:type="pct"/>
                  <w:tcBorders>
                    <w:tl2br w:val="nil"/>
                    <w:tr2bl w:val="nil"/>
                  </w:tcBorders>
                  <w:shd w:val="clear" w:color="auto" w:fill="FFFFFF"/>
                  <w:noWrap w:val="0"/>
                  <w:vAlign w:val="center"/>
                </w:tcPr>
                <w:p w14:paraId="5A8D70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大肠菌群数</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个</w:t>
                  </w:r>
                  <w:r>
                    <w:rPr>
                      <w:rFonts w:hint="default" w:ascii="Times New Roman" w:hAnsi="Times New Roman" w:eastAsia="宋体" w:cs="Times New Roman"/>
                      <w:i w:val="0"/>
                      <w:iCs w:val="0"/>
                      <w:color w:val="auto"/>
                      <w:kern w:val="0"/>
                      <w:sz w:val="21"/>
                      <w:szCs w:val="21"/>
                      <w:u w:val="none"/>
                      <w:lang w:val="en-US" w:eastAsia="zh-CN" w:bidi="ar"/>
                    </w:rPr>
                    <w:t>/L)</w:t>
                  </w:r>
                </w:p>
              </w:tc>
            </w:tr>
            <w:tr w14:paraId="5812734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455" w:type="pct"/>
                  <w:vMerge w:val="restart"/>
                  <w:tcBorders>
                    <w:tl2br w:val="nil"/>
                    <w:tr2bl w:val="nil"/>
                  </w:tcBorders>
                  <w:shd w:val="clear" w:color="auto" w:fill="FFFFFF"/>
                  <w:noWrap w:val="0"/>
                  <w:vAlign w:val="center"/>
                </w:tcPr>
                <w:p w14:paraId="257E3D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医疗废水</w:t>
                  </w:r>
                </w:p>
              </w:tc>
              <w:tc>
                <w:tcPr>
                  <w:tcW w:w="475" w:type="pct"/>
                  <w:vMerge w:val="restart"/>
                  <w:tcBorders>
                    <w:tl2br w:val="nil"/>
                    <w:tr2bl w:val="nil"/>
                  </w:tcBorders>
                  <w:shd w:val="clear" w:color="auto" w:fill="auto"/>
                  <w:noWrap w:val="0"/>
                  <w:vAlign w:val="center"/>
                </w:tcPr>
                <w:p w14:paraId="7629288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45678.29</w:t>
                  </w:r>
                </w:p>
              </w:tc>
              <w:tc>
                <w:tcPr>
                  <w:tcW w:w="640" w:type="pct"/>
                  <w:tcBorders>
                    <w:tl2br w:val="nil"/>
                    <w:tr2bl w:val="nil"/>
                  </w:tcBorders>
                  <w:shd w:val="clear" w:color="auto" w:fill="FFFFFF"/>
                  <w:noWrap w:val="0"/>
                  <w:vAlign w:val="center"/>
                </w:tcPr>
                <w:p w14:paraId="5595A0A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产生浓度</w:t>
                  </w:r>
                  <w:r>
                    <w:rPr>
                      <w:rFonts w:hint="default" w:ascii="Times New Roman" w:hAnsi="Times New Roman" w:eastAsia="宋体" w:cs="Times New Roman"/>
                      <w:i w:val="0"/>
                      <w:iCs w:val="0"/>
                      <w:color w:val="auto"/>
                      <w:kern w:val="0"/>
                      <w:sz w:val="21"/>
                      <w:szCs w:val="21"/>
                      <w:u w:val="none"/>
                      <w:lang w:val="en-US" w:eastAsia="zh-CN" w:bidi="ar"/>
                    </w:rPr>
                    <w:t>(mg/L)</w:t>
                  </w:r>
                </w:p>
              </w:tc>
              <w:tc>
                <w:tcPr>
                  <w:tcW w:w="640" w:type="pct"/>
                  <w:tcBorders>
                    <w:tl2br w:val="nil"/>
                    <w:tr2bl w:val="nil"/>
                  </w:tcBorders>
                  <w:shd w:val="clear" w:color="auto" w:fill="FFFFFF"/>
                  <w:noWrap w:val="0"/>
                  <w:vAlign w:val="center"/>
                </w:tcPr>
                <w:p w14:paraId="34296AE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250</w:t>
                  </w:r>
                </w:p>
              </w:tc>
              <w:tc>
                <w:tcPr>
                  <w:tcW w:w="640" w:type="pct"/>
                  <w:tcBorders>
                    <w:tl2br w:val="nil"/>
                    <w:tr2bl w:val="nil"/>
                  </w:tcBorders>
                  <w:shd w:val="clear" w:color="auto" w:fill="FFFFFF"/>
                  <w:noWrap w:val="0"/>
                  <w:vAlign w:val="center"/>
                </w:tcPr>
                <w:p w14:paraId="2AA9467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100</w:t>
                  </w:r>
                </w:p>
              </w:tc>
              <w:tc>
                <w:tcPr>
                  <w:tcW w:w="564" w:type="pct"/>
                  <w:tcBorders>
                    <w:tl2br w:val="nil"/>
                    <w:tr2bl w:val="nil"/>
                  </w:tcBorders>
                  <w:shd w:val="clear" w:color="auto" w:fill="FFFFFF"/>
                  <w:noWrap w:val="0"/>
                  <w:vAlign w:val="center"/>
                </w:tcPr>
                <w:p w14:paraId="0F7C054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w:t>
                  </w:r>
                </w:p>
              </w:tc>
              <w:tc>
                <w:tcPr>
                  <w:tcW w:w="564" w:type="pct"/>
                  <w:tcBorders>
                    <w:tl2br w:val="nil"/>
                    <w:tr2bl w:val="nil"/>
                  </w:tcBorders>
                  <w:shd w:val="clear" w:color="auto" w:fill="FFFFFF"/>
                  <w:noWrap w:val="0"/>
                  <w:vAlign w:val="center"/>
                </w:tcPr>
                <w:p w14:paraId="78F6F48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w:t>
                  </w:r>
                </w:p>
              </w:tc>
              <w:tc>
                <w:tcPr>
                  <w:tcW w:w="564" w:type="pct"/>
                  <w:tcBorders>
                    <w:tl2br w:val="nil"/>
                    <w:tr2bl w:val="nil"/>
                  </w:tcBorders>
                  <w:shd w:val="clear" w:color="auto" w:fill="FFFFFF"/>
                  <w:noWrap w:val="0"/>
                  <w:vAlign w:val="center"/>
                </w:tcPr>
                <w:p w14:paraId="61F78D8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455" w:type="pct"/>
                  <w:tcBorders>
                    <w:tl2br w:val="nil"/>
                    <w:tr2bl w:val="nil"/>
                  </w:tcBorders>
                  <w:shd w:val="clear" w:color="auto" w:fill="FFFFFF"/>
                  <w:noWrap w:val="0"/>
                  <w:vAlign w:val="center"/>
                </w:tcPr>
                <w:p w14:paraId="3C06CFD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1.6×10</w:t>
                  </w:r>
                  <w:r>
                    <w:rPr>
                      <w:rFonts w:hint="default" w:ascii="Times New Roman" w:hAnsi="Times New Roman" w:eastAsia="宋体" w:cs="Times New Roman"/>
                      <w:i w:val="0"/>
                      <w:iCs w:val="0"/>
                      <w:color w:val="auto"/>
                      <w:kern w:val="0"/>
                      <w:sz w:val="21"/>
                      <w:szCs w:val="21"/>
                      <w:u w:val="none"/>
                      <w:vertAlign w:val="superscript"/>
                      <w:lang w:val="en-US" w:eastAsia="zh-CN" w:bidi="ar"/>
                    </w:rPr>
                    <w:t>8</w:t>
                  </w:r>
                </w:p>
              </w:tc>
            </w:tr>
            <w:tr w14:paraId="36BF0E4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90" w:hRule="atLeast"/>
              </w:trPr>
              <w:tc>
                <w:tcPr>
                  <w:tcW w:w="455" w:type="pct"/>
                  <w:vMerge w:val="continue"/>
                  <w:tcBorders>
                    <w:tl2br w:val="nil"/>
                    <w:tr2bl w:val="nil"/>
                  </w:tcBorders>
                  <w:shd w:val="clear" w:color="auto" w:fill="FFFFFF"/>
                  <w:noWrap w:val="0"/>
                  <w:vAlign w:val="center"/>
                </w:tcPr>
                <w:p w14:paraId="16EF9237">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auto"/>
                  <w:noWrap w:val="0"/>
                  <w:vAlign w:val="center"/>
                </w:tcPr>
                <w:p w14:paraId="5746C520">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63DA3E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预处理方式</w:t>
                  </w:r>
                </w:p>
              </w:tc>
              <w:tc>
                <w:tcPr>
                  <w:tcW w:w="3428" w:type="pct"/>
                  <w:gridSpan w:val="6"/>
                  <w:tcBorders>
                    <w:tl2br w:val="nil"/>
                    <w:tr2bl w:val="nil"/>
                  </w:tcBorders>
                  <w:shd w:val="clear" w:color="auto" w:fill="FFFFFF"/>
                  <w:noWrap w:val="0"/>
                  <w:vAlign w:val="center"/>
                </w:tcPr>
                <w:p w14:paraId="61B2FCC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化验室、口腔科废水排放量较少，废水采用化学沉淀法处理。项目现有</w:t>
                  </w:r>
                  <w:r>
                    <w:rPr>
                      <w:rFonts w:hint="default" w:ascii="Times New Roman" w:hAnsi="Times New Roman" w:eastAsia="宋体" w:cs="Times New Roman"/>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个</w:t>
                  </w:r>
                  <w:r>
                    <w:rPr>
                      <w:rFonts w:hint="default" w:ascii="Times New Roman" w:hAnsi="Times New Roman" w:eastAsia="宋体" w:cs="Times New Roman"/>
                      <w:i w:val="0"/>
                      <w:iCs w:val="0"/>
                      <w:color w:val="auto"/>
                      <w:kern w:val="0"/>
                      <w:sz w:val="21"/>
                      <w:szCs w:val="21"/>
                      <w:u w:val="none"/>
                      <w:lang w:val="en-US" w:eastAsia="zh-CN" w:bidi="ar"/>
                    </w:rPr>
                    <w:t>2m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宋体" w:hAnsi="宋体" w:eastAsia="宋体" w:cs="宋体"/>
                      <w:i w:val="0"/>
                      <w:iCs w:val="0"/>
                      <w:color w:val="auto"/>
                      <w:kern w:val="0"/>
                      <w:sz w:val="21"/>
                      <w:szCs w:val="21"/>
                      <w:u w:val="none"/>
                      <w:lang w:val="en-US" w:eastAsia="zh-CN" w:bidi="ar"/>
                    </w:rPr>
                    <w:t>的化学沉淀池，废水经预处理后与其他医疗废水一起排入化粪池处理后进入污水处理站进行处理</w:t>
                  </w:r>
                </w:p>
              </w:tc>
            </w:tr>
            <w:tr w14:paraId="0AAD936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10" w:hRule="atLeast"/>
              </w:trPr>
              <w:tc>
                <w:tcPr>
                  <w:tcW w:w="455" w:type="pct"/>
                  <w:vMerge w:val="continue"/>
                  <w:tcBorders>
                    <w:tl2br w:val="nil"/>
                    <w:tr2bl w:val="nil"/>
                  </w:tcBorders>
                  <w:shd w:val="clear" w:color="auto" w:fill="FFFFFF"/>
                  <w:noWrap w:val="0"/>
                  <w:vAlign w:val="center"/>
                </w:tcPr>
                <w:p w14:paraId="54D53EFF">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auto"/>
                  <w:noWrap w:val="0"/>
                  <w:vAlign w:val="center"/>
                </w:tcPr>
                <w:p w14:paraId="250CAE9F">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099467A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化粪池去除率（%）</w:t>
                  </w:r>
                </w:p>
              </w:tc>
              <w:tc>
                <w:tcPr>
                  <w:tcW w:w="640" w:type="pct"/>
                  <w:tcBorders>
                    <w:tl2br w:val="nil"/>
                    <w:tr2bl w:val="nil"/>
                  </w:tcBorders>
                  <w:shd w:val="clear" w:color="auto" w:fill="FFFFFF"/>
                  <w:noWrap w:val="0"/>
                  <w:vAlign w:val="center"/>
                </w:tcPr>
                <w:p w14:paraId="6B11FC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640" w:type="pct"/>
                  <w:tcBorders>
                    <w:tl2br w:val="nil"/>
                    <w:tr2bl w:val="nil"/>
                  </w:tcBorders>
                  <w:shd w:val="clear" w:color="auto" w:fill="FFFFFF"/>
                  <w:noWrap w:val="0"/>
                  <w:vAlign w:val="center"/>
                </w:tcPr>
                <w:p w14:paraId="77D51C0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c>
                <w:tcPr>
                  <w:tcW w:w="564" w:type="pct"/>
                  <w:tcBorders>
                    <w:tl2br w:val="nil"/>
                    <w:tr2bl w:val="nil"/>
                  </w:tcBorders>
                  <w:shd w:val="clear" w:color="auto" w:fill="FFFFFF"/>
                  <w:noWrap w:val="0"/>
                  <w:vAlign w:val="center"/>
                </w:tcPr>
                <w:p w14:paraId="0194CC3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w:t>
                  </w:r>
                </w:p>
              </w:tc>
              <w:tc>
                <w:tcPr>
                  <w:tcW w:w="564" w:type="pct"/>
                  <w:tcBorders>
                    <w:tl2br w:val="nil"/>
                    <w:tr2bl w:val="nil"/>
                  </w:tcBorders>
                  <w:shd w:val="clear" w:color="auto" w:fill="FFFFFF"/>
                  <w:noWrap w:val="0"/>
                  <w:vAlign w:val="center"/>
                </w:tcPr>
                <w:p w14:paraId="2B89181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c>
                <w:tcPr>
                  <w:tcW w:w="564" w:type="pct"/>
                  <w:tcBorders>
                    <w:tl2br w:val="nil"/>
                    <w:tr2bl w:val="nil"/>
                  </w:tcBorders>
                  <w:shd w:val="clear" w:color="auto" w:fill="FFFFFF"/>
                  <w:noWrap w:val="0"/>
                  <w:vAlign w:val="center"/>
                </w:tcPr>
                <w:p w14:paraId="67CFCC2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455" w:type="pct"/>
                  <w:tcBorders>
                    <w:tl2br w:val="nil"/>
                    <w:tr2bl w:val="nil"/>
                  </w:tcBorders>
                  <w:shd w:val="clear" w:color="auto" w:fill="FFFFFF"/>
                  <w:noWrap w:val="0"/>
                  <w:vAlign w:val="center"/>
                </w:tcPr>
                <w:p w14:paraId="19F86405">
                  <w:pPr>
                    <w:jc w:val="center"/>
                    <w:rPr>
                      <w:rFonts w:hint="default" w:ascii="Times New Roman" w:hAnsi="Times New Roman" w:eastAsia="宋体" w:cs="Times New Roman"/>
                      <w:i w:val="0"/>
                      <w:iCs w:val="0"/>
                      <w:color w:val="auto"/>
                      <w:sz w:val="21"/>
                      <w:szCs w:val="21"/>
                      <w:u w:val="none"/>
                    </w:rPr>
                  </w:pPr>
                </w:p>
              </w:tc>
            </w:tr>
            <w:tr w14:paraId="5D93E3E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5" w:hRule="atLeast"/>
              </w:trPr>
              <w:tc>
                <w:tcPr>
                  <w:tcW w:w="455" w:type="pct"/>
                  <w:vMerge w:val="continue"/>
                  <w:tcBorders>
                    <w:tl2br w:val="nil"/>
                    <w:tr2bl w:val="nil"/>
                  </w:tcBorders>
                  <w:shd w:val="clear" w:color="auto" w:fill="FFFFFF"/>
                  <w:noWrap w:val="0"/>
                  <w:vAlign w:val="center"/>
                </w:tcPr>
                <w:p w14:paraId="0A7FEB33">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auto"/>
                  <w:noWrap w:val="0"/>
                  <w:vAlign w:val="center"/>
                </w:tcPr>
                <w:p w14:paraId="056B0B79">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385E9D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出水浓度</w:t>
                  </w:r>
                  <w:r>
                    <w:rPr>
                      <w:rFonts w:hint="default" w:ascii="Times New Roman" w:hAnsi="Times New Roman" w:eastAsia="宋体" w:cs="Times New Roman"/>
                      <w:i w:val="0"/>
                      <w:iCs w:val="0"/>
                      <w:color w:val="auto"/>
                      <w:kern w:val="0"/>
                      <w:sz w:val="21"/>
                      <w:szCs w:val="21"/>
                      <w:u w:val="none"/>
                      <w:lang w:val="en-US" w:eastAsia="zh-CN" w:bidi="ar"/>
                    </w:rPr>
                    <w:t>(mg/L)</w:t>
                  </w:r>
                </w:p>
              </w:tc>
              <w:tc>
                <w:tcPr>
                  <w:tcW w:w="640" w:type="pct"/>
                  <w:tcBorders>
                    <w:tl2br w:val="nil"/>
                    <w:tr2bl w:val="nil"/>
                  </w:tcBorders>
                  <w:shd w:val="clear" w:color="auto" w:fill="FFFFFF"/>
                  <w:noWrap w:val="0"/>
                  <w:vAlign w:val="center"/>
                </w:tcPr>
                <w:p w14:paraId="22BABDF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640" w:type="pct"/>
                  <w:tcBorders>
                    <w:tl2br w:val="nil"/>
                    <w:tr2bl w:val="nil"/>
                  </w:tcBorders>
                  <w:shd w:val="clear" w:color="auto" w:fill="FFFFFF"/>
                  <w:noWrap w:val="0"/>
                  <w:vAlign w:val="center"/>
                </w:tcPr>
                <w:p w14:paraId="789BE42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w:t>
                  </w:r>
                </w:p>
              </w:tc>
              <w:tc>
                <w:tcPr>
                  <w:tcW w:w="564" w:type="pct"/>
                  <w:tcBorders>
                    <w:tl2br w:val="nil"/>
                    <w:tr2bl w:val="nil"/>
                  </w:tcBorders>
                  <w:shd w:val="clear" w:color="auto" w:fill="FFFFFF"/>
                  <w:noWrap w:val="0"/>
                  <w:vAlign w:val="center"/>
                </w:tcPr>
                <w:p w14:paraId="3CE47F9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56</w:t>
                  </w:r>
                </w:p>
              </w:tc>
              <w:tc>
                <w:tcPr>
                  <w:tcW w:w="564" w:type="pct"/>
                  <w:tcBorders>
                    <w:tl2br w:val="nil"/>
                    <w:tr2bl w:val="nil"/>
                  </w:tcBorders>
                  <w:shd w:val="clear" w:color="auto" w:fill="FFFFFF"/>
                  <w:noWrap w:val="0"/>
                  <w:vAlign w:val="center"/>
                </w:tcPr>
                <w:p w14:paraId="5D770D9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25.5</w:t>
                  </w:r>
                </w:p>
              </w:tc>
              <w:tc>
                <w:tcPr>
                  <w:tcW w:w="564" w:type="pct"/>
                  <w:tcBorders>
                    <w:tl2br w:val="nil"/>
                    <w:tr2bl w:val="nil"/>
                  </w:tcBorders>
                  <w:shd w:val="clear" w:color="auto" w:fill="FFFFFF"/>
                  <w:noWrap w:val="0"/>
                  <w:vAlign w:val="center"/>
                </w:tcPr>
                <w:p w14:paraId="6EBC2E0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455" w:type="pct"/>
                  <w:tcBorders>
                    <w:tl2br w:val="nil"/>
                    <w:tr2bl w:val="nil"/>
                  </w:tcBorders>
                  <w:shd w:val="clear" w:color="auto" w:fill="FFFFFF"/>
                  <w:noWrap w:val="0"/>
                  <w:vAlign w:val="center"/>
                </w:tcPr>
                <w:p w14:paraId="1087C4F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1.6×10</w:t>
                  </w:r>
                  <w:r>
                    <w:rPr>
                      <w:rFonts w:hint="default" w:ascii="Times New Roman" w:hAnsi="Times New Roman" w:eastAsia="宋体" w:cs="Times New Roman"/>
                      <w:i w:val="0"/>
                      <w:iCs w:val="0"/>
                      <w:color w:val="auto"/>
                      <w:kern w:val="0"/>
                      <w:sz w:val="21"/>
                      <w:szCs w:val="21"/>
                      <w:u w:val="none"/>
                      <w:vertAlign w:val="superscript"/>
                      <w:lang w:val="en-US" w:eastAsia="zh-CN" w:bidi="ar"/>
                    </w:rPr>
                    <w:t>8</w:t>
                  </w:r>
                </w:p>
              </w:tc>
            </w:tr>
            <w:tr w14:paraId="4F62538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5" w:hRule="atLeast"/>
              </w:trPr>
              <w:tc>
                <w:tcPr>
                  <w:tcW w:w="455" w:type="pct"/>
                  <w:vMerge w:val="restart"/>
                  <w:tcBorders>
                    <w:tl2br w:val="nil"/>
                    <w:tr2bl w:val="nil"/>
                  </w:tcBorders>
                  <w:shd w:val="clear" w:color="auto" w:fill="auto"/>
                  <w:noWrap w:val="0"/>
                  <w:vAlign w:val="center"/>
                </w:tcPr>
                <w:p w14:paraId="3C34310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职工生活用水</w:t>
                  </w:r>
                </w:p>
              </w:tc>
              <w:tc>
                <w:tcPr>
                  <w:tcW w:w="475" w:type="pct"/>
                  <w:vMerge w:val="restart"/>
                  <w:tcBorders>
                    <w:tl2br w:val="nil"/>
                    <w:tr2bl w:val="nil"/>
                  </w:tcBorders>
                  <w:shd w:val="clear" w:color="auto" w:fill="FFFFFF"/>
                  <w:noWrap w:val="0"/>
                  <w:vAlign w:val="center"/>
                </w:tcPr>
                <w:p w14:paraId="6DE1088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17695.2</w:t>
                  </w:r>
                </w:p>
              </w:tc>
              <w:tc>
                <w:tcPr>
                  <w:tcW w:w="640" w:type="pct"/>
                  <w:tcBorders>
                    <w:tl2br w:val="nil"/>
                    <w:tr2bl w:val="nil"/>
                  </w:tcBorders>
                  <w:shd w:val="clear" w:color="auto" w:fill="FFFFFF"/>
                  <w:noWrap w:val="0"/>
                  <w:vAlign w:val="center"/>
                </w:tcPr>
                <w:p w14:paraId="01CC71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产生浓度</w:t>
                  </w:r>
                  <w:r>
                    <w:rPr>
                      <w:rFonts w:hint="default" w:ascii="Times New Roman" w:hAnsi="Times New Roman" w:eastAsia="宋体" w:cs="Times New Roman"/>
                      <w:i w:val="0"/>
                      <w:iCs w:val="0"/>
                      <w:color w:val="auto"/>
                      <w:kern w:val="0"/>
                      <w:sz w:val="21"/>
                      <w:szCs w:val="21"/>
                      <w:u w:val="none"/>
                      <w:lang w:val="en-US" w:eastAsia="zh-CN" w:bidi="ar"/>
                    </w:rPr>
                    <w:t>(mg/L)</w:t>
                  </w:r>
                </w:p>
              </w:tc>
              <w:tc>
                <w:tcPr>
                  <w:tcW w:w="640" w:type="pct"/>
                  <w:tcBorders>
                    <w:tl2br w:val="nil"/>
                    <w:tr2bl w:val="nil"/>
                  </w:tcBorders>
                  <w:shd w:val="clear" w:color="auto" w:fill="FFFFFF"/>
                  <w:noWrap w:val="0"/>
                  <w:vAlign w:val="center"/>
                </w:tcPr>
                <w:p w14:paraId="35E2B3A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340</w:t>
                  </w:r>
                </w:p>
              </w:tc>
              <w:tc>
                <w:tcPr>
                  <w:tcW w:w="640" w:type="pct"/>
                  <w:tcBorders>
                    <w:tl2br w:val="nil"/>
                    <w:tr2bl w:val="nil"/>
                  </w:tcBorders>
                  <w:shd w:val="clear" w:color="auto" w:fill="FFFFFF"/>
                  <w:noWrap w:val="0"/>
                  <w:vAlign w:val="center"/>
                </w:tcPr>
                <w:p w14:paraId="70BC3E4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180</w:t>
                  </w:r>
                </w:p>
              </w:tc>
              <w:tc>
                <w:tcPr>
                  <w:tcW w:w="564" w:type="pct"/>
                  <w:tcBorders>
                    <w:tl2br w:val="nil"/>
                    <w:tr2bl w:val="nil"/>
                  </w:tcBorders>
                  <w:shd w:val="clear" w:color="auto" w:fill="FFFFFF"/>
                  <w:noWrap w:val="0"/>
                  <w:vAlign w:val="center"/>
                </w:tcPr>
                <w:p w14:paraId="669EB1E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564" w:type="pct"/>
                  <w:tcBorders>
                    <w:tl2br w:val="nil"/>
                    <w:tr2bl w:val="nil"/>
                  </w:tcBorders>
                  <w:shd w:val="clear" w:color="auto" w:fill="FFFFFF"/>
                  <w:noWrap w:val="0"/>
                  <w:vAlign w:val="center"/>
                </w:tcPr>
                <w:p w14:paraId="2792278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35</w:t>
                  </w:r>
                </w:p>
              </w:tc>
              <w:tc>
                <w:tcPr>
                  <w:tcW w:w="564" w:type="pct"/>
                  <w:tcBorders>
                    <w:tl2br w:val="nil"/>
                    <w:tr2bl w:val="nil"/>
                  </w:tcBorders>
                  <w:shd w:val="clear" w:color="auto" w:fill="FFFFFF"/>
                  <w:noWrap w:val="0"/>
                  <w:vAlign w:val="center"/>
                </w:tcPr>
                <w:p w14:paraId="02D52FB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455" w:type="pct"/>
                  <w:tcBorders>
                    <w:tl2br w:val="nil"/>
                    <w:tr2bl w:val="nil"/>
                  </w:tcBorders>
                  <w:shd w:val="clear" w:color="auto" w:fill="FFFFFF"/>
                  <w:noWrap w:val="0"/>
                  <w:vAlign w:val="center"/>
                </w:tcPr>
                <w:p w14:paraId="5DEFC8A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1652B56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5" w:hRule="atLeast"/>
              </w:trPr>
              <w:tc>
                <w:tcPr>
                  <w:tcW w:w="455" w:type="pct"/>
                  <w:vMerge w:val="continue"/>
                  <w:tcBorders>
                    <w:tl2br w:val="nil"/>
                    <w:tr2bl w:val="nil"/>
                  </w:tcBorders>
                  <w:shd w:val="clear" w:color="auto" w:fill="auto"/>
                  <w:noWrap w:val="0"/>
                  <w:vAlign w:val="center"/>
                </w:tcPr>
                <w:p w14:paraId="5B9B21D0">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0F950089">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16137C8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预处理方式</w:t>
                  </w:r>
                </w:p>
              </w:tc>
              <w:tc>
                <w:tcPr>
                  <w:tcW w:w="3428" w:type="pct"/>
                  <w:gridSpan w:val="6"/>
                  <w:tcBorders>
                    <w:tl2br w:val="nil"/>
                    <w:tr2bl w:val="nil"/>
                  </w:tcBorders>
                  <w:shd w:val="clear" w:color="auto" w:fill="FFFFFF"/>
                  <w:noWrap w:val="0"/>
                  <w:vAlign w:val="center"/>
                </w:tcPr>
                <w:p w14:paraId="401C66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化粪池</w:t>
                  </w:r>
                </w:p>
              </w:tc>
            </w:tr>
            <w:tr w14:paraId="67F9A653">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795" w:hRule="atLeast"/>
              </w:trPr>
              <w:tc>
                <w:tcPr>
                  <w:tcW w:w="455" w:type="pct"/>
                  <w:vMerge w:val="continue"/>
                  <w:tcBorders>
                    <w:tl2br w:val="nil"/>
                    <w:tr2bl w:val="nil"/>
                  </w:tcBorders>
                  <w:shd w:val="clear" w:color="auto" w:fill="auto"/>
                  <w:noWrap w:val="0"/>
                  <w:vAlign w:val="center"/>
                </w:tcPr>
                <w:p w14:paraId="6CF768A9">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080F6395">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33C098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化粪池去除率（</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w:t>
                  </w:r>
                </w:p>
              </w:tc>
              <w:tc>
                <w:tcPr>
                  <w:tcW w:w="640" w:type="pct"/>
                  <w:tcBorders>
                    <w:tl2br w:val="nil"/>
                    <w:tr2bl w:val="nil"/>
                  </w:tcBorders>
                  <w:shd w:val="clear" w:color="auto" w:fill="FFFFFF"/>
                  <w:noWrap w:val="0"/>
                  <w:vAlign w:val="center"/>
                </w:tcPr>
                <w:p w14:paraId="403AE1A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640" w:type="pct"/>
                  <w:tcBorders>
                    <w:tl2br w:val="nil"/>
                    <w:tr2bl w:val="nil"/>
                  </w:tcBorders>
                  <w:shd w:val="clear" w:color="auto" w:fill="FFFFFF"/>
                  <w:noWrap w:val="0"/>
                  <w:vAlign w:val="center"/>
                </w:tcPr>
                <w:p w14:paraId="40F976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c>
                <w:tcPr>
                  <w:tcW w:w="564" w:type="pct"/>
                  <w:tcBorders>
                    <w:tl2br w:val="nil"/>
                    <w:tr2bl w:val="nil"/>
                  </w:tcBorders>
                  <w:shd w:val="clear" w:color="auto" w:fill="FFFFFF"/>
                  <w:noWrap w:val="0"/>
                  <w:vAlign w:val="center"/>
                </w:tcPr>
                <w:p w14:paraId="3AEF634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w:t>
                  </w:r>
                </w:p>
              </w:tc>
              <w:tc>
                <w:tcPr>
                  <w:tcW w:w="564" w:type="pct"/>
                  <w:tcBorders>
                    <w:tl2br w:val="nil"/>
                    <w:tr2bl w:val="nil"/>
                  </w:tcBorders>
                  <w:shd w:val="clear" w:color="auto" w:fill="FFFFFF"/>
                  <w:noWrap w:val="0"/>
                  <w:vAlign w:val="center"/>
                </w:tcPr>
                <w:p w14:paraId="725F745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c>
                <w:tcPr>
                  <w:tcW w:w="564" w:type="pct"/>
                  <w:tcBorders>
                    <w:tl2br w:val="nil"/>
                    <w:tr2bl w:val="nil"/>
                  </w:tcBorders>
                  <w:shd w:val="clear" w:color="auto" w:fill="FFFFFF"/>
                  <w:noWrap w:val="0"/>
                  <w:vAlign w:val="center"/>
                </w:tcPr>
                <w:p w14:paraId="54CCC1A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455" w:type="pct"/>
                  <w:tcBorders>
                    <w:tl2br w:val="nil"/>
                    <w:tr2bl w:val="nil"/>
                  </w:tcBorders>
                  <w:shd w:val="clear" w:color="auto" w:fill="FFFFFF"/>
                  <w:noWrap w:val="0"/>
                  <w:vAlign w:val="center"/>
                </w:tcPr>
                <w:p w14:paraId="67DFAC44">
                  <w:pPr>
                    <w:jc w:val="center"/>
                    <w:rPr>
                      <w:rFonts w:hint="default" w:ascii="Times New Roman" w:hAnsi="Times New Roman" w:eastAsia="宋体" w:cs="Times New Roman"/>
                      <w:i w:val="0"/>
                      <w:iCs w:val="0"/>
                      <w:color w:val="auto"/>
                      <w:sz w:val="21"/>
                      <w:szCs w:val="21"/>
                      <w:u w:val="none"/>
                    </w:rPr>
                  </w:pPr>
                </w:p>
              </w:tc>
            </w:tr>
            <w:tr w14:paraId="46CAC9D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40" w:hRule="atLeast"/>
              </w:trPr>
              <w:tc>
                <w:tcPr>
                  <w:tcW w:w="455" w:type="pct"/>
                  <w:vMerge w:val="continue"/>
                  <w:tcBorders>
                    <w:tl2br w:val="nil"/>
                    <w:tr2bl w:val="nil"/>
                  </w:tcBorders>
                  <w:shd w:val="clear" w:color="auto" w:fill="auto"/>
                  <w:noWrap w:val="0"/>
                  <w:vAlign w:val="center"/>
                </w:tcPr>
                <w:p w14:paraId="18D2C695">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3C7305B4">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2655E1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出水浓度</w:t>
                  </w:r>
                  <w:r>
                    <w:rPr>
                      <w:rFonts w:hint="default" w:ascii="Times New Roman" w:hAnsi="Times New Roman" w:eastAsia="宋体" w:cs="Times New Roman"/>
                      <w:i w:val="0"/>
                      <w:iCs w:val="0"/>
                      <w:color w:val="auto"/>
                      <w:kern w:val="0"/>
                      <w:sz w:val="21"/>
                      <w:szCs w:val="21"/>
                      <w:u w:val="none"/>
                      <w:lang w:val="en-US" w:eastAsia="zh-CN" w:bidi="ar"/>
                    </w:rPr>
                    <w:t>(mg/L)</w:t>
                  </w:r>
                </w:p>
              </w:tc>
              <w:tc>
                <w:tcPr>
                  <w:tcW w:w="640" w:type="pct"/>
                  <w:tcBorders>
                    <w:tl2br w:val="nil"/>
                    <w:tr2bl w:val="nil"/>
                  </w:tcBorders>
                  <w:shd w:val="clear" w:color="auto" w:fill="FFFFFF"/>
                  <w:noWrap w:val="0"/>
                  <w:vAlign w:val="center"/>
                </w:tcPr>
                <w:p w14:paraId="3ED2AC9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272</w:t>
                  </w:r>
                </w:p>
              </w:tc>
              <w:tc>
                <w:tcPr>
                  <w:tcW w:w="640" w:type="pct"/>
                  <w:tcBorders>
                    <w:tl2br w:val="nil"/>
                    <w:tr2bl w:val="nil"/>
                  </w:tcBorders>
                  <w:shd w:val="clear" w:color="auto" w:fill="FFFFFF"/>
                  <w:noWrap w:val="0"/>
                  <w:vAlign w:val="center"/>
                </w:tcPr>
                <w:p w14:paraId="4596081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108</w:t>
                  </w:r>
                </w:p>
              </w:tc>
              <w:tc>
                <w:tcPr>
                  <w:tcW w:w="564" w:type="pct"/>
                  <w:tcBorders>
                    <w:tl2br w:val="nil"/>
                    <w:tr2bl w:val="nil"/>
                  </w:tcBorders>
                  <w:shd w:val="clear" w:color="auto" w:fill="FFFFFF"/>
                  <w:noWrap w:val="0"/>
                  <w:vAlign w:val="center"/>
                </w:tcPr>
                <w:p w14:paraId="2CF732F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140</w:t>
                  </w:r>
                </w:p>
              </w:tc>
              <w:tc>
                <w:tcPr>
                  <w:tcW w:w="564" w:type="pct"/>
                  <w:tcBorders>
                    <w:tl2br w:val="nil"/>
                    <w:tr2bl w:val="nil"/>
                  </w:tcBorders>
                  <w:shd w:val="clear" w:color="auto" w:fill="FFFFFF"/>
                  <w:noWrap w:val="0"/>
                  <w:vAlign w:val="center"/>
                </w:tcPr>
                <w:p w14:paraId="13D11EE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29.75</w:t>
                  </w:r>
                </w:p>
              </w:tc>
              <w:tc>
                <w:tcPr>
                  <w:tcW w:w="564" w:type="pct"/>
                  <w:tcBorders>
                    <w:tl2br w:val="nil"/>
                    <w:tr2bl w:val="nil"/>
                  </w:tcBorders>
                  <w:shd w:val="clear" w:color="auto" w:fill="FFFFFF"/>
                  <w:noWrap w:val="0"/>
                  <w:vAlign w:val="center"/>
                </w:tcPr>
                <w:p w14:paraId="0F559F3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455" w:type="pct"/>
                  <w:tcBorders>
                    <w:tl2br w:val="nil"/>
                    <w:tr2bl w:val="nil"/>
                  </w:tcBorders>
                  <w:shd w:val="clear" w:color="auto" w:fill="FFFFFF"/>
                  <w:noWrap w:val="0"/>
                  <w:vAlign w:val="center"/>
                </w:tcPr>
                <w:p w14:paraId="5B51D76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1.6×10</w:t>
                  </w:r>
                  <w:r>
                    <w:rPr>
                      <w:rFonts w:hint="default" w:ascii="Times New Roman" w:hAnsi="Times New Roman" w:eastAsia="宋体" w:cs="Times New Roman"/>
                      <w:i w:val="0"/>
                      <w:iCs w:val="0"/>
                      <w:color w:val="auto"/>
                      <w:kern w:val="0"/>
                      <w:sz w:val="21"/>
                      <w:szCs w:val="21"/>
                      <w:u w:val="none"/>
                      <w:vertAlign w:val="superscript"/>
                      <w:lang w:val="en-US" w:eastAsia="zh-CN" w:bidi="ar"/>
                    </w:rPr>
                    <w:t>8</w:t>
                  </w:r>
                </w:p>
              </w:tc>
            </w:tr>
            <w:tr w14:paraId="0375D0D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5" w:hRule="atLeast"/>
              </w:trPr>
              <w:tc>
                <w:tcPr>
                  <w:tcW w:w="455" w:type="pct"/>
                  <w:vMerge w:val="restart"/>
                  <w:tcBorders>
                    <w:tl2br w:val="nil"/>
                    <w:tr2bl w:val="nil"/>
                  </w:tcBorders>
                  <w:shd w:val="clear" w:color="auto" w:fill="auto"/>
                  <w:noWrap w:val="0"/>
                  <w:vAlign w:val="center"/>
                </w:tcPr>
                <w:p w14:paraId="7CA6C7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食堂用水</w:t>
                  </w:r>
                </w:p>
              </w:tc>
              <w:tc>
                <w:tcPr>
                  <w:tcW w:w="475" w:type="pct"/>
                  <w:vMerge w:val="restart"/>
                  <w:tcBorders>
                    <w:tl2br w:val="nil"/>
                    <w:tr2bl w:val="nil"/>
                  </w:tcBorders>
                  <w:shd w:val="clear" w:color="auto" w:fill="FFFFFF"/>
                  <w:noWrap w:val="0"/>
                  <w:vAlign w:val="center"/>
                </w:tcPr>
                <w:p w14:paraId="1E72347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1769.52</w:t>
                  </w:r>
                </w:p>
              </w:tc>
              <w:tc>
                <w:tcPr>
                  <w:tcW w:w="640" w:type="pct"/>
                  <w:tcBorders>
                    <w:tl2br w:val="nil"/>
                    <w:tr2bl w:val="nil"/>
                  </w:tcBorders>
                  <w:shd w:val="clear" w:color="auto" w:fill="FFFFFF"/>
                  <w:noWrap w:val="0"/>
                  <w:vAlign w:val="center"/>
                </w:tcPr>
                <w:p w14:paraId="7BB455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产生浓度</w:t>
                  </w:r>
                  <w:r>
                    <w:rPr>
                      <w:rFonts w:hint="default" w:ascii="Times New Roman" w:hAnsi="Times New Roman" w:eastAsia="宋体" w:cs="Times New Roman"/>
                      <w:i w:val="0"/>
                      <w:iCs w:val="0"/>
                      <w:color w:val="auto"/>
                      <w:kern w:val="0"/>
                      <w:sz w:val="21"/>
                      <w:szCs w:val="21"/>
                      <w:u w:val="none"/>
                      <w:lang w:val="en-US" w:eastAsia="zh-CN" w:bidi="ar"/>
                    </w:rPr>
                    <w:t>(mg/L)</w:t>
                  </w:r>
                </w:p>
              </w:tc>
              <w:tc>
                <w:tcPr>
                  <w:tcW w:w="640" w:type="pct"/>
                  <w:tcBorders>
                    <w:tl2br w:val="nil"/>
                    <w:tr2bl w:val="nil"/>
                  </w:tcBorders>
                  <w:shd w:val="clear" w:color="auto" w:fill="FFFFFF"/>
                  <w:noWrap w:val="0"/>
                  <w:vAlign w:val="center"/>
                </w:tcPr>
                <w:p w14:paraId="1EC475C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640" w:type="pct"/>
                  <w:tcBorders>
                    <w:tl2br w:val="nil"/>
                    <w:tr2bl w:val="nil"/>
                  </w:tcBorders>
                  <w:shd w:val="clear" w:color="auto" w:fill="FFFFFF"/>
                  <w:noWrap w:val="0"/>
                  <w:vAlign w:val="center"/>
                </w:tcPr>
                <w:p w14:paraId="638E19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500</w:t>
                  </w:r>
                </w:p>
              </w:tc>
              <w:tc>
                <w:tcPr>
                  <w:tcW w:w="564" w:type="pct"/>
                  <w:tcBorders>
                    <w:tl2br w:val="nil"/>
                    <w:tr2bl w:val="nil"/>
                  </w:tcBorders>
                  <w:shd w:val="clear" w:color="auto" w:fill="FFFFFF"/>
                  <w:noWrap w:val="0"/>
                  <w:vAlign w:val="center"/>
                </w:tcPr>
                <w:p w14:paraId="463D34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400</w:t>
                  </w:r>
                </w:p>
              </w:tc>
              <w:tc>
                <w:tcPr>
                  <w:tcW w:w="564" w:type="pct"/>
                  <w:tcBorders>
                    <w:tl2br w:val="nil"/>
                    <w:tr2bl w:val="nil"/>
                  </w:tcBorders>
                  <w:shd w:val="clear" w:color="auto" w:fill="FFFFFF"/>
                  <w:noWrap w:val="0"/>
                  <w:vAlign w:val="center"/>
                </w:tcPr>
                <w:p w14:paraId="3CEA47E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64" w:type="pct"/>
                  <w:tcBorders>
                    <w:tl2br w:val="nil"/>
                    <w:tr2bl w:val="nil"/>
                  </w:tcBorders>
                  <w:shd w:val="clear" w:color="auto" w:fill="FFFFFF"/>
                  <w:noWrap w:val="0"/>
                  <w:vAlign w:val="center"/>
                </w:tcPr>
                <w:p w14:paraId="75B3A4B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455" w:type="pct"/>
                  <w:tcBorders>
                    <w:tl2br w:val="nil"/>
                    <w:tr2bl w:val="nil"/>
                  </w:tcBorders>
                  <w:shd w:val="clear" w:color="auto" w:fill="FFFFFF"/>
                  <w:noWrap w:val="0"/>
                  <w:vAlign w:val="center"/>
                </w:tcPr>
                <w:p w14:paraId="0629664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7E56E13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5" w:hRule="atLeast"/>
              </w:trPr>
              <w:tc>
                <w:tcPr>
                  <w:tcW w:w="455" w:type="pct"/>
                  <w:vMerge w:val="continue"/>
                  <w:tcBorders>
                    <w:tl2br w:val="nil"/>
                    <w:tr2bl w:val="nil"/>
                  </w:tcBorders>
                  <w:shd w:val="clear" w:color="auto" w:fill="auto"/>
                  <w:noWrap w:val="0"/>
                  <w:vAlign w:val="center"/>
                </w:tcPr>
                <w:p w14:paraId="0BB87273">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641980A8">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21DE3B9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预处理方式</w:t>
                  </w:r>
                </w:p>
              </w:tc>
              <w:tc>
                <w:tcPr>
                  <w:tcW w:w="3428" w:type="pct"/>
                  <w:gridSpan w:val="6"/>
                  <w:tcBorders>
                    <w:tl2br w:val="nil"/>
                    <w:tr2bl w:val="nil"/>
                  </w:tcBorders>
                  <w:shd w:val="clear" w:color="auto" w:fill="FFFFFF"/>
                  <w:noWrap w:val="0"/>
                  <w:vAlign w:val="center"/>
                </w:tcPr>
                <w:p w14:paraId="23DAAD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隔油池+化粪池</w:t>
                  </w:r>
                </w:p>
              </w:tc>
            </w:tr>
            <w:tr w14:paraId="6BABF99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40" w:hRule="atLeast"/>
              </w:trPr>
              <w:tc>
                <w:tcPr>
                  <w:tcW w:w="455" w:type="pct"/>
                  <w:vMerge w:val="continue"/>
                  <w:tcBorders>
                    <w:tl2br w:val="nil"/>
                    <w:tr2bl w:val="nil"/>
                  </w:tcBorders>
                  <w:shd w:val="clear" w:color="auto" w:fill="auto"/>
                  <w:noWrap w:val="0"/>
                  <w:vAlign w:val="center"/>
                </w:tcPr>
                <w:p w14:paraId="66074378">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6CD5B19D">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6A8137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隔油池去除率（</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w:t>
                  </w:r>
                </w:p>
              </w:tc>
              <w:tc>
                <w:tcPr>
                  <w:tcW w:w="640" w:type="pct"/>
                  <w:tcBorders>
                    <w:tl2br w:val="nil"/>
                    <w:tr2bl w:val="nil"/>
                  </w:tcBorders>
                  <w:shd w:val="clear" w:color="auto" w:fill="FFFFFF"/>
                  <w:noWrap w:val="0"/>
                  <w:vAlign w:val="center"/>
                </w:tcPr>
                <w:p w14:paraId="05907D3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c>
                <w:tcPr>
                  <w:tcW w:w="640" w:type="pct"/>
                  <w:tcBorders>
                    <w:tl2br w:val="nil"/>
                    <w:tr2bl w:val="nil"/>
                  </w:tcBorders>
                  <w:shd w:val="clear" w:color="auto" w:fill="FFFFFF"/>
                  <w:noWrap w:val="0"/>
                  <w:vAlign w:val="center"/>
                </w:tcPr>
                <w:p w14:paraId="34C0FF0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64" w:type="pct"/>
                  <w:tcBorders>
                    <w:tl2br w:val="nil"/>
                    <w:tr2bl w:val="nil"/>
                  </w:tcBorders>
                  <w:shd w:val="clear" w:color="auto" w:fill="FFFFFF"/>
                  <w:noWrap w:val="0"/>
                  <w:vAlign w:val="center"/>
                </w:tcPr>
                <w:p w14:paraId="755BE92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w:t>
                  </w:r>
                </w:p>
              </w:tc>
              <w:tc>
                <w:tcPr>
                  <w:tcW w:w="564" w:type="pct"/>
                  <w:tcBorders>
                    <w:tl2br w:val="nil"/>
                    <w:tr2bl w:val="nil"/>
                  </w:tcBorders>
                  <w:shd w:val="clear" w:color="auto" w:fill="FFFFFF"/>
                  <w:noWrap w:val="0"/>
                  <w:vAlign w:val="center"/>
                </w:tcPr>
                <w:p w14:paraId="1A72D24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564" w:type="pct"/>
                  <w:tcBorders>
                    <w:tl2br w:val="nil"/>
                    <w:tr2bl w:val="nil"/>
                  </w:tcBorders>
                  <w:shd w:val="clear" w:color="auto" w:fill="FFFFFF"/>
                  <w:noWrap w:val="0"/>
                  <w:vAlign w:val="center"/>
                </w:tcPr>
                <w:p w14:paraId="4A85C21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w:t>
                  </w:r>
                </w:p>
              </w:tc>
              <w:tc>
                <w:tcPr>
                  <w:tcW w:w="455" w:type="pct"/>
                  <w:tcBorders>
                    <w:tl2br w:val="nil"/>
                    <w:tr2bl w:val="nil"/>
                  </w:tcBorders>
                  <w:shd w:val="clear" w:color="auto" w:fill="FFFFFF"/>
                  <w:noWrap w:val="0"/>
                  <w:vAlign w:val="center"/>
                </w:tcPr>
                <w:p w14:paraId="6D9A68E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005E1A3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40" w:hRule="atLeast"/>
              </w:trPr>
              <w:tc>
                <w:tcPr>
                  <w:tcW w:w="455" w:type="pct"/>
                  <w:vMerge w:val="continue"/>
                  <w:tcBorders>
                    <w:tl2br w:val="nil"/>
                    <w:tr2bl w:val="nil"/>
                  </w:tcBorders>
                  <w:shd w:val="clear" w:color="auto" w:fill="auto"/>
                  <w:noWrap w:val="0"/>
                  <w:vAlign w:val="center"/>
                </w:tcPr>
                <w:p w14:paraId="423E766C">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785B1F46">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6E23BA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化粪池去除率（</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w:t>
                  </w:r>
                </w:p>
              </w:tc>
              <w:tc>
                <w:tcPr>
                  <w:tcW w:w="640" w:type="pct"/>
                  <w:tcBorders>
                    <w:tl2br w:val="nil"/>
                    <w:tr2bl w:val="nil"/>
                  </w:tcBorders>
                  <w:shd w:val="clear" w:color="auto" w:fill="FFFFFF"/>
                  <w:noWrap w:val="0"/>
                  <w:vAlign w:val="center"/>
                </w:tcPr>
                <w:p w14:paraId="4E2D3F3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640" w:type="pct"/>
                  <w:tcBorders>
                    <w:tl2br w:val="nil"/>
                    <w:tr2bl w:val="nil"/>
                  </w:tcBorders>
                  <w:shd w:val="clear" w:color="auto" w:fill="FFFFFF"/>
                  <w:noWrap w:val="0"/>
                  <w:vAlign w:val="center"/>
                </w:tcPr>
                <w:p w14:paraId="26A7647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c>
                <w:tcPr>
                  <w:tcW w:w="564" w:type="pct"/>
                  <w:tcBorders>
                    <w:tl2br w:val="nil"/>
                    <w:tr2bl w:val="nil"/>
                  </w:tcBorders>
                  <w:shd w:val="clear" w:color="auto" w:fill="FFFFFF"/>
                  <w:noWrap w:val="0"/>
                  <w:vAlign w:val="center"/>
                </w:tcPr>
                <w:p w14:paraId="64BEC77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w:t>
                  </w:r>
                </w:p>
              </w:tc>
              <w:tc>
                <w:tcPr>
                  <w:tcW w:w="564" w:type="pct"/>
                  <w:tcBorders>
                    <w:tl2br w:val="nil"/>
                    <w:tr2bl w:val="nil"/>
                  </w:tcBorders>
                  <w:shd w:val="clear" w:color="auto" w:fill="FFFFFF"/>
                  <w:noWrap w:val="0"/>
                  <w:vAlign w:val="center"/>
                </w:tcPr>
                <w:p w14:paraId="16714B4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c>
                <w:tcPr>
                  <w:tcW w:w="564" w:type="pct"/>
                  <w:tcBorders>
                    <w:tl2br w:val="nil"/>
                    <w:tr2bl w:val="nil"/>
                  </w:tcBorders>
                  <w:shd w:val="clear" w:color="auto" w:fill="FFFFFF"/>
                  <w:noWrap w:val="0"/>
                  <w:vAlign w:val="center"/>
                </w:tcPr>
                <w:p w14:paraId="27119FF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455" w:type="pct"/>
                  <w:tcBorders>
                    <w:tl2br w:val="nil"/>
                    <w:tr2bl w:val="nil"/>
                  </w:tcBorders>
                  <w:shd w:val="clear" w:color="auto" w:fill="FFFFFF"/>
                  <w:noWrap w:val="0"/>
                  <w:vAlign w:val="center"/>
                </w:tcPr>
                <w:p w14:paraId="5901B8F4">
                  <w:pPr>
                    <w:jc w:val="center"/>
                    <w:rPr>
                      <w:rFonts w:hint="default" w:ascii="Times New Roman" w:hAnsi="Times New Roman" w:eastAsia="宋体" w:cs="Times New Roman"/>
                      <w:i w:val="0"/>
                      <w:iCs w:val="0"/>
                      <w:color w:val="auto"/>
                      <w:sz w:val="21"/>
                      <w:szCs w:val="21"/>
                      <w:u w:val="none"/>
                    </w:rPr>
                  </w:pPr>
                </w:p>
              </w:tc>
            </w:tr>
            <w:tr w14:paraId="1A94464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455" w:type="pct"/>
                  <w:vMerge w:val="continue"/>
                  <w:tcBorders>
                    <w:tl2br w:val="nil"/>
                    <w:tr2bl w:val="nil"/>
                  </w:tcBorders>
                  <w:shd w:val="clear" w:color="auto" w:fill="auto"/>
                  <w:noWrap w:val="0"/>
                  <w:vAlign w:val="center"/>
                </w:tcPr>
                <w:p w14:paraId="6ABFA655">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71F7E5DF">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1C90528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出水浓度</w:t>
                  </w:r>
                  <w:r>
                    <w:rPr>
                      <w:rFonts w:hint="default" w:ascii="Times New Roman" w:hAnsi="Times New Roman" w:eastAsia="宋体" w:cs="Times New Roman"/>
                      <w:i w:val="0"/>
                      <w:iCs w:val="0"/>
                      <w:color w:val="auto"/>
                      <w:kern w:val="0"/>
                      <w:sz w:val="21"/>
                      <w:szCs w:val="21"/>
                      <w:u w:val="none"/>
                      <w:lang w:val="en-US" w:eastAsia="zh-CN" w:bidi="ar"/>
                    </w:rPr>
                    <w:t>(mg/L)</w:t>
                  </w:r>
                </w:p>
              </w:tc>
              <w:tc>
                <w:tcPr>
                  <w:tcW w:w="640" w:type="pct"/>
                  <w:tcBorders>
                    <w:tl2br w:val="nil"/>
                    <w:tr2bl w:val="nil"/>
                  </w:tcBorders>
                  <w:shd w:val="clear" w:color="auto" w:fill="FFFFFF"/>
                  <w:noWrap w:val="0"/>
                  <w:vAlign w:val="center"/>
                </w:tcPr>
                <w:p w14:paraId="61C85FF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680</w:t>
                  </w:r>
                </w:p>
              </w:tc>
              <w:tc>
                <w:tcPr>
                  <w:tcW w:w="640" w:type="pct"/>
                  <w:tcBorders>
                    <w:tl2br w:val="nil"/>
                    <w:tr2bl w:val="nil"/>
                  </w:tcBorders>
                  <w:shd w:val="clear" w:color="auto" w:fill="FFFFFF"/>
                  <w:noWrap w:val="0"/>
                  <w:vAlign w:val="center"/>
                </w:tcPr>
                <w:p w14:paraId="76F5B4D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270</w:t>
                  </w:r>
                </w:p>
              </w:tc>
              <w:tc>
                <w:tcPr>
                  <w:tcW w:w="564" w:type="pct"/>
                  <w:tcBorders>
                    <w:tl2br w:val="nil"/>
                    <w:tr2bl w:val="nil"/>
                  </w:tcBorders>
                  <w:shd w:val="clear" w:color="auto" w:fill="FFFFFF"/>
                  <w:noWrap w:val="0"/>
                  <w:vAlign w:val="center"/>
                </w:tcPr>
                <w:p w14:paraId="2194EBD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140</w:t>
                  </w:r>
                </w:p>
              </w:tc>
              <w:tc>
                <w:tcPr>
                  <w:tcW w:w="564" w:type="pct"/>
                  <w:tcBorders>
                    <w:tl2br w:val="nil"/>
                    <w:tr2bl w:val="nil"/>
                  </w:tcBorders>
                  <w:shd w:val="clear" w:color="auto" w:fill="FFFFFF"/>
                  <w:noWrap w:val="0"/>
                  <w:vAlign w:val="center"/>
                </w:tcPr>
                <w:p w14:paraId="0B6CB37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8.5</w:t>
                  </w:r>
                </w:p>
              </w:tc>
              <w:tc>
                <w:tcPr>
                  <w:tcW w:w="564" w:type="pct"/>
                  <w:tcBorders>
                    <w:tl2br w:val="nil"/>
                    <w:tr2bl w:val="nil"/>
                  </w:tcBorders>
                  <w:shd w:val="clear" w:color="auto" w:fill="FFFFFF"/>
                  <w:noWrap w:val="0"/>
                  <w:vAlign w:val="center"/>
                </w:tcPr>
                <w:p w14:paraId="42623C3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w:t>
                  </w:r>
                </w:p>
              </w:tc>
              <w:tc>
                <w:tcPr>
                  <w:tcW w:w="455" w:type="pct"/>
                  <w:tcBorders>
                    <w:tl2br w:val="nil"/>
                    <w:tr2bl w:val="nil"/>
                  </w:tcBorders>
                  <w:shd w:val="clear" w:color="auto" w:fill="FFFFFF"/>
                  <w:noWrap w:val="0"/>
                  <w:vAlign w:val="center"/>
                </w:tcPr>
                <w:p w14:paraId="3D368EC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33AAAAB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455" w:type="pct"/>
                  <w:vMerge w:val="restart"/>
                  <w:tcBorders>
                    <w:tl2br w:val="nil"/>
                    <w:tr2bl w:val="nil"/>
                  </w:tcBorders>
                  <w:shd w:val="clear" w:color="auto" w:fill="FFFFFF"/>
                  <w:noWrap w:val="0"/>
                  <w:vAlign w:val="center"/>
                </w:tcPr>
                <w:p w14:paraId="5B5AF1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综合废水</w:t>
                  </w:r>
                </w:p>
              </w:tc>
              <w:tc>
                <w:tcPr>
                  <w:tcW w:w="475" w:type="pct"/>
                  <w:vMerge w:val="restart"/>
                  <w:tcBorders>
                    <w:tl2br w:val="nil"/>
                    <w:tr2bl w:val="nil"/>
                  </w:tcBorders>
                  <w:shd w:val="clear" w:color="auto" w:fill="FFFFFF"/>
                  <w:noWrap w:val="0"/>
                  <w:vAlign w:val="center"/>
                </w:tcPr>
                <w:p w14:paraId="6DC516A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65143.01</w:t>
                  </w:r>
                </w:p>
              </w:tc>
              <w:tc>
                <w:tcPr>
                  <w:tcW w:w="640" w:type="pct"/>
                  <w:tcBorders>
                    <w:tl2br w:val="nil"/>
                    <w:tr2bl w:val="nil"/>
                  </w:tcBorders>
                  <w:shd w:val="clear" w:color="auto" w:fill="FFFFFF"/>
                  <w:noWrap w:val="0"/>
                  <w:vAlign w:val="center"/>
                </w:tcPr>
                <w:p w14:paraId="58679A7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产生浓度</w:t>
                  </w:r>
                  <w:r>
                    <w:rPr>
                      <w:rFonts w:hint="default" w:ascii="Times New Roman" w:hAnsi="Times New Roman" w:eastAsia="宋体" w:cs="Times New Roman"/>
                      <w:i w:val="0"/>
                      <w:iCs w:val="0"/>
                      <w:color w:val="auto"/>
                      <w:kern w:val="0"/>
                      <w:sz w:val="21"/>
                      <w:szCs w:val="21"/>
                      <w:u w:val="none"/>
                      <w:lang w:val="en-US" w:eastAsia="zh-CN" w:bidi="ar"/>
                    </w:rPr>
                    <w:t>(mg/L)</w:t>
                  </w:r>
                </w:p>
              </w:tc>
              <w:tc>
                <w:tcPr>
                  <w:tcW w:w="640" w:type="pct"/>
                  <w:tcBorders>
                    <w:tl2br w:val="nil"/>
                    <w:tr2bl w:val="nil"/>
                  </w:tcBorders>
                  <w:shd w:val="clear" w:color="auto" w:fill="FFFFFF"/>
                  <w:noWrap w:val="0"/>
                  <w:vAlign w:val="center"/>
                </w:tcPr>
                <w:p w14:paraId="1420EBF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232.60 </w:t>
                  </w:r>
                </w:p>
              </w:tc>
              <w:tc>
                <w:tcPr>
                  <w:tcW w:w="640" w:type="pct"/>
                  <w:tcBorders>
                    <w:tl2br w:val="nil"/>
                    <w:tr2bl w:val="nil"/>
                  </w:tcBorders>
                  <w:shd w:val="clear" w:color="auto" w:fill="FFFFFF"/>
                  <w:noWrap w:val="0"/>
                  <w:vAlign w:val="center"/>
                </w:tcPr>
                <w:p w14:paraId="7ED5351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78.74 </w:t>
                  </w:r>
                </w:p>
              </w:tc>
              <w:tc>
                <w:tcPr>
                  <w:tcW w:w="564" w:type="pct"/>
                  <w:tcBorders>
                    <w:tl2br w:val="nil"/>
                    <w:tr2bl w:val="nil"/>
                  </w:tcBorders>
                  <w:shd w:val="clear" w:color="auto" w:fill="FFFFFF"/>
                  <w:noWrap w:val="0"/>
                  <w:vAlign w:val="center"/>
                </w:tcPr>
                <w:p w14:paraId="3171F1D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81.10 </w:t>
                  </w:r>
                </w:p>
              </w:tc>
              <w:tc>
                <w:tcPr>
                  <w:tcW w:w="564" w:type="pct"/>
                  <w:tcBorders>
                    <w:tl2br w:val="nil"/>
                    <w:tr2bl w:val="nil"/>
                  </w:tcBorders>
                  <w:shd w:val="clear" w:color="auto" w:fill="FFFFFF"/>
                  <w:noWrap w:val="0"/>
                  <w:vAlign w:val="center"/>
                </w:tcPr>
                <w:p w14:paraId="21B5C11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26.19 </w:t>
                  </w:r>
                </w:p>
              </w:tc>
              <w:tc>
                <w:tcPr>
                  <w:tcW w:w="564" w:type="pct"/>
                  <w:tcBorders>
                    <w:tl2br w:val="nil"/>
                    <w:tr2bl w:val="nil"/>
                  </w:tcBorders>
                  <w:shd w:val="clear" w:color="auto" w:fill="FFFFFF"/>
                  <w:noWrap w:val="0"/>
                  <w:vAlign w:val="center"/>
                </w:tcPr>
                <w:p w14:paraId="7D9BC5D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0.81 </w:t>
                  </w:r>
                </w:p>
              </w:tc>
              <w:tc>
                <w:tcPr>
                  <w:tcW w:w="455" w:type="pct"/>
                  <w:tcBorders>
                    <w:tl2br w:val="nil"/>
                    <w:tr2bl w:val="nil"/>
                  </w:tcBorders>
                  <w:shd w:val="clear" w:color="auto" w:fill="FFFFFF"/>
                  <w:noWrap w:val="0"/>
                  <w:vAlign w:val="center"/>
                </w:tcPr>
                <w:p w14:paraId="75726F4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1.6×10</w:t>
                  </w:r>
                  <w:r>
                    <w:rPr>
                      <w:rFonts w:hint="default" w:ascii="Times New Roman" w:hAnsi="Times New Roman" w:eastAsia="宋体" w:cs="Times New Roman"/>
                      <w:i w:val="0"/>
                      <w:iCs w:val="0"/>
                      <w:color w:val="auto"/>
                      <w:kern w:val="0"/>
                      <w:sz w:val="21"/>
                      <w:szCs w:val="21"/>
                      <w:u w:val="none"/>
                      <w:vertAlign w:val="superscript"/>
                      <w:lang w:val="en-US" w:eastAsia="zh-CN" w:bidi="ar"/>
                    </w:rPr>
                    <w:t>8</w:t>
                  </w:r>
                </w:p>
              </w:tc>
            </w:tr>
            <w:tr w14:paraId="4D66E9F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0" w:hRule="atLeast"/>
              </w:trPr>
              <w:tc>
                <w:tcPr>
                  <w:tcW w:w="455" w:type="pct"/>
                  <w:vMerge w:val="continue"/>
                  <w:tcBorders>
                    <w:tl2br w:val="nil"/>
                    <w:tr2bl w:val="nil"/>
                  </w:tcBorders>
                  <w:shd w:val="clear" w:color="auto" w:fill="FFFFFF"/>
                  <w:noWrap w:val="0"/>
                  <w:vAlign w:val="center"/>
                </w:tcPr>
                <w:p w14:paraId="19545BF5">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4D9D4BC0">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6F291D1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处理方式</w:t>
                  </w:r>
                </w:p>
              </w:tc>
              <w:tc>
                <w:tcPr>
                  <w:tcW w:w="3428" w:type="pct"/>
                  <w:gridSpan w:val="6"/>
                  <w:tcBorders>
                    <w:tl2br w:val="nil"/>
                    <w:tr2bl w:val="nil"/>
                  </w:tcBorders>
                  <w:shd w:val="clear" w:color="auto" w:fill="FFFFFF"/>
                  <w:noWrap w:val="0"/>
                  <w:vAlign w:val="center"/>
                </w:tcPr>
                <w:p w14:paraId="5AEC205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污水处理站工艺：格栅井</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调节池</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水解酸化池</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接触氧化池</w:t>
                  </w:r>
                  <w:r>
                    <w:rPr>
                      <w:rFonts w:hint="default" w:ascii="Times New Roman" w:hAnsi="Times New Roman" w:eastAsia="宋体" w:cs="Times New Roman"/>
                      <w:i w:val="0"/>
                      <w:iCs w:val="0"/>
                      <w:color w:val="auto"/>
                      <w:kern w:val="0"/>
                      <w:sz w:val="21"/>
                      <w:szCs w:val="21"/>
                      <w:u w:val="none"/>
                      <w:lang w:val="en-US" w:eastAsia="zh-CN" w:bidi="ar"/>
                    </w:rPr>
                    <w:t>-MBR</w:t>
                  </w:r>
                  <w:r>
                    <w:rPr>
                      <w:rFonts w:hint="eastAsia" w:ascii="宋体" w:hAnsi="宋体" w:eastAsia="宋体" w:cs="宋体"/>
                      <w:i w:val="0"/>
                      <w:iCs w:val="0"/>
                      <w:color w:val="auto"/>
                      <w:kern w:val="0"/>
                      <w:sz w:val="21"/>
                      <w:szCs w:val="21"/>
                      <w:u w:val="none"/>
                      <w:lang w:val="en-US" w:eastAsia="zh-CN" w:bidi="ar"/>
                    </w:rPr>
                    <w:t>膜池</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消毒池，处理规模</w:t>
                  </w:r>
                  <w:r>
                    <w:rPr>
                      <w:rFonts w:hint="default" w:ascii="Times New Roman" w:hAnsi="Times New Roman" w:eastAsia="宋体" w:cs="Times New Roman"/>
                      <w:i w:val="0"/>
                      <w:iCs w:val="0"/>
                      <w:color w:val="auto"/>
                      <w:kern w:val="0"/>
                      <w:sz w:val="21"/>
                      <w:szCs w:val="21"/>
                      <w:u w:val="none"/>
                      <w:lang w:val="en-US" w:eastAsia="zh-CN" w:bidi="ar"/>
                    </w:rPr>
                    <w:t>500t/d</w:t>
                  </w:r>
                </w:p>
              </w:tc>
            </w:tr>
            <w:tr w14:paraId="31BE965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5" w:hRule="atLeast"/>
              </w:trPr>
              <w:tc>
                <w:tcPr>
                  <w:tcW w:w="455" w:type="pct"/>
                  <w:vMerge w:val="continue"/>
                  <w:tcBorders>
                    <w:tl2br w:val="nil"/>
                    <w:tr2bl w:val="nil"/>
                  </w:tcBorders>
                  <w:shd w:val="clear" w:color="auto" w:fill="FFFFFF"/>
                  <w:noWrap w:val="0"/>
                  <w:vAlign w:val="center"/>
                </w:tcPr>
                <w:p w14:paraId="36EEF7B5">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4F9E0B6C">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4068A55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水解酸化池去除率（%）</w:t>
                  </w:r>
                </w:p>
              </w:tc>
              <w:tc>
                <w:tcPr>
                  <w:tcW w:w="640" w:type="pct"/>
                  <w:tcBorders>
                    <w:tl2br w:val="nil"/>
                    <w:tr2bl w:val="nil"/>
                  </w:tcBorders>
                  <w:shd w:val="clear" w:color="auto" w:fill="FFFFFF"/>
                  <w:noWrap w:val="0"/>
                  <w:vAlign w:val="center"/>
                </w:tcPr>
                <w:p w14:paraId="66B98DD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c>
                <w:tcPr>
                  <w:tcW w:w="640" w:type="pct"/>
                  <w:tcBorders>
                    <w:tl2br w:val="nil"/>
                    <w:tr2bl w:val="nil"/>
                  </w:tcBorders>
                  <w:shd w:val="clear" w:color="auto" w:fill="FFFFFF"/>
                  <w:noWrap w:val="0"/>
                  <w:vAlign w:val="center"/>
                </w:tcPr>
                <w:p w14:paraId="5F2C66E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564" w:type="pct"/>
                  <w:tcBorders>
                    <w:tl2br w:val="nil"/>
                    <w:tr2bl w:val="nil"/>
                  </w:tcBorders>
                  <w:shd w:val="clear" w:color="auto" w:fill="FFFFFF"/>
                  <w:noWrap w:val="0"/>
                  <w:vAlign w:val="center"/>
                </w:tcPr>
                <w:p w14:paraId="4AE6347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45</w:t>
                  </w:r>
                </w:p>
              </w:tc>
              <w:tc>
                <w:tcPr>
                  <w:tcW w:w="564" w:type="pct"/>
                  <w:tcBorders>
                    <w:tl2br w:val="nil"/>
                    <w:tr2bl w:val="nil"/>
                  </w:tcBorders>
                  <w:shd w:val="clear" w:color="auto" w:fill="FFFFFF"/>
                  <w:noWrap w:val="0"/>
                  <w:vAlign w:val="center"/>
                </w:tcPr>
                <w:p w14:paraId="68BF82B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564" w:type="pct"/>
                  <w:tcBorders>
                    <w:tl2br w:val="nil"/>
                    <w:tr2bl w:val="nil"/>
                  </w:tcBorders>
                  <w:shd w:val="clear" w:color="auto" w:fill="FFFFFF"/>
                  <w:noWrap w:val="0"/>
                  <w:vAlign w:val="center"/>
                </w:tcPr>
                <w:p w14:paraId="452328D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455" w:type="pct"/>
                  <w:tcBorders>
                    <w:tl2br w:val="nil"/>
                    <w:tr2bl w:val="nil"/>
                  </w:tcBorders>
                  <w:shd w:val="clear" w:color="auto" w:fill="FFFFFF"/>
                  <w:noWrap w:val="0"/>
                  <w:vAlign w:val="center"/>
                </w:tcPr>
                <w:p w14:paraId="5C35A00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r>
            <w:tr w14:paraId="7FFE007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5" w:hRule="atLeast"/>
              </w:trPr>
              <w:tc>
                <w:tcPr>
                  <w:tcW w:w="455" w:type="pct"/>
                  <w:vMerge w:val="continue"/>
                  <w:tcBorders>
                    <w:tl2br w:val="nil"/>
                    <w:tr2bl w:val="nil"/>
                  </w:tcBorders>
                  <w:shd w:val="clear" w:color="auto" w:fill="FFFFFF"/>
                  <w:noWrap w:val="0"/>
                  <w:vAlign w:val="center"/>
                </w:tcPr>
                <w:p w14:paraId="14978305">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07B338BA">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7EE7388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接触氧化池去除率（%）</w:t>
                  </w:r>
                </w:p>
              </w:tc>
              <w:tc>
                <w:tcPr>
                  <w:tcW w:w="640" w:type="pct"/>
                  <w:tcBorders>
                    <w:tl2br w:val="nil"/>
                    <w:tr2bl w:val="nil"/>
                  </w:tcBorders>
                  <w:shd w:val="clear" w:color="auto" w:fill="FFFFFF"/>
                  <w:noWrap w:val="0"/>
                  <w:vAlign w:val="center"/>
                </w:tcPr>
                <w:p w14:paraId="7AEB986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75</w:t>
                  </w:r>
                </w:p>
              </w:tc>
              <w:tc>
                <w:tcPr>
                  <w:tcW w:w="640" w:type="pct"/>
                  <w:tcBorders>
                    <w:tl2br w:val="nil"/>
                    <w:tr2bl w:val="nil"/>
                  </w:tcBorders>
                  <w:shd w:val="clear" w:color="auto" w:fill="FFFFFF"/>
                  <w:noWrap w:val="0"/>
                  <w:vAlign w:val="center"/>
                </w:tcPr>
                <w:p w14:paraId="515737B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82.5</w:t>
                  </w:r>
                </w:p>
              </w:tc>
              <w:tc>
                <w:tcPr>
                  <w:tcW w:w="564" w:type="pct"/>
                  <w:tcBorders>
                    <w:tl2br w:val="nil"/>
                    <w:tr2bl w:val="nil"/>
                  </w:tcBorders>
                  <w:shd w:val="clear" w:color="auto" w:fill="FFFFFF"/>
                  <w:noWrap w:val="0"/>
                  <w:vAlign w:val="center"/>
                </w:tcPr>
                <w:p w14:paraId="0CF4884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564" w:type="pct"/>
                  <w:tcBorders>
                    <w:tl2br w:val="nil"/>
                    <w:tr2bl w:val="nil"/>
                  </w:tcBorders>
                  <w:shd w:val="clear" w:color="auto" w:fill="FFFFFF"/>
                  <w:noWrap w:val="0"/>
                  <w:vAlign w:val="center"/>
                </w:tcPr>
                <w:p w14:paraId="16A5B89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70</w:t>
                  </w:r>
                </w:p>
              </w:tc>
              <w:tc>
                <w:tcPr>
                  <w:tcW w:w="564" w:type="pct"/>
                  <w:tcBorders>
                    <w:tl2br w:val="nil"/>
                    <w:tr2bl w:val="nil"/>
                  </w:tcBorders>
                  <w:shd w:val="clear" w:color="auto" w:fill="FFFFFF"/>
                  <w:noWrap w:val="0"/>
                  <w:vAlign w:val="center"/>
                </w:tcPr>
                <w:p w14:paraId="2537B4B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455" w:type="pct"/>
                  <w:tcBorders>
                    <w:tl2br w:val="nil"/>
                    <w:tr2bl w:val="nil"/>
                  </w:tcBorders>
                  <w:shd w:val="clear" w:color="auto" w:fill="FFFFFF"/>
                  <w:noWrap w:val="0"/>
                  <w:vAlign w:val="center"/>
                </w:tcPr>
                <w:p w14:paraId="1AD4B78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r>
            <w:tr w14:paraId="4CC4264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5" w:hRule="atLeast"/>
              </w:trPr>
              <w:tc>
                <w:tcPr>
                  <w:tcW w:w="455" w:type="pct"/>
                  <w:vMerge w:val="continue"/>
                  <w:tcBorders>
                    <w:tl2br w:val="nil"/>
                    <w:tr2bl w:val="nil"/>
                  </w:tcBorders>
                  <w:shd w:val="clear" w:color="auto" w:fill="FFFFFF"/>
                  <w:noWrap w:val="0"/>
                  <w:vAlign w:val="center"/>
                </w:tcPr>
                <w:p w14:paraId="7DEB6553">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74AA1690">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03DCE3A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MBR膜池去除率（%）</w:t>
                  </w:r>
                </w:p>
              </w:tc>
              <w:tc>
                <w:tcPr>
                  <w:tcW w:w="640" w:type="pct"/>
                  <w:tcBorders>
                    <w:tl2br w:val="nil"/>
                    <w:tr2bl w:val="nil"/>
                  </w:tcBorders>
                  <w:shd w:val="clear" w:color="auto" w:fill="FFFFFF"/>
                  <w:noWrap w:val="0"/>
                  <w:vAlign w:val="center"/>
                </w:tcPr>
                <w:p w14:paraId="39C4138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90</w:t>
                  </w:r>
                </w:p>
              </w:tc>
              <w:tc>
                <w:tcPr>
                  <w:tcW w:w="640" w:type="pct"/>
                  <w:tcBorders>
                    <w:tl2br w:val="nil"/>
                    <w:tr2bl w:val="nil"/>
                  </w:tcBorders>
                  <w:shd w:val="clear" w:color="auto" w:fill="FFFFFF"/>
                  <w:noWrap w:val="0"/>
                  <w:vAlign w:val="center"/>
                </w:tcPr>
                <w:p w14:paraId="359F953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95</w:t>
                  </w:r>
                </w:p>
              </w:tc>
              <w:tc>
                <w:tcPr>
                  <w:tcW w:w="564" w:type="pct"/>
                  <w:tcBorders>
                    <w:tl2br w:val="nil"/>
                    <w:tr2bl w:val="nil"/>
                  </w:tcBorders>
                  <w:shd w:val="clear" w:color="auto" w:fill="FFFFFF"/>
                  <w:noWrap w:val="0"/>
                  <w:vAlign w:val="center"/>
                </w:tcPr>
                <w:p w14:paraId="207517C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99</w:t>
                  </w:r>
                </w:p>
              </w:tc>
              <w:tc>
                <w:tcPr>
                  <w:tcW w:w="564" w:type="pct"/>
                  <w:tcBorders>
                    <w:tl2br w:val="nil"/>
                    <w:tr2bl w:val="nil"/>
                  </w:tcBorders>
                  <w:shd w:val="clear" w:color="auto" w:fill="FFFFFF"/>
                  <w:noWrap w:val="0"/>
                  <w:vAlign w:val="center"/>
                </w:tcPr>
                <w:p w14:paraId="1F1373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90</w:t>
                  </w:r>
                </w:p>
              </w:tc>
              <w:tc>
                <w:tcPr>
                  <w:tcW w:w="564" w:type="pct"/>
                  <w:tcBorders>
                    <w:tl2br w:val="nil"/>
                    <w:tr2bl w:val="nil"/>
                  </w:tcBorders>
                  <w:shd w:val="clear" w:color="auto" w:fill="FFFFFF"/>
                  <w:noWrap w:val="0"/>
                  <w:vAlign w:val="center"/>
                </w:tcPr>
                <w:p w14:paraId="790BCA8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455" w:type="pct"/>
                  <w:tcBorders>
                    <w:tl2br w:val="nil"/>
                    <w:tr2bl w:val="nil"/>
                  </w:tcBorders>
                  <w:shd w:val="clear" w:color="auto" w:fill="FFFFFF"/>
                  <w:noWrap w:val="0"/>
                  <w:vAlign w:val="center"/>
                </w:tcPr>
                <w:p w14:paraId="5627663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r>
            <w:tr w14:paraId="662421D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5" w:hRule="atLeast"/>
              </w:trPr>
              <w:tc>
                <w:tcPr>
                  <w:tcW w:w="455" w:type="pct"/>
                  <w:vMerge w:val="continue"/>
                  <w:tcBorders>
                    <w:tl2br w:val="nil"/>
                    <w:tr2bl w:val="nil"/>
                  </w:tcBorders>
                  <w:shd w:val="clear" w:color="auto" w:fill="FFFFFF"/>
                  <w:noWrap w:val="0"/>
                  <w:vAlign w:val="center"/>
                </w:tcPr>
                <w:p w14:paraId="45B5FDA6">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68A3033F">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0465C52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消毒池去除率（%）</w:t>
                  </w:r>
                </w:p>
              </w:tc>
              <w:tc>
                <w:tcPr>
                  <w:tcW w:w="640" w:type="pct"/>
                  <w:tcBorders>
                    <w:tl2br w:val="nil"/>
                    <w:tr2bl w:val="nil"/>
                  </w:tcBorders>
                  <w:shd w:val="clear" w:color="auto" w:fill="FFFFFF"/>
                  <w:noWrap w:val="0"/>
                  <w:vAlign w:val="center"/>
                </w:tcPr>
                <w:p w14:paraId="7646303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640" w:type="pct"/>
                  <w:tcBorders>
                    <w:tl2br w:val="nil"/>
                    <w:tr2bl w:val="nil"/>
                  </w:tcBorders>
                  <w:shd w:val="clear" w:color="auto" w:fill="FFFFFF"/>
                  <w:noWrap w:val="0"/>
                  <w:vAlign w:val="center"/>
                </w:tcPr>
                <w:p w14:paraId="7A3BEE5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564" w:type="pct"/>
                  <w:tcBorders>
                    <w:tl2br w:val="nil"/>
                    <w:tr2bl w:val="nil"/>
                  </w:tcBorders>
                  <w:shd w:val="clear" w:color="auto" w:fill="FFFFFF"/>
                  <w:noWrap w:val="0"/>
                  <w:vAlign w:val="center"/>
                </w:tcPr>
                <w:p w14:paraId="06B99EC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564" w:type="pct"/>
                  <w:tcBorders>
                    <w:tl2br w:val="nil"/>
                    <w:tr2bl w:val="nil"/>
                  </w:tcBorders>
                  <w:shd w:val="clear" w:color="auto" w:fill="FFFFFF"/>
                  <w:noWrap w:val="0"/>
                  <w:vAlign w:val="center"/>
                </w:tcPr>
                <w:p w14:paraId="721F53F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564" w:type="pct"/>
                  <w:tcBorders>
                    <w:tl2br w:val="nil"/>
                    <w:tr2bl w:val="nil"/>
                  </w:tcBorders>
                  <w:shd w:val="clear" w:color="auto" w:fill="FFFFFF"/>
                  <w:noWrap w:val="0"/>
                  <w:vAlign w:val="center"/>
                </w:tcPr>
                <w:p w14:paraId="5D8EF27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455" w:type="pct"/>
                  <w:tcBorders>
                    <w:tl2br w:val="nil"/>
                    <w:tr2bl w:val="nil"/>
                  </w:tcBorders>
                  <w:shd w:val="clear" w:color="auto" w:fill="FFFFFF"/>
                  <w:noWrap w:val="0"/>
                  <w:vAlign w:val="center"/>
                </w:tcPr>
                <w:p w14:paraId="2194522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≥99.99</w:t>
                  </w:r>
                </w:p>
              </w:tc>
            </w:tr>
            <w:tr w14:paraId="11A9785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780" w:hRule="atLeast"/>
              </w:trPr>
              <w:tc>
                <w:tcPr>
                  <w:tcW w:w="455" w:type="pct"/>
                  <w:vMerge w:val="continue"/>
                  <w:tcBorders>
                    <w:tl2br w:val="nil"/>
                    <w:tr2bl w:val="nil"/>
                  </w:tcBorders>
                  <w:shd w:val="clear" w:color="auto" w:fill="FFFFFF"/>
                  <w:noWrap w:val="0"/>
                  <w:vAlign w:val="center"/>
                </w:tcPr>
                <w:p w14:paraId="27E71506">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57AD1827">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730363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医院污水处理站出口排放浓度(mg/L)</w:t>
                  </w:r>
                </w:p>
              </w:tc>
              <w:tc>
                <w:tcPr>
                  <w:tcW w:w="640" w:type="pct"/>
                  <w:tcBorders>
                    <w:tl2br w:val="nil"/>
                    <w:tr2bl w:val="nil"/>
                  </w:tcBorders>
                  <w:shd w:val="clear" w:color="auto" w:fill="FFFFFF"/>
                  <w:noWrap w:val="0"/>
                  <w:vAlign w:val="center"/>
                </w:tcPr>
                <w:p w14:paraId="5E0E858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4.94 </w:t>
                  </w:r>
                </w:p>
              </w:tc>
              <w:tc>
                <w:tcPr>
                  <w:tcW w:w="640" w:type="pct"/>
                  <w:tcBorders>
                    <w:tl2br w:val="nil"/>
                    <w:tr2bl w:val="nil"/>
                  </w:tcBorders>
                  <w:shd w:val="clear" w:color="auto" w:fill="FFFFFF"/>
                  <w:noWrap w:val="0"/>
                  <w:vAlign w:val="center"/>
                </w:tcPr>
                <w:p w14:paraId="51C7AFD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0.69 </w:t>
                  </w:r>
                </w:p>
              </w:tc>
              <w:tc>
                <w:tcPr>
                  <w:tcW w:w="564" w:type="pct"/>
                  <w:tcBorders>
                    <w:tl2br w:val="nil"/>
                    <w:tr2bl w:val="nil"/>
                  </w:tcBorders>
                  <w:shd w:val="clear" w:color="auto" w:fill="FFFFFF"/>
                  <w:noWrap w:val="0"/>
                  <w:vAlign w:val="center"/>
                </w:tcPr>
                <w:p w14:paraId="27A080D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0.45 </w:t>
                  </w:r>
                </w:p>
              </w:tc>
              <w:tc>
                <w:tcPr>
                  <w:tcW w:w="564" w:type="pct"/>
                  <w:tcBorders>
                    <w:tl2br w:val="nil"/>
                    <w:tr2bl w:val="nil"/>
                  </w:tcBorders>
                  <w:shd w:val="clear" w:color="auto" w:fill="FFFFFF"/>
                  <w:noWrap w:val="0"/>
                  <w:vAlign w:val="center"/>
                </w:tcPr>
                <w:p w14:paraId="5EFE0FD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0.79 </w:t>
                  </w:r>
                </w:p>
              </w:tc>
              <w:tc>
                <w:tcPr>
                  <w:tcW w:w="564" w:type="pct"/>
                  <w:tcBorders>
                    <w:tl2br w:val="nil"/>
                    <w:tr2bl w:val="nil"/>
                  </w:tcBorders>
                  <w:shd w:val="clear" w:color="auto" w:fill="FFFFFF"/>
                  <w:noWrap w:val="0"/>
                  <w:vAlign w:val="center"/>
                </w:tcPr>
                <w:p w14:paraId="51FD683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0.81 </w:t>
                  </w:r>
                </w:p>
              </w:tc>
              <w:tc>
                <w:tcPr>
                  <w:tcW w:w="455" w:type="pct"/>
                  <w:tcBorders>
                    <w:tl2br w:val="nil"/>
                    <w:tr2bl w:val="nil"/>
                  </w:tcBorders>
                  <w:shd w:val="clear" w:color="auto" w:fill="FFFFFF"/>
                  <w:noWrap w:val="0"/>
                  <w:vAlign w:val="center"/>
                </w:tcPr>
                <w:p w14:paraId="72767A7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1.6×10</w:t>
                  </w:r>
                  <w:r>
                    <w:rPr>
                      <w:rFonts w:hint="default" w:ascii="Times New Roman" w:hAnsi="Times New Roman" w:eastAsia="宋体" w:cs="Times New Roman"/>
                      <w:i w:val="0"/>
                      <w:iCs w:val="0"/>
                      <w:color w:val="auto"/>
                      <w:kern w:val="0"/>
                      <w:sz w:val="21"/>
                      <w:szCs w:val="21"/>
                      <w:u w:val="none"/>
                      <w:vertAlign w:val="superscript"/>
                      <w:lang w:val="en-US" w:eastAsia="zh-CN" w:bidi="ar"/>
                    </w:rPr>
                    <w:t>4</w:t>
                  </w:r>
                </w:p>
              </w:tc>
            </w:tr>
            <w:tr w14:paraId="5EE5D16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780" w:hRule="atLeast"/>
              </w:trPr>
              <w:tc>
                <w:tcPr>
                  <w:tcW w:w="455" w:type="pct"/>
                  <w:vMerge w:val="continue"/>
                  <w:tcBorders>
                    <w:tl2br w:val="nil"/>
                    <w:tr2bl w:val="nil"/>
                  </w:tcBorders>
                  <w:shd w:val="clear" w:color="auto" w:fill="FFFFFF"/>
                  <w:noWrap w:val="0"/>
                  <w:vAlign w:val="center"/>
                </w:tcPr>
                <w:p w14:paraId="2517D464">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72A56411">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7251BF9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医院污水处理站出口排放量t/a</w:t>
                  </w:r>
                </w:p>
              </w:tc>
              <w:tc>
                <w:tcPr>
                  <w:tcW w:w="640" w:type="pct"/>
                  <w:tcBorders>
                    <w:tl2br w:val="nil"/>
                    <w:tr2bl w:val="nil"/>
                  </w:tcBorders>
                  <w:shd w:val="clear" w:color="auto" w:fill="FFFFFF"/>
                  <w:noWrap w:val="0"/>
                  <w:vAlign w:val="center"/>
                </w:tcPr>
                <w:p w14:paraId="68238D4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0.32 </w:t>
                  </w:r>
                </w:p>
              </w:tc>
              <w:tc>
                <w:tcPr>
                  <w:tcW w:w="640" w:type="pct"/>
                  <w:tcBorders>
                    <w:tl2br w:val="nil"/>
                    <w:tr2bl w:val="nil"/>
                  </w:tcBorders>
                  <w:shd w:val="clear" w:color="auto" w:fill="FFFFFF"/>
                  <w:noWrap w:val="0"/>
                  <w:vAlign w:val="center"/>
                </w:tcPr>
                <w:p w14:paraId="33BFBC5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0.04 </w:t>
                  </w:r>
                </w:p>
              </w:tc>
              <w:tc>
                <w:tcPr>
                  <w:tcW w:w="564" w:type="pct"/>
                  <w:tcBorders>
                    <w:tl2br w:val="nil"/>
                    <w:tr2bl w:val="nil"/>
                  </w:tcBorders>
                  <w:shd w:val="clear" w:color="auto" w:fill="FFFFFF"/>
                  <w:noWrap w:val="0"/>
                  <w:vAlign w:val="center"/>
                </w:tcPr>
                <w:p w14:paraId="3A42F8C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0.03 </w:t>
                  </w:r>
                </w:p>
              </w:tc>
              <w:tc>
                <w:tcPr>
                  <w:tcW w:w="564" w:type="pct"/>
                  <w:tcBorders>
                    <w:tl2br w:val="nil"/>
                    <w:tr2bl w:val="nil"/>
                  </w:tcBorders>
                  <w:shd w:val="clear" w:color="auto" w:fill="FFFFFF"/>
                  <w:noWrap w:val="0"/>
                  <w:vAlign w:val="center"/>
                </w:tcPr>
                <w:p w14:paraId="005D1D1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0.05 </w:t>
                  </w:r>
                </w:p>
              </w:tc>
              <w:tc>
                <w:tcPr>
                  <w:tcW w:w="564" w:type="pct"/>
                  <w:tcBorders>
                    <w:tl2br w:val="nil"/>
                    <w:tr2bl w:val="nil"/>
                  </w:tcBorders>
                  <w:shd w:val="clear" w:color="auto" w:fill="FFFFFF"/>
                  <w:noWrap w:val="0"/>
                  <w:vAlign w:val="center"/>
                </w:tcPr>
                <w:p w14:paraId="51BC1E1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0.05 </w:t>
                  </w:r>
                </w:p>
              </w:tc>
              <w:tc>
                <w:tcPr>
                  <w:tcW w:w="455" w:type="pct"/>
                  <w:tcBorders>
                    <w:tl2br w:val="nil"/>
                    <w:tr2bl w:val="nil"/>
                  </w:tcBorders>
                  <w:shd w:val="clear" w:color="auto" w:fill="FFFFFF"/>
                  <w:noWrap w:val="0"/>
                  <w:vAlign w:val="center"/>
                </w:tcPr>
                <w:p w14:paraId="2F5FBCE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278EB9D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050" w:hRule="atLeast"/>
              </w:trPr>
              <w:tc>
                <w:tcPr>
                  <w:tcW w:w="455" w:type="pct"/>
                  <w:vMerge w:val="continue"/>
                  <w:tcBorders>
                    <w:tl2br w:val="nil"/>
                    <w:tr2bl w:val="nil"/>
                  </w:tcBorders>
                  <w:shd w:val="clear" w:color="auto" w:fill="FFFFFF"/>
                  <w:noWrap w:val="0"/>
                  <w:vAlign w:val="center"/>
                </w:tcPr>
                <w:p w14:paraId="316B79AE">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4EF4D719">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FFFFFF"/>
                  <w:noWrap w:val="0"/>
                  <w:vAlign w:val="center"/>
                </w:tcPr>
                <w:p w14:paraId="4C20CAF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青口汽车工业开发区污水处理厂出水标准（一级A）</w:t>
                  </w:r>
                </w:p>
              </w:tc>
              <w:tc>
                <w:tcPr>
                  <w:tcW w:w="640" w:type="pct"/>
                  <w:tcBorders>
                    <w:tl2br w:val="nil"/>
                    <w:tr2bl w:val="nil"/>
                  </w:tcBorders>
                  <w:shd w:val="clear" w:color="auto" w:fill="FFFFFF"/>
                  <w:noWrap w:val="0"/>
                  <w:vAlign w:val="center"/>
                </w:tcPr>
                <w:p w14:paraId="3A8D9D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w:t>
                  </w:r>
                </w:p>
              </w:tc>
              <w:tc>
                <w:tcPr>
                  <w:tcW w:w="640" w:type="pct"/>
                  <w:tcBorders>
                    <w:tl2br w:val="nil"/>
                    <w:tr2bl w:val="nil"/>
                  </w:tcBorders>
                  <w:shd w:val="clear" w:color="auto" w:fill="FFFFFF"/>
                  <w:noWrap w:val="0"/>
                  <w:vAlign w:val="center"/>
                </w:tcPr>
                <w:p w14:paraId="1E48347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64" w:type="pct"/>
                  <w:tcBorders>
                    <w:tl2br w:val="nil"/>
                    <w:tr2bl w:val="nil"/>
                  </w:tcBorders>
                  <w:shd w:val="clear" w:color="auto" w:fill="FFFFFF"/>
                  <w:noWrap w:val="0"/>
                  <w:vAlign w:val="center"/>
                </w:tcPr>
                <w:p w14:paraId="53C05A9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64" w:type="pct"/>
                  <w:tcBorders>
                    <w:tl2br w:val="nil"/>
                    <w:tr2bl w:val="nil"/>
                  </w:tcBorders>
                  <w:shd w:val="clear" w:color="auto" w:fill="FFFFFF"/>
                  <w:noWrap w:val="0"/>
                  <w:vAlign w:val="center"/>
                </w:tcPr>
                <w:p w14:paraId="32DE8E6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564" w:type="pct"/>
                  <w:tcBorders>
                    <w:tl2br w:val="nil"/>
                    <w:tr2bl w:val="nil"/>
                  </w:tcBorders>
                  <w:shd w:val="clear" w:color="auto" w:fill="FFFFFF"/>
                  <w:noWrap w:val="0"/>
                  <w:vAlign w:val="center"/>
                </w:tcPr>
                <w:p w14:paraId="773A31D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455" w:type="pct"/>
                  <w:tcBorders>
                    <w:tl2br w:val="nil"/>
                    <w:tr2bl w:val="nil"/>
                  </w:tcBorders>
                  <w:shd w:val="clear" w:color="auto" w:fill="FFFFFF"/>
                  <w:noWrap w:val="0"/>
                  <w:vAlign w:val="center"/>
                </w:tcPr>
                <w:p w14:paraId="56A9914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1000</w:t>
                  </w:r>
                </w:p>
              </w:tc>
            </w:tr>
            <w:tr w14:paraId="1690133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140" w:hRule="atLeast"/>
              </w:trPr>
              <w:tc>
                <w:tcPr>
                  <w:tcW w:w="455" w:type="pct"/>
                  <w:vMerge w:val="continue"/>
                  <w:tcBorders>
                    <w:tl2br w:val="nil"/>
                    <w:tr2bl w:val="nil"/>
                  </w:tcBorders>
                  <w:shd w:val="clear" w:color="auto" w:fill="FFFFFF"/>
                  <w:noWrap w:val="0"/>
                  <w:vAlign w:val="center"/>
                </w:tcPr>
                <w:p w14:paraId="4FFDB159">
                  <w:pPr>
                    <w:jc w:val="center"/>
                    <w:rPr>
                      <w:rFonts w:hint="eastAsia" w:ascii="宋体" w:hAnsi="宋体" w:eastAsia="宋体" w:cs="宋体"/>
                      <w:i w:val="0"/>
                      <w:iCs w:val="0"/>
                      <w:color w:val="auto"/>
                      <w:sz w:val="21"/>
                      <w:szCs w:val="21"/>
                      <w:u w:val="none"/>
                    </w:rPr>
                  </w:pPr>
                </w:p>
              </w:tc>
              <w:tc>
                <w:tcPr>
                  <w:tcW w:w="475" w:type="pct"/>
                  <w:vMerge w:val="continue"/>
                  <w:tcBorders>
                    <w:tl2br w:val="nil"/>
                    <w:tr2bl w:val="nil"/>
                  </w:tcBorders>
                  <w:shd w:val="clear" w:color="auto" w:fill="FFFFFF"/>
                  <w:noWrap w:val="0"/>
                  <w:vAlign w:val="center"/>
                </w:tcPr>
                <w:p w14:paraId="6BEE854F">
                  <w:pPr>
                    <w:jc w:val="center"/>
                    <w:rPr>
                      <w:rFonts w:hint="default" w:ascii="Times New Roman" w:hAnsi="Times New Roman" w:eastAsia="宋体" w:cs="Times New Roman"/>
                      <w:i w:val="0"/>
                      <w:iCs w:val="0"/>
                      <w:color w:val="auto"/>
                      <w:sz w:val="21"/>
                      <w:szCs w:val="21"/>
                      <w:u w:val="none"/>
                    </w:rPr>
                  </w:pPr>
                </w:p>
              </w:tc>
              <w:tc>
                <w:tcPr>
                  <w:tcW w:w="640" w:type="pct"/>
                  <w:tcBorders>
                    <w:tl2br w:val="nil"/>
                    <w:tr2bl w:val="nil"/>
                  </w:tcBorders>
                  <w:shd w:val="clear" w:color="auto" w:fill="auto"/>
                  <w:noWrap w:val="0"/>
                  <w:vAlign w:val="center"/>
                </w:tcPr>
                <w:p w14:paraId="6ECFADC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经工业区污水处理厂处理后最终排放量</w:t>
                  </w:r>
                  <w:r>
                    <w:rPr>
                      <w:rFonts w:hint="default" w:ascii="Times New Roman" w:hAnsi="Times New Roman" w:eastAsia="宋体" w:cs="Times New Roman"/>
                      <w:i w:val="0"/>
                      <w:iCs w:val="0"/>
                      <w:color w:val="auto"/>
                      <w:kern w:val="0"/>
                      <w:sz w:val="21"/>
                      <w:szCs w:val="21"/>
                      <w:u w:val="none"/>
                      <w:lang w:val="en-US" w:eastAsia="zh-CN" w:bidi="ar"/>
                    </w:rPr>
                    <w:t>t/a</w:t>
                  </w:r>
                </w:p>
              </w:tc>
              <w:tc>
                <w:tcPr>
                  <w:tcW w:w="640" w:type="pct"/>
                  <w:tcBorders>
                    <w:tl2br w:val="nil"/>
                    <w:tr2bl w:val="nil"/>
                  </w:tcBorders>
                  <w:shd w:val="clear" w:color="auto" w:fill="FFFFFF"/>
                  <w:noWrap w:val="0"/>
                  <w:vAlign w:val="center"/>
                </w:tcPr>
                <w:p w14:paraId="2DBFF6A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3.26 </w:t>
                  </w:r>
                </w:p>
              </w:tc>
              <w:tc>
                <w:tcPr>
                  <w:tcW w:w="640" w:type="pct"/>
                  <w:tcBorders>
                    <w:tl2br w:val="nil"/>
                    <w:tr2bl w:val="nil"/>
                  </w:tcBorders>
                  <w:shd w:val="clear" w:color="auto" w:fill="FFFFFF"/>
                  <w:noWrap w:val="0"/>
                  <w:vAlign w:val="center"/>
                </w:tcPr>
                <w:p w14:paraId="5C32B44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0.65 </w:t>
                  </w:r>
                </w:p>
              </w:tc>
              <w:tc>
                <w:tcPr>
                  <w:tcW w:w="564" w:type="pct"/>
                  <w:tcBorders>
                    <w:tl2br w:val="nil"/>
                    <w:tr2bl w:val="nil"/>
                  </w:tcBorders>
                  <w:shd w:val="clear" w:color="auto" w:fill="FFFFFF"/>
                  <w:noWrap w:val="0"/>
                  <w:vAlign w:val="center"/>
                </w:tcPr>
                <w:p w14:paraId="38A3DE6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0.65 </w:t>
                  </w:r>
                </w:p>
              </w:tc>
              <w:tc>
                <w:tcPr>
                  <w:tcW w:w="564" w:type="pct"/>
                  <w:tcBorders>
                    <w:tl2br w:val="nil"/>
                    <w:tr2bl w:val="nil"/>
                  </w:tcBorders>
                  <w:shd w:val="clear" w:color="auto" w:fill="FFFFFF"/>
                  <w:noWrap w:val="0"/>
                  <w:vAlign w:val="center"/>
                </w:tcPr>
                <w:p w14:paraId="5802959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0.33 </w:t>
                  </w:r>
                </w:p>
              </w:tc>
              <w:tc>
                <w:tcPr>
                  <w:tcW w:w="564" w:type="pct"/>
                  <w:tcBorders>
                    <w:tl2br w:val="nil"/>
                    <w:tr2bl w:val="nil"/>
                  </w:tcBorders>
                  <w:shd w:val="clear" w:color="auto" w:fill="FFFFFF"/>
                  <w:noWrap w:val="0"/>
                  <w:vAlign w:val="center"/>
                </w:tcPr>
                <w:p w14:paraId="1CB9D70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0.07 </w:t>
                  </w:r>
                </w:p>
              </w:tc>
              <w:tc>
                <w:tcPr>
                  <w:tcW w:w="455" w:type="pct"/>
                  <w:tcBorders>
                    <w:tl2br w:val="nil"/>
                    <w:tr2bl w:val="nil"/>
                  </w:tcBorders>
                  <w:shd w:val="clear" w:color="auto" w:fill="FFFFFF"/>
                  <w:noWrap w:val="0"/>
                  <w:vAlign w:val="center"/>
                </w:tcPr>
                <w:p w14:paraId="3EE3D75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bl>
          <w:p w14:paraId="44283ECF">
            <w:pPr>
              <w:pStyle w:val="23"/>
              <w:rPr>
                <w:rFonts w:cs="Times New Roman"/>
                <w:b/>
                <w:bCs/>
                <w:color w:val="auto"/>
                <w:sz w:val="24"/>
                <w:szCs w:val="24"/>
                <w:highlight w:val="none"/>
              </w:rPr>
            </w:pPr>
            <w:r>
              <w:rPr>
                <w:rFonts w:hint="eastAsia" w:cs="Times New Roman"/>
                <w:b/>
                <w:bCs/>
                <w:color w:val="auto"/>
                <w:sz w:val="24"/>
                <w:szCs w:val="24"/>
                <w:highlight w:val="none"/>
              </w:rPr>
              <w:t>二</w:t>
            </w:r>
            <w:r>
              <w:rPr>
                <w:rFonts w:cs="Times New Roman"/>
                <w:b/>
                <w:bCs/>
                <w:color w:val="auto"/>
                <w:sz w:val="24"/>
                <w:szCs w:val="24"/>
                <w:highlight w:val="none"/>
              </w:rPr>
              <w:t>、</w:t>
            </w:r>
            <w:r>
              <w:rPr>
                <w:rFonts w:hint="eastAsia" w:cs="Times New Roman"/>
                <w:b/>
                <w:bCs/>
                <w:color w:val="auto"/>
                <w:sz w:val="24"/>
                <w:szCs w:val="24"/>
                <w:highlight w:val="none"/>
              </w:rPr>
              <w:t>水环境保护措施</w:t>
            </w:r>
          </w:p>
          <w:p w14:paraId="48B85505">
            <w:pPr>
              <w:spacing w:line="360" w:lineRule="auto"/>
              <w:ind w:firstLine="482" w:firstLineChars="200"/>
              <w:rPr>
                <w:b/>
                <w:color w:val="auto"/>
                <w:sz w:val="24"/>
                <w:highlight w:val="none"/>
              </w:rPr>
            </w:pPr>
            <w:r>
              <w:rPr>
                <w:b/>
                <w:color w:val="auto"/>
                <w:sz w:val="24"/>
                <w:highlight w:val="none"/>
              </w:rPr>
              <w:t>（1）废水排水去向</w:t>
            </w:r>
          </w:p>
          <w:p w14:paraId="052E264E">
            <w:pPr>
              <w:pStyle w:val="16"/>
              <w:spacing w:line="360" w:lineRule="auto"/>
              <w:ind w:left="0" w:leftChars="0" w:firstLine="480"/>
              <w:rPr>
                <w:rFonts w:hint="default" w:ascii="Times New Roman" w:hAnsi="Times New Roman" w:eastAsia="宋体" w:cs="Times New Roman"/>
                <w:color w:val="auto"/>
                <w:kern w:val="0"/>
                <w:sz w:val="24"/>
                <w:lang w:val="en-US" w:eastAsia="zh-CN" w:bidi="ar"/>
              </w:rPr>
            </w:pPr>
            <w:r>
              <w:rPr>
                <w:rFonts w:hint="default" w:ascii="Times New Roman" w:hAnsi="Times New Roman" w:eastAsia="宋体" w:cs="Times New Roman"/>
                <w:color w:val="auto"/>
                <w:kern w:val="0"/>
                <w:sz w:val="24"/>
                <w:lang w:val="en-US" w:eastAsia="zh-CN" w:bidi="ar"/>
              </w:rPr>
              <w:t>近期：因区域暂未配套市政污水管网，生活污水经化粪池预处理、医疗废水经化粪池预处理、餐厨废水经隔油池 + 化粪池预处理后，一并进入处理规模为500t/d的污水处理站处理，达标后由密闭污水槽车清运至青口汽车工业开发区污水处理厂集中处置。</w:t>
            </w:r>
          </w:p>
          <w:p w14:paraId="12B54EF1">
            <w:pPr>
              <w:pStyle w:val="16"/>
              <w:spacing w:line="360" w:lineRule="auto"/>
              <w:ind w:left="0" w:leftChars="0" w:firstLine="480"/>
              <w:rPr>
                <w:rFonts w:hint="default" w:ascii="Times New Roman" w:hAnsi="Times New Roman" w:eastAsia="宋体" w:cs="Times New Roman"/>
                <w:color w:val="auto"/>
                <w:kern w:val="0"/>
                <w:sz w:val="24"/>
                <w:lang w:val="en-US" w:eastAsia="zh-CN" w:bidi="ar"/>
              </w:rPr>
            </w:pPr>
            <w:r>
              <w:rPr>
                <w:rFonts w:hint="default" w:ascii="Times New Roman" w:hAnsi="Times New Roman" w:eastAsia="宋体" w:cs="Times New Roman"/>
                <w:color w:val="auto"/>
                <w:kern w:val="0"/>
                <w:sz w:val="24"/>
                <w:lang w:val="en-US" w:eastAsia="zh-CN" w:bidi="ar"/>
              </w:rPr>
              <w:t>远期：待区域市政污水管网建成投用后，污水处理站出水纳入市政污水管网，最终排入青口新区污水处理厂统一处理。</w:t>
            </w:r>
          </w:p>
          <w:p w14:paraId="7FF3A68D">
            <w:pPr>
              <w:pStyle w:val="16"/>
              <w:spacing w:line="360" w:lineRule="auto"/>
              <w:ind w:left="0" w:leftChars="0" w:firstLine="480"/>
              <w:rPr>
                <w:rFonts w:hint="eastAsia" w:ascii="Times New Roman" w:hAnsi="Times New Roman" w:eastAsia="宋体" w:cs="Times New Roman"/>
                <w:color w:val="auto"/>
                <w:kern w:val="0"/>
                <w:sz w:val="24"/>
                <w:lang w:val="en-US" w:eastAsia="zh-CN" w:bidi="ar"/>
              </w:rPr>
            </w:pPr>
            <w:r>
              <w:rPr>
                <w:rFonts w:hint="default" w:ascii="Times New Roman" w:hAnsi="Times New Roman" w:eastAsia="宋体" w:cs="Times New Roman"/>
                <w:color w:val="auto"/>
                <w:kern w:val="0"/>
                <w:sz w:val="24"/>
                <w:lang w:val="en-US" w:eastAsia="zh-CN" w:bidi="ar"/>
              </w:rPr>
              <w:t>污水处理</w:t>
            </w:r>
            <w:r>
              <w:rPr>
                <w:rFonts w:hint="eastAsia" w:ascii="Times New Roman" w:hAnsi="Times New Roman" w:eastAsia="宋体" w:cs="Times New Roman"/>
                <w:color w:val="auto"/>
                <w:kern w:val="0"/>
                <w:sz w:val="24"/>
                <w:lang w:val="en-US" w:eastAsia="zh-CN" w:bidi="ar"/>
              </w:rPr>
              <w:t>站处理达到《</w:t>
            </w:r>
            <w:r>
              <w:rPr>
                <w:rFonts w:hint="default" w:ascii="Times New Roman" w:hAnsi="Times New Roman" w:eastAsia="宋体" w:cs="Times New Roman"/>
                <w:color w:val="auto"/>
                <w:kern w:val="0"/>
                <w:sz w:val="24"/>
                <w:lang w:val="en-US" w:eastAsia="zh-CN" w:bidi="ar"/>
              </w:rPr>
              <w:t>医疗机构水污染物排放标准</w:t>
            </w:r>
            <w:r>
              <w:rPr>
                <w:rFonts w:hint="eastAsia" w:ascii="Times New Roman" w:hAnsi="Times New Roman" w:eastAsia="宋体" w:cs="Times New Roman"/>
                <w:color w:val="auto"/>
                <w:kern w:val="0"/>
                <w:sz w:val="24"/>
                <w:lang w:val="en-US" w:eastAsia="zh-CN" w:bidi="ar"/>
              </w:rPr>
              <w:t>》</w:t>
            </w:r>
            <w:r>
              <w:rPr>
                <w:rFonts w:hint="default" w:ascii="Times New Roman" w:hAnsi="Times New Roman" w:eastAsia="宋体" w:cs="Times New Roman"/>
                <w:color w:val="auto"/>
                <w:kern w:val="0"/>
                <w:sz w:val="24"/>
                <w:lang w:val="en-US" w:eastAsia="zh-CN" w:bidi="ar"/>
              </w:rPr>
              <w:t>(GB18466-2005)表2处理标准，符合青口汽车工业开发区污水处理厂</w:t>
            </w:r>
            <w:r>
              <w:rPr>
                <w:rFonts w:hint="eastAsia" w:ascii="Times New Roman" w:hAnsi="Times New Roman" w:eastAsia="宋体" w:cs="Times New Roman"/>
                <w:color w:val="auto"/>
                <w:kern w:val="0"/>
                <w:sz w:val="24"/>
                <w:lang w:val="en-US" w:eastAsia="zh-CN" w:bidi="ar"/>
              </w:rPr>
              <w:t>、</w:t>
            </w:r>
            <w:r>
              <w:rPr>
                <w:rFonts w:hint="default" w:ascii="Times New Roman" w:hAnsi="Times New Roman" w:eastAsia="宋体" w:cs="Times New Roman"/>
                <w:color w:val="auto"/>
                <w:kern w:val="0"/>
                <w:sz w:val="24"/>
                <w:lang w:val="en-US" w:eastAsia="zh-CN" w:bidi="ar"/>
              </w:rPr>
              <w:t>青口新区污水处理厂进水要求</w:t>
            </w:r>
            <w:r>
              <w:rPr>
                <w:rFonts w:hint="eastAsia" w:ascii="Times New Roman" w:hAnsi="Times New Roman" w:eastAsia="宋体" w:cs="Times New Roman"/>
                <w:color w:val="auto"/>
                <w:kern w:val="0"/>
                <w:sz w:val="24"/>
                <w:lang w:val="en-US" w:eastAsia="zh-CN" w:bidi="ar"/>
              </w:rPr>
              <w:t>。</w:t>
            </w:r>
          </w:p>
          <w:p w14:paraId="3ADA721F">
            <w:pPr>
              <w:adjustRightInd w:val="0"/>
              <w:snapToGrid w:val="0"/>
              <w:spacing w:line="360" w:lineRule="auto"/>
              <w:ind w:firstLine="480" w:firstLineChars="200"/>
              <w:rPr>
                <w:rFonts w:hint="default"/>
                <w:color w:val="auto"/>
              </w:rPr>
            </w:pPr>
            <w:r>
              <w:rPr>
                <w:rFonts w:hint="default" w:ascii="Times New Roman" w:hAnsi="Times New Roman" w:eastAsia="宋体" w:cs="Times New Roman"/>
                <w:color w:val="auto"/>
                <w:sz w:val="24"/>
                <w:szCs w:val="24"/>
                <w:highlight w:val="none"/>
              </w:rPr>
              <w:t>排水系统严格实现彻底分流，禁止混接、错接 （1）污水管网系统：门诊楼、住院楼、职工宿舍生活污水、诊疗医疗废水、检验科废水、食堂餐厨废水单独收集，分别经预处理（化粪池 / 隔油池）后接入院内污水处理站；所有污水管道独立布设，严禁接入雨水管网。 （2）雨水管网系统：屋面雨水、道路广场雨水、绿化雨水单独收集，自成独立系统；雨水口、雨水管沟不得接纳任何生产、生活污水。</w:t>
            </w:r>
          </w:p>
          <w:p w14:paraId="23AD7CC7">
            <w:pPr>
              <w:numPr>
                <w:ilvl w:val="0"/>
                <w:numId w:val="6"/>
              </w:numPr>
              <w:spacing w:line="360" w:lineRule="auto"/>
              <w:ind w:firstLine="482" w:firstLineChars="200"/>
              <w:rPr>
                <w:b/>
                <w:color w:val="auto"/>
                <w:sz w:val="24"/>
              </w:rPr>
            </w:pPr>
            <w:r>
              <w:rPr>
                <w:b/>
                <w:color w:val="auto"/>
                <w:sz w:val="24"/>
              </w:rPr>
              <w:t>污水处理</w:t>
            </w:r>
            <w:r>
              <w:rPr>
                <w:rFonts w:hint="eastAsia"/>
                <w:b/>
                <w:color w:val="auto"/>
                <w:sz w:val="24"/>
              </w:rPr>
              <w:t>设施</w:t>
            </w:r>
            <w:r>
              <w:rPr>
                <w:b/>
                <w:color w:val="auto"/>
                <w:sz w:val="24"/>
              </w:rPr>
              <w:t>合理性分析</w:t>
            </w:r>
          </w:p>
          <w:p w14:paraId="3CE33536">
            <w:pPr>
              <w:pStyle w:val="6"/>
              <w:spacing w:line="360" w:lineRule="auto"/>
              <w:ind w:firstLine="480" w:firstLineChars="200"/>
              <w:rPr>
                <w:rFonts w:hint="default" w:ascii="Times New Roman" w:hAnsi="Times New Roman" w:eastAsia="宋体" w:cs="Times New Roman"/>
                <w:color w:val="auto"/>
                <w:kern w:val="0"/>
                <w:sz w:val="24"/>
                <w:szCs w:val="20"/>
                <w:lang w:val="en-US" w:eastAsia="zh-CN" w:bidi="ar"/>
              </w:rPr>
            </w:pPr>
            <w:r>
              <w:rPr>
                <w:rFonts w:hint="default" w:ascii="Times New Roman" w:hAnsi="Times New Roman" w:eastAsia="宋体" w:cs="Times New Roman"/>
                <w:color w:val="auto"/>
                <w:kern w:val="0"/>
                <w:sz w:val="24"/>
                <w:szCs w:val="20"/>
                <w:lang w:val="en-US" w:eastAsia="zh-CN" w:bidi="ar"/>
              </w:rPr>
              <w:t>污水处理站设计规模为</w:t>
            </w:r>
            <w:r>
              <w:rPr>
                <w:rFonts w:hint="eastAsia" w:ascii="Times New Roman" w:hAnsi="Times New Roman" w:eastAsia="宋体" w:cs="Times New Roman"/>
                <w:color w:val="auto"/>
                <w:kern w:val="0"/>
                <w:sz w:val="24"/>
                <w:szCs w:val="20"/>
                <w:lang w:val="en-US" w:eastAsia="zh-CN" w:bidi="ar"/>
              </w:rPr>
              <w:t>：</w:t>
            </w:r>
            <w:r>
              <w:rPr>
                <w:rFonts w:hint="default" w:ascii="Times New Roman" w:hAnsi="Times New Roman" w:eastAsia="宋体" w:cs="Times New Roman"/>
                <w:color w:val="auto"/>
                <w:kern w:val="0"/>
                <w:sz w:val="24"/>
                <w:szCs w:val="20"/>
                <w:lang w:val="en-US" w:eastAsia="zh-CN" w:bidi="ar"/>
              </w:rPr>
              <w:t>500t/d,污水处理站处理设备采用二组并联式处理运行,可单独运行。单组处理能力达到</w:t>
            </w:r>
            <w:r>
              <w:rPr>
                <w:rFonts w:hint="eastAsia" w:ascii="Times New Roman" w:hAnsi="Times New Roman" w:eastAsia="宋体" w:cs="Times New Roman"/>
                <w:color w:val="auto"/>
                <w:kern w:val="0"/>
                <w:sz w:val="24"/>
                <w:szCs w:val="20"/>
                <w:lang w:val="en-US" w:eastAsia="zh-CN" w:bidi="ar"/>
              </w:rPr>
              <w:t>：</w:t>
            </w:r>
            <w:r>
              <w:rPr>
                <w:rFonts w:hint="default" w:ascii="Times New Roman" w:hAnsi="Times New Roman" w:eastAsia="宋体" w:cs="Times New Roman"/>
                <w:color w:val="auto"/>
                <w:kern w:val="0"/>
                <w:sz w:val="24"/>
                <w:szCs w:val="20"/>
                <w:lang w:val="en-US" w:eastAsia="zh-CN" w:bidi="ar"/>
              </w:rPr>
              <w:t>250t/d</w:t>
            </w:r>
            <w:r>
              <w:rPr>
                <w:rFonts w:hint="eastAsia" w:ascii="Times New Roman" w:hAnsi="Times New Roman" w:eastAsia="宋体" w:cs="Times New Roman"/>
                <w:color w:val="auto"/>
                <w:kern w:val="0"/>
                <w:sz w:val="24"/>
                <w:szCs w:val="20"/>
                <w:lang w:val="en-US" w:eastAsia="zh-CN" w:bidi="ar"/>
              </w:rPr>
              <w:t>。</w:t>
            </w:r>
            <w:r>
              <w:rPr>
                <w:rFonts w:hint="default" w:ascii="Times New Roman" w:hAnsi="Times New Roman" w:eastAsia="宋体" w:cs="Times New Roman"/>
                <w:color w:val="auto"/>
                <w:kern w:val="0"/>
                <w:sz w:val="24"/>
                <w:szCs w:val="20"/>
                <w:lang w:val="en-US" w:eastAsia="zh-CN" w:bidi="ar"/>
              </w:rPr>
              <w:t>根据《医院污水处理工程技术规范》（HJ2029-2013），非传染病医院污水处理工程应设事故应急池，容积不小于日排放量的30%。</w:t>
            </w:r>
          </w:p>
          <w:p w14:paraId="33AF21E1">
            <w:pPr>
              <w:pStyle w:val="16"/>
              <w:spacing w:line="360" w:lineRule="auto"/>
              <w:ind w:left="0" w:leftChars="0" w:firstLine="480"/>
              <w:rPr>
                <w:rFonts w:hint="eastAsia"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szCs w:val="20"/>
                <w:lang w:val="en-US" w:eastAsia="zh-CN" w:bidi="ar"/>
              </w:rPr>
              <w:t>本项目污水处理站应</w:t>
            </w:r>
            <w:r>
              <w:rPr>
                <w:rFonts w:hint="default" w:ascii="Times New Roman" w:hAnsi="Times New Roman" w:eastAsia="宋体" w:cs="Times New Roman"/>
                <w:color w:val="auto"/>
                <w:kern w:val="0"/>
                <w:sz w:val="24"/>
                <w:szCs w:val="20"/>
                <w:lang w:val="en-US" w:eastAsia="zh-CN" w:bidi="ar"/>
              </w:rPr>
              <w:t>设置事故应急池</w:t>
            </w:r>
            <w:r>
              <w:rPr>
                <w:rFonts w:hint="eastAsia" w:ascii="Times New Roman" w:hAnsi="Times New Roman" w:eastAsia="宋体" w:cs="Times New Roman"/>
                <w:color w:val="auto"/>
                <w:kern w:val="0"/>
                <w:sz w:val="24"/>
                <w:szCs w:val="20"/>
                <w:lang w:val="en-US" w:eastAsia="zh-CN" w:bidi="ar"/>
              </w:rPr>
              <w:t>，</w:t>
            </w:r>
            <w:r>
              <w:rPr>
                <w:rFonts w:hint="default" w:ascii="Times New Roman" w:hAnsi="Times New Roman" w:eastAsia="宋体" w:cs="Times New Roman"/>
                <w:color w:val="auto"/>
                <w:kern w:val="0"/>
                <w:sz w:val="24"/>
                <w:szCs w:val="20"/>
                <w:lang w:val="en-US" w:eastAsia="zh-CN" w:bidi="ar"/>
              </w:rPr>
              <w:t>容积</w:t>
            </w:r>
            <w:r>
              <w:rPr>
                <w:rFonts w:hint="eastAsia" w:ascii="Times New Roman" w:hAnsi="Times New Roman" w:eastAsia="宋体" w:cs="Times New Roman"/>
                <w:color w:val="auto"/>
                <w:kern w:val="0"/>
                <w:sz w:val="24"/>
                <w:szCs w:val="20"/>
                <w:lang w:val="en-US" w:eastAsia="zh-CN" w:bidi="ar"/>
              </w:rPr>
              <w:t>为200</w:t>
            </w:r>
            <w:r>
              <w:rPr>
                <w:rFonts w:hint="default" w:ascii="Times New Roman" w:hAnsi="Times New Roman" w:eastAsia="宋体" w:cs="Times New Roman"/>
                <w:color w:val="auto"/>
                <w:kern w:val="0"/>
                <w:sz w:val="24"/>
                <w:szCs w:val="20"/>
                <w:lang w:val="en-US" w:eastAsia="zh-CN" w:bidi="ar"/>
              </w:rPr>
              <w:t>m</w:t>
            </w:r>
            <w:r>
              <w:rPr>
                <w:rFonts w:hint="default" w:ascii="Times New Roman" w:hAnsi="Times New Roman" w:eastAsia="宋体" w:cs="Times New Roman"/>
                <w:color w:val="auto"/>
                <w:kern w:val="0"/>
                <w:sz w:val="24"/>
                <w:szCs w:val="20"/>
                <w:vertAlign w:val="superscript"/>
                <w:lang w:val="en-US" w:eastAsia="zh-CN" w:bidi="ar"/>
              </w:rPr>
              <w:t>3</w:t>
            </w:r>
            <w:r>
              <w:rPr>
                <w:rFonts w:hint="eastAsia" w:ascii="Times New Roman" w:hAnsi="Times New Roman" w:eastAsia="宋体" w:cs="Times New Roman"/>
                <w:color w:val="auto"/>
                <w:kern w:val="0"/>
                <w:sz w:val="24"/>
                <w:szCs w:val="20"/>
                <w:lang w:val="en-US" w:eastAsia="zh-CN" w:bidi="ar"/>
              </w:rPr>
              <w:t>。</w:t>
            </w:r>
          </w:p>
          <w:p w14:paraId="4002D322">
            <w:pPr>
              <w:pStyle w:val="16"/>
              <w:spacing w:line="360" w:lineRule="auto"/>
              <w:ind w:left="0" w:leftChars="0" w:firstLine="480"/>
              <w:rPr>
                <w:rFonts w:hint="eastAsia"/>
                <w:color w:val="auto"/>
              </w:rPr>
            </w:pPr>
            <w:r>
              <w:rPr>
                <w:rFonts w:hint="eastAsia" w:ascii="宋体" w:hAnsi="宋体" w:cs="宋体"/>
                <w:color w:val="auto"/>
                <w:szCs w:val="24"/>
                <w:lang w:bidi="ar"/>
              </w:rPr>
              <w:t>污水处理设施设计建设根据《排污许可证申请与核发技术规范医疗机构》（</w:t>
            </w:r>
            <w:r>
              <w:rPr>
                <w:color w:val="auto"/>
                <w:szCs w:val="24"/>
                <w:lang w:bidi="ar"/>
              </w:rPr>
              <w:t>HJ1105-2020</w:t>
            </w:r>
            <w:r>
              <w:rPr>
                <w:rFonts w:hint="eastAsia" w:ascii="宋体" w:hAnsi="宋体" w:cs="宋体"/>
                <w:color w:val="auto"/>
                <w:szCs w:val="24"/>
                <w:lang w:bidi="ar"/>
              </w:rPr>
              <w:t>）附录</w:t>
            </w:r>
            <w:r>
              <w:rPr>
                <w:color w:val="auto"/>
                <w:szCs w:val="24"/>
                <w:lang w:bidi="ar"/>
              </w:rPr>
              <w:t>A</w:t>
            </w:r>
            <w:r>
              <w:rPr>
                <w:rFonts w:hint="eastAsia" w:ascii="宋体" w:hAnsi="宋体" w:cs="宋体"/>
                <w:color w:val="auto"/>
                <w:szCs w:val="24"/>
                <w:lang w:bidi="ar"/>
              </w:rPr>
              <w:t>的表</w:t>
            </w:r>
            <w:r>
              <w:rPr>
                <w:color w:val="auto"/>
                <w:szCs w:val="24"/>
                <w:lang w:bidi="ar"/>
              </w:rPr>
              <w:t>A.2</w:t>
            </w:r>
            <w:r>
              <w:rPr>
                <w:rFonts w:hint="eastAsia" w:ascii="宋体" w:hAnsi="宋体" w:cs="宋体"/>
                <w:color w:val="auto"/>
                <w:szCs w:val="24"/>
                <w:lang w:bidi="ar"/>
              </w:rPr>
              <w:t>医疗机构排污单位污水治理可行技术参照表和《医院污水处理工程技术规范》（</w:t>
            </w:r>
            <w:r>
              <w:rPr>
                <w:color w:val="auto"/>
                <w:szCs w:val="24"/>
                <w:lang w:bidi="ar"/>
              </w:rPr>
              <w:t>HJ2029-2013</w:t>
            </w:r>
            <w:r>
              <w:rPr>
                <w:rFonts w:hint="eastAsia" w:ascii="宋体" w:hAnsi="宋体" w:cs="宋体"/>
                <w:color w:val="auto"/>
                <w:szCs w:val="24"/>
                <w:lang w:bidi="ar"/>
              </w:rPr>
              <w:t>）。</w:t>
            </w:r>
            <w:r>
              <w:rPr>
                <w:color w:val="auto"/>
                <w:szCs w:val="24"/>
              </w:rPr>
              <w:t>医疗污水</w:t>
            </w:r>
            <w:r>
              <w:rPr>
                <w:rFonts w:hint="eastAsia"/>
                <w:color w:val="auto"/>
                <w:szCs w:val="24"/>
              </w:rPr>
              <w:t>、生活污水</w:t>
            </w:r>
            <w:r>
              <w:rPr>
                <w:color w:val="auto"/>
                <w:szCs w:val="24"/>
              </w:rPr>
              <w:t>与</w:t>
            </w:r>
            <w:r>
              <w:rPr>
                <w:rFonts w:hint="eastAsia"/>
                <w:color w:val="auto"/>
                <w:szCs w:val="24"/>
                <w:lang w:val="en-US" w:eastAsia="zh-CN"/>
              </w:rPr>
              <w:t>餐厨废水</w:t>
            </w:r>
            <w:r>
              <w:rPr>
                <w:color w:val="auto"/>
                <w:szCs w:val="24"/>
              </w:rPr>
              <w:t>汇总后进入医院污水处理</w:t>
            </w:r>
            <w:r>
              <w:rPr>
                <w:rFonts w:hint="eastAsia"/>
                <w:color w:val="auto"/>
                <w:szCs w:val="24"/>
                <w:lang w:val="en-US" w:eastAsia="zh-CN"/>
              </w:rPr>
              <w:t>站</w:t>
            </w:r>
            <w:r>
              <w:rPr>
                <w:color w:val="auto"/>
                <w:szCs w:val="24"/>
              </w:rPr>
              <w:t>（</w:t>
            </w:r>
            <w:r>
              <w:rPr>
                <w:rFonts w:hint="eastAsia"/>
                <w:color w:val="auto"/>
                <w:szCs w:val="24"/>
                <w:lang w:val="en-US" w:eastAsia="zh-CN"/>
              </w:rPr>
              <w:t>格栅井-调节池-水解酸化池-接触氧化池-</w:t>
            </w:r>
            <w:r>
              <w:rPr>
                <w:color w:val="auto"/>
                <w:szCs w:val="24"/>
              </w:rPr>
              <w:t>MBR</w:t>
            </w:r>
            <w:r>
              <w:rPr>
                <w:rFonts w:hint="eastAsia"/>
                <w:color w:val="auto"/>
                <w:szCs w:val="24"/>
                <w:lang w:val="en-US" w:eastAsia="zh-CN"/>
              </w:rPr>
              <w:t>膜</w:t>
            </w:r>
            <w:r>
              <w:rPr>
                <w:color w:val="auto"/>
                <w:szCs w:val="24"/>
              </w:rPr>
              <w:t>池-消毒池，处理规模</w:t>
            </w:r>
            <w:r>
              <w:rPr>
                <w:rFonts w:hint="eastAsia"/>
                <w:color w:val="auto"/>
                <w:szCs w:val="24"/>
                <w:lang w:val="en-US" w:eastAsia="zh-CN"/>
              </w:rPr>
              <w:t>500t</w:t>
            </w:r>
            <w:r>
              <w:rPr>
                <w:color w:val="auto"/>
                <w:szCs w:val="24"/>
              </w:rPr>
              <w:t>/d）</w:t>
            </w:r>
            <w:r>
              <w:rPr>
                <w:rFonts w:hint="eastAsia"/>
                <w:color w:val="auto"/>
                <w:szCs w:val="24"/>
                <w:lang w:eastAsia="zh-CN"/>
              </w:rPr>
              <w:t>。</w:t>
            </w:r>
            <w:r>
              <w:rPr>
                <w:rFonts w:hint="eastAsia" w:ascii="宋体" w:hAnsi="宋体" w:cs="宋体"/>
                <w:color w:val="auto"/>
                <w:szCs w:val="24"/>
                <w:lang w:bidi="ar"/>
              </w:rPr>
              <w:t>本项目</w:t>
            </w:r>
            <w:r>
              <w:rPr>
                <w:rFonts w:hint="eastAsia" w:ascii="宋体" w:hAnsi="宋体" w:cs="宋体"/>
                <w:color w:val="auto"/>
                <w:szCs w:val="24"/>
                <w:lang w:val="en-US" w:eastAsia="zh-CN" w:bidi="ar"/>
              </w:rPr>
              <w:t>医疗废水</w:t>
            </w:r>
            <w:r>
              <w:rPr>
                <w:rFonts w:hint="eastAsia" w:ascii="宋体" w:hAnsi="宋体" w:cs="宋体"/>
                <w:color w:val="auto"/>
                <w:szCs w:val="24"/>
                <w:lang w:bidi="ar"/>
              </w:rPr>
              <w:t>采用的废水处理工艺是可行的。</w:t>
            </w:r>
          </w:p>
          <w:p w14:paraId="0DEE66A3">
            <w:pPr>
              <w:widowControl/>
              <w:spacing w:line="360" w:lineRule="auto"/>
              <w:ind w:firstLine="480" w:firstLineChars="200"/>
              <w:jc w:val="left"/>
              <w:rPr>
                <w:color w:val="auto"/>
              </w:rPr>
            </w:pPr>
            <w:r>
              <w:rPr>
                <w:rFonts w:hint="eastAsia" w:ascii="宋体" w:hAnsi="宋体" w:cs="宋体"/>
                <w:color w:val="auto"/>
                <w:kern w:val="0"/>
                <w:sz w:val="24"/>
                <w:lang w:bidi="ar"/>
              </w:rPr>
              <w:t>本项目废水处理工艺详见下图：</w:t>
            </w:r>
          </w:p>
          <w:p w14:paraId="1C509E5F">
            <w:pPr>
              <w:pStyle w:val="16"/>
              <w:ind w:left="0" w:leftChars="0" w:firstLine="0" w:firstLineChars="0"/>
              <w:rPr>
                <w:color w:val="auto"/>
              </w:rPr>
            </w:pPr>
          </w:p>
          <w:p w14:paraId="70CE7DFA">
            <w:pPr>
              <w:pStyle w:val="24"/>
              <w:ind w:firstLine="0" w:firstLineChars="0"/>
              <w:rPr>
                <w:rFonts w:hAnsi="Times New Roman"/>
                <w:b/>
                <w:bCs/>
                <w:color w:val="auto"/>
                <w:sz w:val="24"/>
                <w:szCs w:val="24"/>
              </w:rPr>
            </w:pPr>
            <w:r>
              <w:rPr>
                <w:color w:val="auto"/>
              </w:rPr>
              <w:drawing>
                <wp:inline distT="0" distB="0" distL="114300" distR="114300">
                  <wp:extent cx="5469890" cy="1519555"/>
                  <wp:effectExtent l="0" t="0" r="16510" b="444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2">
                            <a:grayscl/>
                          </a:blip>
                          <a:stretch>
                            <a:fillRect/>
                          </a:stretch>
                        </pic:blipFill>
                        <pic:spPr>
                          <a:xfrm>
                            <a:off x="0" y="0"/>
                            <a:ext cx="5469890" cy="1519555"/>
                          </a:xfrm>
                          <a:prstGeom prst="rect">
                            <a:avLst/>
                          </a:prstGeom>
                          <a:noFill/>
                          <a:ln>
                            <a:noFill/>
                          </a:ln>
                        </pic:spPr>
                      </pic:pic>
                    </a:graphicData>
                  </a:graphic>
                </wp:inline>
              </w:drawing>
            </w:r>
          </w:p>
          <w:p w14:paraId="1043F8A4">
            <w:pPr>
              <w:pStyle w:val="24"/>
              <w:ind w:firstLine="0" w:firstLineChars="0"/>
              <w:rPr>
                <w:rFonts w:hAnsi="Times New Roman"/>
                <w:color w:val="auto"/>
                <w:sz w:val="24"/>
                <w:szCs w:val="24"/>
              </w:rPr>
            </w:pPr>
            <w:r>
              <w:rPr>
                <w:rFonts w:hAnsi="Times New Roman"/>
                <w:b/>
                <w:bCs/>
                <w:color w:val="auto"/>
                <w:sz w:val="24"/>
                <w:szCs w:val="24"/>
              </w:rPr>
              <w:t>图</w:t>
            </w:r>
            <w:r>
              <w:rPr>
                <w:rFonts w:hint="eastAsia" w:hAnsi="Times New Roman"/>
                <w:b/>
                <w:bCs/>
                <w:color w:val="auto"/>
                <w:sz w:val="24"/>
                <w:szCs w:val="24"/>
              </w:rPr>
              <w:t>4.2</w:t>
            </w:r>
            <w:r>
              <w:rPr>
                <w:rFonts w:hAnsi="Times New Roman"/>
                <w:b/>
                <w:bCs/>
                <w:color w:val="auto"/>
                <w:sz w:val="24"/>
                <w:szCs w:val="24"/>
              </w:rPr>
              <w:t>-</w:t>
            </w:r>
            <w:r>
              <w:rPr>
                <w:rFonts w:hint="eastAsia" w:hAnsi="Times New Roman"/>
                <w:b/>
                <w:bCs/>
                <w:color w:val="auto"/>
                <w:sz w:val="24"/>
                <w:szCs w:val="24"/>
              </w:rPr>
              <w:t>1</w:t>
            </w:r>
            <w:r>
              <w:rPr>
                <w:rFonts w:hAnsi="Times New Roman"/>
                <w:b/>
                <w:bCs/>
                <w:color w:val="auto"/>
                <w:sz w:val="24"/>
                <w:szCs w:val="24"/>
              </w:rPr>
              <w:t>项目</w:t>
            </w:r>
            <w:r>
              <w:rPr>
                <w:rFonts w:hint="eastAsia" w:hAnsi="Times New Roman"/>
                <w:b/>
                <w:bCs/>
                <w:color w:val="auto"/>
                <w:sz w:val="24"/>
                <w:szCs w:val="24"/>
                <w:lang w:val="en-US" w:eastAsia="zh-CN"/>
              </w:rPr>
              <w:t>医疗废水</w:t>
            </w:r>
            <w:r>
              <w:rPr>
                <w:rFonts w:hAnsi="Times New Roman"/>
                <w:b/>
                <w:bCs/>
                <w:color w:val="auto"/>
                <w:sz w:val="24"/>
                <w:szCs w:val="24"/>
              </w:rPr>
              <w:t>处理站工艺流程图</w:t>
            </w:r>
          </w:p>
          <w:p w14:paraId="01987CAA">
            <w:pPr>
              <w:widowControl/>
              <w:spacing w:line="360" w:lineRule="auto"/>
              <w:ind w:firstLine="480" w:firstLineChars="200"/>
              <w:jc w:val="left"/>
              <w:rPr>
                <w:rFonts w:hint="default" w:ascii="Times New Roman" w:hAnsi="Times New Roman" w:cs="Times New Roman"/>
                <w:color w:val="auto"/>
                <w:kern w:val="0"/>
                <w:sz w:val="24"/>
                <w:lang w:bidi="ar"/>
              </w:rPr>
            </w:pPr>
          </w:p>
          <w:p w14:paraId="16D688EB">
            <w:pPr>
              <w:numPr>
                <w:ilvl w:val="0"/>
                <w:numId w:val="6"/>
              </w:numPr>
              <w:spacing w:line="360" w:lineRule="auto"/>
              <w:ind w:firstLine="482" w:firstLineChars="200"/>
              <w:rPr>
                <w:b/>
                <w:color w:val="auto"/>
                <w:sz w:val="24"/>
              </w:rPr>
            </w:pPr>
            <w:r>
              <w:rPr>
                <w:b/>
                <w:color w:val="auto"/>
                <w:sz w:val="24"/>
              </w:rPr>
              <w:t>项目废水污染物排放信息</w:t>
            </w:r>
          </w:p>
          <w:p w14:paraId="0F67C8C6">
            <w:pPr>
              <w:adjustRightInd w:val="0"/>
              <w:snapToGrid w:val="0"/>
              <w:ind w:firstLine="480" w:firstLineChars="200"/>
              <w:jc w:val="left"/>
              <w:rPr>
                <w:b/>
                <w:color w:val="auto"/>
                <w:sz w:val="24"/>
              </w:rPr>
            </w:pPr>
            <w:r>
              <w:rPr>
                <w:color w:val="auto"/>
                <w:kern w:val="0"/>
                <w:sz w:val="24"/>
                <w:lang w:bidi="ar"/>
              </w:rPr>
              <w:t>本项目废水类别、污染物及污染治理信息</w:t>
            </w:r>
            <w:r>
              <w:rPr>
                <w:rFonts w:hint="eastAsia"/>
                <w:color w:val="auto"/>
                <w:kern w:val="0"/>
                <w:sz w:val="24"/>
                <w:lang w:bidi="ar"/>
              </w:rPr>
              <w:t>见表4.2-4</w:t>
            </w:r>
            <w:r>
              <w:rPr>
                <w:color w:val="auto"/>
                <w:kern w:val="0"/>
                <w:sz w:val="24"/>
                <w:lang w:bidi="ar"/>
              </w:rPr>
              <w:t>。</w:t>
            </w:r>
          </w:p>
          <w:p w14:paraId="44723731">
            <w:pPr>
              <w:adjustRightInd w:val="0"/>
              <w:snapToGrid w:val="0"/>
              <w:jc w:val="center"/>
              <w:rPr>
                <w:b/>
                <w:color w:val="auto"/>
                <w:sz w:val="24"/>
              </w:rPr>
            </w:pPr>
            <w:r>
              <w:rPr>
                <w:b/>
                <w:color w:val="auto"/>
                <w:sz w:val="24"/>
              </w:rPr>
              <w:t>表</w:t>
            </w:r>
            <w:r>
              <w:rPr>
                <w:rFonts w:hint="eastAsia"/>
                <w:b/>
                <w:color w:val="auto"/>
                <w:sz w:val="24"/>
              </w:rPr>
              <w:t>4.2-</w:t>
            </w:r>
            <w:r>
              <w:rPr>
                <w:rFonts w:hint="eastAsia"/>
                <w:b/>
                <w:color w:val="auto"/>
                <w:sz w:val="24"/>
                <w:lang w:val="en-US" w:eastAsia="zh-CN"/>
              </w:rPr>
              <w:t>4</w:t>
            </w:r>
            <w:r>
              <w:rPr>
                <w:rFonts w:hint="eastAsia"/>
                <w:b/>
                <w:color w:val="auto"/>
                <w:sz w:val="24"/>
              </w:rPr>
              <w:t>废水类别、污染物及污染治理信息表</w:t>
            </w:r>
          </w:p>
          <w:tbl>
            <w:tblPr>
              <w:tblStyle w:val="17"/>
              <w:tblW w:w="49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1110"/>
              <w:gridCol w:w="1287"/>
              <w:gridCol w:w="863"/>
              <w:gridCol w:w="701"/>
              <w:gridCol w:w="949"/>
              <w:gridCol w:w="1155"/>
              <w:gridCol w:w="882"/>
              <w:gridCol w:w="743"/>
            </w:tblGrid>
            <w:tr w14:paraId="0DA3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447" w:type="pct"/>
                  <w:vMerge w:val="restar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00F5B0C3">
                  <w:pPr>
                    <w:jc w:val="center"/>
                    <w:rPr>
                      <w:bCs/>
                      <w:color w:val="auto"/>
                      <w:szCs w:val="21"/>
                    </w:rPr>
                  </w:pPr>
                  <w:r>
                    <w:rPr>
                      <w:bCs/>
                      <w:color w:val="auto"/>
                      <w:szCs w:val="21"/>
                    </w:rPr>
                    <w:t>废水类别</w:t>
                  </w:r>
                </w:p>
              </w:tc>
              <w:tc>
                <w:tcPr>
                  <w:tcW w:w="664" w:type="pct"/>
                  <w:vMerge w:val="restar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6A1DC888">
                  <w:pPr>
                    <w:jc w:val="center"/>
                    <w:rPr>
                      <w:bCs/>
                      <w:color w:val="auto"/>
                      <w:szCs w:val="21"/>
                    </w:rPr>
                  </w:pPr>
                  <w:r>
                    <w:rPr>
                      <w:bCs/>
                      <w:color w:val="auto"/>
                      <w:szCs w:val="21"/>
                    </w:rPr>
                    <w:t>污染物种类</w:t>
                  </w:r>
                </w:p>
              </w:tc>
              <w:tc>
                <w:tcPr>
                  <w:tcW w:w="769" w:type="pct"/>
                  <w:vMerge w:val="restar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2DAD9882">
                  <w:pPr>
                    <w:jc w:val="center"/>
                    <w:rPr>
                      <w:bCs/>
                      <w:color w:val="auto"/>
                      <w:szCs w:val="21"/>
                    </w:rPr>
                  </w:pPr>
                  <w:r>
                    <w:rPr>
                      <w:bCs/>
                      <w:color w:val="auto"/>
                      <w:szCs w:val="21"/>
                    </w:rPr>
                    <w:t>排放去向</w:t>
                  </w:r>
                </w:p>
              </w:tc>
              <w:tc>
                <w:tcPr>
                  <w:tcW w:w="518" w:type="pct"/>
                  <w:vMerge w:val="restar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4B264272">
                  <w:pPr>
                    <w:jc w:val="center"/>
                    <w:rPr>
                      <w:bCs/>
                      <w:color w:val="auto"/>
                      <w:szCs w:val="21"/>
                    </w:rPr>
                  </w:pPr>
                  <w:r>
                    <w:rPr>
                      <w:bCs/>
                      <w:color w:val="auto"/>
                      <w:szCs w:val="21"/>
                    </w:rPr>
                    <w:t>排放规律</w:t>
                  </w:r>
                </w:p>
              </w:tc>
              <w:tc>
                <w:tcPr>
                  <w:tcW w:w="1680" w:type="pct"/>
                  <w:gridSpan w:val="3"/>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5459FE90">
                  <w:pPr>
                    <w:jc w:val="center"/>
                    <w:rPr>
                      <w:bCs/>
                      <w:color w:val="auto"/>
                      <w:szCs w:val="21"/>
                    </w:rPr>
                  </w:pPr>
                  <w:r>
                    <w:rPr>
                      <w:bCs/>
                      <w:color w:val="auto"/>
                      <w:szCs w:val="21"/>
                    </w:rPr>
                    <w:t>污染治理设施</w:t>
                  </w:r>
                </w:p>
              </w:tc>
              <w:tc>
                <w:tcPr>
                  <w:tcW w:w="472" w:type="pct"/>
                  <w:vMerge w:val="restar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14523C47">
                  <w:pPr>
                    <w:jc w:val="center"/>
                    <w:rPr>
                      <w:bCs/>
                      <w:color w:val="auto"/>
                      <w:szCs w:val="21"/>
                    </w:rPr>
                  </w:pPr>
                  <w:r>
                    <w:rPr>
                      <w:bCs/>
                      <w:color w:val="auto"/>
                      <w:szCs w:val="21"/>
                    </w:rPr>
                    <w:t>排放口编号</w:t>
                  </w:r>
                </w:p>
              </w:tc>
              <w:tc>
                <w:tcPr>
                  <w:tcW w:w="446" w:type="pct"/>
                  <w:vMerge w:val="restart"/>
                  <w:tcBorders>
                    <w:top w:val="single" w:color="000000" w:sz="12" w:space="0"/>
                    <w:left w:val="single" w:color="auto" w:sz="4" w:space="0"/>
                    <w:bottom w:val="single" w:color="auto" w:sz="4" w:space="0"/>
                    <w:right w:val="nil"/>
                  </w:tcBorders>
                  <w:shd w:val="clear" w:color="auto" w:fill="FFFFFF"/>
                  <w:noWrap w:val="0"/>
                  <w:vAlign w:val="center"/>
                </w:tcPr>
                <w:p w14:paraId="5642F4AC">
                  <w:pPr>
                    <w:jc w:val="center"/>
                    <w:rPr>
                      <w:bCs/>
                      <w:color w:val="auto"/>
                      <w:szCs w:val="21"/>
                    </w:rPr>
                  </w:pPr>
                  <w:r>
                    <w:rPr>
                      <w:bCs/>
                      <w:color w:val="auto"/>
                      <w:szCs w:val="21"/>
                    </w:rPr>
                    <w:t>排放口类型</w:t>
                  </w:r>
                </w:p>
              </w:tc>
            </w:tr>
            <w:tr w14:paraId="03BD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8E67FB">
                  <w:pPr>
                    <w:jc w:val="center"/>
                    <w:rPr>
                      <w:color w:val="auto"/>
                      <w:szCs w:val="21"/>
                    </w:rPr>
                  </w:pPr>
                </w:p>
              </w:tc>
              <w:tc>
                <w:tcPr>
                  <w:tcW w:w="664"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67E00C">
                  <w:pPr>
                    <w:jc w:val="center"/>
                    <w:rPr>
                      <w:color w:val="auto"/>
                      <w:szCs w:val="21"/>
                    </w:rPr>
                  </w:pPr>
                </w:p>
              </w:tc>
              <w:tc>
                <w:tcPr>
                  <w:tcW w:w="769"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D54EEA">
                  <w:pPr>
                    <w:jc w:val="center"/>
                    <w:rPr>
                      <w:color w:val="auto"/>
                      <w:szCs w:val="21"/>
                    </w:rPr>
                  </w:pPr>
                </w:p>
              </w:tc>
              <w:tc>
                <w:tcPr>
                  <w:tcW w:w="518"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E546FA">
                  <w:pPr>
                    <w:jc w:val="center"/>
                    <w:rPr>
                      <w:color w:val="auto"/>
                      <w:szCs w:val="21"/>
                    </w:rPr>
                  </w:pPr>
                </w:p>
              </w:tc>
              <w:tc>
                <w:tcPr>
                  <w:tcW w:w="42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C9F676">
                  <w:pPr>
                    <w:jc w:val="center"/>
                    <w:rPr>
                      <w:bCs/>
                      <w:color w:val="auto"/>
                      <w:szCs w:val="21"/>
                    </w:rPr>
                  </w:pPr>
                  <w:r>
                    <w:rPr>
                      <w:bCs/>
                      <w:color w:val="auto"/>
                      <w:szCs w:val="21"/>
                    </w:rPr>
                    <w:t>编号</w:t>
                  </w:r>
                </w:p>
              </w:tc>
              <w:tc>
                <w:tcPr>
                  <w:tcW w:w="56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4D66F2">
                  <w:pPr>
                    <w:jc w:val="center"/>
                    <w:rPr>
                      <w:bCs/>
                      <w:color w:val="auto"/>
                      <w:szCs w:val="21"/>
                    </w:rPr>
                  </w:pPr>
                  <w:r>
                    <w:rPr>
                      <w:bCs/>
                      <w:color w:val="auto"/>
                      <w:szCs w:val="21"/>
                    </w:rPr>
                    <w:t>名称</w:t>
                  </w:r>
                </w:p>
              </w:tc>
              <w:tc>
                <w:tcPr>
                  <w:tcW w:w="69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051EAF">
                  <w:pPr>
                    <w:jc w:val="center"/>
                    <w:rPr>
                      <w:bCs/>
                      <w:color w:val="auto"/>
                      <w:szCs w:val="21"/>
                    </w:rPr>
                  </w:pPr>
                  <w:r>
                    <w:rPr>
                      <w:bCs/>
                      <w:color w:val="auto"/>
                      <w:szCs w:val="21"/>
                    </w:rPr>
                    <w:t>工艺</w:t>
                  </w:r>
                </w:p>
              </w:tc>
              <w:tc>
                <w:tcPr>
                  <w:tcW w:w="472"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4DD71A">
                  <w:pPr>
                    <w:jc w:val="center"/>
                    <w:rPr>
                      <w:color w:val="auto"/>
                      <w:szCs w:val="21"/>
                    </w:rPr>
                  </w:pPr>
                </w:p>
              </w:tc>
              <w:tc>
                <w:tcPr>
                  <w:tcW w:w="446" w:type="pct"/>
                  <w:vMerge w:val="continue"/>
                  <w:tcBorders>
                    <w:top w:val="single" w:color="auto" w:sz="4" w:space="0"/>
                    <w:left w:val="single" w:color="auto" w:sz="4" w:space="0"/>
                    <w:bottom w:val="single" w:color="auto" w:sz="4" w:space="0"/>
                    <w:right w:val="nil"/>
                  </w:tcBorders>
                  <w:shd w:val="clear" w:color="auto" w:fill="FFFFFF"/>
                  <w:noWrap w:val="0"/>
                  <w:vAlign w:val="center"/>
                </w:tcPr>
                <w:p w14:paraId="1EAA6360">
                  <w:pPr>
                    <w:jc w:val="center"/>
                    <w:rPr>
                      <w:color w:val="auto"/>
                      <w:szCs w:val="21"/>
                    </w:rPr>
                  </w:pPr>
                </w:p>
              </w:tc>
            </w:tr>
            <w:tr w14:paraId="093F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6ACC2C">
                  <w:pPr>
                    <w:jc w:val="center"/>
                    <w:rPr>
                      <w:rFonts w:hint="eastAsia"/>
                      <w:color w:val="auto"/>
                      <w:szCs w:val="21"/>
                    </w:rPr>
                  </w:pPr>
                  <w:r>
                    <w:rPr>
                      <w:rFonts w:hint="eastAsia"/>
                      <w:color w:val="auto"/>
                      <w:szCs w:val="21"/>
                    </w:rPr>
                    <w:t>综合废水</w:t>
                  </w:r>
                </w:p>
              </w:tc>
              <w:tc>
                <w:tcPr>
                  <w:tcW w:w="664"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4AB62CF5">
                  <w:pPr>
                    <w:pStyle w:val="30"/>
                    <w:spacing w:line="340" w:lineRule="exact"/>
                    <w:rPr>
                      <w:color w:val="auto"/>
                      <w:szCs w:val="21"/>
                      <w:highlight w:val="none"/>
                    </w:rPr>
                  </w:pPr>
                  <w:r>
                    <w:rPr>
                      <w:rFonts w:ascii="Times New Roman" w:hAnsi="Times New Roman" w:eastAsia="Times New Roman" w:cs="Times New Roman"/>
                      <w:color w:val="auto"/>
                      <w:spacing w:val="-2"/>
                      <w:sz w:val="21"/>
                      <w:szCs w:val="21"/>
                      <w:highlight w:val="none"/>
                    </w:rPr>
                    <w:t>COD</w:t>
                  </w:r>
                  <w:r>
                    <w:rPr>
                      <w:rFonts w:ascii="Times New Roman" w:hAnsi="Times New Roman" w:eastAsia="Times New Roman" w:cs="Times New Roman"/>
                      <w:color w:val="auto"/>
                      <w:spacing w:val="-2"/>
                      <w:position w:val="-2"/>
                      <w:sz w:val="21"/>
                      <w:szCs w:val="21"/>
                      <w:highlight w:val="none"/>
                      <w:vertAlign w:val="subscript"/>
                    </w:rPr>
                    <w:t>Cr</w:t>
                  </w:r>
                  <w:r>
                    <w:rPr>
                      <w:color w:val="auto"/>
                      <w:spacing w:val="-2"/>
                      <w:sz w:val="21"/>
                      <w:szCs w:val="21"/>
                      <w:highlight w:val="none"/>
                    </w:rPr>
                    <w:t>、</w:t>
                  </w:r>
                  <w:r>
                    <w:rPr>
                      <w:rFonts w:ascii="Times New Roman" w:hAnsi="Times New Roman" w:eastAsia="Times New Roman" w:cs="Times New Roman"/>
                      <w:color w:val="auto"/>
                      <w:spacing w:val="-2"/>
                      <w:sz w:val="21"/>
                      <w:szCs w:val="21"/>
                      <w:highlight w:val="none"/>
                    </w:rPr>
                    <w:t>BOD</w:t>
                  </w:r>
                  <w:r>
                    <w:rPr>
                      <w:rFonts w:ascii="Times New Roman" w:hAnsi="Times New Roman" w:eastAsia="Times New Roman" w:cs="Times New Roman"/>
                      <w:color w:val="auto"/>
                      <w:spacing w:val="-2"/>
                      <w:position w:val="-2"/>
                      <w:sz w:val="21"/>
                      <w:szCs w:val="21"/>
                      <w:highlight w:val="none"/>
                      <w:vertAlign w:val="subscript"/>
                    </w:rPr>
                    <w:t>5</w:t>
                  </w:r>
                  <w:r>
                    <w:rPr>
                      <w:color w:val="auto"/>
                      <w:spacing w:val="-2"/>
                      <w:sz w:val="21"/>
                      <w:szCs w:val="21"/>
                      <w:highlight w:val="none"/>
                    </w:rPr>
                    <w:t>、</w:t>
                  </w:r>
                  <w:r>
                    <w:rPr>
                      <w:rFonts w:ascii="Times New Roman" w:hAnsi="Times New Roman" w:eastAsia="Times New Roman" w:cs="Times New Roman"/>
                      <w:color w:val="auto"/>
                      <w:spacing w:val="-2"/>
                      <w:sz w:val="21"/>
                      <w:szCs w:val="21"/>
                      <w:highlight w:val="none"/>
                    </w:rPr>
                    <w:t>NH</w:t>
                  </w:r>
                  <w:r>
                    <w:rPr>
                      <w:rFonts w:ascii="Times New Roman" w:hAnsi="Times New Roman" w:eastAsia="Times New Roman" w:cs="Times New Roman"/>
                      <w:color w:val="auto"/>
                      <w:spacing w:val="-2"/>
                      <w:position w:val="-2"/>
                      <w:sz w:val="21"/>
                      <w:szCs w:val="21"/>
                      <w:highlight w:val="none"/>
                      <w:vertAlign w:val="subscript"/>
                    </w:rPr>
                    <w:t>3</w:t>
                  </w:r>
                  <w:r>
                    <w:rPr>
                      <w:rFonts w:ascii="Times New Roman" w:hAnsi="Times New Roman" w:eastAsia="Times New Roman" w:cs="Times New Roman"/>
                      <w:color w:val="auto"/>
                      <w:spacing w:val="-2"/>
                      <w:sz w:val="21"/>
                      <w:szCs w:val="21"/>
                      <w:highlight w:val="none"/>
                    </w:rPr>
                    <w:t>-N</w:t>
                  </w:r>
                  <w:r>
                    <w:rPr>
                      <w:color w:val="auto"/>
                      <w:spacing w:val="-2"/>
                      <w:sz w:val="21"/>
                      <w:szCs w:val="21"/>
                      <w:highlight w:val="none"/>
                    </w:rPr>
                    <w:t>、</w:t>
                  </w:r>
                  <w:r>
                    <w:rPr>
                      <w:rFonts w:ascii="Times New Roman" w:hAnsi="Times New Roman" w:eastAsia="Times New Roman" w:cs="Times New Roman"/>
                      <w:color w:val="auto"/>
                      <w:spacing w:val="-2"/>
                      <w:sz w:val="21"/>
                      <w:szCs w:val="21"/>
                      <w:highlight w:val="none"/>
                    </w:rPr>
                    <w:t>SS</w:t>
                  </w:r>
                  <w:r>
                    <w:rPr>
                      <w:color w:val="auto"/>
                      <w:spacing w:val="-2"/>
                      <w:sz w:val="21"/>
                      <w:szCs w:val="21"/>
                      <w:highlight w:val="none"/>
                    </w:rPr>
                    <w:t>、粪大肠菌群数</w:t>
                  </w:r>
                </w:p>
              </w:tc>
              <w:tc>
                <w:tcPr>
                  <w:tcW w:w="76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AEFFA8">
                  <w:pPr>
                    <w:jc w:val="center"/>
                    <w:rPr>
                      <w:rFonts w:hint="default" w:eastAsia="宋体"/>
                      <w:color w:val="auto"/>
                      <w:szCs w:val="21"/>
                      <w:lang w:val="en-US" w:eastAsia="zh-CN"/>
                    </w:rPr>
                  </w:pPr>
                  <w:r>
                    <w:rPr>
                      <w:rFonts w:hint="eastAsia"/>
                      <w:color w:val="auto"/>
                      <w:szCs w:val="21"/>
                      <w:lang w:val="en-US" w:eastAsia="zh-CN"/>
                    </w:rPr>
                    <w:t>污水处理站</w:t>
                  </w:r>
                  <w:r>
                    <w:rPr>
                      <w:rFonts w:ascii="宋体" w:hAnsi="宋体" w:eastAsia="宋体" w:cs="宋体"/>
                      <w:color w:val="auto"/>
                      <w:sz w:val="24"/>
                      <w:szCs w:val="24"/>
                    </w:rPr>
                    <w:t>→</w:t>
                  </w:r>
                  <w:r>
                    <w:rPr>
                      <w:rFonts w:hint="default" w:ascii="Times New Roman" w:hAnsi="Times New Roman" w:eastAsia="Times New Roman" w:cs="Times New Roman"/>
                      <w:b w:val="0"/>
                      <w:bCs w:val="0"/>
                      <w:color w:val="auto"/>
                      <w:kern w:val="2"/>
                      <w:sz w:val="24"/>
                      <w:szCs w:val="20"/>
                      <w:highlight w:val="none"/>
                      <w:lang w:val="en-US" w:eastAsia="zh-CN" w:bidi="ar-SA"/>
                    </w:rPr>
                    <w:t>槽车清运至青口汽车工业开发区污水处理厂集中处置</w:t>
                  </w:r>
                  <w:r>
                    <w:rPr>
                      <w:rFonts w:hint="default" w:ascii="Times New Roman" w:hAnsi="Times New Roman" w:eastAsia="宋体" w:cs="Times New Roman"/>
                      <w:color w:val="auto"/>
                      <w:szCs w:val="21"/>
                      <w:lang w:val="en-US" w:eastAsia="zh-CN"/>
                    </w:rPr>
                    <w:t>。</w:t>
                  </w:r>
                </w:p>
              </w:tc>
              <w:tc>
                <w:tcPr>
                  <w:tcW w:w="5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7C2B84">
                  <w:pPr>
                    <w:jc w:val="center"/>
                    <w:rPr>
                      <w:color w:val="auto"/>
                      <w:szCs w:val="21"/>
                    </w:rPr>
                  </w:pPr>
                  <w:r>
                    <w:rPr>
                      <w:rFonts w:hint="eastAsia"/>
                      <w:color w:val="auto"/>
                      <w:szCs w:val="21"/>
                    </w:rPr>
                    <w:t>间接排放</w:t>
                  </w:r>
                </w:p>
              </w:tc>
              <w:tc>
                <w:tcPr>
                  <w:tcW w:w="42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1F663D">
                  <w:pPr>
                    <w:jc w:val="center"/>
                    <w:rPr>
                      <w:rFonts w:hint="eastAsia"/>
                      <w:color w:val="auto"/>
                      <w:szCs w:val="21"/>
                    </w:rPr>
                  </w:pPr>
                  <w:r>
                    <w:rPr>
                      <w:rFonts w:hint="eastAsia"/>
                      <w:color w:val="auto"/>
                      <w:szCs w:val="21"/>
                    </w:rPr>
                    <w:t>1</w:t>
                  </w:r>
                </w:p>
              </w:tc>
              <w:tc>
                <w:tcPr>
                  <w:tcW w:w="56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5D4160">
                  <w:pPr>
                    <w:jc w:val="center"/>
                    <w:rPr>
                      <w:rFonts w:hint="eastAsia" w:eastAsia="宋体"/>
                      <w:color w:val="auto"/>
                      <w:szCs w:val="21"/>
                      <w:lang w:eastAsia="zh-CN"/>
                    </w:rPr>
                  </w:pPr>
                  <w:r>
                    <w:rPr>
                      <w:rFonts w:hint="eastAsia"/>
                      <w:color w:val="auto"/>
                      <w:szCs w:val="21"/>
                    </w:rPr>
                    <w:t>污水</w:t>
                  </w:r>
                  <w:r>
                    <w:rPr>
                      <w:rFonts w:hint="eastAsia"/>
                      <w:color w:val="auto"/>
                      <w:szCs w:val="21"/>
                      <w:lang w:val="en-US" w:eastAsia="zh-CN"/>
                    </w:rPr>
                    <w:t>处理站</w:t>
                  </w:r>
                </w:p>
              </w:tc>
              <w:tc>
                <w:tcPr>
                  <w:tcW w:w="69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C93694C">
                  <w:pPr>
                    <w:jc w:val="center"/>
                    <w:rPr>
                      <w:color w:val="auto"/>
                      <w:szCs w:val="21"/>
                    </w:rPr>
                  </w:pPr>
                  <w:r>
                    <w:rPr>
                      <w:rFonts w:hint="eastAsia"/>
                      <w:color w:val="auto"/>
                      <w:szCs w:val="24"/>
                      <w:lang w:val="en-US" w:eastAsia="zh-CN"/>
                    </w:rPr>
                    <w:t>格栅井-调节池-水解酸化池-接触氧化池-</w:t>
                  </w:r>
                  <w:r>
                    <w:rPr>
                      <w:color w:val="auto"/>
                      <w:szCs w:val="24"/>
                    </w:rPr>
                    <w:t>MBR</w:t>
                  </w:r>
                  <w:r>
                    <w:rPr>
                      <w:rFonts w:hint="eastAsia"/>
                      <w:color w:val="auto"/>
                      <w:szCs w:val="24"/>
                      <w:lang w:val="en-US" w:eastAsia="zh-CN"/>
                    </w:rPr>
                    <w:t>膜</w:t>
                  </w:r>
                  <w:r>
                    <w:rPr>
                      <w:color w:val="auto"/>
                      <w:szCs w:val="24"/>
                    </w:rPr>
                    <w:t>池-消毒池，处理规模</w:t>
                  </w:r>
                  <w:r>
                    <w:rPr>
                      <w:rFonts w:hint="eastAsia"/>
                      <w:color w:val="auto"/>
                      <w:szCs w:val="24"/>
                      <w:lang w:val="en-US" w:eastAsia="zh-CN"/>
                    </w:rPr>
                    <w:t>500t</w:t>
                  </w:r>
                  <w:r>
                    <w:rPr>
                      <w:color w:val="auto"/>
                      <w:szCs w:val="24"/>
                    </w:rPr>
                    <w:t>/d</w:t>
                  </w:r>
                </w:p>
              </w:tc>
              <w:tc>
                <w:tcPr>
                  <w:tcW w:w="47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EB89C1">
                  <w:pPr>
                    <w:jc w:val="center"/>
                    <w:rPr>
                      <w:rFonts w:hint="eastAsia"/>
                      <w:color w:val="auto"/>
                      <w:szCs w:val="21"/>
                    </w:rPr>
                  </w:pPr>
                  <w:r>
                    <w:rPr>
                      <w:rFonts w:hint="eastAsia"/>
                      <w:color w:val="auto"/>
                      <w:szCs w:val="21"/>
                    </w:rPr>
                    <w:t>DW001</w:t>
                  </w:r>
                </w:p>
              </w:tc>
              <w:tc>
                <w:tcPr>
                  <w:tcW w:w="446" w:type="pct"/>
                  <w:tcBorders>
                    <w:top w:val="single" w:color="auto" w:sz="4" w:space="0"/>
                    <w:left w:val="single" w:color="auto" w:sz="4" w:space="0"/>
                    <w:bottom w:val="single" w:color="auto" w:sz="4" w:space="0"/>
                    <w:right w:val="nil"/>
                  </w:tcBorders>
                  <w:shd w:val="clear" w:color="auto" w:fill="FFFFFF"/>
                  <w:noWrap w:val="0"/>
                  <w:vAlign w:val="center"/>
                </w:tcPr>
                <w:p w14:paraId="0904840C">
                  <w:pPr>
                    <w:jc w:val="center"/>
                    <w:rPr>
                      <w:color w:val="auto"/>
                      <w:szCs w:val="21"/>
                    </w:rPr>
                  </w:pPr>
                  <w:r>
                    <w:rPr>
                      <w:rFonts w:hint="eastAsia"/>
                      <w:color w:val="auto"/>
                      <w:szCs w:val="21"/>
                    </w:rPr>
                    <w:t>污水总排口</w:t>
                  </w:r>
                </w:p>
              </w:tc>
            </w:tr>
            <w:tr w14:paraId="4AE4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47" w:type="pct"/>
                  <w:tcBorders>
                    <w:top w:val="single" w:color="auto" w:sz="4" w:space="0"/>
                    <w:left w:val="single" w:color="auto" w:sz="4" w:space="0"/>
                    <w:right w:val="single" w:color="auto" w:sz="4" w:space="0"/>
                  </w:tcBorders>
                  <w:shd w:val="clear" w:color="auto" w:fill="FFFFFF"/>
                  <w:noWrap w:val="0"/>
                  <w:vAlign w:val="center"/>
                </w:tcPr>
                <w:p w14:paraId="4D2B295A">
                  <w:pPr>
                    <w:jc w:val="center"/>
                    <w:rPr>
                      <w:rFonts w:hint="default" w:eastAsia="宋体"/>
                      <w:color w:val="auto"/>
                      <w:szCs w:val="21"/>
                      <w:lang w:val="en-US" w:eastAsia="zh-CN"/>
                    </w:rPr>
                  </w:pPr>
                  <w:r>
                    <w:rPr>
                      <w:rFonts w:hint="eastAsia"/>
                      <w:color w:val="auto"/>
                      <w:szCs w:val="21"/>
                      <w:lang w:val="en-US" w:eastAsia="zh-CN"/>
                    </w:rPr>
                    <w:t>医疗废水</w:t>
                  </w:r>
                </w:p>
              </w:tc>
              <w:tc>
                <w:tcPr>
                  <w:tcW w:w="664" w:type="pct"/>
                  <w:tcBorders>
                    <w:top w:val="single" w:color="auto" w:sz="4" w:space="0"/>
                    <w:left w:val="single" w:color="auto" w:sz="4" w:space="0"/>
                    <w:right w:val="single" w:color="auto" w:sz="4" w:space="0"/>
                  </w:tcBorders>
                  <w:shd w:val="clear" w:color="auto" w:fill="FFFFFF"/>
                  <w:noWrap w:val="0"/>
                  <w:vAlign w:val="top"/>
                </w:tcPr>
                <w:p w14:paraId="2B8A4D73">
                  <w:pPr>
                    <w:pStyle w:val="30"/>
                    <w:spacing w:line="340" w:lineRule="exact"/>
                    <w:rPr>
                      <w:color w:val="auto"/>
                      <w:szCs w:val="21"/>
                      <w:highlight w:val="none"/>
                    </w:rPr>
                  </w:pPr>
                  <w:r>
                    <w:rPr>
                      <w:rFonts w:ascii="Times New Roman" w:hAnsi="Times New Roman" w:eastAsia="Times New Roman" w:cs="Times New Roman"/>
                      <w:color w:val="auto"/>
                      <w:spacing w:val="-2"/>
                      <w:sz w:val="21"/>
                      <w:szCs w:val="21"/>
                      <w:highlight w:val="none"/>
                    </w:rPr>
                    <w:t>COD</w:t>
                  </w:r>
                  <w:r>
                    <w:rPr>
                      <w:rFonts w:ascii="Times New Roman" w:hAnsi="Times New Roman" w:eastAsia="Times New Roman" w:cs="Times New Roman"/>
                      <w:color w:val="auto"/>
                      <w:spacing w:val="-2"/>
                      <w:position w:val="-2"/>
                      <w:sz w:val="21"/>
                      <w:szCs w:val="21"/>
                      <w:highlight w:val="none"/>
                      <w:vertAlign w:val="subscript"/>
                    </w:rPr>
                    <w:t>Cr</w:t>
                  </w:r>
                  <w:r>
                    <w:rPr>
                      <w:color w:val="auto"/>
                      <w:spacing w:val="-2"/>
                      <w:sz w:val="21"/>
                      <w:szCs w:val="21"/>
                      <w:highlight w:val="none"/>
                    </w:rPr>
                    <w:t>、</w:t>
                  </w:r>
                  <w:r>
                    <w:rPr>
                      <w:rFonts w:ascii="Times New Roman" w:hAnsi="Times New Roman" w:eastAsia="Times New Roman" w:cs="Times New Roman"/>
                      <w:color w:val="auto"/>
                      <w:spacing w:val="-2"/>
                      <w:sz w:val="21"/>
                      <w:szCs w:val="21"/>
                      <w:highlight w:val="none"/>
                    </w:rPr>
                    <w:t>BOD</w:t>
                  </w:r>
                  <w:r>
                    <w:rPr>
                      <w:rFonts w:ascii="Times New Roman" w:hAnsi="Times New Roman" w:eastAsia="Times New Roman" w:cs="Times New Roman"/>
                      <w:color w:val="auto"/>
                      <w:spacing w:val="-2"/>
                      <w:position w:val="-2"/>
                      <w:sz w:val="21"/>
                      <w:szCs w:val="21"/>
                      <w:highlight w:val="none"/>
                      <w:vertAlign w:val="subscript"/>
                    </w:rPr>
                    <w:t>5</w:t>
                  </w:r>
                  <w:r>
                    <w:rPr>
                      <w:color w:val="auto"/>
                      <w:spacing w:val="-2"/>
                      <w:sz w:val="21"/>
                      <w:szCs w:val="21"/>
                      <w:highlight w:val="none"/>
                    </w:rPr>
                    <w:t>、</w:t>
                  </w:r>
                  <w:r>
                    <w:rPr>
                      <w:rFonts w:ascii="Times New Roman" w:hAnsi="Times New Roman" w:eastAsia="Times New Roman" w:cs="Times New Roman"/>
                      <w:color w:val="auto"/>
                      <w:spacing w:val="-2"/>
                      <w:sz w:val="21"/>
                      <w:szCs w:val="21"/>
                      <w:highlight w:val="none"/>
                    </w:rPr>
                    <w:t>NH</w:t>
                  </w:r>
                  <w:r>
                    <w:rPr>
                      <w:rFonts w:ascii="Times New Roman" w:hAnsi="Times New Roman" w:eastAsia="Times New Roman" w:cs="Times New Roman"/>
                      <w:color w:val="auto"/>
                      <w:spacing w:val="-2"/>
                      <w:position w:val="-2"/>
                      <w:sz w:val="21"/>
                      <w:szCs w:val="21"/>
                      <w:highlight w:val="none"/>
                      <w:vertAlign w:val="subscript"/>
                    </w:rPr>
                    <w:t>3</w:t>
                  </w:r>
                  <w:r>
                    <w:rPr>
                      <w:rFonts w:ascii="Times New Roman" w:hAnsi="Times New Roman" w:eastAsia="Times New Roman" w:cs="Times New Roman"/>
                      <w:color w:val="auto"/>
                      <w:spacing w:val="-2"/>
                      <w:sz w:val="21"/>
                      <w:szCs w:val="21"/>
                      <w:highlight w:val="none"/>
                    </w:rPr>
                    <w:t>-N</w:t>
                  </w:r>
                  <w:r>
                    <w:rPr>
                      <w:color w:val="auto"/>
                      <w:spacing w:val="-2"/>
                      <w:sz w:val="21"/>
                      <w:szCs w:val="21"/>
                      <w:highlight w:val="none"/>
                    </w:rPr>
                    <w:t>、</w:t>
                  </w:r>
                  <w:r>
                    <w:rPr>
                      <w:rFonts w:ascii="Times New Roman" w:hAnsi="Times New Roman" w:eastAsia="Times New Roman" w:cs="Times New Roman"/>
                      <w:color w:val="auto"/>
                      <w:spacing w:val="-2"/>
                      <w:sz w:val="21"/>
                      <w:szCs w:val="21"/>
                      <w:highlight w:val="none"/>
                    </w:rPr>
                    <w:t>SS</w:t>
                  </w:r>
                  <w:r>
                    <w:rPr>
                      <w:color w:val="auto"/>
                      <w:spacing w:val="-2"/>
                      <w:sz w:val="21"/>
                      <w:szCs w:val="21"/>
                      <w:highlight w:val="none"/>
                    </w:rPr>
                    <w:t>、粪大肠菌群数</w:t>
                  </w:r>
                </w:p>
              </w:tc>
              <w:tc>
                <w:tcPr>
                  <w:tcW w:w="76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561F0B">
                  <w:pPr>
                    <w:jc w:val="center"/>
                    <w:rPr>
                      <w:rFonts w:hint="default" w:eastAsia="宋体"/>
                      <w:color w:val="auto"/>
                      <w:szCs w:val="21"/>
                      <w:lang w:val="en-US" w:eastAsia="zh-CN"/>
                    </w:rPr>
                  </w:pPr>
                  <w:r>
                    <w:rPr>
                      <w:rFonts w:hint="eastAsia"/>
                      <w:color w:val="auto"/>
                      <w:szCs w:val="21"/>
                      <w:lang w:val="en-US" w:eastAsia="zh-CN"/>
                    </w:rPr>
                    <w:t>沉淀池</w:t>
                  </w:r>
                  <w:r>
                    <w:rPr>
                      <w:rFonts w:ascii="serif" w:hAnsi="serif" w:eastAsia="serif" w:cs="serif"/>
                      <w:i w:val="0"/>
                      <w:iCs w:val="0"/>
                      <w:caps w:val="0"/>
                      <w:color w:val="auto"/>
                      <w:spacing w:val="0"/>
                      <w:sz w:val="25"/>
                      <w:szCs w:val="25"/>
                      <w:bdr w:val="single" w:color="auto" w:sz="2" w:space="0"/>
                      <w:shd w:val="clear" w:color="auto" w:fill="FFFFFF"/>
                    </w:rPr>
                    <w:br w:type="textWrapping"/>
                  </w:r>
                  <w:r>
                    <w:rPr>
                      <w:rFonts w:ascii="宋体" w:hAnsi="宋体" w:eastAsia="宋体" w:cs="宋体"/>
                      <w:color w:val="auto"/>
                      <w:sz w:val="24"/>
                      <w:szCs w:val="24"/>
                    </w:rPr>
                    <w:t>→</w:t>
                  </w:r>
                  <w:r>
                    <w:rPr>
                      <w:rFonts w:hint="eastAsia"/>
                      <w:color w:val="auto"/>
                      <w:szCs w:val="21"/>
                      <w:lang w:val="en-US" w:eastAsia="zh-CN"/>
                    </w:rPr>
                    <w:t>化粪池</w:t>
                  </w:r>
                  <w:r>
                    <w:rPr>
                      <w:rFonts w:ascii="serif" w:hAnsi="serif" w:eastAsia="serif" w:cs="serif"/>
                      <w:i w:val="0"/>
                      <w:iCs w:val="0"/>
                      <w:caps w:val="0"/>
                      <w:color w:val="auto"/>
                      <w:spacing w:val="0"/>
                      <w:sz w:val="25"/>
                      <w:szCs w:val="25"/>
                      <w:bdr w:val="single" w:color="auto" w:sz="2" w:space="0"/>
                      <w:shd w:val="clear" w:color="auto" w:fill="FFFFFF"/>
                    </w:rPr>
                    <w:br w:type="textWrapping"/>
                  </w:r>
                  <w:r>
                    <w:rPr>
                      <w:rFonts w:ascii="宋体" w:hAnsi="宋体" w:eastAsia="宋体" w:cs="宋体"/>
                      <w:color w:val="auto"/>
                      <w:sz w:val="24"/>
                      <w:szCs w:val="24"/>
                    </w:rPr>
                    <w:t>→</w:t>
                  </w:r>
                  <w:r>
                    <w:rPr>
                      <w:rFonts w:hint="eastAsia"/>
                      <w:color w:val="auto"/>
                      <w:szCs w:val="21"/>
                      <w:lang w:val="en-US" w:eastAsia="zh-CN"/>
                    </w:rPr>
                    <w:t>污水处理站</w:t>
                  </w:r>
                </w:p>
              </w:tc>
              <w:tc>
                <w:tcPr>
                  <w:tcW w:w="5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AB154A">
                  <w:pPr>
                    <w:jc w:val="center"/>
                    <w:rPr>
                      <w:rFonts w:hint="eastAsia" w:eastAsia="宋体"/>
                      <w:color w:val="auto"/>
                      <w:szCs w:val="21"/>
                      <w:lang w:eastAsia="zh-CN"/>
                    </w:rPr>
                  </w:pPr>
                  <w:r>
                    <w:rPr>
                      <w:rFonts w:hint="eastAsia"/>
                      <w:color w:val="auto"/>
                      <w:szCs w:val="21"/>
                      <w:lang w:val="en-US" w:eastAsia="zh-CN"/>
                    </w:rPr>
                    <w:t>/</w:t>
                  </w:r>
                </w:p>
              </w:tc>
              <w:tc>
                <w:tcPr>
                  <w:tcW w:w="42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7B6336">
                  <w:pPr>
                    <w:jc w:val="center"/>
                    <w:rPr>
                      <w:rFonts w:hint="eastAsia" w:eastAsia="宋体"/>
                      <w:color w:val="auto"/>
                      <w:szCs w:val="21"/>
                      <w:lang w:val="en-US" w:eastAsia="zh-CN"/>
                    </w:rPr>
                  </w:pPr>
                  <w:r>
                    <w:rPr>
                      <w:rFonts w:hint="eastAsia"/>
                      <w:color w:val="auto"/>
                      <w:szCs w:val="21"/>
                      <w:lang w:val="en-US" w:eastAsia="zh-CN"/>
                    </w:rPr>
                    <w:t>2</w:t>
                  </w:r>
                </w:p>
              </w:tc>
              <w:tc>
                <w:tcPr>
                  <w:tcW w:w="56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44EEF3">
                  <w:pPr>
                    <w:jc w:val="center"/>
                    <w:rPr>
                      <w:rFonts w:hint="eastAsia"/>
                      <w:color w:val="auto"/>
                      <w:szCs w:val="21"/>
                    </w:rPr>
                  </w:pPr>
                  <w:r>
                    <w:rPr>
                      <w:rFonts w:hint="eastAsia" w:ascii="Times New Roman" w:hAnsi="Times New Roman" w:eastAsia="宋体" w:cs="Times New Roman"/>
                      <w:color w:val="auto"/>
                      <w:sz w:val="21"/>
                      <w:szCs w:val="21"/>
                      <w:lang w:val="en-US" w:eastAsia="zh-CN"/>
                    </w:rPr>
                    <w:t>化学沉淀池+化粪池+污水处理站进行处理</w:t>
                  </w:r>
                </w:p>
              </w:tc>
              <w:tc>
                <w:tcPr>
                  <w:tcW w:w="69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5D5434">
                  <w:pPr>
                    <w:jc w:val="center"/>
                    <w:rPr>
                      <w:rFonts w:hint="default" w:eastAsia="宋体"/>
                      <w:color w:val="auto"/>
                      <w:szCs w:val="21"/>
                      <w:lang w:val="en-US" w:eastAsia="zh-CN"/>
                    </w:rPr>
                  </w:pPr>
                  <w:r>
                    <w:rPr>
                      <w:rFonts w:hint="eastAsia" w:ascii="Times New Roman" w:hAnsi="Times New Roman" w:eastAsia="宋体" w:cs="Times New Roman"/>
                      <w:color w:val="auto"/>
                      <w:sz w:val="21"/>
                      <w:szCs w:val="21"/>
                      <w:lang w:val="en-US" w:eastAsia="zh-CN"/>
                    </w:rPr>
                    <w:t>化学沉淀法</w:t>
                  </w:r>
                </w:p>
              </w:tc>
              <w:tc>
                <w:tcPr>
                  <w:tcW w:w="47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93D3DA">
                  <w:pPr>
                    <w:jc w:val="center"/>
                    <w:rPr>
                      <w:rFonts w:hint="eastAsia" w:eastAsia="宋体"/>
                      <w:color w:val="auto"/>
                      <w:szCs w:val="21"/>
                      <w:lang w:val="en-US" w:eastAsia="zh-CN"/>
                    </w:rPr>
                  </w:pPr>
                  <w:r>
                    <w:rPr>
                      <w:rFonts w:hint="eastAsia"/>
                      <w:color w:val="auto"/>
                      <w:szCs w:val="21"/>
                      <w:lang w:val="en-US" w:eastAsia="zh-CN"/>
                    </w:rPr>
                    <w:t>/</w:t>
                  </w:r>
                </w:p>
              </w:tc>
              <w:tc>
                <w:tcPr>
                  <w:tcW w:w="446" w:type="pct"/>
                  <w:tcBorders>
                    <w:top w:val="single" w:color="auto" w:sz="4" w:space="0"/>
                    <w:left w:val="single" w:color="auto" w:sz="4" w:space="0"/>
                    <w:bottom w:val="single" w:color="auto" w:sz="4" w:space="0"/>
                    <w:right w:val="nil"/>
                  </w:tcBorders>
                  <w:shd w:val="clear" w:color="auto" w:fill="FFFFFF"/>
                  <w:noWrap w:val="0"/>
                  <w:vAlign w:val="center"/>
                </w:tcPr>
                <w:p w14:paraId="519B5890">
                  <w:pPr>
                    <w:jc w:val="center"/>
                    <w:rPr>
                      <w:rFonts w:hint="default"/>
                      <w:color w:val="auto"/>
                      <w:szCs w:val="21"/>
                      <w:lang w:val="en-US"/>
                    </w:rPr>
                  </w:pPr>
                  <w:r>
                    <w:rPr>
                      <w:rFonts w:hint="eastAsia"/>
                      <w:color w:val="auto"/>
                      <w:szCs w:val="21"/>
                      <w:lang w:val="en-US" w:eastAsia="zh-CN"/>
                    </w:rPr>
                    <w:t>/</w:t>
                  </w:r>
                </w:p>
              </w:tc>
            </w:tr>
            <w:tr w14:paraId="6A99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D740DB">
                  <w:pPr>
                    <w:jc w:val="center"/>
                    <w:rPr>
                      <w:rFonts w:hint="default"/>
                      <w:color w:val="auto"/>
                      <w:szCs w:val="21"/>
                      <w:lang w:val="en-US" w:eastAsia="zh-CN"/>
                    </w:rPr>
                  </w:pPr>
                  <w:r>
                    <w:rPr>
                      <w:rFonts w:hint="eastAsia"/>
                      <w:color w:val="auto"/>
                      <w:szCs w:val="21"/>
                      <w:lang w:val="en-US" w:eastAsia="zh-CN"/>
                    </w:rPr>
                    <w:t>餐厨废水</w:t>
                  </w:r>
                </w:p>
              </w:tc>
              <w:tc>
                <w:tcPr>
                  <w:tcW w:w="664"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1F957BAD">
                  <w:pPr>
                    <w:pStyle w:val="30"/>
                    <w:spacing w:line="340" w:lineRule="exact"/>
                    <w:rPr>
                      <w:color w:val="auto"/>
                      <w:szCs w:val="21"/>
                      <w:highlight w:val="none"/>
                    </w:rPr>
                  </w:pPr>
                  <w:r>
                    <w:rPr>
                      <w:rFonts w:ascii="Times New Roman" w:hAnsi="Times New Roman" w:eastAsia="Times New Roman" w:cs="Times New Roman"/>
                      <w:color w:val="auto"/>
                      <w:spacing w:val="-2"/>
                      <w:sz w:val="21"/>
                      <w:szCs w:val="21"/>
                      <w:highlight w:val="none"/>
                    </w:rPr>
                    <w:t>COD</w:t>
                  </w:r>
                  <w:r>
                    <w:rPr>
                      <w:rFonts w:ascii="Times New Roman" w:hAnsi="Times New Roman" w:eastAsia="Times New Roman" w:cs="Times New Roman"/>
                      <w:color w:val="auto"/>
                      <w:spacing w:val="-2"/>
                      <w:position w:val="-2"/>
                      <w:sz w:val="21"/>
                      <w:szCs w:val="21"/>
                      <w:highlight w:val="none"/>
                      <w:vertAlign w:val="subscript"/>
                    </w:rPr>
                    <w:t>Cr</w:t>
                  </w:r>
                  <w:r>
                    <w:rPr>
                      <w:color w:val="auto"/>
                      <w:spacing w:val="-2"/>
                      <w:sz w:val="21"/>
                      <w:szCs w:val="21"/>
                      <w:highlight w:val="none"/>
                    </w:rPr>
                    <w:t>、</w:t>
                  </w:r>
                  <w:r>
                    <w:rPr>
                      <w:rFonts w:ascii="Times New Roman" w:hAnsi="Times New Roman" w:eastAsia="Times New Roman" w:cs="Times New Roman"/>
                      <w:color w:val="auto"/>
                      <w:spacing w:val="-2"/>
                      <w:sz w:val="21"/>
                      <w:szCs w:val="21"/>
                      <w:highlight w:val="none"/>
                    </w:rPr>
                    <w:t>BOD</w:t>
                  </w:r>
                  <w:r>
                    <w:rPr>
                      <w:rFonts w:ascii="Times New Roman" w:hAnsi="Times New Roman" w:eastAsia="Times New Roman" w:cs="Times New Roman"/>
                      <w:color w:val="auto"/>
                      <w:spacing w:val="-2"/>
                      <w:position w:val="-2"/>
                      <w:sz w:val="21"/>
                      <w:szCs w:val="21"/>
                      <w:highlight w:val="none"/>
                      <w:vertAlign w:val="subscript"/>
                    </w:rPr>
                    <w:t>5</w:t>
                  </w:r>
                  <w:r>
                    <w:rPr>
                      <w:color w:val="auto"/>
                      <w:spacing w:val="-2"/>
                      <w:sz w:val="21"/>
                      <w:szCs w:val="21"/>
                      <w:highlight w:val="none"/>
                    </w:rPr>
                    <w:t>、</w:t>
                  </w:r>
                  <w:r>
                    <w:rPr>
                      <w:rFonts w:ascii="Times New Roman" w:hAnsi="Times New Roman" w:eastAsia="Times New Roman" w:cs="Times New Roman"/>
                      <w:color w:val="auto"/>
                      <w:spacing w:val="-2"/>
                      <w:sz w:val="21"/>
                      <w:szCs w:val="21"/>
                      <w:highlight w:val="none"/>
                    </w:rPr>
                    <w:t>NH</w:t>
                  </w:r>
                  <w:r>
                    <w:rPr>
                      <w:rFonts w:ascii="Times New Roman" w:hAnsi="Times New Roman" w:eastAsia="Times New Roman" w:cs="Times New Roman"/>
                      <w:color w:val="auto"/>
                      <w:spacing w:val="-2"/>
                      <w:position w:val="-2"/>
                      <w:sz w:val="21"/>
                      <w:szCs w:val="21"/>
                      <w:highlight w:val="none"/>
                      <w:vertAlign w:val="subscript"/>
                    </w:rPr>
                    <w:t>3</w:t>
                  </w:r>
                  <w:r>
                    <w:rPr>
                      <w:rFonts w:ascii="Times New Roman" w:hAnsi="Times New Roman" w:eastAsia="Times New Roman" w:cs="Times New Roman"/>
                      <w:color w:val="auto"/>
                      <w:spacing w:val="-2"/>
                      <w:sz w:val="21"/>
                      <w:szCs w:val="21"/>
                      <w:highlight w:val="none"/>
                    </w:rPr>
                    <w:t>-N</w:t>
                  </w:r>
                  <w:r>
                    <w:rPr>
                      <w:color w:val="auto"/>
                      <w:spacing w:val="-2"/>
                      <w:sz w:val="21"/>
                      <w:szCs w:val="21"/>
                      <w:highlight w:val="none"/>
                    </w:rPr>
                    <w:t>、</w:t>
                  </w:r>
                  <w:r>
                    <w:rPr>
                      <w:rFonts w:ascii="Times New Roman" w:hAnsi="Times New Roman" w:eastAsia="Times New Roman" w:cs="Times New Roman"/>
                      <w:color w:val="auto"/>
                      <w:spacing w:val="-2"/>
                      <w:sz w:val="21"/>
                      <w:szCs w:val="21"/>
                      <w:highlight w:val="none"/>
                    </w:rPr>
                    <w:t>SS</w:t>
                  </w:r>
                  <w:r>
                    <w:rPr>
                      <w:rFonts w:hint="eastAsia" w:ascii="Times New Roman" w:hAnsi="Times New Roman" w:eastAsia="Times New Roman" w:cs="Times New Roman"/>
                      <w:color w:val="auto"/>
                      <w:spacing w:val="-2"/>
                      <w:sz w:val="21"/>
                      <w:szCs w:val="21"/>
                      <w:highlight w:val="none"/>
                    </w:rPr>
                    <w:t>、动植物油</w:t>
                  </w:r>
                </w:p>
              </w:tc>
              <w:tc>
                <w:tcPr>
                  <w:tcW w:w="76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6DB5F5">
                  <w:pPr>
                    <w:jc w:val="center"/>
                    <w:rPr>
                      <w:rFonts w:hint="default"/>
                      <w:color w:val="auto"/>
                      <w:kern w:val="2"/>
                      <w:sz w:val="21"/>
                      <w:szCs w:val="21"/>
                      <w:lang w:val="en-US" w:eastAsia="zh-CN" w:bidi="ar-SA"/>
                    </w:rPr>
                  </w:pPr>
                  <w:r>
                    <w:rPr>
                      <w:rFonts w:hint="eastAsia"/>
                      <w:color w:val="auto"/>
                      <w:szCs w:val="21"/>
                      <w:lang w:val="en-US" w:eastAsia="zh-CN"/>
                    </w:rPr>
                    <w:t>隔油池</w:t>
                  </w:r>
                  <w:r>
                    <w:rPr>
                      <w:rFonts w:ascii="serif" w:hAnsi="serif" w:eastAsia="serif" w:cs="serif"/>
                      <w:i w:val="0"/>
                      <w:iCs w:val="0"/>
                      <w:caps w:val="0"/>
                      <w:color w:val="auto"/>
                      <w:spacing w:val="0"/>
                      <w:sz w:val="25"/>
                      <w:szCs w:val="25"/>
                      <w:bdr w:val="single" w:color="auto" w:sz="2" w:space="0"/>
                      <w:shd w:val="clear" w:color="auto" w:fill="FFFFFF"/>
                    </w:rPr>
                    <w:br w:type="textWrapping"/>
                  </w:r>
                  <w:r>
                    <w:rPr>
                      <w:rFonts w:ascii="宋体" w:hAnsi="宋体" w:eastAsia="宋体" w:cs="宋体"/>
                      <w:color w:val="auto"/>
                      <w:sz w:val="24"/>
                      <w:szCs w:val="24"/>
                    </w:rPr>
                    <w:t>→</w:t>
                  </w:r>
                  <w:r>
                    <w:rPr>
                      <w:rFonts w:hint="eastAsia"/>
                      <w:color w:val="auto"/>
                      <w:szCs w:val="21"/>
                      <w:lang w:val="en-US" w:eastAsia="zh-CN"/>
                    </w:rPr>
                    <w:t>化粪池</w:t>
                  </w:r>
                  <w:r>
                    <w:rPr>
                      <w:rFonts w:ascii="serif" w:hAnsi="serif" w:eastAsia="serif" w:cs="serif"/>
                      <w:i w:val="0"/>
                      <w:iCs w:val="0"/>
                      <w:caps w:val="0"/>
                      <w:color w:val="auto"/>
                      <w:spacing w:val="0"/>
                      <w:sz w:val="25"/>
                      <w:szCs w:val="25"/>
                      <w:bdr w:val="single" w:color="auto" w:sz="2" w:space="0"/>
                      <w:shd w:val="clear" w:color="auto" w:fill="FFFFFF"/>
                    </w:rPr>
                    <w:br w:type="textWrapping"/>
                  </w:r>
                  <w:r>
                    <w:rPr>
                      <w:rFonts w:ascii="宋体" w:hAnsi="宋体" w:eastAsia="宋体" w:cs="宋体"/>
                      <w:color w:val="auto"/>
                      <w:sz w:val="24"/>
                      <w:szCs w:val="24"/>
                    </w:rPr>
                    <w:t>→</w:t>
                  </w:r>
                  <w:r>
                    <w:rPr>
                      <w:rFonts w:hint="eastAsia"/>
                      <w:color w:val="auto"/>
                      <w:szCs w:val="21"/>
                      <w:lang w:val="en-US" w:eastAsia="zh-CN"/>
                    </w:rPr>
                    <w:t>污水处理站</w:t>
                  </w:r>
                </w:p>
              </w:tc>
              <w:tc>
                <w:tcPr>
                  <w:tcW w:w="51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DD3E3E">
                  <w:pPr>
                    <w:jc w:val="center"/>
                    <w:rPr>
                      <w:rFonts w:hint="eastAsia" w:eastAsia="宋体"/>
                      <w:color w:val="auto"/>
                      <w:kern w:val="2"/>
                      <w:sz w:val="21"/>
                      <w:szCs w:val="21"/>
                      <w:lang w:val="en-US" w:eastAsia="zh-CN" w:bidi="ar-SA"/>
                    </w:rPr>
                  </w:pPr>
                  <w:r>
                    <w:rPr>
                      <w:rFonts w:hint="eastAsia"/>
                      <w:color w:val="auto"/>
                      <w:szCs w:val="21"/>
                      <w:lang w:val="en-US" w:eastAsia="zh-CN"/>
                    </w:rPr>
                    <w:t>/</w:t>
                  </w:r>
                </w:p>
              </w:tc>
              <w:tc>
                <w:tcPr>
                  <w:tcW w:w="42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E7A135">
                  <w:pPr>
                    <w:jc w:val="center"/>
                    <w:rPr>
                      <w:rFonts w:hint="default"/>
                      <w:color w:val="auto"/>
                      <w:szCs w:val="21"/>
                      <w:lang w:val="en-US" w:eastAsia="zh-CN"/>
                    </w:rPr>
                  </w:pPr>
                  <w:r>
                    <w:rPr>
                      <w:rFonts w:hint="eastAsia"/>
                      <w:color w:val="auto"/>
                      <w:szCs w:val="21"/>
                      <w:lang w:val="en-US" w:eastAsia="zh-CN"/>
                    </w:rPr>
                    <w:t>3</w:t>
                  </w:r>
                </w:p>
              </w:tc>
              <w:tc>
                <w:tcPr>
                  <w:tcW w:w="56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B9912C">
                  <w:pPr>
                    <w:jc w:val="center"/>
                    <w:rPr>
                      <w:rFonts w:hint="default" w:eastAsia="宋体"/>
                      <w:color w:val="auto"/>
                      <w:szCs w:val="21"/>
                      <w:lang w:val="en-US" w:eastAsia="zh-CN"/>
                    </w:rPr>
                  </w:pPr>
                  <w:r>
                    <w:rPr>
                      <w:rFonts w:hint="eastAsia"/>
                      <w:color w:val="auto"/>
                      <w:szCs w:val="21"/>
                      <w:lang w:val="en-US" w:eastAsia="zh-CN"/>
                    </w:rPr>
                    <w:t>隔油池+化粪池+污水处理站</w:t>
                  </w:r>
                </w:p>
              </w:tc>
              <w:tc>
                <w:tcPr>
                  <w:tcW w:w="69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E0A871">
                  <w:pPr>
                    <w:jc w:val="center"/>
                    <w:rPr>
                      <w:rFonts w:hint="eastAsia"/>
                      <w:color w:val="auto"/>
                      <w:szCs w:val="21"/>
                      <w:lang w:val="en-US" w:eastAsia="zh-CN"/>
                    </w:rPr>
                  </w:pPr>
                  <w:r>
                    <w:rPr>
                      <w:rFonts w:hint="eastAsia"/>
                      <w:color w:val="auto"/>
                      <w:szCs w:val="21"/>
                      <w:lang w:val="en-US" w:eastAsia="zh-CN"/>
                    </w:rPr>
                    <w:t>隔油池、沉淀+厌氧发酵</w:t>
                  </w:r>
                </w:p>
              </w:tc>
              <w:tc>
                <w:tcPr>
                  <w:tcW w:w="47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D71B04">
                  <w:pPr>
                    <w:jc w:val="center"/>
                    <w:rPr>
                      <w:rFonts w:hint="eastAsia"/>
                      <w:color w:val="auto"/>
                      <w:kern w:val="2"/>
                      <w:sz w:val="21"/>
                      <w:szCs w:val="21"/>
                      <w:lang w:val="en-US" w:eastAsia="zh-CN" w:bidi="ar-SA"/>
                    </w:rPr>
                  </w:pPr>
                  <w:r>
                    <w:rPr>
                      <w:rFonts w:hint="eastAsia"/>
                      <w:color w:val="auto"/>
                      <w:szCs w:val="21"/>
                      <w:lang w:val="en-US" w:eastAsia="zh-CN"/>
                    </w:rPr>
                    <w:t>/</w:t>
                  </w:r>
                </w:p>
              </w:tc>
              <w:tc>
                <w:tcPr>
                  <w:tcW w:w="446" w:type="pct"/>
                  <w:tcBorders>
                    <w:top w:val="single" w:color="auto" w:sz="4" w:space="0"/>
                    <w:left w:val="single" w:color="auto" w:sz="4" w:space="0"/>
                    <w:bottom w:val="single" w:color="auto" w:sz="4" w:space="0"/>
                    <w:right w:val="nil"/>
                  </w:tcBorders>
                  <w:shd w:val="clear" w:color="auto" w:fill="FFFFFF"/>
                  <w:noWrap w:val="0"/>
                  <w:vAlign w:val="center"/>
                </w:tcPr>
                <w:p w14:paraId="6AF4D516">
                  <w:pPr>
                    <w:jc w:val="center"/>
                    <w:rPr>
                      <w:color w:val="auto"/>
                      <w:szCs w:val="21"/>
                    </w:rPr>
                  </w:pPr>
                  <w:r>
                    <w:rPr>
                      <w:rFonts w:hint="eastAsia"/>
                      <w:color w:val="auto"/>
                      <w:szCs w:val="21"/>
                      <w:lang w:val="en-US" w:eastAsia="zh-CN"/>
                    </w:rPr>
                    <w:t>/</w:t>
                  </w:r>
                </w:p>
              </w:tc>
            </w:tr>
            <w:tr w14:paraId="4BCA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48BD3785">
                  <w:pPr>
                    <w:jc w:val="center"/>
                    <w:rPr>
                      <w:rFonts w:hint="default"/>
                      <w:color w:val="auto"/>
                      <w:lang w:val="en-US" w:eastAsia="zh-CN"/>
                    </w:rPr>
                  </w:pPr>
                  <w:r>
                    <w:rPr>
                      <w:rFonts w:hint="eastAsia"/>
                      <w:color w:val="auto"/>
                      <w:szCs w:val="21"/>
                      <w:lang w:val="en-US" w:eastAsia="zh-CN"/>
                    </w:rPr>
                    <w:t>生活污水</w:t>
                  </w:r>
                </w:p>
              </w:tc>
              <w:tc>
                <w:tcPr>
                  <w:tcW w:w="664" w:type="pct"/>
                  <w:tcBorders>
                    <w:top w:val="single" w:color="auto" w:sz="4" w:space="0"/>
                    <w:left w:val="single" w:color="auto" w:sz="4" w:space="0"/>
                    <w:bottom w:val="single" w:color="000000" w:sz="12" w:space="0"/>
                    <w:right w:val="single" w:color="auto" w:sz="4" w:space="0"/>
                  </w:tcBorders>
                  <w:shd w:val="clear" w:color="auto" w:fill="FFFFFF"/>
                  <w:noWrap w:val="0"/>
                  <w:vAlign w:val="top"/>
                </w:tcPr>
                <w:p w14:paraId="6F846B99">
                  <w:pPr>
                    <w:pStyle w:val="30"/>
                    <w:spacing w:line="340" w:lineRule="exact"/>
                    <w:rPr>
                      <w:color w:val="auto"/>
                      <w:szCs w:val="21"/>
                      <w:highlight w:val="none"/>
                    </w:rPr>
                  </w:pPr>
                  <w:r>
                    <w:rPr>
                      <w:rFonts w:hint="eastAsia" w:ascii="Times New Roman" w:hAnsi="Times New Roman" w:eastAsia="Times New Roman" w:cs="Times New Roman"/>
                      <w:color w:val="auto"/>
                      <w:spacing w:val="-2"/>
                      <w:sz w:val="21"/>
                      <w:szCs w:val="21"/>
                      <w:highlight w:val="none"/>
                    </w:rPr>
                    <w:t>COD</w:t>
                  </w:r>
                  <w:r>
                    <w:rPr>
                      <w:rFonts w:ascii="Times New Roman" w:hAnsi="Times New Roman" w:eastAsia="Times New Roman" w:cs="Times New Roman"/>
                      <w:color w:val="auto"/>
                      <w:spacing w:val="-2"/>
                      <w:position w:val="-2"/>
                      <w:sz w:val="21"/>
                      <w:szCs w:val="21"/>
                      <w:highlight w:val="none"/>
                      <w:vertAlign w:val="subscript"/>
                    </w:rPr>
                    <w:t>Cr</w:t>
                  </w:r>
                  <w:r>
                    <w:rPr>
                      <w:rFonts w:hint="eastAsia" w:ascii="Times New Roman" w:hAnsi="Times New Roman" w:eastAsia="Times New Roman" w:cs="Times New Roman"/>
                      <w:color w:val="auto"/>
                      <w:spacing w:val="-2"/>
                      <w:sz w:val="21"/>
                      <w:szCs w:val="21"/>
                      <w:highlight w:val="none"/>
                    </w:rPr>
                    <w:t>、</w:t>
                  </w:r>
                  <w:r>
                    <w:rPr>
                      <w:rFonts w:ascii="Times New Roman" w:hAnsi="Times New Roman" w:eastAsia="Times New Roman" w:cs="Times New Roman"/>
                      <w:color w:val="auto"/>
                      <w:spacing w:val="-2"/>
                      <w:sz w:val="21"/>
                      <w:szCs w:val="21"/>
                      <w:highlight w:val="none"/>
                    </w:rPr>
                    <w:t>BOD</w:t>
                  </w:r>
                  <w:r>
                    <w:rPr>
                      <w:rFonts w:ascii="Times New Roman" w:hAnsi="Times New Roman" w:eastAsia="Times New Roman" w:cs="Times New Roman"/>
                      <w:color w:val="auto"/>
                      <w:spacing w:val="-2"/>
                      <w:position w:val="-2"/>
                      <w:sz w:val="21"/>
                      <w:szCs w:val="21"/>
                      <w:highlight w:val="none"/>
                      <w:vertAlign w:val="subscript"/>
                    </w:rPr>
                    <w:t>5</w:t>
                  </w:r>
                  <w:r>
                    <w:rPr>
                      <w:color w:val="auto"/>
                      <w:spacing w:val="-2"/>
                      <w:sz w:val="21"/>
                      <w:szCs w:val="21"/>
                      <w:highlight w:val="none"/>
                    </w:rPr>
                    <w:t>、</w:t>
                  </w:r>
                  <w:r>
                    <w:rPr>
                      <w:rFonts w:hint="eastAsia" w:ascii="Times New Roman" w:hAnsi="Times New Roman" w:eastAsia="Times New Roman" w:cs="Times New Roman"/>
                      <w:color w:val="auto"/>
                      <w:spacing w:val="-2"/>
                      <w:sz w:val="21"/>
                      <w:szCs w:val="21"/>
                      <w:highlight w:val="none"/>
                    </w:rPr>
                    <w:t>SS、</w:t>
                  </w:r>
                  <w:r>
                    <w:rPr>
                      <w:rFonts w:ascii="Times New Roman" w:hAnsi="Times New Roman" w:eastAsia="Times New Roman" w:cs="Times New Roman"/>
                      <w:color w:val="auto"/>
                      <w:spacing w:val="-2"/>
                      <w:sz w:val="21"/>
                      <w:szCs w:val="21"/>
                      <w:highlight w:val="none"/>
                    </w:rPr>
                    <w:t>NH</w:t>
                  </w:r>
                  <w:r>
                    <w:rPr>
                      <w:rFonts w:ascii="Times New Roman" w:hAnsi="Times New Roman" w:eastAsia="Times New Roman" w:cs="Times New Roman"/>
                      <w:color w:val="auto"/>
                      <w:spacing w:val="-2"/>
                      <w:position w:val="-2"/>
                      <w:sz w:val="21"/>
                      <w:szCs w:val="21"/>
                      <w:highlight w:val="none"/>
                      <w:vertAlign w:val="subscript"/>
                    </w:rPr>
                    <w:t>3</w:t>
                  </w:r>
                  <w:r>
                    <w:rPr>
                      <w:rFonts w:ascii="Times New Roman" w:hAnsi="Times New Roman" w:eastAsia="Times New Roman" w:cs="Times New Roman"/>
                      <w:color w:val="auto"/>
                      <w:spacing w:val="-2"/>
                      <w:sz w:val="21"/>
                      <w:szCs w:val="21"/>
                      <w:highlight w:val="none"/>
                    </w:rPr>
                    <w:t>-N</w:t>
                  </w:r>
                </w:p>
              </w:tc>
              <w:tc>
                <w:tcPr>
                  <w:tcW w:w="769"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6503128B">
                  <w:pPr>
                    <w:jc w:val="center"/>
                    <w:rPr>
                      <w:rFonts w:hint="eastAsia"/>
                      <w:color w:val="auto"/>
                      <w:kern w:val="2"/>
                      <w:sz w:val="21"/>
                      <w:szCs w:val="21"/>
                      <w:lang w:val="en-US" w:eastAsia="zh-CN" w:bidi="ar-SA"/>
                    </w:rPr>
                  </w:pPr>
                  <w:r>
                    <w:rPr>
                      <w:rFonts w:hint="eastAsia"/>
                      <w:color w:val="auto"/>
                      <w:szCs w:val="21"/>
                      <w:lang w:val="en-US" w:eastAsia="zh-CN"/>
                    </w:rPr>
                    <w:t>化粪池</w:t>
                  </w:r>
                  <w:r>
                    <w:rPr>
                      <w:rFonts w:ascii="serif" w:hAnsi="serif" w:eastAsia="serif" w:cs="serif"/>
                      <w:i w:val="0"/>
                      <w:iCs w:val="0"/>
                      <w:caps w:val="0"/>
                      <w:color w:val="auto"/>
                      <w:spacing w:val="0"/>
                      <w:sz w:val="25"/>
                      <w:szCs w:val="25"/>
                      <w:bdr w:val="single" w:color="auto" w:sz="2" w:space="0"/>
                      <w:shd w:val="clear" w:color="auto" w:fill="FFFFFF"/>
                    </w:rPr>
                    <w:br w:type="textWrapping"/>
                  </w:r>
                  <w:r>
                    <w:rPr>
                      <w:rFonts w:ascii="宋体" w:hAnsi="宋体" w:eastAsia="宋体" w:cs="宋体"/>
                      <w:color w:val="auto"/>
                      <w:sz w:val="24"/>
                      <w:szCs w:val="24"/>
                    </w:rPr>
                    <w:t>→</w:t>
                  </w:r>
                  <w:r>
                    <w:rPr>
                      <w:rFonts w:hint="eastAsia"/>
                      <w:color w:val="auto"/>
                      <w:szCs w:val="21"/>
                      <w:lang w:val="en-US" w:eastAsia="zh-CN"/>
                    </w:rPr>
                    <w:t>污水处理站</w:t>
                  </w:r>
                </w:p>
              </w:tc>
              <w:tc>
                <w:tcPr>
                  <w:tcW w:w="518"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50E62C0D">
                  <w:pPr>
                    <w:jc w:val="center"/>
                    <w:rPr>
                      <w:rFonts w:hint="eastAsia" w:eastAsia="宋体"/>
                      <w:color w:val="auto"/>
                      <w:kern w:val="2"/>
                      <w:sz w:val="21"/>
                      <w:szCs w:val="21"/>
                      <w:lang w:val="en-US" w:eastAsia="zh-CN" w:bidi="ar-SA"/>
                    </w:rPr>
                  </w:pPr>
                  <w:r>
                    <w:rPr>
                      <w:rFonts w:hint="eastAsia"/>
                      <w:color w:val="auto"/>
                      <w:szCs w:val="21"/>
                      <w:lang w:val="en-US" w:eastAsia="zh-CN"/>
                    </w:rPr>
                    <w:t>/</w:t>
                  </w:r>
                </w:p>
              </w:tc>
              <w:tc>
                <w:tcPr>
                  <w:tcW w:w="422"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5777CDBB">
                  <w:pPr>
                    <w:jc w:val="center"/>
                    <w:rPr>
                      <w:rFonts w:hint="default"/>
                      <w:color w:val="auto"/>
                      <w:szCs w:val="21"/>
                      <w:lang w:val="en-US" w:eastAsia="zh-CN"/>
                    </w:rPr>
                  </w:pPr>
                  <w:r>
                    <w:rPr>
                      <w:rFonts w:hint="eastAsia"/>
                      <w:color w:val="auto"/>
                      <w:szCs w:val="21"/>
                      <w:lang w:val="en-US" w:eastAsia="zh-CN"/>
                    </w:rPr>
                    <w:t>4</w:t>
                  </w:r>
                </w:p>
              </w:tc>
              <w:tc>
                <w:tcPr>
                  <w:tcW w:w="568"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22CBBA02">
                  <w:pPr>
                    <w:jc w:val="center"/>
                    <w:rPr>
                      <w:rFonts w:hint="default" w:eastAsia="宋体"/>
                      <w:color w:val="auto"/>
                      <w:szCs w:val="21"/>
                      <w:lang w:val="en-US" w:eastAsia="zh-CN"/>
                    </w:rPr>
                  </w:pPr>
                  <w:r>
                    <w:rPr>
                      <w:rFonts w:hint="eastAsia"/>
                      <w:color w:val="auto"/>
                      <w:szCs w:val="21"/>
                      <w:lang w:val="en-US" w:eastAsia="zh-CN"/>
                    </w:rPr>
                    <w:t>化粪池+污水处理站</w:t>
                  </w:r>
                </w:p>
              </w:tc>
              <w:tc>
                <w:tcPr>
                  <w:tcW w:w="690"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0DF5E385">
                  <w:pPr>
                    <w:jc w:val="center"/>
                    <w:rPr>
                      <w:rFonts w:hint="default"/>
                      <w:color w:val="auto"/>
                      <w:szCs w:val="21"/>
                      <w:lang w:val="en-US" w:eastAsia="zh-CN"/>
                    </w:rPr>
                  </w:pPr>
                  <w:r>
                    <w:rPr>
                      <w:rFonts w:hint="eastAsia"/>
                      <w:color w:val="auto"/>
                      <w:szCs w:val="21"/>
                      <w:lang w:val="en-US" w:eastAsia="zh-CN"/>
                    </w:rPr>
                    <w:t>沉淀+厌氧发酵</w:t>
                  </w:r>
                </w:p>
              </w:tc>
              <w:tc>
                <w:tcPr>
                  <w:tcW w:w="472"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6DD5A11A">
                  <w:pPr>
                    <w:jc w:val="center"/>
                    <w:rPr>
                      <w:rFonts w:hint="eastAsia"/>
                      <w:color w:val="auto"/>
                      <w:kern w:val="2"/>
                      <w:sz w:val="21"/>
                      <w:szCs w:val="21"/>
                      <w:lang w:val="en-US" w:eastAsia="zh-CN" w:bidi="ar-SA"/>
                    </w:rPr>
                  </w:pPr>
                  <w:r>
                    <w:rPr>
                      <w:rFonts w:hint="eastAsia"/>
                      <w:color w:val="auto"/>
                      <w:szCs w:val="21"/>
                      <w:lang w:val="en-US" w:eastAsia="zh-CN"/>
                    </w:rPr>
                    <w:t>/</w:t>
                  </w:r>
                </w:p>
              </w:tc>
              <w:tc>
                <w:tcPr>
                  <w:tcW w:w="446" w:type="pct"/>
                  <w:tcBorders>
                    <w:top w:val="single" w:color="auto" w:sz="4" w:space="0"/>
                    <w:left w:val="single" w:color="auto" w:sz="4" w:space="0"/>
                    <w:bottom w:val="single" w:color="000000" w:sz="12" w:space="0"/>
                    <w:right w:val="nil"/>
                  </w:tcBorders>
                  <w:shd w:val="clear" w:color="auto" w:fill="FFFFFF"/>
                  <w:noWrap w:val="0"/>
                  <w:vAlign w:val="center"/>
                </w:tcPr>
                <w:p w14:paraId="754AA534">
                  <w:pPr>
                    <w:jc w:val="center"/>
                    <w:rPr>
                      <w:color w:val="auto"/>
                      <w:szCs w:val="21"/>
                    </w:rPr>
                  </w:pPr>
                  <w:r>
                    <w:rPr>
                      <w:rFonts w:hint="eastAsia"/>
                      <w:color w:val="auto"/>
                      <w:szCs w:val="21"/>
                      <w:lang w:val="en-US" w:eastAsia="zh-CN"/>
                    </w:rPr>
                    <w:t>/</w:t>
                  </w:r>
                </w:p>
              </w:tc>
            </w:tr>
          </w:tbl>
          <w:p w14:paraId="2E34EF05">
            <w:pPr>
              <w:spacing w:line="360" w:lineRule="auto"/>
              <w:ind w:firstLine="482" w:firstLineChars="200"/>
              <w:rPr>
                <w:b/>
                <w:color w:val="auto"/>
                <w:sz w:val="24"/>
              </w:rPr>
            </w:pPr>
          </w:p>
          <w:p w14:paraId="534C19F9">
            <w:pPr>
              <w:spacing w:line="360" w:lineRule="auto"/>
              <w:ind w:firstLine="482" w:firstLineChars="200"/>
              <w:rPr>
                <w:b/>
                <w:color w:val="auto"/>
                <w:sz w:val="24"/>
              </w:rPr>
            </w:pPr>
            <w:r>
              <w:rPr>
                <w:b/>
                <w:color w:val="auto"/>
                <w:sz w:val="24"/>
              </w:rPr>
              <w:t>（</w:t>
            </w:r>
            <w:r>
              <w:rPr>
                <w:rFonts w:hint="eastAsia"/>
                <w:b/>
                <w:color w:val="auto"/>
                <w:sz w:val="24"/>
              </w:rPr>
              <w:t>4</w:t>
            </w:r>
            <w:r>
              <w:rPr>
                <w:b/>
                <w:color w:val="auto"/>
                <w:sz w:val="24"/>
              </w:rPr>
              <w:t>）</w:t>
            </w:r>
            <w:r>
              <w:rPr>
                <w:rFonts w:hint="eastAsia"/>
                <w:b/>
                <w:color w:val="auto"/>
                <w:sz w:val="24"/>
                <w:lang w:val="en-US" w:eastAsia="zh-CN"/>
              </w:rPr>
              <w:t>近期</w:t>
            </w:r>
            <w:r>
              <w:rPr>
                <w:rFonts w:hint="eastAsia" w:ascii="Times New Roman" w:hAnsi="Times New Roman" w:eastAsia="宋体" w:cs="Times New Roman"/>
                <w:b/>
                <w:color w:val="auto"/>
                <w:sz w:val="24"/>
                <w:lang w:val="en-US" w:eastAsia="zh-CN"/>
              </w:rPr>
              <w:t>依托青口汽车工业开发区污水处理厂</w:t>
            </w:r>
            <w:r>
              <w:rPr>
                <w:rFonts w:ascii="Times New Roman" w:hAnsi="Times New Roman" w:eastAsia="宋体" w:cs="Times New Roman"/>
                <w:b/>
                <w:color w:val="auto"/>
                <w:sz w:val="24"/>
              </w:rPr>
              <w:t>可行性分析</w:t>
            </w:r>
          </w:p>
          <w:p w14:paraId="488298ED">
            <w:pPr>
              <w:pStyle w:val="12"/>
              <w:pBdr>
                <w:bottom w:val="none" w:color="auto" w:sz="0" w:space="0"/>
              </w:pBdr>
              <w:spacing w:line="360" w:lineRule="auto"/>
              <w:ind w:firstLine="440" w:firstLineChars="200"/>
              <w:jc w:val="left"/>
              <w:rPr>
                <w:color w:val="auto"/>
                <w:sz w:val="24"/>
                <w:szCs w:val="24"/>
                <w:lang w:val="en-US" w:eastAsia="zh-CN"/>
              </w:rPr>
            </w:pPr>
            <w:r>
              <w:rPr>
                <w:rFonts w:hint="eastAsia"/>
                <w:color w:val="auto"/>
                <w:sz w:val="22"/>
                <w:szCs w:val="24"/>
                <w:lang w:val="en-US" w:eastAsia="zh-CN"/>
              </w:rPr>
              <w:t>（1）</w:t>
            </w:r>
            <w:r>
              <w:rPr>
                <w:rFonts w:hint="eastAsia"/>
                <w:color w:val="auto"/>
                <w:sz w:val="24"/>
                <w:szCs w:val="24"/>
                <w:lang w:val="en-US" w:eastAsia="zh-CN"/>
              </w:rPr>
              <w:t>青口汽车工业开发区污水处理厂</w:t>
            </w:r>
            <w:r>
              <w:rPr>
                <w:color w:val="auto"/>
                <w:sz w:val="24"/>
                <w:szCs w:val="24"/>
                <w:lang w:val="en-US" w:eastAsia="zh-CN"/>
              </w:rPr>
              <w:t>基本情况</w:t>
            </w:r>
          </w:p>
          <w:p w14:paraId="3A555843">
            <w:pPr>
              <w:spacing w:line="360" w:lineRule="auto"/>
              <w:ind w:firstLine="480" w:firstLineChars="200"/>
              <w:rPr>
                <w:rFonts w:hint="eastAsia" w:cs="宋体"/>
                <w:bCs/>
                <w:color w:val="auto"/>
                <w:kern w:val="0"/>
                <w:sz w:val="24"/>
                <w:szCs w:val="20"/>
              </w:rPr>
            </w:pPr>
            <w:r>
              <w:rPr>
                <w:rFonts w:hint="eastAsia" w:cs="宋体"/>
                <w:bCs/>
                <w:color w:val="auto"/>
                <w:kern w:val="0"/>
                <w:sz w:val="24"/>
                <w:szCs w:val="20"/>
                <w:lang w:eastAsia="zh-CN"/>
              </w:rPr>
              <w:t>青口汽车工业开发区污水处理厂</w:t>
            </w:r>
            <w:r>
              <w:rPr>
                <w:rFonts w:hint="eastAsia" w:cs="宋体"/>
                <w:bCs/>
                <w:color w:val="auto"/>
                <w:kern w:val="0"/>
                <w:sz w:val="24"/>
                <w:szCs w:val="20"/>
              </w:rPr>
              <w:t>污水性质为城市污水，采用国际先进的多模式CarrouselA2/C(厌氧一缺氧一好氧)生物处理工艺，废水经过预处理进入厌氧反应器，高COD物质在该段得到部分分解，然后进入缺氧段，进行反硝化过程，之后是好氧阶段进行氧化降解有机物和硝化反应。该AAO处理工艺实现多点进水和配制内外回流，具有水质水量变化及负荷冲击适应性强、处理效果稳定可靠、运行模式灵活、脱氮除磷高效等优点。</w:t>
            </w:r>
          </w:p>
          <w:p w14:paraId="5EDB4812">
            <w:pPr>
              <w:pStyle w:val="12"/>
              <w:pBdr>
                <w:bottom w:val="none" w:color="auto" w:sz="0" w:space="0"/>
              </w:pBdr>
              <w:spacing w:line="360" w:lineRule="auto"/>
              <w:ind w:firstLine="480" w:firstLineChars="200"/>
              <w:jc w:val="left"/>
              <w:rPr>
                <w:color w:val="auto"/>
                <w:sz w:val="24"/>
                <w:szCs w:val="24"/>
                <w:lang w:val="en-US" w:eastAsia="zh-CN"/>
              </w:rPr>
            </w:pPr>
            <w:r>
              <w:rPr>
                <w:rFonts w:hint="eastAsia"/>
                <w:color w:val="auto"/>
                <w:sz w:val="24"/>
                <w:szCs w:val="24"/>
                <w:lang w:val="en-US" w:eastAsia="zh-CN"/>
              </w:rPr>
              <w:t>（2）</w:t>
            </w:r>
            <w:r>
              <w:rPr>
                <w:color w:val="auto"/>
                <w:sz w:val="24"/>
                <w:szCs w:val="24"/>
                <w:lang w:val="en-US" w:eastAsia="zh-CN"/>
              </w:rPr>
              <w:t>依托可行性分析</w:t>
            </w:r>
          </w:p>
          <w:p w14:paraId="3A527794">
            <w:pPr>
              <w:spacing w:line="360" w:lineRule="auto"/>
              <w:ind w:firstLine="480" w:firstLineChars="200"/>
              <w:rPr>
                <w:rFonts w:hint="eastAsia" w:eastAsia="宋体"/>
                <w:color w:val="auto"/>
                <w:sz w:val="24"/>
                <w:lang w:eastAsia="zh-CN"/>
              </w:rPr>
            </w:pPr>
            <w:r>
              <w:rPr>
                <w:rFonts w:hint="eastAsia"/>
                <w:color w:val="auto"/>
                <w:sz w:val="24"/>
              </w:rPr>
              <w:t>①</w:t>
            </w:r>
            <w:r>
              <w:rPr>
                <w:rFonts w:hint="eastAsia"/>
                <w:color w:val="auto"/>
                <w:sz w:val="24"/>
                <w:lang w:val="en-US" w:eastAsia="zh-CN"/>
              </w:rPr>
              <w:t>处理工艺</w:t>
            </w:r>
          </w:p>
          <w:p w14:paraId="1B6C0142">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青口汽车工业开发区污水处理厂污水处理工艺为“水解酸化</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氧化沟”工艺；污泥处置工艺：污泥机械浓缩脱水（含水率≦</w:t>
            </w:r>
            <w:r>
              <w:rPr>
                <w:rFonts w:hint="default" w:ascii="Times New Roman" w:hAnsi="Times New Roman" w:eastAsia="宋体" w:cs="Times New Roman"/>
                <w:color w:val="auto"/>
                <w:kern w:val="0"/>
                <w:sz w:val="24"/>
                <w:szCs w:val="24"/>
                <w:lang w:val="en-US" w:eastAsia="zh-CN" w:bidi="ar"/>
              </w:rPr>
              <w:t>80%</w:t>
            </w:r>
            <w:r>
              <w:rPr>
                <w:rFonts w:hint="eastAsia" w:ascii="宋体" w:hAnsi="宋体" w:eastAsia="宋体" w:cs="宋体"/>
                <w:color w:val="auto"/>
                <w:kern w:val="0"/>
                <w:sz w:val="24"/>
                <w:szCs w:val="24"/>
                <w:lang w:val="en-US" w:eastAsia="zh-CN" w:bidi="ar"/>
              </w:rPr>
              <w:t>）外运处理方式。</w:t>
            </w:r>
          </w:p>
          <w:p w14:paraId="7B388D8B">
            <w:pPr>
              <w:keepNext w:val="0"/>
              <w:keepLines w:val="0"/>
              <w:widowControl/>
              <w:suppressLineNumbers w:val="0"/>
              <w:spacing w:line="360" w:lineRule="auto"/>
              <w:ind w:firstLine="420" w:firstLineChars="200"/>
              <w:jc w:val="left"/>
              <w:rPr>
                <w:rFonts w:hint="eastAsia" w:ascii="宋体" w:hAnsi="宋体" w:eastAsia="宋体" w:cs="宋体"/>
                <w:color w:val="auto"/>
                <w:kern w:val="0"/>
                <w:sz w:val="24"/>
                <w:szCs w:val="24"/>
                <w:lang w:val="en-US" w:eastAsia="zh-CN" w:bidi="ar"/>
              </w:rPr>
            </w:pPr>
            <w:r>
              <w:rPr>
                <w:rFonts w:hint="eastAsia" w:ascii="Times New Roman" w:hAnsi="Times New Roman" w:cs="Times New Roman"/>
                <w:color w:val="auto"/>
                <w:highlight w:val="none"/>
                <w:lang w:val="en-US" w:eastAsia="zh-CN" w:bidi="he-IL"/>
              </w:rPr>
              <w:object>
                <v:shape id="_x0000_i1025" o:spt="75" type="#_x0000_t75" style="height:123.7pt;width:390.45pt;" o:ole="t" filled="f" o:preferrelative="t" stroked="f" coordsize="21600,21600">
                  <v:path/>
                  <v:fill on="f" focussize="0,0"/>
                  <v:stroke on="f"/>
                  <v:imagedata r:id="rId14" cropleft="2867f" croptop="10352f" cropright="2959f" cropbottom="28451f" o:title=""/>
                  <o:lock v:ext="edit" aspectratio="t"/>
                  <w10:wrap type="none"/>
                  <w10:anchorlock/>
                </v:shape>
                <o:OLEObject Type="Embed" ProgID="Visio.Drawing.15" ShapeID="_x0000_i1025" DrawAspect="Content" ObjectID="_1468075725" r:id="rId13">
                  <o:LockedField>false</o:LockedField>
                </o:OLEObject>
              </w:object>
            </w:r>
          </w:p>
          <w:p w14:paraId="6905A639">
            <w:pPr>
              <w:spacing w:line="360" w:lineRule="auto"/>
              <w:ind w:firstLine="482" w:firstLineChars="200"/>
              <w:jc w:val="center"/>
              <w:rPr>
                <w:rFonts w:hint="eastAsia"/>
                <w:color w:val="auto"/>
                <w:sz w:val="24"/>
              </w:rPr>
            </w:pPr>
            <w:r>
              <w:rPr>
                <w:rFonts w:hint="default" w:ascii="Times New Roman" w:hAnsi="Times New Roman" w:eastAsia="宋体" w:cs="Times New Roman"/>
                <w:b/>
                <w:bCs/>
                <w:color w:val="auto"/>
                <w:sz w:val="24"/>
                <w:lang w:val="en-US" w:eastAsia="zh-CN"/>
              </w:rPr>
              <w:t>图4</w:t>
            </w:r>
            <w:r>
              <w:rPr>
                <w:rFonts w:hint="eastAsia" w:ascii="Times New Roman" w:hAnsi="Times New Roman" w:eastAsia="宋体" w:cs="Times New Roman"/>
                <w:b/>
                <w:bCs/>
                <w:color w:val="auto"/>
                <w:sz w:val="24"/>
                <w:lang w:val="en-US" w:eastAsia="zh-CN"/>
              </w:rPr>
              <w:t>.1-1</w:t>
            </w:r>
            <w:r>
              <w:rPr>
                <w:rFonts w:hint="default" w:ascii="Times New Roman" w:hAnsi="Times New Roman" w:eastAsia="宋体" w:cs="Times New Roman"/>
                <w:b/>
                <w:bCs/>
                <w:color w:val="auto"/>
                <w:sz w:val="24"/>
                <w:lang w:val="en-US" w:eastAsia="zh-CN"/>
              </w:rPr>
              <w:t>污水处理厂处理工艺流程图</w:t>
            </w:r>
          </w:p>
          <w:p w14:paraId="1F0D9668">
            <w:pPr>
              <w:spacing w:line="360" w:lineRule="auto"/>
              <w:ind w:firstLine="480" w:firstLineChars="200"/>
              <w:rPr>
                <w:color w:val="auto"/>
                <w:sz w:val="24"/>
              </w:rPr>
            </w:pPr>
            <w:r>
              <w:rPr>
                <w:rFonts w:hint="eastAsia"/>
                <w:color w:val="auto"/>
                <w:sz w:val="24"/>
              </w:rPr>
              <w:t>②</w:t>
            </w:r>
            <w:r>
              <w:rPr>
                <w:color w:val="auto"/>
                <w:sz w:val="24"/>
              </w:rPr>
              <w:t>设计进出水水质</w:t>
            </w:r>
          </w:p>
          <w:p w14:paraId="5B67E120">
            <w:pPr>
              <w:spacing w:line="360" w:lineRule="auto"/>
              <w:ind w:firstLine="480" w:firstLineChars="200"/>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出水水质达到《城镇污水处理厂污染物排放标准》（</w:t>
            </w:r>
            <w:r>
              <w:rPr>
                <w:rFonts w:hint="default" w:ascii="Times New Roman" w:hAnsi="Times New Roman" w:eastAsia="宋体" w:cs="Times New Roman"/>
                <w:color w:val="auto"/>
                <w:kern w:val="0"/>
                <w:sz w:val="24"/>
                <w:szCs w:val="24"/>
                <w:lang w:val="en-US" w:eastAsia="zh-CN" w:bidi="ar"/>
              </w:rPr>
              <w:t>GB18918-2002</w:t>
            </w:r>
            <w:r>
              <w:rPr>
                <w:rFonts w:hint="eastAsia" w:ascii="宋体" w:hAnsi="宋体" w:eastAsia="宋体" w:cs="宋体"/>
                <w:color w:val="auto"/>
                <w:kern w:val="0"/>
                <w:sz w:val="24"/>
                <w:szCs w:val="24"/>
                <w:lang w:val="en-US" w:eastAsia="zh-CN" w:bidi="ar"/>
              </w:rPr>
              <w:t>）表</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的一级标准</w:t>
            </w:r>
            <w:r>
              <w:rPr>
                <w:rFonts w:hint="eastAsia"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标准外，本项目</w:t>
            </w:r>
            <w:r>
              <w:rPr>
                <w:rFonts w:ascii="Segoe UI Emoji" w:hAnsi="Segoe UI Emoji" w:eastAsia="Segoe UI Emoji" w:cs="Segoe UI Emoji"/>
                <w:i w:val="0"/>
                <w:iCs w:val="0"/>
                <w:caps w:val="0"/>
                <w:color w:val="auto"/>
                <w:spacing w:val="0"/>
                <w:sz w:val="24"/>
                <w:szCs w:val="24"/>
              </w:rPr>
              <w:t>污水处理设计出水水质:</w:t>
            </w:r>
            <w:r>
              <w:rPr>
                <w:rFonts w:hint="default" w:ascii="Times New Roman" w:hAnsi="Times New Roman" w:eastAsia="宋体" w:cs="Times New Roman"/>
                <w:color w:val="auto"/>
                <w:kern w:val="0"/>
                <w:sz w:val="24"/>
                <w:szCs w:val="24"/>
                <w:lang w:val="en-US" w:eastAsia="zh-CN" w:bidi="ar"/>
              </w:rPr>
              <w:t>&lt;&lt;医疗机构水污染物排放标准&gt;&gt;(GB18466-2005)表2处理标准</w:t>
            </w:r>
            <w:r>
              <w:rPr>
                <w:rFonts w:ascii="Segoe UI Emoji" w:hAnsi="Segoe UI Emoji" w:eastAsia="Segoe UI Emoji" w:cs="Segoe UI Emoji"/>
                <w:i w:val="0"/>
                <w:iCs w:val="0"/>
                <w:caps w:val="0"/>
                <w:color w:val="auto"/>
                <w:spacing w:val="0"/>
                <w:sz w:val="24"/>
                <w:szCs w:val="24"/>
              </w:rPr>
              <w:t>，符合青口汽车工业开发区污水处理厂进水要求。</w:t>
            </w:r>
          </w:p>
          <w:p w14:paraId="04FFBE90">
            <w:pPr>
              <w:spacing w:line="360" w:lineRule="auto"/>
              <w:ind w:firstLine="482" w:firstLineChars="200"/>
              <w:jc w:val="center"/>
              <w:rPr>
                <w:color w:val="auto"/>
                <w:sz w:val="24"/>
              </w:rPr>
            </w:pPr>
            <w:r>
              <w:rPr>
                <w:rFonts w:hint="eastAsia" w:ascii="Times New Roman" w:hAnsi="Times New Roman" w:eastAsia="宋体" w:cs="Times New Roman"/>
                <w:b/>
                <w:bCs/>
                <w:color w:val="auto"/>
                <w:sz w:val="24"/>
                <w:lang w:val="en-US" w:eastAsia="zh-CN"/>
              </w:rPr>
              <w:t>表4.2-5</w:t>
            </w:r>
            <w:r>
              <w:rPr>
                <w:rFonts w:hint="eastAsia" w:cs="Times New Roman"/>
                <w:b/>
                <w:bCs/>
                <w:color w:val="auto"/>
                <w:sz w:val="24"/>
                <w:lang w:val="en-US" w:eastAsia="zh-CN"/>
              </w:rPr>
              <w:t>污水处理厂</w:t>
            </w:r>
            <w:r>
              <w:rPr>
                <w:rFonts w:hint="default" w:ascii="Times New Roman" w:hAnsi="Times New Roman" w:eastAsia="宋体" w:cs="Times New Roman"/>
                <w:b/>
                <w:bCs/>
                <w:color w:val="auto"/>
                <w:sz w:val="24"/>
                <w:lang w:val="en-US" w:eastAsia="zh-CN"/>
              </w:rPr>
              <w:t>进出水水质标准</w:t>
            </w:r>
            <w:r>
              <w:rPr>
                <w:rFonts w:hint="eastAsia"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lang w:val="en-US" w:eastAsia="zh-CN"/>
              </w:rPr>
              <w:t>mg/L</w:t>
            </w:r>
            <w:r>
              <w:rPr>
                <w:rFonts w:hint="eastAsia" w:ascii="Times New Roman" w:hAnsi="Times New Roman" w:eastAsia="宋体" w:cs="Times New Roman"/>
                <w:b/>
                <w:bCs/>
                <w:color w:val="auto"/>
                <w:sz w:val="24"/>
                <w:lang w:val="en-US" w:eastAsia="zh-CN"/>
              </w:rPr>
              <w:t>pH除外)</w:t>
            </w:r>
          </w:p>
          <w:tbl>
            <w:tblPr>
              <w:tblStyle w:val="41"/>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17"/>
              <w:gridCol w:w="1361"/>
              <w:gridCol w:w="1107"/>
              <w:gridCol w:w="1002"/>
              <w:gridCol w:w="1068"/>
              <w:gridCol w:w="988"/>
              <w:gridCol w:w="988"/>
              <w:gridCol w:w="883"/>
            </w:tblGrid>
            <w:tr w14:paraId="21A058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6" w:type="pct"/>
                  <w:noWrap w:val="0"/>
                  <w:vAlign w:val="center"/>
                </w:tcPr>
                <w:p w14:paraId="651EA901">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水质指标</w:t>
                  </w:r>
                </w:p>
              </w:tc>
              <w:tc>
                <w:tcPr>
                  <w:tcW w:w="799" w:type="pct"/>
                  <w:noWrap w:val="0"/>
                  <w:vAlign w:val="center"/>
                </w:tcPr>
                <w:p w14:paraId="2F4509D6">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pH</w:t>
                  </w:r>
                </w:p>
              </w:tc>
              <w:tc>
                <w:tcPr>
                  <w:tcW w:w="650" w:type="pct"/>
                  <w:noWrap w:val="0"/>
                  <w:vAlign w:val="center"/>
                </w:tcPr>
                <w:p w14:paraId="6B979E1D">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COD</w:t>
                  </w:r>
                </w:p>
              </w:tc>
              <w:tc>
                <w:tcPr>
                  <w:tcW w:w="588" w:type="pct"/>
                  <w:noWrap w:val="0"/>
                  <w:vAlign w:val="center"/>
                </w:tcPr>
                <w:p w14:paraId="348EA899">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BOD</w:t>
                  </w:r>
                  <w:r>
                    <w:rPr>
                      <w:rFonts w:hint="default" w:ascii="Times New Roman" w:hAnsi="Times New Roman" w:eastAsia="宋体" w:cs="Times New Roman"/>
                      <w:color w:val="auto"/>
                      <w:kern w:val="2"/>
                      <w:sz w:val="21"/>
                      <w:szCs w:val="21"/>
                      <w:highlight w:val="none"/>
                      <w:vertAlign w:val="subscript"/>
                      <w:lang w:val="en-US" w:eastAsia="zh-CN" w:bidi="ar-SA"/>
                    </w:rPr>
                    <w:t>5</w:t>
                  </w:r>
                </w:p>
              </w:tc>
              <w:tc>
                <w:tcPr>
                  <w:tcW w:w="627" w:type="pct"/>
                  <w:noWrap w:val="0"/>
                  <w:vAlign w:val="center"/>
                </w:tcPr>
                <w:p w14:paraId="38777A8C">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SS</w:t>
                  </w:r>
                </w:p>
              </w:tc>
              <w:tc>
                <w:tcPr>
                  <w:tcW w:w="580" w:type="pct"/>
                  <w:noWrap w:val="0"/>
                  <w:vAlign w:val="center"/>
                </w:tcPr>
                <w:p w14:paraId="3DC0512E">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NH</w:t>
                  </w:r>
                  <w:r>
                    <w:rPr>
                      <w:rFonts w:hint="default" w:ascii="Times New Roman" w:hAnsi="Times New Roman" w:eastAsia="宋体" w:cs="Times New Roman"/>
                      <w:color w:val="auto"/>
                      <w:kern w:val="2"/>
                      <w:sz w:val="21"/>
                      <w:szCs w:val="21"/>
                      <w:highlight w:val="none"/>
                      <w:vertAlign w:val="subscript"/>
                      <w:lang w:val="en-US" w:eastAsia="zh-CN" w:bidi="ar-SA"/>
                    </w:rPr>
                    <w:t>3</w:t>
                  </w:r>
                  <w:r>
                    <w:rPr>
                      <w:rFonts w:hint="default" w:ascii="Times New Roman" w:hAnsi="Times New Roman" w:eastAsia="宋体" w:cs="Times New Roman"/>
                      <w:color w:val="auto"/>
                      <w:kern w:val="2"/>
                      <w:sz w:val="21"/>
                      <w:szCs w:val="21"/>
                      <w:highlight w:val="none"/>
                      <w:lang w:val="en-US" w:eastAsia="zh-CN" w:bidi="ar-SA"/>
                    </w:rPr>
                    <w:t>-N</w:t>
                  </w:r>
                </w:p>
              </w:tc>
              <w:tc>
                <w:tcPr>
                  <w:tcW w:w="580" w:type="pct"/>
                  <w:noWrap w:val="0"/>
                  <w:vAlign w:val="center"/>
                </w:tcPr>
                <w:p w14:paraId="04C347ED">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TN</w:t>
                  </w:r>
                </w:p>
              </w:tc>
              <w:tc>
                <w:tcPr>
                  <w:tcW w:w="518" w:type="pct"/>
                  <w:noWrap w:val="0"/>
                  <w:vAlign w:val="center"/>
                </w:tcPr>
                <w:p w14:paraId="3D547A1C">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TP</w:t>
                  </w:r>
                </w:p>
              </w:tc>
            </w:tr>
            <w:tr w14:paraId="00F2EE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6" w:type="pct"/>
                  <w:noWrap w:val="0"/>
                  <w:vAlign w:val="center"/>
                </w:tcPr>
                <w:p w14:paraId="19EA3883">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进水水质</w:t>
                  </w:r>
                </w:p>
              </w:tc>
              <w:tc>
                <w:tcPr>
                  <w:tcW w:w="799" w:type="pct"/>
                  <w:noWrap w:val="0"/>
                  <w:vAlign w:val="center"/>
                </w:tcPr>
                <w:p w14:paraId="7819FEED">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6~9(无量纲)</w:t>
                  </w:r>
                </w:p>
              </w:tc>
              <w:tc>
                <w:tcPr>
                  <w:tcW w:w="1106" w:type="dxa"/>
                  <w:noWrap w:val="0"/>
                  <w:vAlign w:val="center"/>
                </w:tcPr>
                <w:p w14:paraId="22D61922">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450</w:t>
                  </w:r>
                </w:p>
              </w:tc>
              <w:tc>
                <w:tcPr>
                  <w:tcW w:w="1000" w:type="dxa"/>
                  <w:noWrap w:val="0"/>
                  <w:vAlign w:val="center"/>
                </w:tcPr>
                <w:p w14:paraId="67CD81B1">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200</w:t>
                  </w:r>
                </w:p>
              </w:tc>
              <w:tc>
                <w:tcPr>
                  <w:tcW w:w="1067" w:type="dxa"/>
                  <w:noWrap w:val="0"/>
                  <w:vAlign w:val="center"/>
                </w:tcPr>
                <w:p w14:paraId="468E9885">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3</w:t>
                  </w:r>
                  <w:r>
                    <w:rPr>
                      <w:rFonts w:hint="default" w:ascii="Times New Roman" w:hAnsi="Times New Roman" w:eastAsia="宋体" w:cs="Times New Roman"/>
                      <w:color w:val="auto"/>
                      <w:kern w:val="2"/>
                      <w:sz w:val="21"/>
                      <w:szCs w:val="21"/>
                      <w:highlight w:val="none"/>
                      <w:lang w:val="en-US" w:eastAsia="zh-CN" w:bidi="ar-SA"/>
                    </w:rPr>
                    <w:t>00</w:t>
                  </w:r>
                </w:p>
              </w:tc>
              <w:tc>
                <w:tcPr>
                  <w:tcW w:w="987" w:type="dxa"/>
                  <w:noWrap w:val="0"/>
                  <w:vAlign w:val="center"/>
                </w:tcPr>
                <w:p w14:paraId="706A42B1">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35</w:t>
                  </w:r>
                </w:p>
              </w:tc>
              <w:tc>
                <w:tcPr>
                  <w:tcW w:w="987" w:type="dxa"/>
                  <w:noWrap w:val="0"/>
                  <w:vAlign w:val="center"/>
                </w:tcPr>
                <w:p w14:paraId="6E6B3438">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35</w:t>
                  </w:r>
                </w:p>
              </w:tc>
              <w:tc>
                <w:tcPr>
                  <w:tcW w:w="881" w:type="dxa"/>
                  <w:noWrap w:val="0"/>
                  <w:vAlign w:val="center"/>
                </w:tcPr>
                <w:p w14:paraId="41D8C8CC">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8</w:t>
                  </w:r>
                </w:p>
              </w:tc>
            </w:tr>
            <w:tr w14:paraId="344E96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6" w:type="pct"/>
                  <w:noWrap w:val="0"/>
                  <w:vAlign w:val="center"/>
                </w:tcPr>
                <w:p w14:paraId="07D2D043">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出水标准</w:t>
                  </w:r>
                </w:p>
              </w:tc>
              <w:tc>
                <w:tcPr>
                  <w:tcW w:w="799" w:type="pct"/>
                  <w:noWrap w:val="0"/>
                  <w:vAlign w:val="center"/>
                </w:tcPr>
                <w:p w14:paraId="2AB7C2A4">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6~9(无量纲)</w:t>
                  </w:r>
                </w:p>
              </w:tc>
              <w:tc>
                <w:tcPr>
                  <w:tcW w:w="1106" w:type="dxa"/>
                  <w:noWrap w:val="0"/>
                  <w:vAlign w:val="center"/>
                </w:tcPr>
                <w:p w14:paraId="55E4EC98">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50</w:t>
                  </w:r>
                </w:p>
              </w:tc>
              <w:tc>
                <w:tcPr>
                  <w:tcW w:w="1000" w:type="dxa"/>
                  <w:noWrap w:val="0"/>
                  <w:vAlign w:val="center"/>
                </w:tcPr>
                <w:p w14:paraId="6E338F66">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50</w:t>
                  </w:r>
                </w:p>
              </w:tc>
              <w:tc>
                <w:tcPr>
                  <w:tcW w:w="1067" w:type="dxa"/>
                  <w:noWrap w:val="0"/>
                  <w:vAlign w:val="center"/>
                </w:tcPr>
                <w:p w14:paraId="1497D42B">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10</w:t>
                  </w:r>
                </w:p>
              </w:tc>
              <w:tc>
                <w:tcPr>
                  <w:tcW w:w="987" w:type="dxa"/>
                  <w:noWrap w:val="0"/>
                  <w:vAlign w:val="center"/>
                </w:tcPr>
                <w:p w14:paraId="1343AED0">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5</w:t>
                  </w:r>
                </w:p>
              </w:tc>
              <w:tc>
                <w:tcPr>
                  <w:tcW w:w="987" w:type="dxa"/>
                  <w:noWrap w:val="0"/>
                  <w:vAlign w:val="center"/>
                </w:tcPr>
                <w:p w14:paraId="70389DB3">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15</w:t>
                  </w:r>
                </w:p>
              </w:tc>
              <w:tc>
                <w:tcPr>
                  <w:tcW w:w="881" w:type="dxa"/>
                  <w:noWrap w:val="0"/>
                  <w:vAlign w:val="center"/>
                </w:tcPr>
                <w:p w14:paraId="7C246711">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0.5</w:t>
                  </w:r>
                </w:p>
              </w:tc>
            </w:tr>
          </w:tbl>
          <w:p w14:paraId="6FA6ABB7">
            <w:pPr>
              <w:spacing w:line="360" w:lineRule="auto"/>
              <w:ind w:firstLine="480" w:firstLineChars="200"/>
              <w:rPr>
                <w:color w:val="auto"/>
                <w:sz w:val="24"/>
              </w:rPr>
            </w:pPr>
          </w:p>
          <w:p w14:paraId="17397EA3">
            <w:pPr>
              <w:spacing w:line="360" w:lineRule="auto"/>
              <w:ind w:firstLine="480" w:firstLineChars="200"/>
              <w:rPr>
                <w:color w:val="auto"/>
              </w:rPr>
            </w:pPr>
            <w:r>
              <w:rPr>
                <w:color w:val="auto"/>
                <w:sz w:val="24"/>
              </w:rPr>
              <w:t>综上，本项目污水排放对周边环境影响小。</w:t>
            </w:r>
          </w:p>
          <w:p w14:paraId="1519290B">
            <w:pPr>
              <w:pStyle w:val="12"/>
              <w:pBdr>
                <w:bottom w:val="none" w:color="auto" w:sz="0" w:space="0"/>
              </w:pBdr>
              <w:spacing w:before="120" w:beforeLines="50" w:line="360" w:lineRule="auto"/>
              <w:ind w:firstLine="480" w:firstLineChars="200"/>
              <w:jc w:val="left"/>
              <w:rPr>
                <w:color w:val="auto"/>
                <w:sz w:val="24"/>
                <w:szCs w:val="24"/>
                <w:lang w:val="en-US" w:eastAsia="zh-CN"/>
              </w:rPr>
            </w:pPr>
            <w:r>
              <w:rPr>
                <w:rFonts w:hint="eastAsia"/>
                <w:color w:val="auto"/>
                <w:sz w:val="24"/>
                <w:szCs w:val="24"/>
                <w:lang w:val="en-US" w:eastAsia="zh-CN"/>
              </w:rPr>
              <w:t>③</w:t>
            </w:r>
            <w:r>
              <w:rPr>
                <w:color w:val="auto"/>
                <w:sz w:val="24"/>
                <w:szCs w:val="24"/>
                <w:lang w:val="en-US" w:eastAsia="zh-CN"/>
              </w:rPr>
              <w:t>水量负荷</w:t>
            </w:r>
          </w:p>
          <w:p w14:paraId="5F1ADA9D">
            <w:pPr>
              <w:keepNext w:val="0"/>
              <w:keepLines w:val="0"/>
              <w:widowControl/>
              <w:suppressLineNumbers w:val="0"/>
              <w:spacing w:line="360" w:lineRule="auto"/>
              <w:ind w:firstLine="480" w:firstLineChars="200"/>
              <w:jc w:val="left"/>
              <w:rPr>
                <w:rFonts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根据调查，青口汽车工业开发区污水处理厂目前建设处理能力为</w:t>
            </w:r>
            <w:r>
              <w:rPr>
                <w:rFonts w:hint="default" w:ascii="Times New Roman" w:hAnsi="Times New Roman" w:eastAsia="宋体" w:cs="Times New Roman"/>
                <w:color w:val="auto"/>
                <w:kern w:val="0"/>
                <w:sz w:val="24"/>
                <w:szCs w:val="24"/>
                <w:lang w:val="en-US" w:eastAsia="zh-CN" w:bidi="ar-SA"/>
              </w:rPr>
              <w:t>10000t/d</w:t>
            </w:r>
            <w:r>
              <w:rPr>
                <w:rFonts w:hint="eastAsia" w:ascii="Times New Roman" w:hAnsi="Times New Roman" w:eastAsia="宋体" w:cs="Times New Roman"/>
                <w:color w:val="auto"/>
                <w:kern w:val="0"/>
                <w:sz w:val="24"/>
                <w:szCs w:val="24"/>
                <w:lang w:val="en-US" w:eastAsia="zh-CN" w:bidi="ar-SA"/>
              </w:rPr>
              <w:t>，</w:t>
            </w:r>
          </w:p>
          <w:p w14:paraId="206E8B40">
            <w:pPr>
              <w:keepNext w:val="0"/>
              <w:keepLines w:val="0"/>
              <w:widowControl/>
              <w:suppressLineNumbers w:val="0"/>
              <w:spacing w:line="360" w:lineRule="auto"/>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根据调查，</w:t>
            </w:r>
            <w:r>
              <w:rPr>
                <w:rFonts w:hint="eastAsia" w:cs="Times New Roman"/>
                <w:color w:val="auto"/>
                <w:kern w:val="0"/>
                <w:sz w:val="24"/>
                <w:szCs w:val="24"/>
                <w:lang w:val="en-US" w:eastAsia="zh-CN" w:bidi="ar-SA"/>
              </w:rPr>
              <w:t>污水处理厂</w:t>
            </w:r>
            <w:r>
              <w:rPr>
                <w:rFonts w:hint="eastAsia" w:ascii="Times New Roman" w:hAnsi="Times New Roman" w:eastAsia="宋体" w:cs="Times New Roman"/>
                <w:color w:val="auto"/>
                <w:kern w:val="0"/>
                <w:sz w:val="24"/>
                <w:szCs w:val="24"/>
                <w:lang w:val="en-US" w:eastAsia="zh-CN" w:bidi="ar-SA"/>
              </w:rPr>
              <w:t>实际运行规模约为</w:t>
            </w:r>
            <w:r>
              <w:rPr>
                <w:rFonts w:hint="default" w:ascii="Times New Roman" w:hAnsi="Times New Roman" w:eastAsia="宋体" w:cs="Times New Roman"/>
                <w:color w:val="auto"/>
                <w:kern w:val="0"/>
                <w:sz w:val="24"/>
                <w:szCs w:val="24"/>
                <w:lang w:val="en-US" w:eastAsia="zh-CN" w:bidi="ar-SA"/>
              </w:rPr>
              <w:t>4000t/d</w:t>
            </w:r>
            <w:r>
              <w:rPr>
                <w:rFonts w:hint="eastAsia" w:ascii="Times New Roman" w:hAnsi="Times New Roman" w:eastAsia="宋体" w:cs="Times New Roman"/>
                <w:color w:val="auto"/>
                <w:kern w:val="0"/>
                <w:sz w:val="24"/>
                <w:szCs w:val="24"/>
                <w:lang w:val="en-US" w:eastAsia="zh-CN" w:bidi="ar-SA"/>
              </w:rPr>
              <w:t>，剩余处理量</w:t>
            </w:r>
            <w:r>
              <w:rPr>
                <w:rFonts w:hint="default" w:ascii="Times New Roman" w:hAnsi="Times New Roman" w:eastAsia="宋体" w:cs="Times New Roman"/>
                <w:color w:val="auto"/>
                <w:kern w:val="0"/>
                <w:sz w:val="24"/>
                <w:szCs w:val="24"/>
                <w:lang w:val="en-US" w:eastAsia="zh-CN" w:bidi="ar-SA"/>
              </w:rPr>
              <w:t>6000t/d</w:t>
            </w:r>
            <w:r>
              <w:rPr>
                <w:rFonts w:hint="eastAsia" w:ascii="Times New Roman" w:hAnsi="Times New Roman" w:eastAsia="宋体" w:cs="Times New Roman"/>
                <w:color w:val="auto"/>
                <w:kern w:val="0"/>
                <w:sz w:val="24"/>
                <w:szCs w:val="24"/>
                <w:lang w:val="en-US" w:eastAsia="zh-CN" w:bidi="ar-SA"/>
              </w:rPr>
              <w:t>。</w:t>
            </w:r>
            <w:r>
              <w:rPr>
                <w:rFonts w:hint="eastAsia" w:ascii="宋体" w:hAnsi="宋体" w:eastAsia="宋体" w:cs="宋体"/>
                <w:color w:val="auto"/>
                <w:kern w:val="0"/>
                <w:sz w:val="24"/>
                <w:szCs w:val="24"/>
                <w:lang w:val="en-US" w:eastAsia="zh-CN" w:bidi="ar"/>
              </w:rPr>
              <w:t>本项目新增废水污水排放量为</w:t>
            </w:r>
            <w:r>
              <w:rPr>
                <w:rFonts w:hint="eastAsia" w:ascii="Times New Roman" w:hAnsi="Times New Roman" w:eastAsia="宋体" w:cs="Times New Roman"/>
                <w:color w:val="auto"/>
                <w:kern w:val="0"/>
                <w:sz w:val="24"/>
                <w:szCs w:val="24"/>
                <w:lang w:val="en-US" w:eastAsia="zh-CN" w:bidi="ar"/>
              </w:rPr>
              <w:t>178.47</w:t>
            </w:r>
            <w:r>
              <w:rPr>
                <w:rFonts w:hint="default" w:ascii="Times New Roman" w:hAnsi="Times New Roman" w:eastAsia="宋体" w:cs="Times New Roman"/>
                <w:color w:val="auto"/>
                <w:kern w:val="0"/>
                <w:sz w:val="24"/>
                <w:szCs w:val="24"/>
                <w:lang w:val="en-US" w:eastAsia="zh-CN" w:bidi="ar"/>
              </w:rPr>
              <w:t>t/d（</w:t>
            </w:r>
            <w:r>
              <w:rPr>
                <w:rFonts w:hint="eastAsia" w:ascii="Times New Roman" w:hAnsi="Times New Roman" w:eastAsia="宋体" w:cs="Times New Roman"/>
                <w:color w:val="auto"/>
                <w:kern w:val="0"/>
                <w:sz w:val="24"/>
                <w:szCs w:val="24"/>
                <w:lang w:val="en-US" w:eastAsia="zh-CN" w:bidi="ar"/>
              </w:rPr>
              <w:t>65143.01</w:t>
            </w:r>
            <w:r>
              <w:rPr>
                <w:rFonts w:hint="default" w:ascii="Times New Roman" w:hAnsi="Times New Roman" w:eastAsia="宋体" w:cs="Times New Roman"/>
                <w:color w:val="auto"/>
                <w:kern w:val="0"/>
                <w:sz w:val="24"/>
                <w:szCs w:val="24"/>
                <w:lang w:val="en-US" w:eastAsia="zh-CN" w:bidi="ar"/>
              </w:rPr>
              <w:t>t/a）</w:t>
            </w:r>
            <w:r>
              <w:rPr>
                <w:rFonts w:hint="eastAsia" w:ascii="Times New Roman" w:hAnsi="Times New Roman" w:eastAsia="宋体" w:cs="Times New Roman"/>
                <w:color w:val="auto"/>
                <w:kern w:val="0"/>
                <w:sz w:val="24"/>
                <w:szCs w:val="24"/>
                <w:lang w:val="en-US" w:eastAsia="zh-CN" w:bidi="ar-SA"/>
              </w:rPr>
              <w:t>占剩余规模的</w:t>
            </w:r>
            <w:r>
              <w:rPr>
                <w:rFonts w:hint="default" w:ascii="Times New Roman" w:hAnsi="Times New Roman" w:eastAsia="宋体" w:cs="Times New Roman"/>
                <w:color w:val="auto"/>
                <w:kern w:val="0"/>
                <w:sz w:val="24"/>
                <w:szCs w:val="24"/>
                <w:lang w:val="en-US" w:eastAsia="zh-CN" w:bidi="ar-SA"/>
              </w:rPr>
              <w:t>0.</w:t>
            </w:r>
            <w:r>
              <w:rPr>
                <w:rFonts w:hint="eastAsia" w:ascii="Times New Roman" w:hAnsi="Times New Roman" w:eastAsia="宋体" w:cs="Times New Roman"/>
                <w:color w:val="auto"/>
                <w:kern w:val="0"/>
                <w:sz w:val="24"/>
                <w:szCs w:val="24"/>
                <w:lang w:val="en-US" w:eastAsia="zh-CN" w:bidi="ar-SA"/>
              </w:rPr>
              <w:t>027</w:t>
            </w:r>
            <w:r>
              <w:rPr>
                <w:rFonts w:hint="default" w:ascii="Times New Roman" w:hAnsi="Times New Roman" w:eastAsia="宋体" w:cs="Times New Roman"/>
                <w:color w:val="auto"/>
                <w:kern w:val="0"/>
                <w:sz w:val="24"/>
                <w:szCs w:val="24"/>
                <w:lang w:val="en-US" w:eastAsia="zh-CN" w:bidi="ar-SA"/>
              </w:rPr>
              <w:t>%</w:t>
            </w:r>
            <w:r>
              <w:rPr>
                <w:rFonts w:hint="eastAsia" w:ascii="Times New Roman" w:hAnsi="Times New Roman" w:eastAsia="宋体" w:cs="Times New Roman"/>
                <w:color w:val="auto"/>
                <w:kern w:val="0"/>
                <w:sz w:val="24"/>
                <w:szCs w:val="24"/>
                <w:lang w:val="en-US" w:eastAsia="zh-CN" w:bidi="ar-SA"/>
              </w:rPr>
              <w:t>。因此本项目废水近期依托青口污水处理厂集中处理，不会造成明显的负荷冲击。</w:t>
            </w:r>
          </w:p>
          <w:p w14:paraId="55F07609">
            <w:pPr>
              <w:widowControl/>
              <w:spacing w:line="360" w:lineRule="auto"/>
              <w:ind w:firstLine="480" w:firstLineChars="200"/>
              <w:jc w:val="left"/>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④槽车转运可行性</w:t>
            </w:r>
          </w:p>
          <w:p w14:paraId="5D737FFF">
            <w:pPr>
              <w:widowControl/>
              <w:spacing w:line="360" w:lineRule="auto"/>
              <w:ind w:firstLine="480" w:firstLineChars="200"/>
              <w:jc w:val="left"/>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近期依托青口汽车工业开发区污水处理厂处置院内预处理达标医疗废水，转运处置模式具备可行性：该污水处理厂处理工艺成熟、运行稳定，具备接纳医疗预处理废水的处理能力与处置资质，已与青口汽车工业开发区污水</w:t>
            </w:r>
            <w:r>
              <w:rPr>
                <w:rFonts w:hint="eastAsia" w:cs="Times New Roman"/>
                <w:color w:val="auto"/>
                <w:sz w:val="24"/>
                <w:szCs w:val="24"/>
                <w:lang w:val="en-US" w:eastAsia="zh-CN"/>
              </w:rPr>
              <w:t>处理厂</w:t>
            </w:r>
            <w:r>
              <w:rPr>
                <w:rFonts w:hint="eastAsia" w:ascii="Times New Roman" w:hAnsi="Times New Roman" w:eastAsia="宋体" w:cs="Times New Roman"/>
                <w:color w:val="auto"/>
                <w:sz w:val="24"/>
                <w:szCs w:val="24"/>
                <w:lang w:val="en-US" w:eastAsia="zh-CN"/>
              </w:rPr>
              <w:t>签订污水委托处置协议，详见附件5。</w:t>
            </w:r>
          </w:p>
          <w:p w14:paraId="4798E95F">
            <w:pPr>
              <w:widowControl/>
              <w:spacing w:line="360" w:lineRule="auto"/>
              <w:ind w:firstLine="480" w:firstLineChars="200"/>
              <w:jc w:val="left"/>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废水暂存容积保障要求：为应对槽车运输延误、设备检修、极端天气等突发工况，项目污水调节池（暂存池）有效容积220m³，可完全容纳项目不少于1天的废水量，具备充足的缓冲调蓄能力，可有效避免废水积压、外溢，保障转运空档期废水暂存安全。</w:t>
            </w:r>
          </w:p>
          <w:p w14:paraId="7B775816">
            <w:pPr>
              <w:widowControl/>
              <w:spacing w:line="360" w:lineRule="auto"/>
              <w:ind w:firstLine="480" w:firstLineChars="200"/>
              <w:jc w:val="left"/>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槽车转运实施方案：项目预处理达标废水采用全密闭专用槽车定期转运，转运车辆具备防腐、防渗、防滴漏、防遗撒功能，车身张贴废水转运警示标识，安装GPS定位及行驶记录装置，全程可溯源。项目正式投产废水产生前，建设单位将另行合规委托具备合法污水运输资质的槽车运输单位，并签订正式槽车运输合同，明确转运责任、运输规范、安全管控及环保责任，严禁无资质车辆、不合格车辆参与废水转运。转运前核查车辆资质、年检报告、密闭防渗检测资料，车况不合格严禁出车；装车前、卸车后逐一检查罐体、阀门、密封垫片、防漏装置，杜绝跑冒滴漏。严格执行固定转运路线、固定转运时段，路线全程避开居民区集中路段、饮用水源保护区等环境敏感点，严禁私自变更行驶路线。根据项目废水产生量合理制定转运频次，常态化定期清运，杜绝站内废水囤积。</w:t>
            </w:r>
          </w:p>
          <w:p w14:paraId="641B5773">
            <w:pPr>
              <w:widowControl/>
              <w:spacing w:line="360" w:lineRule="auto"/>
              <w:ind w:firstLine="480" w:firstLineChars="200"/>
              <w:jc w:val="left"/>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3、环境风险防范措施：转运全过程落实泄漏防控措施，车辆随车配备吸附棉、堵漏工具、应急围挡、防渗沙袋等应急物资；装车区域设置防渗围堰及应急收集设施，杜绝装车废液洒落外流。外运废水必须经自检达标后方可转运，留存完整水质监测记录，严禁超标废水外运处置。常态化开展转运人员环保及应急培训，熟练掌握废水泄漏、路面突发事故应急处置流程，有效防范转运环节环境风险。</w:t>
            </w:r>
          </w:p>
          <w:p w14:paraId="1C6905C5">
            <w:pPr>
              <w:widowControl/>
              <w:spacing w:line="360" w:lineRule="auto"/>
              <w:ind w:firstLine="480" w:firstLineChars="200"/>
              <w:jc w:val="left"/>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4、台账及环境管理要求：将槽车转运频次、转运管控、台账登记纳入项目常态化环境管理体系。严格执行转运联单制度，建立一车一档闭环管理台账，详细记录转运日期、废水量、水质情况、车辆信息、驾驶员、起止路线、交接回执、处置去向等信息，台账长期留存备查，确保废水转运全过程可追溯、可监管。</w:t>
            </w:r>
          </w:p>
          <w:p w14:paraId="56BD7A7B">
            <w:pPr>
              <w:widowControl/>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5、建设单位郑重承诺：本项目在产生废水前，将合规委托具备对应资质的槽车运输单位并签订正式运输合同，严格落实废水密闭转运管控要求；且在项目试运营前，将槽车运输单位资质、转运合同等全套备案资料报送闽侯生态环境局备案，未完成备案绝不投入试运营，全面落实企业生态环保主体责任。详见附件11。</w:t>
            </w:r>
          </w:p>
          <w:p w14:paraId="34695B96">
            <w:pPr>
              <w:widowControl/>
              <w:spacing w:line="360" w:lineRule="auto"/>
              <w:ind w:firstLine="480" w:firstLineChars="200"/>
              <w:jc w:val="left"/>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综上分析，本项目污水依托青口汽车工业开发区污水处理厂处理可行。</w:t>
            </w:r>
          </w:p>
          <w:p w14:paraId="49FA93DF">
            <w:pPr>
              <w:keepNext w:val="0"/>
              <w:keepLines w:val="0"/>
              <w:widowControl/>
              <w:suppressLineNumbers w:val="0"/>
              <w:spacing w:line="360" w:lineRule="auto"/>
              <w:ind w:firstLine="482" w:firstLineChars="200"/>
              <w:jc w:val="left"/>
              <w:rPr>
                <w:color w:val="auto"/>
              </w:rPr>
            </w:pPr>
            <w:r>
              <w:rPr>
                <w:rFonts w:hint="eastAsia" w:ascii="宋体" w:hAnsi="宋体" w:eastAsia="宋体" w:cs="宋体"/>
                <w:b/>
                <w:bCs/>
                <w:color w:val="auto"/>
                <w:kern w:val="0"/>
                <w:sz w:val="24"/>
                <w:szCs w:val="24"/>
                <w:lang w:val="en-US" w:eastAsia="zh-CN" w:bidi="ar"/>
              </w:rPr>
              <w:t xml:space="preserve">（5）远期依托青口新区污水处理厂进一步处理可行性分析 </w:t>
            </w:r>
          </w:p>
          <w:p w14:paraId="1D62FBCB">
            <w:pPr>
              <w:keepNext w:val="0"/>
              <w:keepLines w:val="0"/>
              <w:widowControl/>
              <w:suppressLineNumbers w:val="0"/>
              <w:spacing w:line="360" w:lineRule="auto"/>
              <w:ind w:firstLine="482" w:firstLineChars="200"/>
              <w:jc w:val="left"/>
              <w:rPr>
                <w:color w:val="auto"/>
              </w:rPr>
            </w:pPr>
            <w:r>
              <w:rPr>
                <w:rFonts w:hint="eastAsia" w:ascii="宋体" w:hAnsi="宋体" w:eastAsia="宋体" w:cs="宋体"/>
                <w:b/>
                <w:bCs/>
                <w:color w:val="auto"/>
                <w:kern w:val="0"/>
                <w:sz w:val="24"/>
                <w:szCs w:val="24"/>
                <w:lang w:val="en-US" w:eastAsia="zh-CN" w:bidi="ar"/>
              </w:rPr>
              <w:t>（</w:t>
            </w:r>
            <w:r>
              <w:rPr>
                <w:rFonts w:hint="default" w:ascii="Times New Roman" w:hAnsi="Times New Roman" w:eastAsia="宋体" w:cs="Times New Roman"/>
                <w:b/>
                <w:bCs/>
                <w:color w:val="auto"/>
                <w:kern w:val="0"/>
                <w:sz w:val="24"/>
                <w:szCs w:val="24"/>
                <w:lang w:val="en-US" w:eastAsia="zh-CN" w:bidi="ar"/>
              </w:rPr>
              <w:t>1</w:t>
            </w:r>
            <w:r>
              <w:rPr>
                <w:rFonts w:hint="eastAsia" w:ascii="宋体" w:hAnsi="宋体" w:eastAsia="宋体" w:cs="宋体"/>
                <w:b/>
                <w:bCs/>
                <w:color w:val="auto"/>
                <w:kern w:val="0"/>
                <w:sz w:val="24"/>
                <w:szCs w:val="24"/>
                <w:lang w:val="en-US" w:eastAsia="zh-CN" w:bidi="ar"/>
              </w:rPr>
              <w:t xml:space="preserve">）青口新区污水处理厂概况 </w:t>
            </w:r>
          </w:p>
          <w:p w14:paraId="0C531F21">
            <w:pPr>
              <w:keepNext w:val="0"/>
              <w:keepLines w:val="0"/>
              <w:widowControl/>
              <w:suppressLineNumbers w:val="0"/>
              <w:spacing w:line="360" w:lineRule="auto"/>
              <w:ind w:firstLine="480" w:firstLineChars="200"/>
              <w:jc w:val="left"/>
              <w:rPr>
                <w:color w:val="auto"/>
              </w:rPr>
            </w:pPr>
            <w:r>
              <w:rPr>
                <w:rFonts w:hint="eastAsia" w:ascii="宋体" w:hAnsi="宋体" w:eastAsia="宋体" w:cs="宋体"/>
                <w:color w:val="auto"/>
                <w:kern w:val="0"/>
                <w:sz w:val="24"/>
                <w:szCs w:val="24"/>
                <w:lang w:val="en-US" w:eastAsia="zh-CN" w:bidi="ar"/>
              </w:rPr>
              <w:t xml:space="preserve">青口新区污水处理厂位于祥谦镇西南侧的洋下片区，辅洲路北侧，洋洲路 </w:t>
            </w:r>
          </w:p>
          <w:p w14:paraId="2B2A1E5F">
            <w:pPr>
              <w:keepNext w:val="0"/>
              <w:keepLines w:val="0"/>
              <w:widowControl/>
              <w:suppressLineNumbers w:val="0"/>
              <w:spacing w:line="360" w:lineRule="auto"/>
              <w:jc w:val="left"/>
              <w:rPr>
                <w:color w:val="auto"/>
              </w:rPr>
            </w:pPr>
            <w:r>
              <w:rPr>
                <w:rFonts w:hint="eastAsia" w:ascii="宋体" w:hAnsi="宋体" w:eastAsia="宋体" w:cs="宋体"/>
                <w:color w:val="auto"/>
                <w:kern w:val="0"/>
                <w:sz w:val="24"/>
                <w:szCs w:val="24"/>
                <w:lang w:val="en-US" w:eastAsia="zh-CN" w:bidi="ar"/>
              </w:rPr>
              <w:t>西侧，由福建海峡环保集团股份有限公司</w:t>
            </w:r>
            <w:r>
              <w:rPr>
                <w:rFonts w:hint="default" w:ascii="Times New Roman" w:hAnsi="Times New Roman" w:eastAsia="宋体" w:cs="Times New Roman"/>
                <w:color w:val="auto"/>
                <w:kern w:val="0"/>
                <w:sz w:val="24"/>
                <w:szCs w:val="24"/>
                <w:lang w:val="en-US" w:eastAsia="zh-CN" w:bidi="ar"/>
              </w:rPr>
              <w:t>100</w:t>
            </w:r>
            <w:r>
              <w:rPr>
                <w:rFonts w:hint="eastAsia" w:ascii="宋体" w:hAnsi="宋体" w:eastAsia="宋体" w:cs="宋体"/>
                <w:color w:val="auto"/>
                <w:kern w:val="0"/>
                <w:sz w:val="24"/>
                <w:szCs w:val="24"/>
                <w:lang w:val="en-US" w:eastAsia="zh-CN" w:bidi="ar"/>
              </w:rPr>
              <w:t xml:space="preserve">％控股，以 </w:t>
            </w:r>
            <w:r>
              <w:rPr>
                <w:rFonts w:hint="default" w:ascii="Times New Roman" w:hAnsi="Times New Roman" w:eastAsia="宋体" w:cs="Times New Roman"/>
                <w:color w:val="auto"/>
                <w:kern w:val="0"/>
                <w:sz w:val="24"/>
                <w:szCs w:val="24"/>
                <w:lang w:val="en-US" w:eastAsia="zh-CN" w:bidi="ar"/>
              </w:rPr>
              <w:t xml:space="preserve">BOT </w:t>
            </w:r>
            <w:r>
              <w:rPr>
                <w:rFonts w:hint="eastAsia" w:ascii="宋体" w:hAnsi="宋体" w:eastAsia="宋体" w:cs="宋体"/>
                <w:color w:val="auto"/>
                <w:kern w:val="0"/>
                <w:sz w:val="24"/>
                <w:szCs w:val="24"/>
                <w:lang w:val="en-US" w:eastAsia="zh-CN" w:bidi="ar"/>
              </w:rPr>
              <w:t xml:space="preserve">模式运营。该污 </w:t>
            </w:r>
          </w:p>
          <w:p w14:paraId="4430DE2D">
            <w:pPr>
              <w:keepNext w:val="0"/>
              <w:keepLines w:val="0"/>
              <w:widowControl/>
              <w:suppressLineNumbers w:val="0"/>
              <w:spacing w:line="360" w:lineRule="auto"/>
              <w:jc w:val="left"/>
              <w:rPr>
                <w:color w:val="auto"/>
              </w:rPr>
            </w:pPr>
            <w:r>
              <w:rPr>
                <w:rFonts w:hint="eastAsia" w:ascii="宋体" w:hAnsi="宋体" w:eastAsia="宋体" w:cs="宋体"/>
                <w:color w:val="auto"/>
                <w:kern w:val="0"/>
                <w:sz w:val="24"/>
                <w:szCs w:val="24"/>
                <w:lang w:val="en-US" w:eastAsia="zh-CN" w:bidi="ar"/>
              </w:rPr>
              <w:t>水处理厂现状总处理规模</w:t>
            </w:r>
            <w:r>
              <w:rPr>
                <w:rFonts w:hint="default" w:ascii="Times New Roman" w:hAnsi="Times New Roman" w:eastAsia="宋体" w:cs="Times New Roman"/>
                <w:color w:val="auto"/>
                <w:kern w:val="0"/>
                <w:sz w:val="24"/>
                <w:szCs w:val="24"/>
                <w:lang w:val="en-US" w:eastAsia="zh-CN" w:bidi="ar"/>
              </w:rPr>
              <w:t>3.0</w:t>
            </w:r>
            <w:r>
              <w:rPr>
                <w:rFonts w:hint="eastAsia" w:ascii="宋体" w:hAnsi="宋体" w:eastAsia="宋体" w:cs="宋体"/>
                <w:color w:val="auto"/>
                <w:kern w:val="0"/>
                <w:sz w:val="24"/>
                <w:szCs w:val="24"/>
                <w:lang w:val="en-US" w:eastAsia="zh-CN" w:bidi="ar"/>
              </w:rPr>
              <w:t xml:space="preserve">万 </w:t>
            </w:r>
            <w:r>
              <w:rPr>
                <w:rFonts w:hint="default" w:ascii="Times New Roman" w:hAnsi="Times New Roman" w:eastAsia="宋体" w:cs="Times New Roman"/>
                <w:color w:val="auto"/>
                <w:kern w:val="0"/>
                <w:sz w:val="24"/>
                <w:szCs w:val="24"/>
                <w:lang w:val="en-US" w:eastAsia="zh-CN" w:bidi="ar"/>
              </w:rPr>
              <w:t>t/d</w:t>
            </w:r>
            <w:r>
              <w:rPr>
                <w:rFonts w:hint="eastAsia" w:ascii="宋体" w:hAnsi="宋体" w:eastAsia="宋体" w:cs="宋体"/>
                <w:color w:val="auto"/>
                <w:kern w:val="0"/>
                <w:sz w:val="24"/>
                <w:szCs w:val="24"/>
                <w:lang w:val="en-US" w:eastAsia="zh-CN" w:bidi="ar"/>
              </w:rPr>
              <w:t>，目前实际处理规模约为</w:t>
            </w:r>
            <w:r>
              <w:rPr>
                <w:rFonts w:hint="default" w:ascii="Times New Roman" w:hAnsi="Times New Roman" w:eastAsia="宋体" w:cs="Times New Roman"/>
                <w:color w:val="auto"/>
                <w:kern w:val="0"/>
                <w:sz w:val="24"/>
                <w:szCs w:val="24"/>
                <w:lang w:val="en-US" w:eastAsia="zh-CN" w:bidi="ar"/>
              </w:rPr>
              <w:t>2.0</w:t>
            </w:r>
            <w:r>
              <w:rPr>
                <w:rFonts w:hint="eastAsia" w:ascii="宋体" w:hAnsi="宋体" w:eastAsia="宋体" w:cs="宋体"/>
                <w:color w:val="auto"/>
                <w:kern w:val="0"/>
                <w:sz w:val="24"/>
                <w:szCs w:val="24"/>
                <w:lang w:val="en-US" w:eastAsia="zh-CN" w:bidi="ar"/>
              </w:rPr>
              <w:t xml:space="preserve">万 </w:t>
            </w:r>
            <w:r>
              <w:rPr>
                <w:rFonts w:hint="default" w:ascii="Times New Roman" w:hAnsi="Times New Roman" w:eastAsia="宋体" w:cs="Times New Roman"/>
                <w:color w:val="auto"/>
                <w:kern w:val="0"/>
                <w:sz w:val="24"/>
                <w:szCs w:val="24"/>
                <w:lang w:val="en-US" w:eastAsia="zh-CN" w:bidi="ar"/>
              </w:rPr>
              <w:t>t/d</w:t>
            </w:r>
            <w:r>
              <w:rPr>
                <w:rFonts w:hint="eastAsia" w:ascii="宋体" w:hAnsi="宋体" w:eastAsia="宋体" w:cs="宋体"/>
                <w:color w:val="auto"/>
                <w:kern w:val="0"/>
                <w:sz w:val="24"/>
                <w:szCs w:val="24"/>
                <w:lang w:val="en-US" w:eastAsia="zh-CN" w:bidi="ar"/>
              </w:rPr>
              <w:t xml:space="preserve">，剩余处 </w:t>
            </w:r>
          </w:p>
          <w:p w14:paraId="2A8C3D71">
            <w:pPr>
              <w:keepNext w:val="0"/>
              <w:keepLines w:val="0"/>
              <w:widowControl/>
              <w:suppressLineNumbers w:val="0"/>
              <w:spacing w:line="360" w:lineRule="auto"/>
              <w:jc w:val="left"/>
              <w:rPr>
                <w:color w:val="auto"/>
              </w:rPr>
            </w:pPr>
            <w:r>
              <w:rPr>
                <w:rFonts w:hint="eastAsia" w:ascii="宋体" w:hAnsi="宋体" w:eastAsia="宋体" w:cs="宋体"/>
                <w:color w:val="auto"/>
                <w:kern w:val="0"/>
                <w:sz w:val="24"/>
                <w:szCs w:val="24"/>
                <w:lang w:val="en-US" w:eastAsia="zh-CN" w:bidi="ar"/>
              </w:rPr>
              <w:t>理规模约</w:t>
            </w:r>
            <w:r>
              <w:rPr>
                <w:rFonts w:hint="default" w:ascii="Times New Roman" w:hAnsi="Times New Roman" w:eastAsia="宋体" w:cs="Times New Roman"/>
                <w:color w:val="auto"/>
                <w:kern w:val="0"/>
                <w:sz w:val="24"/>
                <w:szCs w:val="24"/>
                <w:lang w:val="en-US" w:eastAsia="zh-CN" w:bidi="ar"/>
              </w:rPr>
              <w:t>1.0</w:t>
            </w:r>
            <w:r>
              <w:rPr>
                <w:rFonts w:hint="eastAsia" w:ascii="宋体" w:hAnsi="宋体" w:eastAsia="宋体" w:cs="宋体"/>
                <w:color w:val="auto"/>
                <w:kern w:val="0"/>
                <w:sz w:val="24"/>
                <w:szCs w:val="24"/>
                <w:lang w:val="en-US" w:eastAsia="zh-CN" w:bidi="ar"/>
              </w:rPr>
              <w:t>万</w:t>
            </w:r>
            <w:r>
              <w:rPr>
                <w:rFonts w:hint="default" w:ascii="Times New Roman" w:hAnsi="Times New Roman" w:eastAsia="宋体" w:cs="Times New Roman"/>
                <w:color w:val="auto"/>
                <w:kern w:val="0"/>
                <w:sz w:val="24"/>
                <w:szCs w:val="24"/>
                <w:lang w:val="en-US" w:eastAsia="zh-CN" w:bidi="ar"/>
              </w:rPr>
              <w:t>t/d</w:t>
            </w:r>
            <w:r>
              <w:rPr>
                <w:rFonts w:hint="eastAsia" w:ascii="宋体" w:hAnsi="宋体" w:eastAsia="宋体" w:cs="宋体"/>
                <w:color w:val="auto"/>
                <w:kern w:val="0"/>
                <w:sz w:val="24"/>
                <w:szCs w:val="24"/>
                <w:lang w:val="en-US" w:eastAsia="zh-CN" w:bidi="ar"/>
              </w:rPr>
              <w:t>，污水处理采用“曝气沉砂池</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 xml:space="preserve">改良型 </w:t>
            </w:r>
            <w:r>
              <w:rPr>
                <w:rFonts w:hint="default" w:ascii="Times New Roman" w:hAnsi="Times New Roman" w:eastAsia="宋体" w:cs="Times New Roman"/>
                <w:color w:val="auto"/>
                <w:kern w:val="0"/>
                <w:sz w:val="24"/>
                <w:szCs w:val="24"/>
                <w:lang w:val="en-US" w:eastAsia="zh-CN" w:bidi="ar"/>
              </w:rPr>
              <w:t xml:space="preserve">Carrousel-2000 </w:t>
            </w:r>
            <w:r>
              <w:rPr>
                <w:rFonts w:hint="eastAsia" w:ascii="宋体" w:hAnsi="宋体" w:eastAsia="宋体" w:cs="宋体"/>
                <w:color w:val="auto"/>
                <w:kern w:val="0"/>
                <w:sz w:val="24"/>
                <w:szCs w:val="24"/>
                <w:lang w:val="en-US" w:eastAsia="zh-CN" w:bidi="ar"/>
              </w:rPr>
              <w:t xml:space="preserve">氧化沟 </w:t>
            </w:r>
          </w:p>
          <w:p w14:paraId="4BB98FE0">
            <w:pPr>
              <w:keepNext w:val="0"/>
              <w:keepLines w:val="0"/>
              <w:widowControl/>
              <w:suppressLineNumbers w:val="0"/>
              <w:spacing w:line="360" w:lineRule="auto"/>
              <w:jc w:val="left"/>
              <w:rPr>
                <w:color w:val="auto"/>
              </w:rPr>
            </w:pPr>
            <w:r>
              <w:rPr>
                <w:rFonts w:hint="eastAsia" w:ascii="宋体" w:hAnsi="宋体" w:eastAsia="宋体" w:cs="宋体"/>
                <w:color w:val="auto"/>
                <w:kern w:val="0"/>
                <w:sz w:val="24"/>
                <w:szCs w:val="24"/>
                <w:lang w:val="en-US" w:eastAsia="zh-CN" w:bidi="ar"/>
              </w:rPr>
              <w:t>工艺</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二沉池</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 xml:space="preserve">紫外线消毒”工艺，尾水水质执行《城镇污水处理厂污染物排放 </w:t>
            </w:r>
          </w:p>
          <w:p w14:paraId="6BCAD2EA">
            <w:pPr>
              <w:keepNext w:val="0"/>
              <w:keepLines w:val="0"/>
              <w:widowControl/>
              <w:suppressLineNumbers w:val="0"/>
              <w:spacing w:line="360" w:lineRule="auto"/>
              <w:jc w:val="left"/>
              <w:rPr>
                <w:color w:val="auto"/>
              </w:rPr>
            </w:pPr>
            <w:r>
              <w:rPr>
                <w:rFonts w:hint="eastAsia" w:ascii="宋体" w:hAnsi="宋体" w:eastAsia="宋体" w:cs="宋体"/>
                <w:color w:val="auto"/>
                <w:kern w:val="0"/>
                <w:sz w:val="24"/>
                <w:szCs w:val="24"/>
                <w:lang w:val="en-US" w:eastAsia="zh-CN" w:bidi="ar"/>
              </w:rPr>
              <w:t>标准》（</w:t>
            </w:r>
            <w:r>
              <w:rPr>
                <w:rFonts w:hint="default" w:ascii="Times New Roman" w:hAnsi="Times New Roman" w:eastAsia="宋体" w:cs="Times New Roman"/>
                <w:color w:val="auto"/>
                <w:kern w:val="0"/>
                <w:sz w:val="24"/>
                <w:szCs w:val="24"/>
                <w:lang w:val="en-US" w:eastAsia="zh-CN" w:bidi="ar"/>
              </w:rPr>
              <w:t>GB18918-2002</w:t>
            </w:r>
            <w:r>
              <w:rPr>
                <w:rFonts w:hint="eastAsia" w:ascii="宋体" w:hAnsi="宋体" w:eastAsia="宋体" w:cs="宋体"/>
                <w:color w:val="auto"/>
                <w:kern w:val="0"/>
                <w:sz w:val="24"/>
                <w:szCs w:val="24"/>
                <w:lang w:val="en-US" w:eastAsia="zh-CN" w:bidi="ar"/>
              </w:rPr>
              <w:t xml:space="preserve">）及其修改单的一级 </w:t>
            </w:r>
            <w:r>
              <w:rPr>
                <w:rFonts w:hint="default" w:ascii="Times New Roman" w:hAnsi="Times New Roman" w:eastAsia="宋体" w:cs="Times New Roman"/>
                <w:color w:val="auto"/>
                <w:kern w:val="0"/>
                <w:sz w:val="24"/>
                <w:szCs w:val="24"/>
                <w:lang w:val="en-US" w:eastAsia="zh-CN" w:bidi="ar"/>
              </w:rPr>
              <w:t xml:space="preserve">B </w:t>
            </w:r>
            <w:r>
              <w:rPr>
                <w:rFonts w:hint="eastAsia" w:ascii="宋体" w:hAnsi="宋体" w:eastAsia="宋体" w:cs="宋体"/>
                <w:color w:val="auto"/>
                <w:kern w:val="0"/>
                <w:sz w:val="24"/>
                <w:szCs w:val="24"/>
                <w:lang w:val="en-US" w:eastAsia="zh-CN" w:bidi="ar"/>
              </w:rPr>
              <w:t xml:space="preserve">标准，排入梅溪汇入中房溪（陶 </w:t>
            </w:r>
          </w:p>
          <w:p w14:paraId="58D0E932">
            <w:pPr>
              <w:keepNext w:val="0"/>
              <w:keepLines w:val="0"/>
              <w:widowControl/>
              <w:suppressLineNumbers w:val="0"/>
              <w:spacing w:line="360" w:lineRule="auto"/>
              <w:jc w:val="left"/>
              <w:rPr>
                <w:color w:val="auto"/>
              </w:rPr>
            </w:pPr>
            <w:r>
              <w:rPr>
                <w:rFonts w:hint="eastAsia" w:ascii="宋体" w:hAnsi="宋体" w:eastAsia="宋体" w:cs="宋体"/>
                <w:color w:val="auto"/>
                <w:kern w:val="0"/>
                <w:sz w:val="24"/>
                <w:szCs w:val="24"/>
                <w:lang w:val="en-US" w:eastAsia="zh-CN" w:bidi="ar"/>
              </w:rPr>
              <w:t xml:space="preserve">江）。 青口新区污水处理厂污水处理工艺流程详见图 </w:t>
            </w:r>
            <w:r>
              <w:rPr>
                <w:rFonts w:hint="default" w:ascii="Times New Roman" w:hAnsi="Times New Roman" w:eastAsia="宋体" w:cs="Times New Roman"/>
                <w:color w:val="auto"/>
                <w:kern w:val="0"/>
                <w:sz w:val="24"/>
                <w:szCs w:val="24"/>
                <w:lang w:val="en-US" w:eastAsia="zh-CN" w:bidi="ar"/>
              </w:rPr>
              <w:t>4.3-1</w:t>
            </w:r>
            <w:r>
              <w:rPr>
                <w:rFonts w:hint="eastAsia" w:ascii="宋体" w:hAnsi="宋体" w:eastAsia="宋体" w:cs="宋体"/>
                <w:color w:val="auto"/>
                <w:kern w:val="0"/>
                <w:sz w:val="24"/>
                <w:szCs w:val="24"/>
                <w:lang w:val="en-US" w:eastAsia="zh-CN" w:bidi="ar"/>
              </w:rPr>
              <w:t>。</w:t>
            </w:r>
          </w:p>
          <w:p w14:paraId="1C0BDBB6">
            <w:pPr>
              <w:widowControl/>
              <w:spacing w:line="360" w:lineRule="auto"/>
              <w:ind w:firstLine="420" w:firstLineChars="200"/>
              <w:jc w:val="left"/>
              <w:rPr>
                <w:rFonts w:hint="eastAsia" w:ascii="Times New Roman" w:hAnsi="Times New Roman" w:cs="Times New Roman"/>
                <w:color w:val="auto"/>
                <w:kern w:val="0"/>
                <w:sz w:val="24"/>
                <w:szCs w:val="24"/>
                <w:lang w:val="en-US" w:eastAsia="zh-CN" w:bidi="ar"/>
              </w:rPr>
            </w:pPr>
            <w:r>
              <w:rPr>
                <w:color w:val="auto"/>
              </w:rPr>
              <w:drawing>
                <wp:inline distT="0" distB="0" distL="114300" distR="114300">
                  <wp:extent cx="4143375" cy="2165985"/>
                  <wp:effectExtent l="0" t="0" r="9525" b="5715"/>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15"/>
                          <a:stretch>
                            <a:fillRect/>
                          </a:stretch>
                        </pic:blipFill>
                        <pic:spPr>
                          <a:xfrm>
                            <a:off x="0" y="0"/>
                            <a:ext cx="4143375" cy="2165985"/>
                          </a:xfrm>
                          <a:prstGeom prst="rect">
                            <a:avLst/>
                          </a:prstGeom>
                          <a:noFill/>
                          <a:ln>
                            <a:noFill/>
                          </a:ln>
                        </pic:spPr>
                      </pic:pic>
                    </a:graphicData>
                  </a:graphic>
                </wp:inline>
              </w:drawing>
            </w:r>
          </w:p>
          <w:p w14:paraId="58A7B6BD">
            <w:pPr>
              <w:keepNext w:val="0"/>
              <w:keepLines w:val="0"/>
              <w:widowControl/>
              <w:suppressLineNumbers w:val="0"/>
              <w:jc w:val="center"/>
              <w:rPr>
                <w:color w:val="auto"/>
              </w:rPr>
            </w:pPr>
            <w:r>
              <w:rPr>
                <w:rFonts w:hint="eastAsia" w:ascii="宋体" w:hAnsi="宋体" w:eastAsia="宋体" w:cs="宋体"/>
                <w:b/>
                <w:bCs/>
                <w:color w:val="auto"/>
                <w:kern w:val="0"/>
                <w:sz w:val="24"/>
                <w:szCs w:val="24"/>
                <w:lang w:val="en-US" w:eastAsia="zh-CN" w:bidi="ar"/>
              </w:rPr>
              <w:t xml:space="preserve">图 </w:t>
            </w:r>
            <w:r>
              <w:rPr>
                <w:rFonts w:hint="default" w:ascii="Times New Roman" w:hAnsi="Times New Roman" w:eastAsia="宋体" w:cs="Times New Roman"/>
                <w:b/>
                <w:bCs/>
                <w:color w:val="auto"/>
                <w:kern w:val="0"/>
                <w:sz w:val="24"/>
                <w:szCs w:val="24"/>
                <w:lang w:val="en-US" w:eastAsia="zh-CN" w:bidi="ar"/>
              </w:rPr>
              <w:t>4.</w:t>
            </w:r>
            <w:r>
              <w:rPr>
                <w:rFonts w:hint="eastAsia" w:ascii="Times New Roman" w:hAnsi="Times New Roman" w:eastAsia="宋体" w:cs="Times New Roman"/>
                <w:b/>
                <w:bCs/>
                <w:color w:val="auto"/>
                <w:kern w:val="0"/>
                <w:sz w:val="24"/>
                <w:szCs w:val="24"/>
                <w:lang w:val="en-US" w:eastAsia="zh-CN" w:bidi="ar"/>
              </w:rPr>
              <w:t>2</w:t>
            </w:r>
            <w:r>
              <w:rPr>
                <w:rFonts w:hint="default" w:ascii="Times New Roman" w:hAnsi="Times New Roman" w:eastAsia="宋体" w:cs="Times New Roman"/>
                <w:b/>
                <w:bCs/>
                <w:color w:val="auto"/>
                <w:kern w:val="0"/>
                <w:sz w:val="24"/>
                <w:szCs w:val="24"/>
                <w:lang w:val="en-US" w:eastAsia="zh-CN" w:bidi="ar"/>
              </w:rPr>
              <w:t xml:space="preserve">-1 </w:t>
            </w:r>
            <w:r>
              <w:rPr>
                <w:rFonts w:hint="eastAsia" w:ascii="宋体" w:hAnsi="宋体" w:eastAsia="宋体" w:cs="宋体"/>
                <w:b/>
                <w:bCs/>
                <w:color w:val="auto"/>
                <w:kern w:val="0"/>
                <w:sz w:val="24"/>
                <w:szCs w:val="24"/>
                <w:lang w:val="en-US" w:eastAsia="zh-CN" w:bidi="ar"/>
              </w:rPr>
              <w:t>青口新区污水处理厂处理工艺流程图</w:t>
            </w:r>
          </w:p>
          <w:p w14:paraId="3A4A8516">
            <w:pPr>
              <w:keepNext w:val="0"/>
              <w:keepLines w:val="0"/>
              <w:widowControl/>
              <w:suppressLineNumbers w:val="0"/>
              <w:ind w:firstLine="482" w:firstLineChars="200"/>
              <w:jc w:val="left"/>
              <w:rPr>
                <w:color w:val="auto"/>
              </w:rPr>
            </w:pPr>
            <w:r>
              <w:rPr>
                <w:rFonts w:hint="eastAsia" w:ascii="宋体" w:hAnsi="宋体" w:eastAsia="宋体" w:cs="宋体"/>
                <w:b/>
                <w:bCs/>
                <w:color w:val="auto"/>
                <w:kern w:val="0"/>
                <w:sz w:val="24"/>
                <w:szCs w:val="24"/>
                <w:lang w:val="en-US" w:eastAsia="zh-CN" w:bidi="ar"/>
              </w:rPr>
              <w:t>（</w:t>
            </w:r>
            <w:r>
              <w:rPr>
                <w:rFonts w:hint="default" w:ascii="Times New Roman" w:hAnsi="Times New Roman" w:eastAsia="宋体" w:cs="Times New Roman"/>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 xml:space="preserve">）依托可行性分析 </w:t>
            </w:r>
          </w:p>
          <w:p w14:paraId="2AAE6E41">
            <w:pPr>
              <w:keepNext w:val="0"/>
              <w:keepLines w:val="0"/>
              <w:widowControl/>
              <w:suppressLineNumbers w:val="0"/>
              <w:spacing w:line="360" w:lineRule="auto"/>
              <w:ind w:firstLine="480" w:firstLineChars="200"/>
              <w:jc w:val="left"/>
              <w:rPr>
                <w:color w:val="auto"/>
              </w:rPr>
            </w:pPr>
            <w:r>
              <w:rPr>
                <w:rFonts w:hint="eastAsia" w:ascii="宋体" w:hAnsi="宋体" w:eastAsia="宋体" w:cs="宋体"/>
                <w:color w:val="auto"/>
                <w:kern w:val="0"/>
                <w:sz w:val="24"/>
                <w:szCs w:val="24"/>
                <w:lang w:val="en-US" w:eastAsia="zh-CN" w:bidi="ar"/>
              </w:rPr>
              <w:t xml:space="preserve">①接管可行性 </w:t>
            </w:r>
          </w:p>
          <w:p w14:paraId="2C5D9D8B">
            <w:pPr>
              <w:keepNext w:val="0"/>
              <w:keepLines w:val="0"/>
              <w:widowControl/>
              <w:suppressLineNumbers w:val="0"/>
              <w:spacing w:line="360" w:lineRule="auto"/>
              <w:ind w:firstLine="480" w:firstLineChars="200"/>
              <w:jc w:val="left"/>
              <w:rPr>
                <w:color w:val="auto"/>
              </w:rPr>
            </w:pPr>
            <w:r>
              <w:rPr>
                <w:rFonts w:hint="eastAsia" w:ascii="宋体" w:hAnsi="宋体" w:eastAsia="宋体" w:cs="宋体"/>
                <w:color w:val="auto"/>
                <w:kern w:val="0"/>
                <w:sz w:val="24"/>
                <w:szCs w:val="24"/>
                <w:lang w:val="en-US" w:eastAsia="zh-CN" w:bidi="ar"/>
              </w:rPr>
              <w:t>青口新区污水处理厂主要服务范围为青口投资区，包括青口镇、尚干镇和祥谦镇三个镇域部分，主要收集和处理企业工业废水和镇区居民生活污水。本项目所在区域位于青口新区污水处理厂的服务范围，待区域市政污水管网建成并运行后，项目污水可通过厂区污水排放口接入市政污水管网送往青口新区污水处理厂集中处理。</w:t>
            </w:r>
          </w:p>
          <w:p w14:paraId="477D7BD6">
            <w:pPr>
              <w:keepNext w:val="0"/>
              <w:keepLines w:val="0"/>
              <w:widowControl/>
              <w:suppressLineNumbers w:val="0"/>
              <w:spacing w:line="360" w:lineRule="auto"/>
              <w:ind w:firstLine="480" w:firstLineChars="200"/>
              <w:jc w:val="left"/>
              <w:rPr>
                <w:color w:val="auto"/>
              </w:rPr>
            </w:pPr>
            <w:r>
              <w:rPr>
                <w:rFonts w:hint="eastAsia" w:ascii="宋体" w:hAnsi="宋体" w:eastAsia="宋体" w:cs="宋体"/>
                <w:color w:val="auto"/>
                <w:kern w:val="0"/>
                <w:sz w:val="24"/>
                <w:szCs w:val="24"/>
                <w:lang w:val="en-US" w:eastAsia="zh-CN" w:bidi="ar"/>
              </w:rPr>
              <w:t xml:space="preserve">②水质负荷 </w:t>
            </w:r>
          </w:p>
          <w:p w14:paraId="4040B3F5">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A.设计进出水水质根据《福州青口新区环境工程(污水处理厂)环境影响报告书》可知，青口新区污水处理厂进出水水质见表4.2-6。</w:t>
            </w:r>
          </w:p>
          <w:p w14:paraId="3162143D">
            <w:pPr>
              <w:spacing w:line="360" w:lineRule="auto"/>
              <w:ind w:firstLine="482" w:firstLineChars="200"/>
              <w:jc w:val="center"/>
              <w:rPr>
                <w:color w:val="auto"/>
                <w:sz w:val="24"/>
              </w:rPr>
            </w:pPr>
            <w:r>
              <w:rPr>
                <w:rFonts w:hint="eastAsia" w:ascii="Times New Roman" w:hAnsi="Times New Roman" w:eastAsia="宋体" w:cs="Times New Roman"/>
                <w:b/>
                <w:bCs/>
                <w:color w:val="auto"/>
                <w:sz w:val="24"/>
                <w:lang w:val="en-US" w:eastAsia="zh-CN"/>
              </w:rPr>
              <w:t>表4.2-6</w:t>
            </w:r>
            <w:r>
              <w:rPr>
                <w:rFonts w:hint="eastAsia" w:cs="Times New Roman"/>
                <w:b/>
                <w:bCs/>
                <w:color w:val="auto"/>
                <w:sz w:val="24"/>
                <w:lang w:val="en-US" w:eastAsia="zh-CN"/>
              </w:rPr>
              <w:t>污水处理厂</w:t>
            </w:r>
            <w:r>
              <w:rPr>
                <w:rFonts w:hint="default" w:ascii="Times New Roman" w:hAnsi="Times New Roman" w:eastAsia="宋体" w:cs="Times New Roman"/>
                <w:b/>
                <w:bCs/>
                <w:color w:val="auto"/>
                <w:sz w:val="24"/>
                <w:lang w:val="en-US" w:eastAsia="zh-CN"/>
              </w:rPr>
              <w:t>进出水水质标准</w:t>
            </w:r>
            <w:r>
              <w:rPr>
                <w:rFonts w:hint="eastAsia"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lang w:val="en-US" w:eastAsia="zh-CN"/>
              </w:rPr>
              <w:t>mg/L</w:t>
            </w:r>
            <w:r>
              <w:rPr>
                <w:rFonts w:hint="eastAsia" w:ascii="Times New Roman" w:hAnsi="Times New Roman" w:eastAsia="宋体" w:cs="Times New Roman"/>
                <w:b/>
                <w:bCs/>
                <w:color w:val="auto"/>
                <w:sz w:val="24"/>
                <w:lang w:val="en-US" w:eastAsia="zh-CN"/>
              </w:rPr>
              <w:t>pH除外)</w:t>
            </w:r>
          </w:p>
          <w:tbl>
            <w:tblPr>
              <w:tblStyle w:val="41"/>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17"/>
              <w:gridCol w:w="1361"/>
              <w:gridCol w:w="1107"/>
              <w:gridCol w:w="1002"/>
              <w:gridCol w:w="1068"/>
              <w:gridCol w:w="988"/>
              <w:gridCol w:w="988"/>
              <w:gridCol w:w="883"/>
            </w:tblGrid>
            <w:tr w14:paraId="0391D4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6" w:type="pct"/>
                  <w:noWrap w:val="0"/>
                  <w:vAlign w:val="center"/>
                </w:tcPr>
                <w:p w14:paraId="1A4E1E63">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水质指标</w:t>
                  </w:r>
                </w:p>
              </w:tc>
              <w:tc>
                <w:tcPr>
                  <w:tcW w:w="799" w:type="pct"/>
                  <w:noWrap w:val="0"/>
                  <w:vAlign w:val="center"/>
                </w:tcPr>
                <w:p w14:paraId="78092F41">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pH</w:t>
                  </w:r>
                </w:p>
              </w:tc>
              <w:tc>
                <w:tcPr>
                  <w:tcW w:w="650" w:type="pct"/>
                  <w:noWrap w:val="0"/>
                  <w:vAlign w:val="center"/>
                </w:tcPr>
                <w:p w14:paraId="0472972F">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COD</w:t>
                  </w:r>
                </w:p>
              </w:tc>
              <w:tc>
                <w:tcPr>
                  <w:tcW w:w="588" w:type="pct"/>
                  <w:noWrap w:val="0"/>
                  <w:vAlign w:val="center"/>
                </w:tcPr>
                <w:p w14:paraId="48AEF62F">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BOD</w:t>
                  </w:r>
                  <w:r>
                    <w:rPr>
                      <w:rFonts w:hint="default" w:ascii="Times New Roman" w:hAnsi="Times New Roman" w:eastAsia="宋体" w:cs="Times New Roman"/>
                      <w:color w:val="auto"/>
                      <w:kern w:val="2"/>
                      <w:sz w:val="21"/>
                      <w:szCs w:val="21"/>
                      <w:highlight w:val="none"/>
                      <w:vertAlign w:val="subscript"/>
                      <w:lang w:val="en-US" w:eastAsia="zh-CN" w:bidi="ar-SA"/>
                    </w:rPr>
                    <w:t>5</w:t>
                  </w:r>
                </w:p>
              </w:tc>
              <w:tc>
                <w:tcPr>
                  <w:tcW w:w="627" w:type="pct"/>
                  <w:noWrap w:val="0"/>
                  <w:vAlign w:val="center"/>
                </w:tcPr>
                <w:p w14:paraId="7A37FDDC">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SS</w:t>
                  </w:r>
                </w:p>
              </w:tc>
              <w:tc>
                <w:tcPr>
                  <w:tcW w:w="580" w:type="pct"/>
                  <w:noWrap w:val="0"/>
                  <w:vAlign w:val="center"/>
                </w:tcPr>
                <w:p w14:paraId="52E38A82">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NH</w:t>
                  </w:r>
                  <w:r>
                    <w:rPr>
                      <w:rFonts w:hint="default" w:ascii="Times New Roman" w:hAnsi="Times New Roman" w:eastAsia="宋体" w:cs="Times New Roman"/>
                      <w:color w:val="auto"/>
                      <w:kern w:val="2"/>
                      <w:sz w:val="21"/>
                      <w:szCs w:val="21"/>
                      <w:highlight w:val="none"/>
                      <w:vertAlign w:val="subscript"/>
                      <w:lang w:val="en-US" w:eastAsia="zh-CN" w:bidi="ar-SA"/>
                    </w:rPr>
                    <w:t>3</w:t>
                  </w:r>
                  <w:r>
                    <w:rPr>
                      <w:rFonts w:hint="default" w:ascii="Times New Roman" w:hAnsi="Times New Roman" w:eastAsia="宋体" w:cs="Times New Roman"/>
                      <w:color w:val="auto"/>
                      <w:kern w:val="2"/>
                      <w:sz w:val="21"/>
                      <w:szCs w:val="21"/>
                      <w:highlight w:val="none"/>
                      <w:lang w:val="en-US" w:eastAsia="zh-CN" w:bidi="ar-SA"/>
                    </w:rPr>
                    <w:t>-N</w:t>
                  </w:r>
                </w:p>
              </w:tc>
              <w:tc>
                <w:tcPr>
                  <w:tcW w:w="580" w:type="pct"/>
                  <w:noWrap w:val="0"/>
                  <w:vAlign w:val="center"/>
                </w:tcPr>
                <w:p w14:paraId="3E2B3275">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TN</w:t>
                  </w:r>
                </w:p>
              </w:tc>
              <w:tc>
                <w:tcPr>
                  <w:tcW w:w="518" w:type="pct"/>
                  <w:noWrap w:val="0"/>
                  <w:vAlign w:val="center"/>
                </w:tcPr>
                <w:p w14:paraId="53300E39">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TP</w:t>
                  </w:r>
                </w:p>
              </w:tc>
            </w:tr>
            <w:tr w14:paraId="6BD4E6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6" w:type="pct"/>
                  <w:noWrap w:val="0"/>
                  <w:vAlign w:val="center"/>
                </w:tcPr>
                <w:p w14:paraId="0745DC18">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进水水质</w:t>
                  </w:r>
                </w:p>
              </w:tc>
              <w:tc>
                <w:tcPr>
                  <w:tcW w:w="799" w:type="pct"/>
                  <w:noWrap w:val="0"/>
                  <w:vAlign w:val="center"/>
                </w:tcPr>
                <w:p w14:paraId="4F0F0647">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6~9(无量纲)</w:t>
                  </w:r>
                </w:p>
              </w:tc>
              <w:tc>
                <w:tcPr>
                  <w:tcW w:w="650" w:type="pct"/>
                  <w:noWrap w:val="0"/>
                  <w:vAlign w:val="center"/>
                </w:tcPr>
                <w:p w14:paraId="44502F0A">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300</w:t>
                  </w:r>
                </w:p>
              </w:tc>
              <w:tc>
                <w:tcPr>
                  <w:tcW w:w="588" w:type="pct"/>
                  <w:noWrap w:val="0"/>
                  <w:vAlign w:val="center"/>
                </w:tcPr>
                <w:p w14:paraId="6AE8C6EB">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160</w:t>
                  </w:r>
                </w:p>
              </w:tc>
              <w:tc>
                <w:tcPr>
                  <w:tcW w:w="627" w:type="pct"/>
                  <w:noWrap w:val="0"/>
                  <w:vAlign w:val="center"/>
                </w:tcPr>
                <w:p w14:paraId="4B0CE39E">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2</w:t>
                  </w:r>
                  <w:r>
                    <w:rPr>
                      <w:rFonts w:hint="default" w:ascii="Times New Roman" w:hAnsi="Times New Roman" w:eastAsia="宋体" w:cs="Times New Roman"/>
                      <w:color w:val="auto"/>
                      <w:kern w:val="2"/>
                      <w:sz w:val="21"/>
                      <w:szCs w:val="21"/>
                      <w:highlight w:val="none"/>
                      <w:lang w:val="en-US" w:eastAsia="zh-CN" w:bidi="ar-SA"/>
                    </w:rPr>
                    <w:t>00</w:t>
                  </w:r>
                </w:p>
              </w:tc>
              <w:tc>
                <w:tcPr>
                  <w:tcW w:w="580" w:type="pct"/>
                  <w:noWrap w:val="0"/>
                  <w:vAlign w:val="center"/>
                </w:tcPr>
                <w:p w14:paraId="55032DDC">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35</w:t>
                  </w:r>
                </w:p>
              </w:tc>
              <w:tc>
                <w:tcPr>
                  <w:tcW w:w="580" w:type="pct"/>
                  <w:noWrap w:val="0"/>
                  <w:vAlign w:val="center"/>
                </w:tcPr>
                <w:p w14:paraId="4A4C2371">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518" w:type="pct"/>
                  <w:noWrap w:val="0"/>
                  <w:vAlign w:val="center"/>
                </w:tcPr>
                <w:p w14:paraId="652454BB">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45</w:t>
                  </w:r>
                </w:p>
              </w:tc>
            </w:tr>
            <w:tr w14:paraId="5F010C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6" w:type="pct"/>
                  <w:noWrap w:val="0"/>
                  <w:vAlign w:val="center"/>
                </w:tcPr>
                <w:p w14:paraId="2EB6A3AD">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出水标准</w:t>
                  </w:r>
                </w:p>
              </w:tc>
              <w:tc>
                <w:tcPr>
                  <w:tcW w:w="799" w:type="pct"/>
                  <w:noWrap w:val="0"/>
                  <w:vAlign w:val="center"/>
                </w:tcPr>
                <w:p w14:paraId="1E781CC0">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6~9(无量纲)</w:t>
                  </w:r>
                </w:p>
              </w:tc>
              <w:tc>
                <w:tcPr>
                  <w:tcW w:w="650" w:type="pct"/>
                  <w:noWrap w:val="0"/>
                  <w:vAlign w:val="center"/>
                </w:tcPr>
                <w:p w14:paraId="602B3A87">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60</w:t>
                  </w:r>
                </w:p>
              </w:tc>
              <w:tc>
                <w:tcPr>
                  <w:tcW w:w="588" w:type="pct"/>
                  <w:noWrap w:val="0"/>
                  <w:vAlign w:val="center"/>
                </w:tcPr>
                <w:p w14:paraId="6B3FD1F8">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20</w:t>
                  </w:r>
                </w:p>
              </w:tc>
              <w:tc>
                <w:tcPr>
                  <w:tcW w:w="627" w:type="pct"/>
                  <w:noWrap w:val="0"/>
                  <w:vAlign w:val="center"/>
                </w:tcPr>
                <w:p w14:paraId="6F31F287">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20</w:t>
                  </w:r>
                </w:p>
              </w:tc>
              <w:tc>
                <w:tcPr>
                  <w:tcW w:w="580" w:type="pct"/>
                  <w:noWrap w:val="0"/>
                  <w:vAlign w:val="center"/>
                </w:tcPr>
                <w:p w14:paraId="5010C1DA">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15</w:t>
                  </w:r>
                </w:p>
              </w:tc>
              <w:tc>
                <w:tcPr>
                  <w:tcW w:w="580" w:type="pct"/>
                  <w:noWrap w:val="0"/>
                  <w:vAlign w:val="center"/>
                </w:tcPr>
                <w:p w14:paraId="713CBDE1">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20</w:t>
                  </w:r>
                </w:p>
              </w:tc>
              <w:tc>
                <w:tcPr>
                  <w:tcW w:w="518" w:type="pct"/>
                  <w:noWrap w:val="0"/>
                  <w:vAlign w:val="center"/>
                </w:tcPr>
                <w:p w14:paraId="7B3067A7">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1.0</w:t>
                  </w:r>
                </w:p>
              </w:tc>
            </w:tr>
          </w:tbl>
          <w:p w14:paraId="1C8269FB">
            <w:pPr>
              <w:keepNext w:val="0"/>
              <w:keepLines w:val="0"/>
              <w:widowControl/>
              <w:suppressLineNumbers w:val="0"/>
              <w:spacing w:line="360" w:lineRule="auto"/>
              <w:ind w:firstLine="480" w:firstLineChars="200"/>
              <w:jc w:val="left"/>
              <w:rPr>
                <w:color w:val="auto"/>
              </w:rPr>
            </w:pPr>
            <w:r>
              <w:rPr>
                <w:rFonts w:hint="eastAsia" w:ascii="宋体" w:hAnsi="宋体" w:eastAsia="宋体" w:cs="宋体"/>
                <w:color w:val="auto"/>
                <w:kern w:val="0"/>
                <w:sz w:val="24"/>
                <w:szCs w:val="24"/>
                <w:lang w:val="en-US" w:eastAsia="zh-CN" w:bidi="ar"/>
              </w:rPr>
              <w:t xml:space="preserve">根据工程分析可知，项目排放废水主要为生活污水及医疗废水，主要污染物为 </w:t>
            </w:r>
            <w:r>
              <w:rPr>
                <w:rFonts w:hint="default" w:ascii="Times New Roman" w:hAnsi="Times New Roman" w:eastAsia="宋体" w:cs="Times New Roman"/>
                <w:color w:val="auto"/>
                <w:kern w:val="0"/>
                <w:sz w:val="24"/>
                <w:szCs w:val="24"/>
                <w:lang w:val="en-US" w:eastAsia="zh-CN" w:bidi="ar"/>
              </w:rPr>
              <w:t>COD</w:t>
            </w:r>
            <w:r>
              <w:rPr>
                <w:rFonts w:hint="eastAsia" w:ascii="宋体" w:hAnsi="宋体" w:eastAsia="宋体" w:cs="宋体"/>
                <w:color w:val="auto"/>
                <w:kern w:val="0"/>
                <w:sz w:val="24"/>
                <w:szCs w:val="24"/>
                <w:lang w:val="en-US" w:eastAsia="zh-CN" w:bidi="ar"/>
              </w:rPr>
              <w:t xml:space="preserve">、 </w:t>
            </w:r>
            <w:r>
              <w:rPr>
                <w:rFonts w:hint="default" w:ascii="Times New Roman" w:hAnsi="Times New Roman" w:eastAsia="宋体" w:cs="Times New Roman"/>
                <w:color w:val="auto"/>
                <w:kern w:val="0"/>
                <w:sz w:val="24"/>
                <w:szCs w:val="24"/>
                <w:lang w:val="en-US" w:eastAsia="zh-CN" w:bidi="ar"/>
              </w:rPr>
              <w:t>BOD</w:t>
            </w:r>
            <w:r>
              <w:rPr>
                <w:rFonts w:hint="default" w:ascii="Times New Roman" w:hAnsi="Times New Roman" w:eastAsia="宋体" w:cs="Times New Roman"/>
                <w:color w:val="auto"/>
                <w:kern w:val="0"/>
                <w:sz w:val="15"/>
                <w:szCs w:val="15"/>
                <w:lang w:val="en-US" w:eastAsia="zh-CN" w:bidi="ar"/>
              </w:rPr>
              <w:t>5</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SS</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NH</w:t>
            </w:r>
            <w:r>
              <w:rPr>
                <w:rFonts w:hint="default" w:ascii="Times New Roman" w:hAnsi="Times New Roman" w:eastAsia="宋体" w:cs="Times New Roman"/>
                <w:color w:val="auto"/>
                <w:kern w:val="0"/>
                <w:sz w:val="15"/>
                <w:szCs w:val="15"/>
                <w:lang w:val="en-US" w:eastAsia="zh-CN" w:bidi="ar"/>
              </w:rPr>
              <w:t>3</w:t>
            </w:r>
            <w:r>
              <w:rPr>
                <w:rFonts w:hint="default" w:ascii="Times New Roman" w:hAnsi="Times New Roman" w:eastAsia="宋体" w:cs="Times New Roman"/>
                <w:color w:val="auto"/>
                <w:kern w:val="0"/>
                <w:sz w:val="24"/>
                <w:szCs w:val="24"/>
                <w:lang w:val="en-US" w:eastAsia="zh-CN" w:bidi="ar"/>
              </w:rPr>
              <w:t>-N 等，污染物不含有腐蚀成分，且不含有毒污染物成分。项目各类污水经过污水处理站处理后，达到&lt;&lt;医疗机构水污染物排放标准&gt;&gt;(GB18466-2005)表2处理</w:t>
            </w:r>
            <w:r>
              <w:rPr>
                <w:rFonts w:hint="eastAsia" w:ascii="宋体" w:hAnsi="宋体" w:eastAsia="宋体" w:cs="宋体"/>
                <w:color w:val="auto"/>
                <w:kern w:val="0"/>
                <w:sz w:val="24"/>
                <w:szCs w:val="24"/>
                <w:lang w:val="en-US" w:eastAsia="zh-CN" w:bidi="ar"/>
              </w:rPr>
              <w:t xml:space="preserve">标准，符合青口新区污水处理厂进水要求，不会对青口新区污水处理厂的正常运行水质负荷造成影响。 </w:t>
            </w:r>
          </w:p>
          <w:p w14:paraId="6D75ADD5">
            <w:pPr>
              <w:keepNext w:val="0"/>
              <w:keepLines w:val="0"/>
              <w:widowControl/>
              <w:suppressLineNumbers w:val="0"/>
              <w:spacing w:line="360" w:lineRule="auto"/>
              <w:ind w:firstLine="480" w:firstLineChars="200"/>
              <w:jc w:val="left"/>
              <w:rPr>
                <w:color w:val="auto"/>
              </w:rPr>
            </w:pPr>
            <w:r>
              <w:rPr>
                <w:rFonts w:hint="eastAsia" w:ascii="宋体" w:hAnsi="宋体" w:eastAsia="宋体" w:cs="宋体"/>
                <w:color w:val="auto"/>
                <w:kern w:val="0"/>
                <w:sz w:val="24"/>
                <w:szCs w:val="24"/>
                <w:lang w:val="en-US" w:eastAsia="zh-CN" w:bidi="ar"/>
              </w:rPr>
              <w:t xml:space="preserve">③水量负荷 </w:t>
            </w:r>
          </w:p>
          <w:p w14:paraId="3F8C1389">
            <w:pPr>
              <w:keepNext w:val="0"/>
              <w:keepLines w:val="0"/>
              <w:widowControl/>
              <w:suppressLineNumbers w:val="0"/>
              <w:spacing w:line="360" w:lineRule="auto"/>
              <w:ind w:firstLine="480" w:firstLineChars="200"/>
              <w:jc w:val="left"/>
              <w:rPr>
                <w:color w:val="auto"/>
              </w:rPr>
            </w:pPr>
            <w:r>
              <w:rPr>
                <w:rFonts w:hint="eastAsia" w:ascii="宋体" w:hAnsi="宋体" w:eastAsia="宋体" w:cs="宋体"/>
                <w:color w:val="auto"/>
                <w:kern w:val="0"/>
                <w:sz w:val="24"/>
                <w:szCs w:val="24"/>
                <w:lang w:val="en-US" w:eastAsia="zh-CN" w:bidi="ar"/>
              </w:rPr>
              <w:t xml:space="preserve">根据调查，青口新区污水处理厂现状总处理规模为 </w:t>
            </w:r>
            <w:r>
              <w:rPr>
                <w:rFonts w:hint="default" w:ascii="Times New Roman" w:hAnsi="Times New Roman" w:eastAsia="宋体" w:cs="Times New Roman"/>
                <w:color w:val="auto"/>
                <w:kern w:val="0"/>
                <w:sz w:val="24"/>
                <w:szCs w:val="24"/>
                <w:lang w:val="en-US" w:eastAsia="zh-CN" w:bidi="ar"/>
              </w:rPr>
              <w:t xml:space="preserve">3.0 </w:t>
            </w:r>
            <w:r>
              <w:rPr>
                <w:rFonts w:hint="eastAsia" w:ascii="宋体" w:hAnsi="宋体" w:eastAsia="宋体" w:cs="宋体"/>
                <w:color w:val="auto"/>
                <w:kern w:val="0"/>
                <w:sz w:val="24"/>
                <w:szCs w:val="24"/>
                <w:lang w:val="en-US" w:eastAsia="zh-CN" w:bidi="ar"/>
              </w:rPr>
              <w:t xml:space="preserve">万 </w:t>
            </w:r>
            <w:r>
              <w:rPr>
                <w:rFonts w:hint="default" w:ascii="Times New Roman" w:hAnsi="Times New Roman" w:eastAsia="宋体" w:cs="Times New Roman"/>
                <w:color w:val="auto"/>
                <w:kern w:val="0"/>
                <w:sz w:val="24"/>
                <w:szCs w:val="24"/>
                <w:lang w:val="en-US" w:eastAsia="zh-CN" w:bidi="ar"/>
              </w:rPr>
              <w:t>t/d</w:t>
            </w:r>
            <w:r>
              <w:rPr>
                <w:rFonts w:hint="eastAsia" w:ascii="宋体" w:hAnsi="宋体" w:eastAsia="宋体" w:cs="宋体"/>
                <w:color w:val="auto"/>
                <w:kern w:val="0"/>
                <w:sz w:val="24"/>
                <w:szCs w:val="24"/>
                <w:lang w:val="en-US" w:eastAsia="zh-CN" w:bidi="ar"/>
              </w:rPr>
              <w:t xml:space="preserve">，目前实际处 </w:t>
            </w:r>
          </w:p>
          <w:p w14:paraId="1C4B1ADA">
            <w:pPr>
              <w:keepNext w:val="0"/>
              <w:keepLines w:val="0"/>
              <w:widowControl/>
              <w:suppressLineNumbers w:val="0"/>
              <w:spacing w:line="360" w:lineRule="auto"/>
              <w:jc w:val="left"/>
              <w:rPr>
                <w:color w:val="auto"/>
              </w:rPr>
            </w:pPr>
            <w:r>
              <w:rPr>
                <w:rFonts w:hint="eastAsia" w:ascii="宋体" w:hAnsi="宋体" w:eastAsia="宋体" w:cs="宋体"/>
                <w:color w:val="auto"/>
                <w:kern w:val="0"/>
                <w:sz w:val="24"/>
                <w:szCs w:val="24"/>
                <w:lang w:val="en-US" w:eastAsia="zh-CN" w:bidi="ar"/>
              </w:rPr>
              <w:t>理规模约为</w:t>
            </w:r>
            <w:r>
              <w:rPr>
                <w:rFonts w:hint="default" w:ascii="Times New Roman" w:hAnsi="Times New Roman" w:eastAsia="宋体" w:cs="Times New Roman"/>
                <w:color w:val="auto"/>
                <w:kern w:val="0"/>
                <w:sz w:val="24"/>
                <w:szCs w:val="24"/>
                <w:lang w:val="en-US" w:eastAsia="zh-CN" w:bidi="ar"/>
              </w:rPr>
              <w:t>2.0</w:t>
            </w:r>
            <w:r>
              <w:rPr>
                <w:rFonts w:hint="eastAsia" w:ascii="宋体" w:hAnsi="宋体" w:eastAsia="宋体" w:cs="宋体"/>
                <w:color w:val="auto"/>
                <w:kern w:val="0"/>
                <w:sz w:val="24"/>
                <w:szCs w:val="24"/>
                <w:lang w:val="en-US" w:eastAsia="zh-CN" w:bidi="ar"/>
              </w:rPr>
              <w:t xml:space="preserve">万 </w:t>
            </w:r>
            <w:r>
              <w:rPr>
                <w:rFonts w:hint="default" w:ascii="Times New Roman" w:hAnsi="Times New Roman" w:eastAsia="宋体" w:cs="Times New Roman"/>
                <w:color w:val="auto"/>
                <w:kern w:val="0"/>
                <w:sz w:val="24"/>
                <w:szCs w:val="24"/>
                <w:lang w:val="en-US" w:eastAsia="zh-CN" w:bidi="ar"/>
              </w:rPr>
              <w:t>t/d</w:t>
            </w:r>
            <w:r>
              <w:rPr>
                <w:rFonts w:hint="eastAsia" w:ascii="宋体" w:hAnsi="宋体" w:eastAsia="宋体" w:cs="宋体"/>
                <w:color w:val="auto"/>
                <w:kern w:val="0"/>
                <w:sz w:val="24"/>
                <w:szCs w:val="24"/>
                <w:lang w:val="en-US" w:eastAsia="zh-CN" w:bidi="ar"/>
              </w:rPr>
              <w:t xml:space="preserve">，剩余处理规模约 </w:t>
            </w:r>
            <w:r>
              <w:rPr>
                <w:rFonts w:hint="default" w:ascii="Times New Roman" w:hAnsi="Times New Roman" w:eastAsia="宋体" w:cs="Times New Roman"/>
                <w:color w:val="auto"/>
                <w:kern w:val="0"/>
                <w:sz w:val="24"/>
                <w:szCs w:val="24"/>
                <w:lang w:val="en-US" w:eastAsia="zh-CN" w:bidi="ar"/>
              </w:rPr>
              <w:t xml:space="preserve">1.0 </w:t>
            </w:r>
            <w:r>
              <w:rPr>
                <w:rFonts w:hint="eastAsia" w:ascii="宋体" w:hAnsi="宋体" w:eastAsia="宋体" w:cs="宋体"/>
                <w:color w:val="auto"/>
                <w:kern w:val="0"/>
                <w:sz w:val="24"/>
                <w:szCs w:val="24"/>
                <w:lang w:val="en-US" w:eastAsia="zh-CN" w:bidi="ar"/>
              </w:rPr>
              <w:t xml:space="preserve">万 </w:t>
            </w:r>
            <w:r>
              <w:rPr>
                <w:rFonts w:hint="default" w:ascii="Times New Roman" w:hAnsi="Times New Roman" w:eastAsia="宋体" w:cs="Times New Roman"/>
                <w:color w:val="auto"/>
                <w:kern w:val="0"/>
                <w:sz w:val="24"/>
                <w:szCs w:val="24"/>
                <w:lang w:val="en-US" w:eastAsia="zh-CN" w:bidi="ar"/>
              </w:rPr>
              <w:t>t/d</w:t>
            </w:r>
            <w:r>
              <w:rPr>
                <w:rFonts w:hint="eastAsia" w:ascii="宋体" w:hAnsi="宋体" w:eastAsia="宋体" w:cs="宋体"/>
                <w:color w:val="auto"/>
                <w:kern w:val="0"/>
                <w:sz w:val="24"/>
                <w:szCs w:val="24"/>
                <w:lang w:val="en-US" w:eastAsia="zh-CN" w:bidi="ar"/>
              </w:rPr>
              <w:t xml:space="preserve">。本项目新增废水污水排放量 </w:t>
            </w:r>
          </w:p>
          <w:p w14:paraId="06B05D12">
            <w:pPr>
              <w:keepNext w:val="0"/>
              <w:keepLines w:val="0"/>
              <w:widowControl/>
              <w:suppressLineNumbers w:val="0"/>
              <w:spacing w:line="360" w:lineRule="auto"/>
              <w:jc w:val="left"/>
              <w:rPr>
                <w:color w:val="auto"/>
              </w:rPr>
            </w:pPr>
            <w:r>
              <w:rPr>
                <w:rFonts w:hint="eastAsia" w:ascii="宋体" w:hAnsi="宋体" w:eastAsia="宋体" w:cs="宋体"/>
                <w:color w:val="auto"/>
                <w:kern w:val="0"/>
                <w:sz w:val="24"/>
                <w:szCs w:val="24"/>
                <w:lang w:val="en-US" w:eastAsia="zh-CN" w:bidi="ar"/>
              </w:rPr>
              <w:t>为</w:t>
            </w:r>
            <w:r>
              <w:rPr>
                <w:rFonts w:hint="eastAsia" w:ascii="Times New Roman" w:hAnsi="Times New Roman" w:eastAsia="宋体" w:cs="Times New Roman"/>
                <w:color w:val="auto"/>
                <w:kern w:val="0"/>
                <w:sz w:val="24"/>
                <w:szCs w:val="24"/>
                <w:lang w:val="en-US" w:eastAsia="zh-CN" w:bidi="ar"/>
              </w:rPr>
              <w:t>178.47</w:t>
            </w:r>
            <w:r>
              <w:rPr>
                <w:rFonts w:hint="default" w:ascii="Times New Roman" w:hAnsi="Times New Roman" w:eastAsia="宋体" w:cs="Times New Roman"/>
                <w:color w:val="auto"/>
                <w:kern w:val="0"/>
                <w:sz w:val="24"/>
                <w:szCs w:val="24"/>
                <w:lang w:val="en-US" w:eastAsia="zh-CN" w:bidi="ar"/>
              </w:rPr>
              <w:t>t/d（</w:t>
            </w:r>
            <w:r>
              <w:rPr>
                <w:rFonts w:hint="eastAsia" w:ascii="Times New Roman" w:hAnsi="Times New Roman" w:eastAsia="宋体" w:cs="Times New Roman"/>
                <w:color w:val="auto"/>
                <w:kern w:val="0"/>
                <w:sz w:val="24"/>
                <w:szCs w:val="24"/>
                <w:lang w:val="en-US" w:eastAsia="zh-CN" w:bidi="ar"/>
              </w:rPr>
              <w:t>65143.01</w:t>
            </w:r>
            <w:r>
              <w:rPr>
                <w:rFonts w:hint="default" w:ascii="Times New Roman" w:hAnsi="Times New Roman" w:eastAsia="宋体" w:cs="Times New Roman"/>
                <w:color w:val="auto"/>
                <w:kern w:val="0"/>
                <w:sz w:val="24"/>
                <w:szCs w:val="24"/>
                <w:lang w:val="en-US" w:eastAsia="zh-CN" w:bidi="ar"/>
              </w:rPr>
              <w:t>t/a）</w:t>
            </w:r>
            <w:r>
              <w:rPr>
                <w:rFonts w:hint="eastAsia" w:ascii="宋体" w:hAnsi="宋体" w:eastAsia="宋体" w:cs="宋体"/>
                <w:color w:val="auto"/>
                <w:kern w:val="0"/>
                <w:sz w:val="24"/>
                <w:szCs w:val="24"/>
                <w:lang w:val="en-US" w:eastAsia="zh-CN" w:bidi="ar"/>
              </w:rPr>
              <w:t xml:space="preserve">，仅约占青口新区污水处理厂剩余污水处理规模的 </w:t>
            </w:r>
            <w:r>
              <w:rPr>
                <w:rFonts w:hint="default" w:ascii="Times New Roman" w:hAnsi="Times New Roman" w:eastAsia="宋体" w:cs="Times New Roman"/>
                <w:color w:val="auto"/>
                <w:kern w:val="0"/>
                <w:sz w:val="24"/>
                <w:szCs w:val="24"/>
                <w:lang w:val="en-US" w:eastAsia="zh-CN" w:bidi="ar"/>
              </w:rPr>
              <w:t>0.0</w:t>
            </w:r>
            <w:r>
              <w:rPr>
                <w:rFonts w:hint="eastAsia" w:ascii="Times New Roman" w:hAnsi="Times New Roman" w:eastAsia="宋体" w:cs="Times New Roman"/>
                <w:color w:val="auto"/>
                <w:kern w:val="0"/>
                <w:sz w:val="24"/>
                <w:szCs w:val="24"/>
                <w:lang w:val="en-US" w:eastAsia="zh-CN" w:bidi="ar"/>
              </w:rPr>
              <w:t>1</w:t>
            </w:r>
            <w:r>
              <w:rPr>
                <w:rFonts w:hint="default" w:ascii="Times New Roman" w:hAnsi="Times New Roman" w:eastAsia="宋体" w:cs="Times New Roman"/>
                <w:color w:val="auto"/>
                <w:kern w:val="0"/>
                <w:sz w:val="24"/>
                <w:szCs w:val="24"/>
                <w:lang w:val="en-US" w:eastAsia="zh-CN" w:bidi="ar"/>
              </w:rPr>
              <w:t>6%</w:t>
            </w:r>
            <w:r>
              <w:rPr>
                <w:rFonts w:hint="eastAsia" w:ascii="宋体" w:hAnsi="宋体" w:eastAsia="宋体" w:cs="宋体"/>
                <w:color w:val="auto"/>
                <w:kern w:val="0"/>
                <w:sz w:val="24"/>
                <w:szCs w:val="24"/>
                <w:lang w:val="en-US" w:eastAsia="zh-CN" w:bidi="ar"/>
              </w:rPr>
              <w:t xml:space="preserve">，因此青口新区污水处理厂可接纳项目废水排放量，且不会对污水处理厂水量负荷造成冲击。 </w:t>
            </w:r>
          </w:p>
          <w:p w14:paraId="5C3AD3E2">
            <w:pPr>
              <w:pStyle w:val="16"/>
              <w:spacing w:line="360" w:lineRule="auto"/>
              <w:ind w:left="0" w:leftChars="0" w:firstLine="480" w:firstLineChars="200"/>
              <w:rPr>
                <w:rFonts w:hint="default"/>
                <w:color w:val="auto"/>
                <w:lang w:val="en-US" w:eastAsia="zh-CN"/>
              </w:rPr>
            </w:pPr>
            <w:r>
              <w:rPr>
                <w:rFonts w:hint="eastAsia" w:ascii="宋体" w:hAnsi="宋体" w:eastAsia="宋体" w:cs="宋体"/>
                <w:color w:val="auto"/>
                <w:kern w:val="0"/>
                <w:sz w:val="24"/>
                <w:szCs w:val="24"/>
                <w:lang w:val="en-US" w:eastAsia="zh-CN" w:bidi="ar"/>
              </w:rPr>
              <w:t>综上，项目各类污水远期依托污水处理站预处理后排入市政污水管网，送往青口新区污水处理厂进一步处理是可行的，项目废水不直接排入地表水体，不会对区域地表水环境产生直接不利影响。</w:t>
            </w:r>
          </w:p>
          <w:p w14:paraId="5E15E01B">
            <w:pPr>
              <w:spacing w:line="360" w:lineRule="auto"/>
              <w:rPr>
                <w:rFonts w:hint="eastAsia"/>
                <w:b/>
                <w:color w:val="auto"/>
                <w:kern w:val="0"/>
                <w:sz w:val="28"/>
                <w:szCs w:val="28"/>
              </w:rPr>
            </w:pPr>
            <w:r>
              <w:rPr>
                <w:b/>
                <w:bCs/>
                <w:color w:val="auto"/>
                <w:sz w:val="28"/>
                <w:szCs w:val="28"/>
              </w:rPr>
              <w:t>4.</w:t>
            </w:r>
            <w:r>
              <w:rPr>
                <w:rFonts w:hint="eastAsia"/>
                <w:b/>
                <w:bCs/>
                <w:color w:val="auto"/>
                <w:sz w:val="28"/>
                <w:szCs w:val="28"/>
              </w:rPr>
              <w:t>2</w:t>
            </w:r>
            <w:r>
              <w:rPr>
                <w:b/>
                <w:bCs/>
                <w:color w:val="auto"/>
                <w:sz w:val="28"/>
                <w:szCs w:val="28"/>
              </w:rPr>
              <w:t>.</w:t>
            </w:r>
            <w:r>
              <w:rPr>
                <w:rFonts w:hint="eastAsia"/>
                <w:b/>
                <w:bCs/>
                <w:color w:val="auto"/>
                <w:sz w:val="28"/>
                <w:szCs w:val="28"/>
              </w:rPr>
              <w:t>3声</w:t>
            </w:r>
            <w:r>
              <w:rPr>
                <w:b/>
                <w:color w:val="auto"/>
                <w:kern w:val="0"/>
                <w:sz w:val="28"/>
                <w:szCs w:val="28"/>
              </w:rPr>
              <w:t>环境影响</w:t>
            </w:r>
            <w:r>
              <w:rPr>
                <w:rFonts w:hint="eastAsia"/>
                <w:b/>
                <w:color w:val="auto"/>
                <w:kern w:val="0"/>
                <w:sz w:val="28"/>
                <w:szCs w:val="28"/>
              </w:rPr>
              <w:t>和保护措施</w:t>
            </w:r>
          </w:p>
          <w:p w14:paraId="7B8CCC1B">
            <w:pPr>
              <w:pStyle w:val="16"/>
              <w:ind w:left="0" w:leftChars="0" w:firstLine="480" w:firstLineChars="200"/>
              <w:rPr>
                <w:color w:val="auto"/>
              </w:rPr>
            </w:pPr>
            <w:r>
              <w:rPr>
                <w:rFonts w:hint="eastAsia"/>
                <w:color w:val="auto"/>
                <w:szCs w:val="24"/>
              </w:rPr>
              <w:t>一、噪声源强分析</w:t>
            </w:r>
          </w:p>
          <w:p w14:paraId="0378E3AE">
            <w:pPr>
              <w:pStyle w:val="7"/>
              <w:spacing w:before="182" w:line="219" w:lineRule="auto"/>
              <w:ind w:left="609"/>
              <w:rPr>
                <w:rFonts w:hint="eastAsia" w:ascii="Times New Roman" w:hAnsi="Times New Roman" w:eastAsia="宋体" w:cs="Times New Roman"/>
                <w:color w:val="auto"/>
                <w:kern w:val="2"/>
                <w:sz w:val="24"/>
                <w:szCs w:val="32"/>
                <w:lang w:val="en-US" w:eastAsia="zh-CN" w:bidi="ar-SA"/>
              </w:rPr>
            </w:pPr>
            <w:r>
              <w:rPr>
                <w:rFonts w:hint="eastAsia" w:ascii="Times New Roman" w:hAnsi="Times New Roman" w:eastAsia="宋体" w:cs="Times New Roman"/>
                <w:color w:val="auto"/>
                <w:kern w:val="2"/>
                <w:sz w:val="24"/>
                <w:szCs w:val="32"/>
                <w:lang w:val="en-US" w:eastAsia="zh-CN" w:bidi="ar-SA"/>
              </w:rPr>
              <w:t>（1）社会生活噪声</w:t>
            </w:r>
          </w:p>
          <w:p w14:paraId="1317EBC7">
            <w:pPr>
              <w:pStyle w:val="7"/>
              <w:spacing w:before="184" w:line="360" w:lineRule="auto"/>
              <w:ind w:left="129" w:right="108" w:firstLine="462"/>
              <w:rPr>
                <w:rFonts w:hint="eastAsia" w:ascii="Times New Roman" w:hAnsi="Times New Roman" w:eastAsia="宋体" w:cs="Times New Roman"/>
                <w:color w:val="auto"/>
                <w:kern w:val="2"/>
                <w:sz w:val="24"/>
                <w:szCs w:val="32"/>
                <w:lang w:val="en-US" w:eastAsia="zh-CN" w:bidi="ar-SA"/>
              </w:rPr>
            </w:pPr>
            <w:r>
              <w:rPr>
                <w:rFonts w:hint="eastAsia" w:ascii="Times New Roman" w:hAnsi="Times New Roman" w:eastAsia="宋体" w:cs="Times New Roman"/>
                <w:color w:val="auto"/>
                <w:kern w:val="2"/>
                <w:sz w:val="24"/>
                <w:szCs w:val="32"/>
                <w:lang w:val="en-US" w:eastAsia="zh-CN" w:bidi="ar-SA"/>
              </w:rPr>
              <w:t>项目建成后，区域来往人员大量增加，人群往来将产生一定的社会生活噪声。生活噪声大多不超过 75dB(A) ，通过楼板、墙壁及门窗的隔断基本上可消除其影响。</w:t>
            </w:r>
          </w:p>
          <w:p w14:paraId="3EB09EE7">
            <w:pPr>
              <w:pStyle w:val="7"/>
              <w:spacing w:before="184" w:line="360" w:lineRule="auto"/>
              <w:ind w:left="129" w:right="108" w:firstLine="462"/>
              <w:rPr>
                <w:rFonts w:hint="eastAsia" w:ascii="Times New Roman" w:hAnsi="Times New Roman" w:eastAsia="宋体" w:cs="Times New Roman"/>
                <w:color w:val="auto"/>
                <w:kern w:val="2"/>
                <w:sz w:val="24"/>
                <w:szCs w:val="32"/>
                <w:lang w:val="en-US" w:eastAsia="zh-CN" w:bidi="ar-SA"/>
              </w:rPr>
            </w:pPr>
            <w:r>
              <w:rPr>
                <w:rFonts w:hint="eastAsia" w:ascii="Times New Roman" w:hAnsi="Times New Roman" w:eastAsia="宋体" w:cs="Times New Roman"/>
                <w:color w:val="auto"/>
                <w:kern w:val="2"/>
                <w:sz w:val="24"/>
                <w:szCs w:val="32"/>
                <w:lang w:val="en-US" w:eastAsia="zh-CN" w:bidi="ar-SA"/>
              </w:rPr>
              <w:t>（2）交通噪声</w:t>
            </w:r>
          </w:p>
          <w:p w14:paraId="00A0C121">
            <w:pPr>
              <w:pStyle w:val="7"/>
              <w:spacing w:before="184" w:line="360" w:lineRule="auto"/>
              <w:ind w:left="129" w:right="108" w:firstLine="462"/>
              <w:rPr>
                <w:rFonts w:hint="default" w:ascii="Times New Roman" w:hAnsi="Times New Roman" w:eastAsia="宋体" w:cs="Times New Roman"/>
                <w:color w:val="auto"/>
                <w:kern w:val="2"/>
                <w:sz w:val="24"/>
                <w:szCs w:val="32"/>
                <w:lang w:val="en-US" w:eastAsia="zh-CN" w:bidi="ar-SA"/>
              </w:rPr>
            </w:pPr>
            <w:r>
              <w:rPr>
                <w:rFonts w:hint="eastAsia" w:ascii="Times New Roman" w:hAnsi="Times New Roman" w:eastAsia="宋体" w:cs="Times New Roman"/>
                <w:color w:val="auto"/>
                <w:kern w:val="2"/>
                <w:sz w:val="24"/>
                <w:szCs w:val="32"/>
                <w:lang w:val="en-US" w:eastAsia="zh-CN" w:bidi="ar-SA"/>
              </w:rPr>
              <w:t>进出医院的主要是小汽车，怠速行驶在距离车辆 7.5m 处噪声值在59～70dB（A）之间，其噪声等级见表4.2-7</w:t>
            </w:r>
          </w:p>
          <w:p w14:paraId="308E94BC">
            <w:pPr>
              <w:pStyle w:val="7"/>
              <w:spacing w:line="220" w:lineRule="auto"/>
              <w:ind w:left="3344"/>
              <w:rPr>
                <w:color w:val="auto"/>
                <w:sz w:val="24"/>
                <w:szCs w:val="28"/>
              </w:rPr>
            </w:pPr>
            <w:r>
              <w:rPr>
                <w:rFonts w:hint="eastAsia" w:ascii="Times New Roman" w:hAnsi="Times New Roman" w:eastAsia="宋体" w:cs="Times New Roman"/>
                <w:b/>
                <w:bCs/>
                <w:color w:val="auto"/>
                <w:spacing w:val="-2"/>
                <w:sz w:val="24"/>
                <w:szCs w:val="28"/>
                <w:lang w:val="en-US" w:eastAsia="zh-CN"/>
              </w:rPr>
              <w:t>表4.2-7</w:t>
            </w:r>
            <w:r>
              <w:rPr>
                <w:b/>
                <w:bCs/>
                <w:color w:val="auto"/>
                <w:spacing w:val="-2"/>
                <w:sz w:val="24"/>
                <w:szCs w:val="28"/>
              </w:rPr>
              <w:t>交通噪声源强</w:t>
            </w:r>
          </w:p>
          <w:tbl>
            <w:tblPr>
              <w:tblStyle w:val="32"/>
              <w:tblpPr w:leftFromText="180" w:rightFromText="180" w:vertAnchor="text" w:horzAnchor="page" w:tblpX="-7" w:tblpY="50"/>
              <w:tblOverlap w:val="never"/>
              <w:tblW w:w="4998"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407"/>
              <w:gridCol w:w="2685"/>
              <w:gridCol w:w="2489"/>
              <w:gridCol w:w="1930"/>
            </w:tblGrid>
            <w:tr w14:paraId="7C87E44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826" w:type="pct"/>
                  <w:tcBorders>
                    <w:tl2br w:val="nil"/>
                    <w:tr2bl w:val="nil"/>
                  </w:tcBorders>
                  <w:noWrap w:val="0"/>
                  <w:vAlign w:val="top"/>
                </w:tcPr>
                <w:p w14:paraId="03FFEBF4">
                  <w:pPr>
                    <w:pStyle w:val="30"/>
                    <w:spacing w:before="70" w:line="228" w:lineRule="auto"/>
                    <w:ind w:left="568"/>
                    <w:rPr>
                      <w:color w:val="auto"/>
                      <w:sz w:val="21"/>
                      <w:szCs w:val="21"/>
                    </w:rPr>
                  </w:pPr>
                  <w:r>
                    <w:rPr>
                      <w:color w:val="auto"/>
                      <w:spacing w:val="2"/>
                      <w:sz w:val="21"/>
                      <w:szCs w:val="21"/>
                    </w:rPr>
                    <w:t>声源</w:t>
                  </w:r>
                </w:p>
              </w:tc>
              <w:tc>
                <w:tcPr>
                  <w:tcW w:w="1577" w:type="pct"/>
                  <w:tcBorders>
                    <w:tl2br w:val="nil"/>
                    <w:tr2bl w:val="nil"/>
                  </w:tcBorders>
                  <w:noWrap w:val="0"/>
                  <w:vAlign w:val="top"/>
                </w:tcPr>
                <w:p w14:paraId="41A49D15">
                  <w:pPr>
                    <w:pStyle w:val="30"/>
                    <w:spacing w:before="70" w:line="228" w:lineRule="auto"/>
                    <w:ind w:left="1045"/>
                    <w:rPr>
                      <w:color w:val="auto"/>
                      <w:sz w:val="21"/>
                      <w:szCs w:val="21"/>
                    </w:rPr>
                  </w:pPr>
                  <w:r>
                    <w:rPr>
                      <w:color w:val="auto"/>
                      <w:spacing w:val="7"/>
                      <w:sz w:val="21"/>
                      <w:szCs w:val="21"/>
                    </w:rPr>
                    <w:t>运行状况</w:t>
                  </w:r>
                </w:p>
              </w:tc>
              <w:tc>
                <w:tcPr>
                  <w:tcW w:w="1462" w:type="pct"/>
                  <w:tcBorders>
                    <w:tl2br w:val="nil"/>
                    <w:tr2bl w:val="nil"/>
                  </w:tcBorders>
                  <w:noWrap w:val="0"/>
                  <w:vAlign w:val="top"/>
                </w:tcPr>
                <w:p w14:paraId="001E27FA">
                  <w:pPr>
                    <w:pStyle w:val="30"/>
                    <w:spacing w:before="70" w:line="228" w:lineRule="auto"/>
                    <w:ind w:left="718"/>
                    <w:rPr>
                      <w:color w:val="auto"/>
                      <w:sz w:val="21"/>
                      <w:szCs w:val="21"/>
                    </w:rPr>
                  </w:pPr>
                  <w:r>
                    <w:rPr>
                      <w:color w:val="auto"/>
                      <w:spacing w:val="5"/>
                      <w:sz w:val="21"/>
                      <w:szCs w:val="21"/>
                    </w:rPr>
                    <w:t>声级</w:t>
                  </w:r>
                  <w:r>
                    <w:rPr>
                      <w:color w:val="auto"/>
                      <w:spacing w:val="-37"/>
                      <w:sz w:val="21"/>
                      <w:szCs w:val="21"/>
                    </w:rPr>
                    <w:t xml:space="preserve"> </w:t>
                  </w:r>
                  <w:r>
                    <w:rPr>
                      <w:rFonts w:ascii="Times New Roman" w:hAnsi="Times New Roman" w:eastAsia="Times New Roman" w:cs="Times New Roman"/>
                      <w:color w:val="auto"/>
                      <w:sz w:val="21"/>
                      <w:szCs w:val="21"/>
                    </w:rPr>
                    <w:t>dB</w:t>
                  </w:r>
                  <w:r>
                    <w:rPr>
                      <w:color w:val="auto"/>
                      <w:spacing w:val="5"/>
                      <w:sz w:val="21"/>
                      <w:szCs w:val="21"/>
                    </w:rPr>
                    <w:t>（</w:t>
                  </w:r>
                  <w:r>
                    <w:rPr>
                      <w:rFonts w:ascii="Times New Roman" w:hAnsi="Times New Roman" w:eastAsia="Times New Roman" w:cs="Times New Roman"/>
                      <w:color w:val="auto"/>
                      <w:spacing w:val="5"/>
                      <w:sz w:val="21"/>
                      <w:szCs w:val="21"/>
                    </w:rPr>
                    <w:t>A</w:t>
                  </w:r>
                  <w:r>
                    <w:rPr>
                      <w:color w:val="auto"/>
                      <w:spacing w:val="5"/>
                      <w:sz w:val="21"/>
                      <w:szCs w:val="21"/>
                    </w:rPr>
                    <w:t>）</w:t>
                  </w:r>
                </w:p>
              </w:tc>
              <w:tc>
                <w:tcPr>
                  <w:tcW w:w="1133" w:type="pct"/>
                  <w:tcBorders>
                    <w:tl2br w:val="nil"/>
                    <w:tr2bl w:val="nil"/>
                  </w:tcBorders>
                  <w:noWrap w:val="0"/>
                  <w:vAlign w:val="top"/>
                </w:tcPr>
                <w:p w14:paraId="0897C4ED">
                  <w:pPr>
                    <w:pStyle w:val="30"/>
                    <w:spacing w:before="70" w:line="229" w:lineRule="auto"/>
                    <w:ind w:left="848"/>
                    <w:rPr>
                      <w:color w:val="auto"/>
                      <w:sz w:val="21"/>
                      <w:szCs w:val="21"/>
                    </w:rPr>
                  </w:pPr>
                  <w:r>
                    <w:rPr>
                      <w:color w:val="auto"/>
                      <w:spacing w:val="3"/>
                      <w:sz w:val="21"/>
                      <w:szCs w:val="21"/>
                    </w:rPr>
                    <w:t>备注</w:t>
                  </w:r>
                </w:p>
              </w:tc>
            </w:tr>
            <w:tr w14:paraId="2BE209C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826" w:type="pct"/>
                  <w:vMerge w:val="restart"/>
                  <w:tcBorders>
                    <w:tl2br w:val="nil"/>
                    <w:tr2bl w:val="nil"/>
                  </w:tcBorders>
                  <w:noWrap w:val="0"/>
                  <w:vAlign w:val="top"/>
                </w:tcPr>
                <w:p w14:paraId="71ECD2ED">
                  <w:pPr>
                    <w:widowControl/>
                    <w:adjustRightInd w:val="0"/>
                    <w:snapToGrid w:val="0"/>
                    <w:spacing w:line="340" w:lineRule="exact"/>
                    <w:jc w:val="center"/>
                    <w:textAlignment w:val="center"/>
                    <w:rPr>
                      <w:rFonts w:ascii="Arial"/>
                      <w:color w:val="auto"/>
                      <w:sz w:val="21"/>
                      <w:szCs w:val="21"/>
                    </w:rPr>
                  </w:pPr>
                </w:p>
                <w:p w14:paraId="6E9C0565">
                  <w:pPr>
                    <w:pStyle w:val="30"/>
                    <w:spacing w:before="65" w:line="228" w:lineRule="auto"/>
                    <w:ind w:left="464"/>
                    <w:rPr>
                      <w:color w:val="auto"/>
                      <w:sz w:val="21"/>
                      <w:szCs w:val="21"/>
                    </w:rPr>
                  </w:pPr>
                  <w:r>
                    <w:rPr>
                      <w:color w:val="auto"/>
                      <w:spacing w:val="5"/>
                      <w:sz w:val="21"/>
                      <w:szCs w:val="21"/>
                    </w:rPr>
                    <w:t>小型车</w:t>
                  </w:r>
                </w:p>
              </w:tc>
              <w:tc>
                <w:tcPr>
                  <w:tcW w:w="1577" w:type="pct"/>
                  <w:tcBorders>
                    <w:tl2br w:val="nil"/>
                    <w:tr2bl w:val="nil"/>
                  </w:tcBorders>
                  <w:noWrap w:val="0"/>
                  <w:vAlign w:val="top"/>
                </w:tcPr>
                <w:p w14:paraId="24AE9A31">
                  <w:pPr>
                    <w:pStyle w:val="30"/>
                    <w:spacing w:before="70" w:line="228" w:lineRule="auto"/>
                    <w:ind w:left="1052"/>
                    <w:rPr>
                      <w:color w:val="auto"/>
                      <w:sz w:val="21"/>
                      <w:szCs w:val="21"/>
                    </w:rPr>
                  </w:pPr>
                  <w:r>
                    <w:rPr>
                      <w:color w:val="auto"/>
                      <w:spacing w:val="5"/>
                      <w:sz w:val="21"/>
                      <w:szCs w:val="21"/>
                    </w:rPr>
                    <w:t>怠速行驶</w:t>
                  </w:r>
                </w:p>
              </w:tc>
              <w:tc>
                <w:tcPr>
                  <w:tcW w:w="1462" w:type="pct"/>
                  <w:tcBorders>
                    <w:tl2br w:val="nil"/>
                    <w:tr2bl w:val="nil"/>
                  </w:tcBorders>
                  <w:noWrap w:val="0"/>
                  <w:vAlign w:val="top"/>
                </w:tcPr>
                <w:p w14:paraId="0326B439">
                  <w:pPr>
                    <w:spacing w:before="106" w:line="195" w:lineRule="auto"/>
                    <w:ind w:left="1095"/>
                    <w:rPr>
                      <w:rFonts w:ascii="Times New Roman" w:hAnsi="Times New Roman" w:eastAsia="Times New Roman" w:cs="Times New Roman"/>
                      <w:color w:val="auto"/>
                      <w:sz w:val="21"/>
                      <w:szCs w:val="21"/>
                    </w:rPr>
                  </w:pPr>
                  <w:r>
                    <w:rPr>
                      <w:rFonts w:ascii="Times New Roman" w:hAnsi="Times New Roman" w:eastAsia="Times New Roman" w:cs="Times New Roman"/>
                      <w:color w:val="auto"/>
                      <w:spacing w:val="3"/>
                      <w:sz w:val="21"/>
                      <w:szCs w:val="21"/>
                    </w:rPr>
                    <w:t>59~70</w:t>
                  </w:r>
                </w:p>
              </w:tc>
              <w:tc>
                <w:tcPr>
                  <w:tcW w:w="1133" w:type="pct"/>
                  <w:vMerge w:val="restart"/>
                  <w:tcBorders>
                    <w:tl2br w:val="nil"/>
                    <w:tr2bl w:val="nil"/>
                  </w:tcBorders>
                  <w:noWrap w:val="0"/>
                  <w:vAlign w:val="top"/>
                </w:tcPr>
                <w:p w14:paraId="12FF2494">
                  <w:pPr>
                    <w:pStyle w:val="30"/>
                    <w:spacing w:before="270" w:line="289" w:lineRule="auto"/>
                    <w:ind w:right="160"/>
                    <w:rPr>
                      <w:color w:val="auto"/>
                      <w:sz w:val="21"/>
                      <w:szCs w:val="21"/>
                    </w:rPr>
                  </w:pPr>
                  <w:r>
                    <w:rPr>
                      <w:color w:val="auto"/>
                      <w:spacing w:val="5"/>
                      <w:sz w:val="21"/>
                      <w:szCs w:val="21"/>
                    </w:rPr>
                    <w:t>距离车辆</w:t>
                  </w:r>
                  <w:r>
                    <w:rPr>
                      <w:color w:val="auto"/>
                      <w:spacing w:val="-34"/>
                      <w:sz w:val="21"/>
                      <w:szCs w:val="21"/>
                    </w:rPr>
                    <w:t xml:space="preserve"> </w:t>
                  </w:r>
                  <w:r>
                    <w:rPr>
                      <w:rFonts w:ascii="Times New Roman" w:hAnsi="Times New Roman" w:eastAsia="Times New Roman" w:cs="Times New Roman"/>
                      <w:color w:val="auto"/>
                      <w:spacing w:val="5"/>
                      <w:sz w:val="21"/>
                      <w:szCs w:val="21"/>
                    </w:rPr>
                    <w:t xml:space="preserve">7.5m </w:t>
                  </w:r>
                  <w:r>
                    <w:rPr>
                      <w:color w:val="auto"/>
                      <w:spacing w:val="5"/>
                      <w:sz w:val="21"/>
                      <w:szCs w:val="21"/>
                    </w:rPr>
                    <w:t>处的</w:t>
                  </w:r>
                  <w:r>
                    <w:rPr>
                      <w:color w:val="auto"/>
                      <w:spacing w:val="7"/>
                      <w:sz w:val="21"/>
                      <w:szCs w:val="21"/>
                    </w:rPr>
                    <w:t>等效噪声级</w:t>
                  </w:r>
                </w:p>
              </w:tc>
            </w:tr>
            <w:tr w14:paraId="6A29D2D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826" w:type="pct"/>
                  <w:vMerge w:val="continue"/>
                  <w:tcBorders>
                    <w:tl2br w:val="nil"/>
                    <w:tr2bl w:val="nil"/>
                  </w:tcBorders>
                  <w:noWrap w:val="0"/>
                  <w:vAlign w:val="top"/>
                </w:tcPr>
                <w:p w14:paraId="2B18B9C8">
                  <w:pPr>
                    <w:rPr>
                      <w:rFonts w:ascii="Arial"/>
                      <w:color w:val="auto"/>
                      <w:sz w:val="21"/>
                      <w:szCs w:val="21"/>
                    </w:rPr>
                  </w:pPr>
                </w:p>
              </w:tc>
              <w:tc>
                <w:tcPr>
                  <w:tcW w:w="1577" w:type="pct"/>
                  <w:tcBorders>
                    <w:tl2br w:val="nil"/>
                    <w:tr2bl w:val="nil"/>
                  </w:tcBorders>
                  <w:noWrap w:val="0"/>
                  <w:vAlign w:val="top"/>
                </w:tcPr>
                <w:p w14:paraId="2AD3F244">
                  <w:pPr>
                    <w:pStyle w:val="30"/>
                    <w:spacing w:before="76" w:line="228" w:lineRule="auto"/>
                    <w:ind w:left="1049"/>
                    <w:rPr>
                      <w:color w:val="auto"/>
                      <w:sz w:val="21"/>
                      <w:szCs w:val="21"/>
                    </w:rPr>
                  </w:pPr>
                  <w:r>
                    <w:rPr>
                      <w:color w:val="auto"/>
                      <w:spacing w:val="6"/>
                      <w:sz w:val="21"/>
                      <w:szCs w:val="21"/>
                    </w:rPr>
                    <w:t>正常行驶</w:t>
                  </w:r>
                </w:p>
              </w:tc>
              <w:tc>
                <w:tcPr>
                  <w:tcW w:w="1462" w:type="pct"/>
                  <w:tcBorders>
                    <w:tl2br w:val="nil"/>
                    <w:tr2bl w:val="nil"/>
                  </w:tcBorders>
                  <w:noWrap w:val="0"/>
                  <w:vAlign w:val="top"/>
                </w:tcPr>
                <w:p w14:paraId="7D9B22E9">
                  <w:pPr>
                    <w:spacing w:before="112" w:line="195" w:lineRule="auto"/>
                    <w:ind w:left="1093"/>
                    <w:rPr>
                      <w:rFonts w:ascii="Times New Roman" w:hAnsi="Times New Roman" w:eastAsia="Times New Roman" w:cs="Times New Roman"/>
                      <w:color w:val="auto"/>
                      <w:sz w:val="21"/>
                      <w:szCs w:val="21"/>
                    </w:rPr>
                  </w:pPr>
                  <w:r>
                    <w:rPr>
                      <w:rFonts w:ascii="Times New Roman" w:hAnsi="Times New Roman" w:eastAsia="Times New Roman" w:cs="Times New Roman"/>
                      <w:color w:val="auto"/>
                      <w:spacing w:val="3"/>
                      <w:sz w:val="21"/>
                      <w:szCs w:val="21"/>
                    </w:rPr>
                    <w:t>61~70</w:t>
                  </w:r>
                </w:p>
              </w:tc>
              <w:tc>
                <w:tcPr>
                  <w:tcW w:w="1133" w:type="pct"/>
                  <w:vMerge w:val="continue"/>
                  <w:tcBorders>
                    <w:tl2br w:val="nil"/>
                    <w:tr2bl w:val="nil"/>
                  </w:tcBorders>
                  <w:noWrap w:val="0"/>
                  <w:vAlign w:val="top"/>
                </w:tcPr>
                <w:p w14:paraId="76065F51">
                  <w:pPr>
                    <w:rPr>
                      <w:rFonts w:ascii="Arial"/>
                      <w:color w:val="auto"/>
                      <w:sz w:val="21"/>
                      <w:szCs w:val="21"/>
                    </w:rPr>
                  </w:pPr>
                </w:p>
              </w:tc>
            </w:tr>
            <w:tr w14:paraId="596E4AB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826" w:type="pct"/>
                  <w:vMerge w:val="continue"/>
                  <w:tcBorders>
                    <w:tl2br w:val="nil"/>
                    <w:tr2bl w:val="nil"/>
                  </w:tcBorders>
                  <w:noWrap w:val="0"/>
                  <w:vAlign w:val="top"/>
                </w:tcPr>
                <w:p w14:paraId="26B0C0DB">
                  <w:pPr>
                    <w:rPr>
                      <w:rFonts w:ascii="Arial"/>
                      <w:color w:val="auto"/>
                      <w:sz w:val="21"/>
                      <w:szCs w:val="21"/>
                    </w:rPr>
                  </w:pPr>
                </w:p>
              </w:tc>
              <w:tc>
                <w:tcPr>
                  <w:tcW w:w="1577" w:type="pct"/>
                  <w:tcBorders>
                    <w:tl2br w:val="nil"/>
                    <w:tr2bl w:val="nil"/>
                  </w:tcBorders>
                  <w:noWrap w:val="0"/>
                  <w:vAlign w:val="top"/>
                </w:tcPr>
                <w:p w14:paraId="7A1EE2A4">
                  <w:pPr>
                    <w:pStyle w:val="30"/>
                    <w:spacing w:before="83" w:line="228" w:lineRule="auto"/>
                    <w:ind w:left="1267"/>
                    <w:rPr>
                      <w:color w:val="auto"/>
                      <w:sz w:val="21"/>
                      <w:szCs w:val="21"/>
                    </w:rPr>
                  </w:pPr>
                  <w:r>
                    <w:rPr>
                      <w:color w:val="auto"/>
                      <w:spacing w:val="-1"/>
                      <w:sz w:val="21"/>
                      <w:szCs w:val="21"/>
                    </w:rPr>
                    <w:t>鸣笛</w:t>
                  </w:r>
                </w:p>
              </w:tc>
              <w:tc>
                <w:tcPr>
                  <w:tcW w:w="1462" w:type="pct"/>
                  <w:tcBorders>
                    <w:tl2br w:val="nil"/>
                    <w:tr2bl w:val="nil"/>
                  </w:tcBorders>
                  <w:noWrap w:val="0"/>
                  <w:vAlign w:val="top"/>
                </w:tcPr>
                <w:p w14:paraId="5F45AFE8">
                  <w:pPr>
                    <w:spacing w:before="118" w:line="195" w:lineRule="auto"/>
                    <w:ind w:left="1092"/>
                    <w:rPr>
                      <w:rFonts w:ascii="Times New Roman" w:hAnsi="Times New Roman" w:eastAsia="Times New Roman" w:cs="Times New Roman"/>
                      <w:color w:val="auto"/>
                      <w:sz w:val="21"/>
                      <w:szCs w:val="21"/>
                    </w:rPr>
                  </w:pPr>
                  <w:r>
                    <w:rPr>
                      <w:rFonts w:ascii="Times New Roman" w:hAnsi="Times New Roman" w:eastAsia="Times New Roman" w:cs="Times New Roman"/>
                      <w:color w:val="auto"/>
                      <w:spacing w:val="3"/>
                      <w:sz w:val="21"/>
                      <w:szCs w:val="21"/>
                    </w:rPr>
                    <w:t>78~84</w:t>
                  </w:r>
                </w:p>
              </w:tc>
              <w:tc>
                <w:tcPr>
                  <w:tcW w:w="1133" w:type="pct"/>
                  <w:vMerge w:val="continue"/>
                  <w:tcBorders>
                    <w:tl2br w:val="nil"/>
                    <w:tr2bl w:val="nil"/>
                  </w:tcBorders>
                  <w:noWrap w:val="0"/>
                  <w:vAlign w:val="top"/>
                </w:tcPr>
                <w:p w14:paraId="7A914247">
                  <w:pPr>
                    <w:rPr>
                      <w:rFonts w:ascii="Arial"/>
                      <w:color w:val="auto"/>
                      <w:sz w:val="21"/>
                      <w:szCs w:val="21"/>
                    </w:rPr>
                  </w:pPr>
                </w:p>
              </w:tc>
            </w:tr>
          </w:tbl>
          <w:p w14:paraId="5A7BD458">
            <w:pPr>
              <w:spacing w:line="67" w:lineRule="exact"/>
              <w:rPr>
                <w:color w:val="auto"/>
              </w:rPr>
            </w:pPr>
          </w:p>
          <w:p w14:paraId="48BB9E65">
            <w:pPr>
              <w:spacing w:line="360" w:lineRule="auto"/>
              <w:ind w:firstLine="480" w:firstLineChars="200"/>
              <w:rPr>
                <w:rFonts w:hint="default" w:eastAsia="宋体"/>
                <w:color w:val="auto"/>
                <w:sz w:val="24"/>
                <w:szCs w:val="32"/>
                <w:lang w:val="en-US" w:eastAsia="zh-CN"/>
              </w:rPr>
            </w:pPr>
            <w:r>
              <w:rPr>
                <w:rFonts w:hint="eastAsia"/>
                <w:color w:val="auto"/>
                <w:sz w:val="24"/>
                <w:szCs w:val="32"/>
                <w:lang w:eastAsia="zh-CN"/>
              </w:rPr>
              <w:t>（</w:t>
            </w:r>
            <w:r>
              <w:rPr>
                <w:rFonts w:hint="eastAsia"/>
                <w:color w:val="auto"/>
                <w:sz w:val="24"/>
                <w:szCs w:val="32"/>
                <w:lang w:val="en-US" w:eastAsia="zh-CN"/>
              </w:rPr>
              <w:t>3</w:t>
            </w:r>
            <w:r>
              <w:rPr>
                <w:rFonts w:hint="eastAsia"/>
                <w:color w:val="auto"/>
                <w:sz w:val="24"/>
                <w:szCs w:val="32"/>
                <w:lang w:eastAsia="zh-CN"/>
              </w:rPr>
              <w:t>）</w:t>
            </w:r>
            <w:r>
              <w:rPr>
                <w:rFonts w:hint="eastAsia"/>
                <w:color w:val="auto"/>
                <w:sz w:val="24"/>
                <w:szCs w:val="32"/>
                <w:lang w:val="en-US" w:eastAsia="zh-CN"/>
              </w:rPr>
              <w:t>设备噪声</w:t>
            </w:r>
          </w:p>
          <w:p w14:paraId="0BBBDFC2">
            <w:pPr>
              <w:spacing w:line="360" w:lineRule="auto"/>
              <w:ind w:firstLine="480" w:firstLineChars="200"/>
              <w:rPr>
                <w:color w:val="auto"/>
                <w:sz w:val="24"/>
                <w:szCs w:val="32"/>
              </w:rPr>
            </w:pPr>
            <w:r>
              <w:rPr>
                <w:rFonts w:hint="eastAsia"/>
                <w:color w:val="auto"/>
                <w:sz w:val="24"/>
                <w:szCs w:val="32"/>
              </w:rPr>
              <w:t>本项目</w:t>
            </w:r>
            <w:r>
              <w:rPr>
                <w:rFonts w:hint="eastAsia"/>
                <w:color w:val="auto"/>
                <w:sz w:val="24"/>
                <w:szCs w:val="32"/>
                <w:lang w:val="en-US" w:eastAsia="zh-CN"/>
              </w:rPr>
              <w:t>医疗仪器均有静音效果，项目</w:t>
            </w:r>
            <w:r>
              <w:rPr>
                <w:rFonts w:hint="eastAsia"/>
                <w:color w:val="auto"/>
                <w:sz w:val="24"/>
                <w:szCs w:val="32"/>
              </w:rPr>
              <w:t>主要噪声来源为空调风机、水泵产生机械噪声</w:t>
            </w:r>
            <w:r>
              <w:rPr>
                <w:rFonts w:hint="eastAsia"/>
                <w:color w:val="auto"/>
                <w:sz w:val="24"/>
                <w:szCs w:val="32"/>
                <w:lang w:eastAsia="zh-CN"/>
              </w:rPr>
              <w:t>、</w:t>
            </w:r>
            <w:r>
              <w:rPr>
                <w:rFonts w:hint="eastAsia"/>
                <w:color w:val="auto"/>
                <w:sz w:val="24"/>
                <w:szCs w:val="32"/>
                <w:lang w:val="en-US" w:eastAsia="zh-CN"/>
              </w:rPr>
              <w:t>食堂风机</w:t>
            </w:r>
            <w:r>
              <w:rPr>
                <w:rFonts w:hint="eastAsia"/>
                <w:color w:val="auto"/>
                <w:sz w:val="24"/>
                <w:szCs w:val="32"/>
              </w:rPr>
              <w:t>。</w:t>
            </w:r>
            <w:r>
              <w:rPr>
                <w:color w:val="auto"/>
                <w:sz w:val="24"/>
                <w:szCs w:val="32"/>
              </w:rPr>
              <w:t>主要噪声源强见表</w:t>
            </w:r>
            <w:r>
              <w:rPr>
                <w:rFonts w:hint="eastAsia"/>
                <w:color w:val="auto"/>
                <w:sz w:val="24"/>
                <w:szCs w:val="32"/>
              </w:rPr>
              <w:t>4.2-</w:t>
            </w:r>
            <w:r>
              <w:rPr>
                <w:rFonts w:hint="eastAsia"/>
                <w:color w:val="auto"/>
                <w:sz w:val="24"/>
                <w:szCs w:val="32"/>
                <w:lang w:val="en-US" w:eastAsia="zh-CN"/>
              </w:rPr>
              <w:t>8</w:t>
            </w:r>
            <w:r>
              <w:rPr>
                <w:color w:val="auto"/>
                <w:sz w:val="24"/>
                <w:szCs w:val="32"/>
              </w:rPr>
              <w:t>。</w:t>
            </w:r>
          </w:p>
          <w:p w14:paraId="6E1E14B0">
            <w:pPr>
              <w:spacing w:before="120" w:beforeLines="50"/>
              <w:jc w:val="center"/>
              <w:rPr>
                <w:color w:val="auto"/>
                <w:sz w:val="24"/>
                <w:szCs w:val="32"/>
              </w:rPr>
            </w:pPr>
            <w:r>
              <w:rPr>
                <w:b/>
                <w:color w:val="auto"/>
                <w:sz w:val="24"/>
              </w:rPr>
              <w:t>表</w:t>
            </w:r>
            <w:r>
              <w:rPr>
                <w:rFonts w:hint="eastAsia"/>
                <w:b/>
                <w:color w:val="auto"/>
                <w:sz w:val="24"/>
              </w:rPr>
              <w:t>4.2-</w:t>
            </w:r>
            <w:r>
              <w:rPr>
                <w:rFonts w:hint="eastAsia"/>
                <w:b/>
                <w:color w:val="auto"/>
                <w:sz w:val="24"/>
                <w:lang w:val="en-US" w:eastAsia="zh-CN"/>
              </w:rPr>
              <w:t>8</w:t>
            </w:r>
            <w:r>
              <w:rPr>
                <w:b/>
                <w:color w:val="auto"/>
                <w:sz w:val="24"/>
              </w:rPr>
              <w:t>项目</w:t>
            </w:r>
            <w:r>
              <w:rPr>
                <w:rFonts w:hint="eastAsia"/>
                <w:b/>
                <w:color w:val="auto"/>
                <w:sz w:val="24"/>
                <w:lang w:val="en-US" w:eastAsia="zh-CN"/>
              </w:rPr>
              <w:t>新增</w:t>
            </w:r>
            <w:r>
              <w:rPr>
                <w:b/>
                <w:color w:val="auto"/>
                <w:sz w:val="24"/>
              </w:rPr>
              <w:t>噪声源强情况一览表</w:t>
            </w:r>
            <w:r>
              <w:rPr>
                <w:rFonts w:hint="eastAsia"/>
                <w:b/>
                <w:color w:val="auto"/>
                <w:sz w:val="24"/>
              </w:rPr>
              <w:t>单位：dB</w:t>
            </w:r>
          </w:p>
          <w:tbl>
            <w:tblPr>
              <w:tblStyle w:val="17"/>
              <w:tblW w:w="85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830"/>
              <w:gridCol w:w="933"/>
              <w:gridCol w:w="562"/>
              <w:gridCol w:w="625"/>
              <w:gridCol w:w="511"/>
              <w:gridCol w:w="675"/>
              <w:gridCol w:w="879"/>
              <w:gridCol w:w="881"/>
              <w:gridCol w:w="879"/>
              <w:gridCol w:w="879"/>
            </w:tblGrid>
            <w:tr w14:paraId="08047B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8" w:hRule="exact"/>
                <w:jc w:val="center"/>
              </w:trPr>
              <w:tc>
                <w:tcPr>
                  <w:tcW w:w="504" w:type="pct"/>
                  <w:vMerge w:val="restart"/>
                  <w:noWrap w:val="0"/>
                  <w:vAlign w:val="center"/>
                </w:tcPr>
                <w:p w14:paraId="3640D6D3">
                  <w:pPr>
                    <w:widowControl/>
                    <w:adjustRightInd w:val="0"/>
                    <w:snapToGrid w:val="0"/>
                    <w:spacing w:line="340" w:lineRule="exact"/>
                    <w:jc w:val="center"/>
                    <w:textAlignment w:val="center"/>
                    <w:rPr>
                      <w:bCs/>
                      <w:color w:val="auto"/>
                      <w:szCs w:val="21"/>
                    </w:rPr>
                  </w:pPr>
                  <w:r>
                    <w:rPr>
                      <w:bCs/>
                      <w:color w:val="auto"/>
                      <w:szCs w:val="21"/>
                    </w:rPr>
                    <w:t>声源名称</w:t>
                  </w:r>
                </w:p>
              </w:tc>
              <w:tc>
                <w:tcPr>
                  <w:tcW w:w="487" w:type="pct"/>
                  <w:vMerge w:val="restart"/>
                  <w:noWrap w:val="0"/>
                  <w:vAlign w:val="center"/>
                </w:tcPr>
                <w:p w14:paraId="5B5A42D2">
                  <w:pPr>
                    <w:widowControl/>
                    <w:adjustRightInd w:val="0"/>
                    <w:snapToGrid w:val="0"/>
                    <w:spacing w:line="340" w:lineRule="exact"/>
                    <w:jc w:val="center"/>
                    <w:textAlignment w:val="center"/>
                    <w:rPr>
                      <w:bCs/>
                      <w:color w:val="auto"/>
                      <w:szCs w:val="21"/>
                    </w:rPr>
                  </w:pPr>
                  <w:r>
                    <w:rPr>
                      <w:bCs/>
                      <w:color w:val="auto"/>
                      <w:szCs w:val="21"/>
                    </w:rPr>
                    <w:t>声功率级/dB(A)</w:t>
                  </w:r>
                </w:p>
              </w:tc>
              <w:tc>
                <w:tcPr>
                  <w:tcW w:w="548" w:type="pct"/>
                  <w:vMerge w:val="restart"/>
                  <w:noWrap w:val="0"/>
                  <w:vAlign w:val="center"/>
                </w:tcPr>
                <w:p w14:paraId="6579C2BC">
                  <w:pPr>
                    <w:widowControl/>
                    <w:adjustRightInd w:val="0"/>
                    <w:snapToGrid w:val="0"/>
                    <w:spacing w:line="340" w:lineRule="exact"/>
                    <w:jc w:val="center"/>
                    <w:textAlignment w:val="center"/>
                    <w:rPr>
                      <w:bCs/>
                      <w:color w:val="auto"/>
                      <w:szCs w:val="21"/>
                    </w:rPr>
                  </w:pPr>
                  <w:r>
                    <w:rPr>
                      <w:bCs/>
                      <w:color w:val="auto"/>
                      <w:szCs w:val="21"/>
                    </w:rPr>
                    <w:t>声源控制措施</w:t>
                  </w:r>
                </w:p>
              </w:tc>
              <w:tc>
                <w:tcPr>
                  <w:tcW w:w="997" w:type="pct"/>
                  <w:gridSpan w:val="3"/>
                  <w:noWrap w:val="0"/>
                  <w:vAlign w:val="center"/>
                </w:tcPr>
                <w:p w14:paraId="2227C384">
                  <w:pPr>
                    <w:widowControl/>
                    <w:adjustRightInd w:val="0"/>
                    <w:snapToGrid w:val="0"/>
                    <w:spacing w:line="340" w:lineRule="exact"/>
                    <w:jc w:val="center"/>
                    <w:textAlignment w:val="center"/>
                    <w:rPr>
                      <w:bCs/>
                      <w:color w:val="auto"/>
                      <w:szCs w:val="21"/>
                    </w:rPr>
                  </w:pPr>
                  <w:r>
                    <w:rPr>
                      <w:bCs/>
                      <w:color w:val="auto"/>
                      <w:szCs w:val="21"/>
                    </w:rPr>
                    <w:t>空间相对位置/m</w:t>
                  </w:r>
                </w:p>
              </w:tc>
              <w:tc>
                <w:tcPr>
                  <w:tcW w:w="396" w:type="pct"/>
                  <w:vMerge w:val="restart"/>
                  <w:noWrap w:val="0"/>
                  <w:vAlign w:val="center"/>
                </w:tcPr>
                <w:p w14:paraId="4BFAD044">
                  <w:pPr>
                    <w:widowControl/>
                    <w:adjustRightInd w:val="0"/>
                    <w:snapToGrid w:val="0"/>
                    <w:spacing w:line="340" w:lineRule="exact"/>
                    <w:jc w:val="center"/>
                    <w:textAlignment w:val="center"/>
                    <w:rPr>
                      <w:rFonts w:hint="eastAsia" w:eastAsia="宋体"/>
                      <w:bCs/>
                      <w:color w:val="auto"/>
                      <w:szCs w:val="21"/>
                      <w:lang w:eastAsia="zh-CN"/>
                    </w:rPr>
                  </w:pPr>
                  <w:r>
                    <w:rPr>
                      <w:bCs/>
                      <w:color w:val="auto"/>
                      <w:szCs w:val="21"/>
                    </w:rPr>
                    <w:t>运行</w:t>
                  </w:r>
                  <w:r>
                    <w:rPr>
                      <w:rFonts w:hint="eastAsia"/>
                      <w:bCs/>
                      <w:color w:val="auto"/>
                      <w:szCs w:val="21"/>
                      <w:lang w:val="en-US" w:eastAsia="zh-CN"/>
                    </w:rPr>
                    <w:t>时间</w:t>
                  </w:r>
                </w:p>
              </w:tc>
              <w:tc>
                <w:tcPr>
                  <w:tcW w:w="2065" w:type="pct"/>
                  <w:gridSpan w:val="4"/>
                  <w:noWrap w:val="0"/>
                  <w:vAlign w:val="center"/>
                </w:tcPr>
                <w:p w14:paraId="0BFDB088">
                  <w:pPr>
                    <w:widowControl/>
                    <w:adjustRightInd w:val="0"/>
                    <w:snapToGrid w:val="0"/>
                    <w:spacing w:line="340" w:lineRule="exact"/>
                    <w:jc w:val="center"/>
                    <w:textAlignment w:val="center"/>
                    <w:rPr>
                      <w:bCs/>
                      <w:color w:val="auto"/>
                      <w:szCs w:val="21"/>
                    </w:rPr>
                  </w:pPr>
                  <w:r>
                    <w:rPr>
                      <w:rFonts w:hint="eastAsia"/>
                      <w:bCs/>
                      <w:color w:val="auto"/>
                      <w:szCs w:val="21"/>
                    </w:rPr>
                    <w:t>边界声级L1/dB(A)</w:t>
                  </w:r>
                </w:p>
              </w:tc>
            </w:tr>
            <w:tr w14:paraId="717E1D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04" w:type="pct"/>
                  <w:vMerge w:val="continue"/>
                  <w:shd w:val="clear" w:color="auto" w:fill="FFFFFF"/>
                  <w:noWrap w:val="0"/>
                  <w:vAlign w:val="center"/>
                </w:tcPr>
                <w:p w14:paraId="7A8C1C17">
                  <w:pPr>
                    <w:widowControl/>
                    <w:adjustRightInd w:val="0"/>
                    <w:snapToGrid w:val="0"/>
                    <w:spacing w:line="340" w:lineRule="exact"/>
                    <w:jc w:val="center"/>
                    <w:textAlignment w:val="center"/>
                    <w:rPr>
                      <w:bCs/>
                      <w:color w:val="auto"/>
                      <w:szCs w:val="21"/>
                      <w:highlight w:val="yellow"/>
                    </w:rPr>
                  </w:pPr>
                </w:p>
              </w:tc>
              <w:tc>
                <w:tcPr>
                  <w:tcW w:w="487" w:type="pct"/>
                  <w:vMerge w:val="continue"/>
                  <w:shd w:val="clear" w:color="auto" w:fill="FFFFFF"/>
                  <w:noWrap w:val="0"/>
                  <w:vAlign w:val="center"/>
                </w:tcPr>
                <w:p w14:paraId="090DC85B">
                  <w:pPr>
                    <w:widowControl/>
                    <w:adjustRightInd w:val="0"/>
                    <w:snapToGrid w:val="0"/>
                    <w:spacing w:line="340" w:lineRule="exact"/>
                    <w:jc w:val="center"/>
                    <w:textAlignment w:val="center"/>
                    <w:rPr>
                      <w:bCs/>
                      <w:color w:val="auto"/>
                      <w:szCs w:val="21"/>
                      <w:highlight w:val="yellow"/>
                    </w:rPr>
                  </w:pPr>
                </w:p>
              </w:tc>
              <w:tc>
                <w:tcPr>
                  <w:tcW w:w="548" w:type="pct"/>
                  <w:vMerge w:val="continue"/>
                  <w:shd w:val="clear" w:color="auto" w:fill="FFFFFF"/>
                  <w:noWrap w:val="0"/>
                  <w:vAlign w:val="center"/>
                </w:tcPr>
                <w:p w14:paraId="7BE3A850">
                  <w:pPr>
                    <w:widowControl/>
                    <w:adjustRightInd w:val="0"/>
                    <w:snapToGrid w:val="0"/>
                    <w:spacing w:line="340" w:lineRule="exact"/>
                    <w:jc w:val="center"/>
                    <w:textAlignment w:val="center"/>
                    <w:rPr>
                      <w:bCs/>
                      <w:color w:val="auto"/>
                      <w:szCs w:val="21"/>
                      <w:highlight w:val="yellow"/>
                    </w:rPr>
                  </w:pPr>
                </w:p>
              </w:tc>
              <w:tc>
                <w:tcPr>
                  <w:tcW w:w="330" w:type="pct"/>
                  <w:shd w:val="clear" w:color="auto" w:fill="FFFFFF"/>
                  <w:noWrap w:val="0"/>
                  <w:vAlign w:val="center"/>
                </w:tcPr>
                <w:p w14:paraId="65E750D2">
                  <w:pPr>
                    <w:widowControl/>
                    <w:adjustRightInd w:val="0"/>
                    <w:snapToGrid w:val="0"/>
                    <w:spacing w:line="340" w:lineRule="exact"/>
                    <w:jc w:val="center"/>
                    <w:textAlignment w:val="center"/>
                    <w:rPr>
                      <w:bCs/>
                      <w:color w:val="auto"/>
                      <w:szCs w:val="21"/>
                    </w:rPr>
                  </w:pPr>
                  <w:r>
                    <w:rPr>
                      <w:bCs/>
                      <w:color w:val="auto"/>
                      <w:szCs w:val="21"/>
                    </w:rPr>
                    <w:t>X</w:t>
                  </w:r>
                </w:p>
              </w:tc>
              <w:tc>
                <w:tcPr>
                  <w:tcW w:w="367" w:type="pct"/>
                  <w:shd w:val="clear" w:color="auto" w:fill="FFFFFF"/>
                  <w:noWrap w:val="0"/>
                  <w:vAlign w:val="center"/>
                </w:tcPr>
                <w:p w14:paraId="73FCFD5D">
                  <w:pPr>
                    <w:widowControl/>
                    <w:adjustRightInd w:val="0"/>
                    <w:snapToGrid w:val="0"/>
                    <w:spacing w:line="340" w:lineRule="exact"/>
                    <w:jc w:val="center"/>
                    <w:textAlignment w:val="center"/>
                    <w:rPr>
                      <w:color w:val="auto"/>
                      <w:szCs w:val="21"/>
                    </w:rPr>
                  </w:pPr>
                  <w:r>
                    <w:rPr>
                      <w:bCs/>
                      <w:color w:val="auto"/>
                      <w:szCs w:val="21"/>
                    </w:rPr>
                    <w:t>Y</w:t>
                  </w:r>
                </w:p>
              </w:tc>
              <w:tc>
                <w:tcPr>
                  <w:tcW w:w="299" w:type="pct"/>
                  <w:shd w:val="clear" w:color="auto" w:fill="FFFFFF"/>
                  <w:noWrap w:val="0"/>
                  <w:vAlign w:val="center"/>
                </w:tcPr>
                <w:p w14:paraId="4C201FBF">
                  <w:pPr>
                    <w:widowControl/>
                    <w:adjustRightInd w:val="0"/>
                    <w:snapToGrid w:val="0"/>
                    <w:spacing w:line="340" w:lineRule="exact"/>
                    <w:jc w:val="center"/>
                    <w:textAlignment w:val="center"/>
                    <w:rPr>
                      <w:color w:val="auto"/>
                      <w:szCs w:val="21"/>
                    </w:rPr>
                  </w:pPr>
                  <w:r>
                    <w:rPr>
                      <w:bCs/>
                      <w:color w:val="auto"/>
                      <w:szCs w:val="21"/>
                    </w:rPr>
                    <w:t>Z</w:t>
                  </w:r>
                </w:p>
              </w:tc>
              <w:tc>
                <w:tcPr>
                  <w:tcW w:w="396" w:type="pct"/>
                  <w:vMerge w:val="continue"/>
                  <w:shd w:val="clear" w:color="auto" w:fill="FFFFFF"/>
                  <w:noWrap w:val="0"/>
                  <w:vAlign w:val="center"/>
                </w:tcPr>
                <w:p w14:paraId="0051670C">
                  <w:pPr>
                    <w:widowControl/>
                    <w:adjustRightInd w:val="0"/>
                    <w:snapToGrid w:val="0"/>
                    <w:spacing w:line="340" w:lineRule="exact"/>
                    <w:jc w:val="center"/>
                    <w:textAlignment w:val="center"/>
                    <w:rPr>
                      <w:bCs/>
                      <w:color w:val="auto"/>
                      <w:szCs w:val="21"/>
                      <w:highlight w:val="yellow"/>
                    </w:rPr>
                  </w:pPr>
                </w:p>
              </w:tc>
              <w:tc>
                <w:tcPr>
                  <w:tcW w:w="879" w:type="dxa"/>
                  <w:shd w:val="clear" w:color="auto" w:fill="FFFFFF"/>
                  <w:noWrap w:val="0"/>
                  <w:vAlign w:val="center"/>
                </w:tcPr>
                <w:p w14:paraId="39D78415">
                  <w:pPr>
                    <w:keepNext w:val="0"/>
                    <w:keepLines w:val="0"/>
                    <w:widowControl/>
                    <w:suppressLineNumbers w:val="0"/>
                    <w:jc w:val="center"/>
                    <w:textAlignment w:val="center"/>
                    <w:rPr>
                      <w:bCs/>
                      <w:color w:val="auto"/>
                      <w:szCs w:val="21"/>
                      <w:highlight w:val="yellow"/>
                    </w:rPr>
                  </w:pPr>
                  <w:r>
                    <w:rPr>
                      <w:rFonts w:hint="eastAsia" w:ascii="等线" w:hAnsi="等线" w:eastAsia="等线" w:cs="等线"/>
                      <w:i w:val="0"/>
                      <w:iCs w:val="0"/>
                      <w:color w:val="auto"/>
                      <w:kern w:val="0"/>
                      <w:sz w:val="22"/>
                      <w:szCs w:val="22"/>
                      <w:u w:val="none"/>
                      <w:lang w:val="en-US" w:eastAsia="zh-CN" w:bidi="ar"/>
                    </w:rPr>
                    <w:t>东</w:t>
                  </w:r>
                </w:p>
              </w:tc>
              <w:tc>
                <w:tcPr>
                  <w:tcW w:w="879" w:type="dxa"/>
                  <w:shd w:val="clear" w:color="auto" w:fill="FFFFFF"/>
                  <w:noWrap w:val="0"/>
                  <w:vAlign w:val="center"/>
                </w:tcPr>
                <w:p w14:paraId="47D6B975">
                  <w:pPr>
                    <w:keepNext w:val="0"/>
                    <w:keepLines w:val="0"/>
                    <w:widowControl/>
                    <w:suppressLineNumbers w:val="0"/>
                    <w:jc w:val="center"/>
                    <w:textAlignment w:val="center"/>
                    <w:rPr>
                      <w:bCs/>
                      <w:color w:val="auto"/>
                      <w:szCs w:val="21"/>
                      <w:highlight w:val="yellow"/>
                    </w:rPr>
                  </w:pPr>
                  <w:r>
                    <w:rPr>
                      <w:rFonts w:hint="eastAsia" w:ascii="等线" w:hAnsi="等线" w:eastAsia="等线" w:cs="等线"/>
                      <w:i w:val="0"/>
                      <w:iCs w:val="0"/>
                      <w:color w:val="auto"/>
                      <w:kern w:val="0"/>
                      <w:sz w:val="22"/>
                      <w:szCs w:val="22"/>
                      <w:u w:val="none"/>
                      <w:lang w:val="en-US" w:eastAsia="zh-CN" w:bidi="ar"/>
                    </w:rPr>
                    <w:t>南</w:t>
                  </w:r>
                </w:p>
              </w:tc>
              <w:tc>
                <w:tcPr>
                  <w:tcW w:w="879" w:type="dxa"/>
                  <w:shd w:val="clear" w:color="auto" w:fill="FFFFFF"/>
                  <w:noWrap w:val="0"/>
                  <w:vAlign w:val="center"/>
                </w:tcPr>
                <w:p w14:paraId="090D5AC2">
                  <w:pPr>
                    <w:keepNext w:val="0"/>
                    <w:keepLines w:val="0"/>
                    <w:widowControl/>
                    <w:suppressLineNumbers w:val="0"/>
                    <w:jc w:val="center"/>
                    <w:textAlignment w:val="center"/>
                    <w:rPr>
                      <w:bCs/>
                      <w:color w:val="auto"/>
                      <w:szCs w:val="21"/>
                      <w:highlight w:val="yellow"/>
                    </w:rPr>
                  </w:pPr>
                  <w:r>
                    <w:rPr>
                      <w:rFonts w:hint="eastAsia" w:ascii="等线" w:hAnsi="等线" w:eastAsia="等线" w:cs="等线"/>
                      <w:i w:val="0"/>
                      <w:iCs w:val="0"/>
                      <w:color w:val="auto"/>
                      <w:kern w:val="0"/>
                      <w:sz w:val="22"/>
                      <w:szCs w:val="22"/>
                      <w:u w:val="none"/>
                      <w:lang w:val="en-US" w:eastAsia="zh-CN" w:bidi="ar"/>
                    </w:rPr>
                    <w:t>西</w:t>
                  </w:r>
                </w:p>
              </w:tc>
              <w:tc>
                <w:tcPr>
                  <w:tcW w:w="879" w:type="dxa"/>
                  <w:shd w:val="clear" w:color="auto" w:fill="FFFFFF"/>
                  <w:noWrap w:val="0"/>
                  <w:vAlign w:val="center"/>
                </w:tcPr>
                <w:p w14:paraId="5D74EF62">
                  <w:pPr>
                    <w:keepNext w:val="0"/>
                    <w:keepLines w:val="0"/>
                    <w:widowControl/>
                    <w:suppressLineNumbers w:val="0"/>
                    <w:jc w:val="center"/>
                    <w:textAlignment w:val="center"/>
                    <w:rPr>
                      <w:bCs/>
                      <w:color w:val="auto"/>
                      <w:szCs w:val="21"/>
                      <w:highlight w:val="yellow"/>
                    </w:rPr>
                  </w:pPr>
                  <w:r>
                    <w:rPr>
                      <w:rFonts w:hint="eastAsia" w:ascii="等线" w:hAnsi="等线" w:eastAsia="等线" w:cs="等线"/>
                      <w:i w:val="0"/>
                      <w:iCs w:val="0"/>
                      <w:color w:val="auto"/>
                      <w:kern w:val="0"/>
                      <w:sz w:val="22"/>
                      <w:szCs w:val="22"/>
                      <w:u w:val="none"/>
                      <w:lang w:val="en-US" w:eastAsia="zh-CN" w:bidi="ar"/>
                    </w:rPr>
                    <w:t>北</w:t>
                  </w:r>
                </w:p>
              </w:tc>
            </w:tr>
            <w:tr w14:paraId="012A5D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04" w:type="pct"/>
                  <w:shd w:val="clear" w:color="auto" w:fill="FFFFFF"/>
                  <w:noWrap w:val="0"/>
                  <w:vAlign w:val="center"/>
                </w:tcPr>
                <w:p w14:paraId="565ABEE3">
                  <w:pPr>
                    <w:widowControl/>
                    <w:spacing w:line="340" w:lineRule="exact"/>
                    <w:jc w:val="center"/>
                    <w:textAlignment w:val="center"/>
                    <w:rPr>
                      <w:color w:val="auto"/>
                      <w:szCs w:val="21"/>
                    </w:rPr>
                  </w:pPr>
                  <w:r>
                    <w:rPr>
                      <w:rFonts w:hint="eastAsia"/>
                      <w:color w:val="auto"/>
                      <w:kern w:val="0"/>
                      <w:szCs w:val="21"/>
                      <w:lang w:bidi="ar"/>
                    </w:rPr>
                    <w:t>空调风机</w:t>
                  </w:r>
                </w:p>
              </w:tc>
              <w:tc>
                <w:tcPr>
                  <w:tcW w:w="487" w:type="pct"/>
                  <w:shd w:val="clear" w:color="auto" w:fill="FFFFFF"/>
                  <w:noWrap w:val="0"/>
                  <w:vAlign w:val="center"/>
                </w:tcPr>
                <w:p w14:paraId="3827EFF7">
                  <w:pPr>
                    <w:widowControl/>
                    <w:adjustRightInd w:val="0"/>
                    <w:snapToGrid w:val="0"/>
                    <w:spacing w:line="340" w:lineRule="exact"/>
                    <w:jc w:val="center"/>
                    <w:textAlignment w:val="center"/>
                    <w:rPr>
                      <w:bCs/>
                      <w:color w:val="auto"/>
                      <w:szCs w:val="21"/>
                    </w:rPr>
                  </w:pPr>
                  <w:r>
                    <w:rPr>
                      <w:rFonts w:hint="eastAsia"/>
                      <w:bCs/>
                      <w:color w:val="auto"/>
                      <w:szCs w:val="21"/>
                    </w:rPr>
                    <w:t>80</w:t>
                  </w:r>
                </w:p>
              </w:tc>
              <w:tc>
                <w:tcPr>
                  <w:tcW w:w="548" w:type="pct"/>
                  <w:shd w:val="clear" w:color="auto" w:fill="FFFFFF"/>
                  <w:noWrap w:val="0"/>
                  <w:vAlign w:val="center"/>
                </w:tcPr>
                <w:p w14:paraId="7D5F120F">
                  <w:pPr>
                    <w:widowControl/>
                    <w:adjustRightInd w:val="0"/>
                    <w:snapToGrid w:val="0"/>
                    <w:spacing w:line="340" w:lineRule="exact"/>
                    <w:jc w:val="center"/>
                    <w:textAlignment w:val="center"/>
                    <w:rPr>
                      <w:bCs/>
                      <w:color w:val="auto"/>
                      <w:szCs w:val="21"/>
                    </w:rPr>
                  </w:pPr>
                  <w:r>
                    <w:rPr>
                      <w:bCs/>
                      <w:color w:val="auto"/>
                      <w:szCs w:val="21"/>
                    </w:rPr>
                    <w:t>基础减震减噪</w:t>
                  </w:r>
                </w:p>
              </w:tc>
              <w:tc>
                <w:tcPr>
                  <w:tcW w:w="330" w:type="pct"/>
                  <w:shd w:val="clear" w:color="auto" w:fill="FFFFFF"/>
                  <w:noWrap w:val="0"/>
                  <w:vAlign w:val="center"/>
                </w:tcPr>
                <w:p w14:paraId="066A01C7">
                  <w:pPr>
                    <w:widowControl/>
                    <w:spacing w:line="340" w:lineRule="exact"/>
                    <w:jc w:val="center"/>
                    <w:textAlignment w:val="center"/>
                    <w:rPr>
                      <w:bCs/>
                      <w:color w:val="auto"/>
                      <w:szCs w:val="21"/>
                    </w:rPr>
                  </w:pPr>
                  <w:r>
                    <w:rPr>
                      <w:rFonts w:hint="eastAsia"/>
                      <w:bCs/>
                      <w:color w:val="auto"/>
                      <w:szCs w:val="21"/>
                    </w:rPr>
                    <w:t>170</w:t>
                  </w:r>
                </w:p>
              </w:tc>
              <w:tc>
                <w:tcPr>
                  <w:tcW w:w="367" w:type="pct"/>
                  <w:shd w:val="clear" w:color="auto" w:fill="FFFFFF"/>
                  <w:noWrap w:val="0"/>
                  <w:vAlign w:val="center"/>
                </w:tcPr>
                <w:p w14:paraId="16DDD5D1">
                  <w:pPr>
                    <w:widowControl/>
                    <w:spacing w:line="340" w:lineRule="exact"/>
                    <w:jc w:val="center"/>
                    <w:textAlignment w:val="center"/>
                    <w:rPr>
                      <w:color w:val="auto"/>
                      <w:szCs w:val="21"/>
                    </w:rPr>
                  </w:pPr>
                  <w:r>
                    <w:rPr>
                      <w:rFonts w:hint="eastAsia"/>
                      <w:color w:val="auto"/>
                      <w:szCs w:val="21"/>
                    </w:rPr>
                    <w:t>530</w:t>
                  </w:r>
                </w:p>
              </w:tc>
              <w:tc>
                <w:tcPr>
                  <w:tcW w:w="299" w:type="pct"/>
                  <w:shd w:val="clear" w:color="auto" w:fill="FFFFFF"/>
                  <w:noWrap w:val="0"/>
                  <w:vAlign w:val="center"/>
                </w:tcPr>
                <w:p w14:paraId="75705C38">
                  <w:pPr>
                    <w:widowControl/>
                    <w:spacing w:line="340" w:lineRule="exact"/>
                    <w:jc w:val="center"/>
                    <w:textAlignment w:val="center"/>
                    <w:rPr>
                      <w:rFonts w:hint="eastAsia"/>
                      <w:color w:val="auto"/>
                      <w:szCs w:val="21"/>
                    </w:rPr>
                  </w:pPr>
                  <w:r>
                    <w:rPr>
                      <w:rFonts w:hint="eastAsia"/>
                      <w:color w:val="auto"/>
                      <w:szCs w:val="21"/>
                    </w:rPr>
                    <w:t>8</w:t>
                  </w:r>
                </w:p>
              </w:tc>
              <w:tc>
                <w:tcPr>
                  <w:tcW w:w="396" w:type="pct"/>
                  <w:shd w:val="clear" w:color="auto" w:fill="FFFFFF"/>
                  <w:noWrap w:val="0"/>
                  <w:vAlign w:val="center"/>
                </w:tcPr>
                <w:p w14:paraId="6A103565">
                  <w:pPr>
                    <w:widowControl/>
                    <w:adjustRightInd w:val="0"/>
                    <w:snapToGrid w:val="0"/>
                    <w:spacing w:line="340" w:lineRule="exact"/>
                    <w:jc w:val="center"/>
                    <w:textAlignment w:val="center"/>
                    <w:rPr>
                      <w:rFonts w:hint="default" w:eastAsia="宋体"/>
                      <w:bCs/>
                      <w:color w:val="auto"/>
                      <w:szCs w:val="21"/>
                      <w:lang w:val="en-US" w:eastAsia="zh-CN"/>
                    </w:rPr>
                  </w:pPr>
                  <w:r>
                    <w:rPr>
                      <w:rFonts w:hint="eastAsia"/>
                      <w:bCs/>
                      <w:color w:val="auto"/>
                      <w:szCs w:val="21"/>
                      <w:lang w:val="en-US" w:eastAsia="zh-CN"/>
                    </w:rPr>
                    <w:t>24h</w:t>
                  </w:r>
                </w:p>
              </w:tc>
              <w:tc>
                <w:tcPr>
                  <w:tcW w:w="879" w:type="dxa"/>
                  <w:shd w:val="clear" w:color="auto" w:fill="FFFFFF"/>
                  <w:noWrap w:val="0"/>
                  <w:vAlign w:val="center"/>
                </w:tcPr>
                <w:p w14:paraId="1798F2B0">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28.6</w:t>
                  </w:r>
                </w:p>
              </w:tc>
              <w:tc>
                <w:tcPr>
                  <w:tcW w:w="879" w:type="dxa"/>
                  <w:shd w:val="clear" w:color="auto" w:fill="FFFFFF"/>
                  <w:noWrap w:val="0"/>
                  <w:vAlign w:val="center"/>
                </w:tcPr>
                <w:p w14:paraId="68BF9AE3">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28.5</w:t>
                  </w:r>
                </w:p>
              </w:tc>
              <w:tc>
                <w:tcPr>
                  <w:tcW w:w="879" w:type="dxa"/>
                  <w:shd w:val="clear" w:color="auto" w:fill="FFFFFF"/>
                  <w:noWrap w:val="0"/>
                  <w:vAlign w:val="center"/>
                </w:tcPr>
                <w:p w14:paraId="325F53B5">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28.6</w:t>
                  </w:r>
                </w:p>
              </w:tc>
              <w:tc>
                <w:tcPr>
                  <w:tcW w:w="879" w:type="dxa"/>
                  <w:shd w:val="clear" w:color="auto" w:fill="FFFFFF"/>
                  <w:noWrap w:val="0"/>
                  <w:vAlign w:val="center"/>
                </w:tcPr>
                <w:p w14:paraId="3CF2B05A">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28.8</w:t>
                  </w:r>
                </w:p>
              </w:tc>
            </w:tr>
            <w:tr w14:paraId="32E5E3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04" w:type="pct"/>
                  <w:shd w:val="clear" w:color="auto" w:fill="FFFFFF"/>
                  <w:noWrap w:val="0"/>
                  <w:vAlign w:val="center"/>
                </w:tcPr>
                <w:p w14:paraId="2DFE9B00">
                  <w:pPr>
                    <w:widowControl/>
                    <w:spacing w:line="340" w:lineRule="exact"/>
                    <w:jc w:val="center"/>
                    <w:textAlignment w:val="center"/>
                    <w:rPr>
                      <w:color w:val="auto"/>
                      <w:szCs w:val="21"/>
                    </w:rPr>
                  </w:pPr>
                  <w:r>
                    <w:rPr>
                      <w:rFonts w:hint="eastAsia"/>
                      <w:color w:val="auto"/>
                      <w:szCs w:val="21"/>
                    </w:rPr>
                    <w:t>水泵</w:t>
                  </w:r>
                </w:p>
              </w:tc>
              <w:tc>
                <w:tcPr>
                  <w:tcW w:w="487" w:type="pct"/>
                  <w:shd w:val="clear" w:color="auto" w:fill="FFFFFF"/>
                  <w:noWrap w:val="0"/>
                  <w:vAlign w:val="center"/>
                </w:tcPr>
                <w:p w14:paraId="0DF1F3CB">
                  <w:pPr>
                    <w:widowControl/>
                    <w:adjustRightInd w:val="0"/>
                    <w:snapToGrid w:val="0"/>
                    <w:spacing w:line="340" w:lineRule="exact"/>
                    <w:jc w:val="center"/>
                    <w:textAlignment w:val="center"/>
                    <w:rPr>
                      <w:bCs/>
                      <w:color w:val="auto"/>
                      <w:szCs w:val="21"/>
                    </w:rPr>
                  </w:pPr>
                  <w:r>
                    <w:rPr>
                      <w:bCs/>
                      <w:color w:val="auto"/>
                      <w:szCs w:val="21"/>
                    </w:rPr>
                    <w:t>80</w:t>
                  </w:r>
                </w:p>
              </w:tc>
              <w:tc>
                <w:tcPr>
                  <w:tcW w:w="548" w:type="pct"/>
                  <w:shd w:val="clear" w:color="auto" w:fill="FFFFFF"/>
                  <w:noWrap w:val="0"/>
                  <w:vAlign w:val="center"/>
                </w:tcPr>
                <w:p w14:paraId="1E6C11A6">
                  <w:pPr>
                    <w:widowControl/>
                    <w:adjustRightInd w:val="0"/>
                    <w:snapToGrid w:val="0"/>
                    <w:spacing w:line="340" w:lineRule="exact"/>
                    <w:jc w:val="center"/>
                    <w:textAlignment w:val="center"/>
                    <w:rPr>
                      <w:bCs/>
                      <w:color w:val="auto"/>
                      <w:szCs w:val="21"/>
                    </w:rPr>
                  </w:pPr>
                  <w:r>
                    <w:rPr>
                      <w:bCs/>
                      <w:color w:val="auto"/>
                      <w:szCs w:val="21"/>
                    </w:rPr>
                    <w:t>基础减震减噪</w:t>
                  </w:r>
                </w:p>
              </w:tc>
              <w:tc>
                <w:tcPr>
                  <w:tcW w:w="330" w:type="pct"/>
                  <w:shd w:val="clear" w:color="auto" w:fill="FFFFFF"/>
                  <w:noWrap w:val="0"/>
                  <w:vAlign w:val="center"/>
                </w:tcPr>
                <w:p w14:paraId="259D3BCD">
                  <w:pPr>
                    <w:widowControl/>
                    <w:spacing w:line="340" w:lineRule="exact"/>
                    <w:jc w:val="center"/>
                    <w:textAlignment w:val="center"/>
                    <w:rPr>
                      <w:bCs/>
                      <w:color w:val="auto"/>
                      <w:szCs w:val="21"/>
                    </w:rPr>
                  </w:pPr>
                  <w:r>
                    <w:rPr>
                      <w:rFonts w:hint="eastAsia"/>
                      <w:bCs/>
                      <w:color w:val="auto"/>
                      <w:szCs w:val="21"/>
                    </w:rPr>
                    <w:t>152</w:t>
                  </w:r>
                </w:p>
              </w:tc>
              <w:tc>
                <w:tcPr>
                  <w:tcW w:w="367" w:type="pct"/>
                  <w:shd w:val="clear" w:color="auto" w:fill="FFFFFF"/>
                  <w:noWrap w:val="0"/>
                  <w:vAlign w:val="center"/>
                </w:tcPr>
                <w:p w14:paraId="3FA0AB4D">
                  <w:pPr>
                    <w:widowControl/>
                    <w:spacing w:line="340" w:lineRule="exact"/>
                    <w:jc w:val="center"/>
                    <w:textAlignment w:val="center"/>
                    <w:rPr>
                      <w:color w:val="auto"/>
                      <w:szCs w:val="21"/>
                    </w:rPr>
                  </w:pPr>
                  <w:r>
                    <w:rPr>
                      <w:rFonts w:hint="eastAsia"/>
                      <w:color w:val="auto"/>
                      <w:szCs w:val="21"/>
                    </w:rPr>
                    <w:t>533</w:t>
                  </w:r>
                </w:p>
              </w:tc>
              <w:tc>
                <w:tcPr>
                  <w:tcW w:w="299" w:type="pct"/>
                  <w:shd w:val="clear" w:color="auto" w:fill="FFFFFF"/>
                  <w:noWrap w:val="0"/>
                  <w:vAlign w:val="center"/>
                </w:tcPr>
                <w:p w14:paraId="1A8943C7">
                  <w:pPr>
                    <w:widowControl/>
                    <w:spacing w:line="340" w:lineRule="exact"/>
                    <w:jc w:val="center"/>
                    <w:textAlignment w:val="center"/>
                    <w:rPr>
                      <w:rFonts w:hint="eastAsia" w:eastAsia="宋体"/>
                      <w:bCs/>
                      <w:color w:val="auto"/>
                      <w:szCs w:val="21"/>
                      <w:lang w:eastAsia="zh-CN"/>
                    </w:rPr>
                  </w:pPr>
                  <w:r>
                    <w:rPr>
                      <w:rFonts w:hint="eastAsia"/>
                      <w:bCs/>
                      <w:color w:val="auto"/>
                      <w:szCs w:val="21"/>
                      <w:lang w:val="en-US" w:eastAsia="zh-CN"/>
                    </w:rPr>
                    <w:t>1</w:t>
                  </w:r>
                </w:p>
              </w:tc>
              <w:tc>
                <w:tcPr>
                  <w:tcW w:w="396" w:type="pct"/>
                  <w:shd w:val="clear" w:color="auto" w:fill="FFFFFF"/>
                  <w:noWrap w:val="0"/>
                  <w:vAlign w:val="center"/>
                </w:tcPr>
                <w:p w14:paraId="1FE0B141">
                  <w:pPr>
                    <w:widowControl/>
                    <w:adjustRightInd w:val="0"/>
                    <w:snapToGrid w:val="0"/>
                    <w:spacing w:line="340" w:lineRule="exact"/>
                    <w:jc w:val="center"/>
                    <w:textAlignment w:val="center"/>
                    <w:rPr>
                      <w:bCs/>
                      <w:color w:val="auto"/>
                      <w:szCs w:val="21"/>
                    </w:rPr>
                  </w:pPr>
                  <w:r>
                    <w:rPr>
                      <w:rFonts w:hint="eastAsia"/>
                      <w:bCs/>
                      <w:color w:val="auto"/>
                      <w:szCs w:val="21"/>
                      <w:lang w:val="en-US" w:eastAsia="zh-CN"/>
                    </w:rPr>
                    <w:t>24h</w:t>
                  </w:r>
                </w:p>
              </w:tc>
              <w:tc>
                <w:tcPr>
                  <w:tcW w:w="879" w:type="dxa"/>
                  <w:shd w:val="clear" w:color="auto" w:fill="FFFFFF"/>
                  <w:noWrap w:val="0"/>
                  <w:vAlign w:val="center"/>
                </w:tcPr>
                <w:p w14:paraId="60AA82D0">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28.6</w:t>
                  </w:r>
                </w:p>
              </w:tc>
              <w:tc>
                <w:tcPr>
                  <w:tcW w:w="879" w:type="dxa"/>
                  <w:shd w:val="clear" w:color="auto" w:fill="FFFFFF"/>
                  <w:noWrap w:val="0"/>
                  <w:vAlign w:val="center"/>
                </w:tcPr>
                <w:p w14:paraId="08BAD3CA">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28.5</w:t>
                  </w:r>
                </w:p>
              </w:tc>
              <w:tc>
                <w:tcPr>
                  <w:tcW w:w="879" w:type="dxa"/>
                  <w:shd w:val="clear" w:color="auto" w:fill="FFFFFF"/>
                  <w:noWrap w:val="0"/>
                  <w:vAlign w:val="center"/>
                </w:tcPr>
                <w:p w14:paraId="39E42B22">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28.7</w:t>
                  </w:r>
                </w:p>
              </w:tc>
              <w:tc>
                <w:tcPr>
                  <w:tcW w:w="879" w:type="dxa"/>
                  <w:shd w:val="clear" w:color="auto" w:fill="FFFFFF"/>
                  <w:noWrap w:val="0"/>
                  <w:vAlign w:val="center"/>
                </w:tcPr>
                <w:p w14:paraId="07D80284">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28.9</w:t>
                  </w:r>
                </w:p>
              </w:tc>
            </w:tr>
            <w:tr w14:paraId="4A7392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04" w:type="pct"/>
                  <w:shd w:val="clear" w:color="auto" w:fill="FFFFFF"/>
                  <w:noWrap w:val="0"/>
                  <w:vAlign w:val="center"/>
                </w:tcPr>
                <w:p w14:paraId="797BA7B0">
                  <w:pPr>
                    <w:widowControl/>
                    <w:spacing w:line="340" w:lineRule="exact"/>
                    <w:jc w:val="center"/>
                    <w:textAlignment w:val="center"/>
                    <w:rPr>
                      <w:rFonts w:hint="default" w:eastAsia="宋体"/>
                      <w:color w:val="auto"/>
                      <w:szCs w:val="21"/>
                      <w:lang w:val="en-US" w:eastAsia="zh-CN"/>
                    </w:rPr>
                  </w:pPr>
                  <w:r>
                    <w:rPr>
                      <w:rFonts w:hint="eastAsia"/>
                      <w:color w:val="auto"/>
                      <w:szCs w:val="21"/>
                      <w:lang w:val="en-US" w:eastAsia="zh-CN"/>
                    </w:rPr>
                    <w:t>食堂风机</w:t>
                  </w:r>
                </w:p>
              </w:tc>
              <w:tc>
                <w:tcPr>
                  <w:tcW w:w="487" w:type="pct"/>
                  <w:shd w:val="clear" w:color="auto" w:fill="FFFFFF"/>
                  <w:noWrap w:val="0"/>
                  <w:vAlign w:val="center"/>
                </w:tcPr>
                <w:p w14:paraId="2FEF76DA">
                  <w:pPr>
                    <w:widowControl/>
                    <w:adjustRightInd w:val="0"/>
                    <w:snapToGrid w:val="0"/>
                    <w:spacing w:line="340" w:lineRule="exact"/>
                    <w:jc w:val="center"/>
                    <w:textAlignment w:val="center"/>
                    <w:rPr>
                      <w:rFonts w:hint="default" w:eastAsia="宋体"/>
                      <w:bCs/>
                      <w:color w:val="auto"/>
                      <w:szCs w:val="21"/>
                      <w:lang w:val="en-US" w:eastAsia="zh-CN"/>
                    </w:rPr>
                  </w:pPr>
                  <w:r>
                    <w:rPr>
                      <w:rFonts w:hint="eastAsia"/>
                      <w:bCs/>
                      <w:color w:val="auto"/>
                      <w:szCs w:val="21"/>
                      <w:lang w:val="en-US" w:eastAsia="zh-CN"/>
                    </w:rPr>
                    <w:t>80</w:t>
                  </w:r>
                </w:p>
              </w:tc>
              <w:tc>
                <w:tcPr>
                  <w:tcW w:w="548" w:type="pct"/>
                  <w:shd w:val="clear" w:color="auto" w:fill="FFFFFF"/>
                  <w:noWrap w:val="0"/>
                  <w:vAlign w:val="center"/>
                </w:tcPr>
                <w:p w14:paraId="4108E6BE">
                  <w:pPr>
                    <w:widowControl/>
                    <w:adjustRightInd w:val="0"/>
                    <w:snapToGrid w:val="0"/>
                    <w:spacing w:line="340" w:lineRule="exact"/>
                    <w:jc w:val="center"/>
                    <w:textAlignment w:val="center"/>
                    <w:rPr>
                      <w:bCs/>
                      <w:color w:val="auto"/>
                      <w:szCs w:val="21"/>
                    </w:rPr>
                  </w:pPr>
                  <w:r>
                    <w:rPr>
                      <w:bCs/>
                      <w:color w:val="auto"/>
                      <w:szCs w:val="21"/>
                    </w:rPr>
                    <w:t>基础减震减噪</w:t>
                  </w:r>
                </w:p>
              </w:tc>
              <w:tc>
                <w:tcPr>
                  <w:tcW w:w="330" w:type="pct"/>
                  <w:shd w:val="clear" w:color="auto" w:fill="FFFFFF"/>
                  <w:noWrap w:val="0"/>
                  <w:vAlign w:val="center"/>
                </w:tcPr>
                <w:p w14:paraId="691109BD">
                  <w:pPr>
                    <w:keepNext w:val="0"/>
                    <w:keepLines w:val="0"/>
                    <w:widowControl/>
                    <w:suppressLineNumbers w:val="0"/>
                    <w:jc w:val="center"/>
                    <w:textAlignment w:val="center"/>
                    <w:rPr>
                      <w:rFonts w:hint="default" w:ascii="Times New Roman" w:hAnsi="Times New Roman" w:cs="Times New Roman"/>
                      <w:bCs/>
                      <w:color w:val="auto"/>
                      <w:szCs w:val="21"/>
                    </w:rPr>
                  </w:pPr>
                  <w:r>
                    <w:rPr>
                      <w:rFonts w:hint="default" w:ascii="Times New Roman" w:hAnsi="Times New Roman" w:eastAsia="等线" w:cs="Times New Roman"/>
                      <w:i w:val="0"/>
                      <w:iCs w:val="0"/>
                      <w:color w:val="auto"/>
                      <w:kern w:val="0"/>
                      <w:sz w:val="22"/>
                      <w:szCs w:val="22"/>
                      <w:u w:val="none"/>
                      <w:lang w:val="en-US" w:eastAsia="zh-CN" w:bidi="ar"/>
                    </w:rPr>
                    <w:t>223</w:t>
                  </w:r>
                </w:p>
              </w:tc>
              <w:tc>
                <w:tcPr>
                  <w:tcW w:w="367" w:type="pct"/>
                  <w:shd w:val="clear" w:color="auto" w:fill="FFFFFF"/>
                  <w:noWrap w:val="0"/>
                  <w:vAlign w:val="center"/>
                </w:tcPr>
                <w:p w14:paraId="47E14904">
                  <w:pPr>
                    <w:keepNext w:val="0"/>
                    <w:keepLines w:val="0"/>
                    <w:widowControl/>
                    <w:suppressLineNumbers w:val="0"/>
                    <w:jc w:val="center"/>
                    <w:textAlignment w:val="center"/>
                    <w:rPr>
                      <w:rFonts w:hint="default" w:ascii="Times New Roman" w:hAnsi="Times New Roman" w:cs="Times New Roman"/>
                      <w:color w:val="auto"/>
                      <w:szCs w:val="21"/>
                    </w:rPr>
                  </w:pPr>
                  <w:r>
                    <w:rPr>
                      <w:rFonts w:hint="default" w:ascii="Times New Roman" w:hAnsi="Times New Roman" w:eastAsia="等线" w:cs="Times New Roman"/>
                      <w:i w:val="0"/>
                      <w:iCs w:val="0"/>
                      <w:color w:val="auto"/>
                      <w:kern w:val="0"/>
                      <w:sz w:val="22"/>
                      <w:szCs w:val="22"/>
                      <w:u w:val="none"/>
                      <w:lang w:val="en-US" w:eastAsia="zh-CN" w:bidi="ar"/>
                    </w:rPr>
                    <w:t>120</w:t>
                  </w:r>
                </w:p>
              </w:tc>
              <w:tc>
                <w:tcPr>
                  <w:tcW w:w="299" w:type="pct"/>
                  <w:shd w:val="clear" w:color="auto" w:fill="FFFFFF"/>
                  <w:noWrap w:val="0"/>
                  <w:vAlign w:val="center"/>
                </w:tcPr>
                <w:p w14:paraId="575B56EB">
                  <w:pPr>
                    <w:keepNext w:val="0"/>
                    <w:keepLines w:val="0"/>
                    <w:widowControl/>
                    <w:suppressLineNumbers w:val="0"/>
                    <w:jc w:val="center"/>
                    <w:textAlignment w:val="center"/>
                    <w:rPr>
                      <w:rFonts w:hint="default" w:ascii="Times New Roman" w:hAnsi="Times New Roman" w:cs="Times New Roman"/>
                      <w:bCs/>
                      <w:color w:val="auto"/>
                      <w:szCs w:val="21"/>
                    </w:rPr>
                  </w:pPr>
                  <w:r>
                    <w:rPr>
                      <w:rFonts w:hint="default" w:ascii="Times New Roman" w:hAnsi="Times New Roman" w:eastAsia="等线" w:cs="Times New Roman"/>
                      <w:i w:val="0"/>
                      <w:iCs w:val="0"/>
                      <w:color w:val="auto"/>
                      <w:kern w:val="0"/>
                      <w:sz w:val="22"/>
                      <w:szCs w:val="22"/>
                      <w:u w:val="none"/>
                      <w:lang w:val="en-US" w:eastAsia="zh-CN" w:bidi="ar"/>
                    </w:rPr>
                    <w:t>12</w:t>
                  </w:r>
                </w:p>
              </w:tc>
              <w:tc>
                <w:tcPr>
                  <w:tcW w:w="396" w:type="pct"/>
                  <w:shd w:val="clear" w:color="auto" w:fill="FFFFFF"/>
                  <w:noWrap w:val="0"/>
                  <w:vAlign w:val="center"/>
                </w:tcPr>
                <w:p w14:paraId="3D1D3EA6">
                  <w:pPr>
                    <w:widowControl/>
                    <w:adjustRightInd w:val="0"/>
                    <w:snapToGrid w:val="0"/>
                    <w:spacing w:line="340" w:lineRule="exact"/>
                    <w:jc w:val="center"/>
                    <w:textAlignment w:val="center"/>
                    <w:rPr>
                      <w:rFonts w:hint="default" w:eastAsia="宋体"/>
                      <w:bCs/>
                      <w:color w:val="auto"/>
                      <w:szCs w:val="21"/>
                      <w:lang w:val="en-US" w:eastAsia="zh-CN"/>
                    </w:rPr>
                  </w:pPr>
                  <w:r>
                    <w:rPr>
                      <w:rFonts w:hint="eastAsia"/>
                      <w:bCs/>
                      <w:color w:val="auto"/>
                      <w:szCs w:val="21"/>
                      <w:lang w:val="en-US" w:eastAsia="zh-CN"/>
                    </w:rPr>
                    <w:t>6h</w:t>
                  </w:r>
                </w:p>
              </w:tc>
              <w:tc>
                <w:tcPr>
                  <w:tcW w:w="879" w:type="dxa"/>
                  <w:shd w:val="clear" w:color="auto" w:fill="FFFFFF"/>
                  <w:noWrap w:val="0"/>
                  <w:vAlign w:val="center"/>
                </w:tcPr>
                <w:p w14:paraId="421B7AE6">
                  <w:pPr>
                    <w:keepNext w:val="0"/>
                    <w:keepLines w:val="0"/>
                    <w:widowControl/>
                    <w:suppressLineNumbers w:val="0"/>
                    <w:jc w:val="center"/>
                    <w:textAlignment w:val="center"/>
                    <w:rPr>
                      <w:rFonts w:hint="eastAsia"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28.7</w:t>
                  </w:r>
                </w:p>
              </w:tc>
              <w:tc>
                <w:tcPr>
                  <w:tcW w:w="879" w:type="dxa"/>
                  <w:shd w:val="clear" w:color="auto" w:fill="FFFFFF"/>
                  <w:noWrap w:val="0"/>
                  <w:vAlign w:val="center"/>
                </w:tcPr>
                <w:p w14:paraId="4F51C7C7">
                  <w:pPr>
                    <w:keepNext w:val="0"/>
                    <w:keepLines w:val="0"/>
                    <w:widowControl/>
                    <w:suppressLineNumbers w:val="0"/>
                    <w:jc w:val="center"/>
                    <w:textAlignment w:val="center"/>
                    <w:rPr>
                      <w:rFonts w:hint="eastAsia"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28.8</w:t>
                  </w:r>
                </w:p>
              </w:tc>
              <w:tc>
                <w:tcPr>
                  <w:tcW w:w="879" w:type="dxa"/>
                  <w:shd w:val="clear" w:color="auto" w:fill="FFFFFF"/>
                  <w:noWrap w:val="0"/>
                  <w:vAlign w:val="center"/>
                </w:tcPr>
                <w:p w14:paraId="0A76FD79">
                  <w:pPr>
                    <w:keepNext w:val="0"/>
                    <w:keepLines w:val="0"/>
                    <w:widowControl/>
                    <w:suppressLineNumbers w:val="0"/>
                    <w:jc w:val="center"/>
                    <w:textAlignment w:val="center"/>
                    <w:rPr>
                      <w:rFonts w:hint="eastAsia"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28.6</w:t>
                  </w:r>
                </w:p>
              </w:tc>
              <w:tc>
                <w:tcPr>
                  <w:tcW w:w="879" w:type="dxa"/>
                  <w:shd w:val="clear" w:color="auto" w:fill="FFFFFF"/>
                  <w:noWrap w:val="0"/>
                  <w:vAlign w:val="center"/>
                </w:tcPr>
                <w:p w14:paraId="32CDBAC4">
                  <w:pPr>
                    <w:keepNext w:val="0"/>
                    <w:keepLines w:val="0"/>
                    <w:widowControl/>
                    <w:suppressLineNumbers w:val="0"/>
                    <w:jc w:val="center"/>
                    <w:textAlignment w:val="center"/>
                    <w:rPr>
                      <w:rFonts w:hint="eastAsia"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28.5</w:t>
                  </w:r>
                </w:p>
              </w:tc>
            </w:tr>
            <w:tr w14:paraId="6D7074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04" w:type="pct"/>
                  <w:shd w:val="clear" w:color="auto" w:fill="FFFFFF"/>
                  <w:noWrap w:val="0"/>
                  <w:vAlign w:val="center"/>
                </w:tcPr>
                <w:p w14:paraId="32F79104">
                  <w:pPr>
                    <w:widowControl/>
                    <w:spacing w:line="340" w:lineRule="exact"/>
                    <w:jc w:val="center"/>
                    <w:textAlignment w:val="center"/>
                    <w:rPr>
                      <w:rFonts w:hint="default" w:eastAsia="宋体"/>
                      <w:color w:val="auto"/>
                      <w:szCs w:val="21"/>
                      <w:lang w:val="en-US" w:eastAsia="zh-CN"/>
                    </w:rPr>
                  </w:pPr>
                  <w:r>
                    <w:rPr>
                      <w:rFonts w:hint="eastAsia" w:eastAsia="宋体"/>
                      <w:color w:val="auto"/>
                      <w:szCs w:val="21"/>
                      <w:lang w:val="en-US" w:eastAsia="zh-CN"/>
                    </w:rPr>
                    <w:t>空压机</w:t>
                  </w:r>
                </w:p>
              </w:tc>
              <w:tc>
                <w:tcPr>
                  <w:tcW w:w="487" w:type="pct"/>
                  <w:shd w:val="clear" w:color="auto" w:fill="FFFFFF"/>
                  <w:noWrap w:val="0"/>
                  <w:vAlign w:val="center"/>
                </w:tcPr>
                <w:p w14:paraId="70232ADB">
                  <w:pPr>
                    <w:widowControl/>
                    <w:adjustRightInd w:val="0"/>
                    <w:snapToGrid w:val="0"/>
                    <w:spacing w:line="340" w:lineRule="exact"/>
                    <w:jc w:val="center"/>
                    <w:textAlignment w:val="center"/>
                    <w:rPr>
                      <w:rFonts w:hint="default" w:eastAsia="宋体"/>
                      <w:bCs/>
                      <w:color w:val="auto"/>
                      <w:szCs w:val="21"/>
                      <w:lang w:val="en-US" w:eastAsia="zh-CN"/>
                    </w:rPr>
                  </w:pPr>
                  <w:r>
                    <w:rPr>
                      <w:rFonts w:hint="eastAsia"/>
                      <w:bCs/>
                      <w:color w:val="auto"/>
                      <w:szCs w:val="21"/>
                      <w:lang w:val="en-US" w:eastAsia="zh-CN"/>
                    </w:rPr>
                    <w:t>80</w:t>
                  </w:r>
                </w:p>
              </w:tc>
              <w:tc>
                <w:tcPr>
                  <w:tcW w:w="548" w:type="pct"/>
                  <w:shd w:val="clear" w:color="auto" w:fill="FFFFFF"/>
                  <w:noWrap w:val="0"/>
                  <w:vAlign w:val="center"/>
                </w:tcPr>
                <w:p w14:paraId="601EC7E3">
                  <w:pPr>
                    <w:widowControl/>
                    <w:adjustRightInd w:val="0"/>
                    <w:snapToGrid w:val="0"/>
                    <w:spacing w:line="340" w:lineRule="exact"/>
                    <w:jc w:val="center"/>
                    <w:textAlignment w:val="center"/>
                    <w:rPr>
                      <w:bCs/>
                      <w:color w:val="auto"/>
                      <w:szCs w:val="21"/>
                    </w:rPr>
                  </w:pPr>
                  <w:r>
                    <w:rPr>
                      <w:bCs/>
                      <w:color w:val="auto"/>
                      <w:szCs w:val="21"/>
                    </w:rPr>
                    <w:t>基础减震减噪</w:t>
                  </w:r>
                </w:p>
              </w:tc>
              <w:tc>
                <w:tcPr>
                  <w:tcW w:w="330" w:type="pct"/>
                  <w:shd w:val="clear" w:color="auto" w:fill="FFFFFF"/>
                  <w:noWrap w:val="0"/>
                  <w:vAlign w:val="center"/>
                </w:tcPr>
                <w:p w14:paraId="4CC45E51">
                  <w:pPr>
                    <w:keepNext w:val="0"/>
                    <w:keepLines w:val="0"/>
                    <w:widowControl/>
                    <w:suppressLineNumbers w:val="0"/>
                    <w:jc w:val="center"/>
                    <w:textAlignment w:val="center"/>
                    <w:rPr>
                      <w:rFonts w:hint="default" w:ascii="Times New Roman" w:hAnsi="Times New Roman" w:cs="Times New Roman"/>
                      <w:bCs/>
                      <w:color w:val="auto"/>
                      <w:szCs w:val="21"/>
                    </w:rPr>
                  </w:pPr>
                  <w:r>
                    <w:rPr>
                      <w:rFonts w:hint="default" w:ascii="Times New Roman" w:hAnsi="Times New Roman" w:eastAsia="等线" w:cs="Times New Roman"/>
                      <w:i w:val="0"/>
                      <w:iCs w:val="0"/>
                      <w:color w:val="auto"/>
                      <w:kern w:val="0"/>
                      <w:sz w:val="22"/>
                      <w:szCs w:val="22"/>
                      <w:u w:val="none"/>
                      <w:lang w:val="en-US" w:eastAsia="zh-CN" w:bidi="ar"/>
                    </w:rPr>
                    <w:t>256</w:t>
                  </w:r>
                </w:p>
              </w:tc>
              <w:tc>
                <w:tcPr>
                  <w:tcW w:w="367" w:type="pct"/>
                  <w:shd w:val="clear" w:color="auto" w:fill="FFFFFF"/>
                  <w:noWrap w:val="0"/>
                  <w:vAlign w:val="center"/>
                </w:tcPr>
                <w:p w14:paraId="4445D318">
                  <w:pPr>
                    <w:keepNext w:val="0"/>
                    <w:keepLines w:val="0"/>
                    <w:widowControl/>
                    <w:suppressLineNumbers w:val="0"/>
                    <w:jc w:val="center"/>
                    <w:textAlignment w:val="center"/>
                    <w:rPr>
                      <w:rFonts w:hint="default" w:ascii="Times New Roman" w:hAnsi="Times New Roman" w:cs="Times New Roman"/>
                      <w:color w:val="auto"/>
                      <w:szCs w:val="21"/>
                    </w:rPr>
                  </w:pPr>
                  <w:r>
                    <w:rPr>
                      <w:rFonts w:hint="default" w:ascii="Times New Roman" w:hAnsi="Times New Roman" w:eastAsia="等线" w:cs="Times New Roman"/>
                      <w:i w:val="0"/>
                      <w:iCs w:val="0"/>
                      <w:color w:val="auto"/>
                      <w:kern w:val="0"/>
                      <w:sz w:val="22"/>
                      <w:szCs w:val="22"/>
                      <w:u w:val="none"/>
                      <w:lang w:val="en-US" w:eastAsia="zh-CN" w:bidi="ar"/>
                    </w:rPr>
                    <w:t>165</w:t>
                  </w:r>
                </w:p>
              </w:tc>
              <w:tc>
                <w:tcPr>
                  <w:tcW w:w="299" w:type="pct"/>
                  <w:shd w:val="clear" w:color="auto" w:fill="FFFFFF"/>
                  <w:noWrap w:val="0"/>
                  <w:vAlign w:val="center"/>
                </w:tcPr>
                <w:p w14:paraId="4628710B">
                  <w:pPr>
                    <w:keepNext w:val="0"/>
                    <w:keepLines w:val="0"/>
                    <w:widowControl/>
                    <w:suppressLineNumbers w:val="0"/>
                    <w:jc w:val="center"/>
                    <w:textAlignment w:val="center"/>
                    <w:rPr>
                      <w:rFonts w:hint="default" w:ascii="Times New Roman" w:hAnsi="Times New Roman" w:cs="Times New Roman"/>
                      <w:bCs/>
                      <w:color w:val="auto"/>
                      <w:szCs w:val="21"/>
                    </w:rPr>
                  </w:pPr>
                  <w:r>
                    <w:rPr>
                      <w:rFonts w:hint="default" w:ascii="Times New Roman" w:hAnsi="Times New Roman" w:eastAsia="等线" w:cs="Times New Roman"/>
                      <w:i w:val="0"/>
                      <w:iCs w:val="0"/>
                      <w:color w:val="auto"/>
                      <w:kern w:val="0"/>
                      <w:sz w:val="22"/>
                      <w:szCs w:val="22"/>
                      <w:u w:val="none"/>
                      <w:lang w:val="en-US" w:eastAsia="zh-CN" w:bidi="ar"/>
                    </w:rPr>
                    <w:t>6</w:t>
                  </w:r>
                </w:p>
              </w:tc>
              <w:tc>
                <w:tcPr>
                  <w:tcW w:w="396" w:type="pct"/>
                  <w:shd w:val="clear" w:color="auto" w:fill="FFFFFF"/>
                  <w:noWrap w:val="0"/>
                  <w:vAlign w:val="center"/>
                </w:tcPr>
                <w:p w14:paraId="353CDC76">
                  <w:pPr>
                    <w:widowControl/>
                    <w:adjustRightInd w:val="0"/>
                    <w:snapToGrid w:val="0"/>
                    <w:spacing w:line="340" w:lineRule="exact"/>
                    <w:jc w:val="center"/>
                    <w:textAlignment w:val="center"/>
                    <w:rPr>
                      <w:rFonts w:hint="eastAsia"/>
                      <w:bCs/>
                      <w:color w:val="auto"/>
                      <w:szCs w:val="21"/>
                    </w:rPr>
                  </w:pPr>
                  <w:r>
                    <w:rPr>
                      <w:rFonts w:hint="eastAsia"/>
                      <w:bCs/>
                      <w:color w:val="auto"/>
                      <w:szCs w:val="21"/>
                      <w:lang w:val="en-US" w:eastAsia="zh-CN"/>
                    </w:rPr>
                    <w:t>6h</w:t>
                  </w:r>
                </w:p>
              </w:tc>
              <w:tc>
                <w:tcPr>
                  <w:tcW w:w="879" w:type="dxa"/>
                  <w:shd w:val="clear" w:color="auto" w:fill="FFFFFF"/>
                  <w:noWrap w:val="0"/>
                  <w:vAlign w:val="center"/>
                </w:tcPr>
                <w:p w14:paraId="65B6060C">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28.8</w:t>
                  </w:r>
                </w:p>
              </w:tc>
              <w:tc>
                <w:tcPr>
                  <w:tcW w:w="879" w:type="dxa"/>
                  <w:shd w:val="clear" w:color="auto" w:fill="FFFFFF"/>
                  <w:noWrap w:val="0"/>
                  <w:vAlign w:val="center"/>
                </w:tcPr>
                <w:p w14:paraId="5EA56382">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28.6</w:t>
                  </w:r>
                </w:p>
              </w:tc>
              <w:tc>
                <w:tcPr>
                  <w:tcW w:w="879" w:type="dxa"/>
                  <w:shd w:val="clear" w:color="auto" w:fill="FFFFFF"/>
                  <w:noWrap w:val="0"/>
                  <w:vAlign w:val="center"/>
                </w:tcPr>
                <w:p w14:paraId="2D26A18E">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28.5</w:t>
                  </w:r>
                </w:p>
              </w:tc>
              <w:tc>
                <w:tcPr>
                  <w:tcW w:w="879" w:type="dxa"/>
                  <w:shd w:val="clear" w:color="auto" w:fill="FFFFFF"/>
                  <w:noWrap w:val="0"/>
                  <w:vAlign w:val="center"/>
                </w:tcPr>
                <w:p w14:paraId="5B97C8A5">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28.5</w:t>
                  </w:r>
                </w:p>
              </w:tc>
            </w:tr>
            <w:tr w14:paraId="567449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04" w:type="pct"/>
                  <w:shd w:val="clear" w:color="auto" w:fill="FFFFFF"/>
                  <w:noWrap w:val="0"/>
                  <w:vAlign w:val="center"/>
                </w:tcPr>
                <w:p w14:paraId="23DAB7EB">
                  <w:pPr>
                    <w:widowControl/>
                    <w:spacing w:line="340" w:lineRule="exact"/>
                    <w:jc w:val="center"/>
                    <w:textAlignment w:val="center"/>
                    <w:rPr>
                      <w:rFonts w:hint="default" w:eastAsia="宋体"/>
                      <w:color w:val="auto"/>
                      <w:szCs w:val="21"/>
                      <w:lang w:val="en-US" w:eastAsia="zh-CN"/>
                    </w:rPr>
                  </w:pPr>
                  <w:r>
                    <w:rPr>
                      <w:rFonts w:hint="eastAsia" w:eastAsia="宋体"/>
                      <w:color w:val="auto"/>
                      <w:szCs w:val="21"/>
                      <w:lang w:val="en-US" w:eastAsia="zh-CN"/>
                    </w:rPr>
                    <w:t>发电机</w:t>
                  </w:r>
                </w:p>
              </w:tc>
              <w:tc>
                <w:tcPr>
                  <w:tcW w:w="487" w:type="pct"/>
                  <w:shd w:val="clear" w:color="auto" w:fill="FFFFFF"/>
                  <w:noWrap w:val="0"/>
                  <w:vAlign w:val="center"/>
                </w:tcPr>
                <w:p w14:paraId="73FE63FF">
                  <w:pPr>
                    <w:widowControl/>
                    <w:adjustRightInd w:val="0"/>
                    <w:snapToGrid w:val="0"/>
                    <w:spacing w:line="340" w:lineRule="exact"/>
                    <w:jc w:val="center"/>
                    <w:textAlignment w:val="center"/>
                    <w:rPr>
                      <w:rFonts w:hint="default" w:eastAsia="宋体"/>
                      <w:bCs/>
                      <w:color w:val="auto"/>
                      <w:szCs w:val="21"/>
                      <w:lang w:val="en-US" w:eastAsia="zh-CN"/>
                    </w:rPr>
                  </w:pPr>
                  <w:r>
                    <w:rPr>
                      <w:rFonts w:hint="eastAsia"/>
                      <w:bCs/>
                      <w:color w:val="auto"/>
                      <w:szCs w:val="21"/>
                      <w:lang w:val="en-US" w:eastAsia="zh-CN"/>
                    </w:rPr>
                    <w:t>80</w:t>
                  </w:r>
                </w:p>
              </w:tc>
              <w:tc>
                <w:tcPr>
                  <w:tcW w:w="548" w:type="pct"/>
                  <w:shd w:val="clear" w:color="auto" w:fill="FFFFFF"/>
                  <w:noWrap w:val="0"/>
                  <w:vAlign w:val="center"/>
                </w:tcPr>
                <w:p w14:paraId="0DCA0964">
                  <w:pPr>
                    <w:widowControl/>
                    <w:adjustRightInd w:val="0"/>
                    <w:snapToGrid w:val="0"/>
                    <w:spacing w:line="340" w:lineRule="exact"/>
                    <w:jc w:val="center"/>
                    <w:textAlignment w:val="center"/>
                    <w:rPr>
                      <w:bCs/>
                      <w:color w:val="auto"/>
                      <w:szCs w:val="21"/>
                    </w:rPr>
                  </w:pPr>
                  <w:r>
                    <w:rPr>
                      <w:bCs/>
                      <w:color w:val="auto"/>
                      <w:szCs w:val="21"/>
                    </w:rPr>
                    <w:t>基础减震减噪</w:t>
                  </w:r>
                </w:p>
              </w:tc>
              <w:tc>
                <w:tcPr>
                  <w:tcW w:w="330" w:type="pct"/>
                  <w:shd w:val="clear" w:color="auto" w:fill="FFFFFF"/>
                  <w:noWrap w:val="0"/>
                  <w:vAlign w:val="center"/>
                </w:tcPr>
                <w:p w14:paraId="7418A271">
                  <w:pPr>
                    <w:keepNext w:val="0"/>
                    <w:keepLines w:val="0"/>
                    <w:widowControl/>
                    <w:suppressLineNumbers w:val="0"/>
                    <w:jc w:val="center"/>
                    <w:textAlignment w:val="center"/>
                    <w:rPr>
                      <w:rFonts w:hint="default" w:ascii="Times New Roman" w:hAnsi="Times New Roman" w:cs="Times New Roman"/>
                      <w:bCs/>
                      <w:color w:val="auto"/>
                      <w:szCs w:val="21"/>
                    </w:rPr>
                  </w:pPr>
                  <w:r>
                    <w:rPr>
                      <w:rFonts w:hint="default" w:ascii="Times New Roman" w:hAnsi="Times New Roman" w:eastAsia="等线" w:cs="Times New Roman"/>
                      <w:i w:val="0"/>
                      <w:iCs w:val="0"/>
                      <w:color w:val="auto"/>
                      <w:kern w:val="0"/>
                      <w:sz w:val="22"/>
                      <w:szCs w:val="22"/>
                      <w:u w:val="none"/>
                      <w:lang w:val="en-US" w:eastAsia="zh-CN" w:bidi="ar"/>
                    </w:rPr>
                    <w:t>203</w:t>
                  </w:r>
                </w:p>
              </w:tc>
              <w:tc>
                <w:tcPr>
                  <w:tcW w:w="367" w:type="pct"/>
                  <w:shd w:val="clear" w:color="auto" w:fill="FFFFFF"/>
                  <w:noWrap w:val="0"/>
                  <w:vAlign w:val="center"/>
                </w:tcPr>
                <w:p w14:paraId="17DFD8AF">
                  <w:pPr>
                    <w:keepNext w:val="0"/>
                    <w:keepLines w:val="0"/>
                    <w:widowControl/>
                    <w:suppressLineNumbers w:val="0"/>
                    <w:jc w:val="center"/>
                    <w:textAlignment w:val="center"/>
                    <w:rPr>
                      <w:rFonts w:hint="default" w:ascii="Times New Roman" w:hAnsi="Times New Roman" w:cs="Times New Roman"/>
                      <w:color w:val="auto"/>
                      <w:szCs w:val="21"/>
                    </w:rPr>
                  </w:pPr>
                  <w:r>
                    <w:rPr>
                      <w:rFonts w:hint="default" w:ascii="Times New Roman" w:hAnsi="Times New Roman" w:eastAsia="等线" w:cs="Times New Roman"/>
                      <w:i w:val="0"/>
                      <w:iCs w:val="0"/>
                      <w:color w:val="auto"/>
                      <w:kern w:val="0"/>
                      <w:sz w:val="22"/>
                      <w:szCs w:val="22"/>
                      <w:u w:val="none"/>
                      <w:lang w:val="en-US" w:eastAsia="zh-CN" w:bidi="ar"/>
                    </w:rPr>
                    <w:t>589</w:t>
                  </w:r>
                </w:p>
              </w:tc>
              <w:tc>
                <w:tcPr>
                  <w:tcW w:w="299" w:type="pct"/>
                  <w:shd w:val="clear" w:color="auto" w:fill="FFFFFF"/>
                  <w:noWrap w:val="0"/>
                  <w:vAlign w:val="center"/>
                </w:tcPr>
                <w:p w14:paraId="7C842960">
                  <w:pPr>
                    <w:keepNext w:val="0"/>
                    <w:keepLines w:val="0"/>
                    <w:widowControl/>
                    <w:suppressLineNumbers w:val="0"/>
                    <w:jc w:val="center"/>
                    <w:textAlignment w:val="center"/>
                    <w:rPr>
                      <w:rFonts w:hint="default" w:ascii="Times New Roman" w:hAnsi="Times New Roman" w:cs="Times New Roman"/>
                      <w:bCs/>
                      <w:color w:val="auto"/>
                      <w:szCs w:val="21"/>
                    </w:rPr>
                  </w:pPr>
                  <w:r>
                    <w:rPr>
                      <w:rFonts w:hint="default" w:ascii="Times New Roman" w:hAnsi="Times New Roman" w:eastAsia="等线" w:cs="Times New Roman"/>
                      <w:i w:val="0"/>
                      <w:iCs w:val="0"/>
                      <w:color w:val="auto"/>
                      <w:kern w:val="0"/>
                      <w:sz w:val="22"/>
                      <w:szCs w:val="22"/>
                      <w:u w:val="none"/>
                      <w:lang w:val="en-US" w:eastAsia="zh-CN" w:bidi="ar"/>
                    </w:rPr>
                    <w:t>7</w:t>
                  </w:r>
                </w:p>
              </w:tc>
              <w:tc>
                <w:tcPr>
                  <w:tcW w:w="396" w:type="pct"/>
                  <w:shd w:val="clear" w:color="auto" w:fill="FFFFFF"/>
                  <w:noWrap w:val="0"/>
                  <w:vAlign w:val="center"/>
                </w:tcPr>
                <w:p w14:paraId="7E2ED1FD">
                  <w:pPr>
                    <w:widowControl/>
                    <w:adjustRightInd w:val="0"/>
                    <w:snapToGrid w:val="0"/>
                    <w:spacing w:line="340" w:lineRule="exact"/>
                    <w:jc w:val="center"/>
                    <w:textAlignment w:val="center"/>
                    <w:rPr>
                      <w:rFonts w:hint="eastAsia"/>
                      <w:bCs/>
                      <w:color w:val="auto"/>
                      <w:szCs w:val="21"/>
                    </w:rPr>
                  </w:pPr>
                  <w:r>
                    <w:rPr>
                      <w:rFonts w:hint="eastAsia"/>
                      <w:bCs/>
                      <w:color w:val="auto"/>
                      <w:szCs w:val="21"/>
                      <w:lang w:val="en-US" w:eastAsia="zh-CN"/>
                    </w:rPr>
                    <w:t>6h</w:t>
                  </w:r>
                </w:p>
              </w:tc>
              <w:tc>
                <w:tcPr>
                  <w:tcW w:w="879" w:type="dxa"/>
                  <w:shd w:val="clear" w:color="auto" w:fill="FFFFFF"/>
                  <w:noWrap w:val="0"/>
                  <w:vAlign w:val="center"/>
                </w:tcPr>
                <w:p w14:paraId="756554A0">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28.6</w:t>
                  </w:r>
                </w:p>
              </w:tc>
              <w:tc>
                <w:tcPr>
                  <w:tcW w:w="879" w:type="dxa"/>
                  <w:shd w:val="clear" w:color="auto" w:fill="FFFFFF"/>
                  <w:noWrap w:val="0"/>
                  <w:vAlign w:val="center"/>
                </w:tcPr>
                <w:p w14:paraId="33BC5B55">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28.5</w:t>
                  </w:r>
                </w:p>
              </w:tc>
              <w:tc>
                <w:tcPr>
                  <w:tcW w:w="879" w:type="dxa"/>
                  <w:shd w:val="clear" w:color="auto" w:fill="FFFFFF"/>
                  <w:noWrap w:val="0"/>
                  <w:vAlign w:val="center"/>
                </w:tcPr>
                <w:p w14:paraId="48C5DDAA">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28.6</w:t>
                  </w:r>
                </w:p>
              </w:tc>
              <w:tc>
                <w:tcPr>
                  <w:tcW w:w="879" w:type="dxa"/>
                  <w:shd w:val="clear" w:color="auto" w:fill="FFFFFF"/>
                  <w:noWrap w:val="0"/>
                  <w:vAlign w:val="center"/>
                </w:tcPr>
                <w:p w14:paraId="31DE8CFD">
                  <w:pPr>
                    <w:keepNext w:val="0"/>
                    <w:keepLines w:val="0"/>
                    <w:widowControl/>
                    <w:suppressLineNumbers w:val="0"/>
                    <w:jc w:val="center"/>
                    <w:textAlignment w:val="center"/>
                    <w:rPr>
                      <w:rFonts w:hint="default" w:ascii="Times New Roman" w:hAnsi="Times New Roman" w:eastAsia="等线" w:cs="Times New Roman"/>
                      <w:i w:val="0"/>
                      <w:iCs w:val="0"/>
                      <w:color w:val="auto"/>
                      <w:kern w:val="0"/>
                      <w:sz w:val="21"/>
                      <w:szCs w:val="21"/>
                      <w:u w:val="no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30.0</w:t>
                  </w:r>
                </w:p>
              </w:tc>
            </w:tr>
          </w:tbl>
          <w:p w14:paraId="1EB19D58">
            <w:pPr>
              <w:spacing w:before="120" w:beforeLines="50"/>
              <w:jc w:val="center"/>
              <w:rPr>
                <w:b/>
                <w:color w:val="auto"/>
                <w:szCs w:val="21"/>
              </w:rPr>
            </w:pPr>
          </w:p>
          <w:p w14:paraId="7AD879CE">
            <w:pPr>
              <w:pStyle w:val="47"/>
              <w:numPr>
                <w:ilvl w:val="0"/>
                <w:numId w:val="7"/>
              </w:numPr>
              <w:tabs>
                <w:tab w:val="left" w:pos="1244"/>
              </w:tabs>
              <w:rPr>
                <w:rFonts w:hint="eastAsia"/>
                <w:color w:val="auto"/>
                <w:szCs w:val="24"/>
              </w:rPr>
            </w:pPr>
            <w:r>
              <w:rPr>
                <w:rFonts w:hint="eastAsia"/>
                <w:color w:val="auto"/>
                <w:szCs w:val="24"/>
              </w:rPr>
              <w:t>厂界达标情况分析</w:t>
            </w:r>
          </w:p>
          <w:p w14:paraId="1A540312">
            <w:pPr>
              <w:pStyle w:val="47"/>
              <w:numPr>
                <w:ilvl w:val="0"/>
                <w:numId w:val="0"/>
              </w:numPr>
              <w:tabs>
                <w:tab w:val="left" w:pos="1244"/>
              </w:tabs>
              <w:ind w:firstLine="480" w:firstLineChars="200"/>
              <w:rPr>
                <w:rFonts w:hint="default" w:eastAsia="宋体"/>
                <w:color w:val="auto"/>
                <w:szCs w:val="24"/>
                <w:lang w:val="en-US" w:eastAsia="zh-CN"/>
              </w:rPr>
            </w:pPr>
            <w:r>
              <w:rPr>
                <w:rFonts w:hint="eastAsia"/>
                <w:color w:val="auto"/>
                <w:szCs w:val="24"/>
                <w:lang w:val="en-US" w:eastAsia="zh-CN"/>
              </w:rPr>
              <w:t>（1）预测模式</w:t>
            </w:r>
          </w:p>
          <w:p w14:paraId="699095BA">
            <w:pPr>
              <w:pStyle w:val="7"/>
              <w:spacing w:before="104" w:line="360" w:lineRule="auto"/>
              <w:ind w:right="61" w:firstLine="481"/>
              <w:rPr>
                <w:color w:val="auto"/>
                <w:sz w:val="24"/>
                <w:szCs w:val="24"/>
              </w:rPr>
            </w:pPr>
            <w:r>
              <w:rPr>
                <w:color w:val="auto"/>
                <w:spacing w:val="-2"/>
                <w:sz w:val="24"/>
                <w:szCs w:val="24"/>
              </w:rPr>
              <w:t>本评价噪声预测方法采用《环境影响评价技术导则</w:t>
            </w:r>
            <w:r>
              <w:rPr>
                <w:rFonts w:ascii="Times New Roman" w:hAnsi="Times New Roman" w:eastAsia="Times New Roman" w:cs="Times New Roman"/>
                <w:color w:val="auto"/>
                <w:spacing w:val="-2"/>
                <w:sz w:val="24"/>
                <w:szCs w:val="24"/>
              </w:rPr>
              <w:t>-</w:t>
            </w:r>
            <w:r>
              <w:rPr>
                <w:color w:val="auto"/>
                <w:spacing w:val="-2"/>
                <w:sz w:val="24"/>
                <w:szCs w:val="24"/>
              </w:rPr>
              <w:t>声环境》（</w:t>
            </w:r>
            <w:r>
              <w:rPr>
                <w:rFonts w:ascii="Times New Roman" w:hAnsi="Times New Roman" w:eastAsia="Times New Roman" w:cs="Times New Roman"/>
                <w:color w:val="auto"/>
                <w:spacing w:val="-2"/>
                <w:sz w:val="24"/>
                <w:szCs w:val="24"/>
              </w:rPr>
              <w:t>HJ2.4-2021</w:t>
            </w:r>
            <w:r>
              <w:rPr>
                <w:color w:val="auto"/>
                <w:spacing w:val="-2"/>
                <w:sz w:val="24"/>
                <w:szCs w:val="24"/>
              </w:rPr>
              <w:t>）推荐的</w:t>
            </w:r>
            <w:r>
              <w:rPr>
                <w:color w:val="auto"/>
                <w:spacing w:val="-1"/>
                <w:sz w:val="24"/>
                <w:szCs w:val="24"/>
              </w:rPr>
              <w:t>模式，计算模式为：</w:t>
            </w:r>
          </w:p>
          <w:p w14:paraId="15D65A49">
            <w:pPr>
              <w:pStyle w:val="7"/>
              <w:spacing w:before="74" w:line="217" w:lineRule="auto"/>
              <w:ind w:left="480"/>
              <w:rPr>
                <w:color w:val="auto"/>
                <w:sz w:val="24"/>
                <w:szCs w:val="24"/>
              </w:rPr>
            </w:pPr>
            <w:r>
              <w:rPr>
                <w:color w:val="auto"/>
                <w:spacing w:val="-2"/>
                <w:sz w:val="24"/>
                <w:szCs w:val="24"/>
              </w:rPr>
              <w:t>①点声源衰减公式</w:t>
            </w:r>
          </w:p>
          <w:p w14:paraId="65CBF480">
            <w:pPr>
              <w:pStyle w:val="7"/>
              <w:spacing w:before="185" w:line="219" w:lineRule="auto"/>
              <w:ind w:left="492"/>
              <w:rPr>
                <w:color w:val="auto"/>
                <w:sz w:val="24"/>
                <w:szCs w:val="24"/>
              </w:rPr>
            </w:pPr>
            <w:r>
              <w:rPr>
                <w:color w:val="auto"/>
                <w:spacing w:val="-2"/>
                <w:sz w:val="24"/>
                <w:szCs w:val="24"/>
              </w:rPr>
              <w:t>噪声室外传播声级衰减计算模式</w:t>
            </w:r>
          </w:p>
          <w:p w14:paraId="2C9A9A5F">
            <w:pPr>
              <w:spacing w:before="145" w:line="319" w:lineRule="exact"/>
              <w:ind w:left="2264"/>
              <w:rPr>
                <w:rFonts w:ascii="Times New Roman" w:hAnsi="Times New Roman" w:eastAsia="Times New Roman" w:cs="Times New Roman"/>
                <w:color w:val="auto"/>
                <w:sz w:val="24"/>
                <w:szCs w:val="24"/>
              </w:rPr>
            </w:pPr>
            <w:r>
              <w:rPr>
                <w:rFonts w:ascii="Times New Roman" w:hAnsi="Times New Roman" w:eastAsia="Times New Roman" w:cs="Times New Roman"/>
                <w:i/>
                <w:iCs/>
                <w:color w:val="auto"/>
                <w:position w:val="4"/>
                <w:sz w:val="24"/>
                <w:szCs w:val="24"/>
              </w:rPr>
              <w:t>L</w:t>
            </w:r>
            <w:r>
              <w:rPr>
                <w:rFonts w:ascii="Times New Roman" w:hAnsi="Times New Roman" w:eastAsia="Times New Roman" w:cs="Times New Roman"/>
                <w:i/>
                <w:iCs/>
                <w:color w:val="auto"/>
                <w:position w:val="3"/>
                <w:sz w:val="24"/>
                <w:szCs w:val="24"/>
              </w:rPr>
              <w:t>Ai</w:t>
            </w:r>
            <w:r>
              <w:rPr>
                <w:rFonts w:ascii="Times New Roman" w:hAnsi="Times New Roman" w:eastAsia="Times New Roman" w:cs="Times New Roman"/>
                <w:i/>
                <w:iCs/>
                <w:color w:val="auto"/>
                <w:spacing w:val="5"/>
                <w:position w:val="4"/>
                <w:sz w:val="24"/>
                <w:szCs w:val="24"/>
              </w:rPr>
              <w:t>=</w:t>
            </w:r>
            <w:r>
              <w:rPr>
                <w:rFonts w:ascii="Times New Roman" w:hAnsi="Times New Roman" w:eastAsia="Times New Roman" w:cs="Times New Roman"/>
                <w:i/>
                <w:iCs/>
                <w:color w:val="auto"/>
                <w:position w:val="4"/>
                <w:sz w:val="24"/>
                <w:szCs w:val="24"/>
              </w:rPr>
              <w:t>L</w:t>
            </w:r>
            <w:r>
              <w:rPr>
                <w:rFonts w:ascii="Times New Roman" w:hAnsi="Times New Roman" w:eastAsia="Times New Roman" w:cs="Times New Roman"/>
                <w:i/>
                <w:iCs/>
                <w:color w:val="auto"/>
                <w:position w:val="3"/>
                <w:sz w:val="24"/>
                <w:szCs w:val="24"/>
              </w:rPr>
              <w:t>wi</w:t>
            </w:r>
            <w:r>
              <w:rPr>
                <w:rFonts w:ascii="Times New Roman" w:hAnsi="Times New Roman" w:eastAsia="Times New Roman" w:cs="Times New Roman"/>
                <w:i/>
                <w:iCs/>
                <w:color w:val="auto"/>
                <w:spacing w:val="5"/>
                <w:position w:val="4"/>
                <w:sz w:val="24"/>
                <w:szCs w:val="24"/>
              </w:rPr>
              <w:t>-</w:t>
            </w:r>
            <w:r>
              <w:rPr>
                <w:rFonts w:ascii="Times New Roman" w:hAnsi="Times New Roman" w:eastAsia="Times New Roman" w:cs="Times New Roman"/>
                <w:i/>
                <w:iCs/>
                <w:color w:val="auto"/>
                <w:position w:val="4"/>
                <w:sz w:val="24"/>
                <w:szCs w:val="24"/>
              </w:rPr>
              <w:t>T</w:t>
            </w:r>
            <w:r>
              <w:rPr>
                <w:rFonts w:ascii="Times New Roman" w:hAnsi="Times New Roman" w:eastAsia="Times New Roman" w:cs="Times New Roman"/>
                <w:i/>
                <w:iCs/>
                <w:color w:val="auto"/>
                <w:position w:val="3"/>
                <w:sz w:val="24"/>
                <w:szCs w:val="24"/>
              </w:rPr>
              <w:t>L</w:t>
            </w:r>
            <w:r>
              <w:rPr>
                <w:rFonts w:ascii="Times New Roman" w:hAnsi="Times New Roman" w:eastAsia="Times New Roman" w:cs="Times New Roman"/>
                <w:i/>
                <w:iCs/>
                <w:color w:val="auto"/>
                <w:spacing w:val="5"/>
                <w:position w:val="4"/>
                <w:sz w:val="24"/>
                <w:szCs w:val="24"/>
              </w:rPr>
              <w:t>-20</w:t>
            </w:r>
            <w:r>
              <w:rPr>
                <w:rFonts w:ascii="Times New Roman" w:hAnsi="Times New Roman" w:eastAsia="Times New Roman" w:cs="Times New Roman"/>
                <w:i/>
                <w:iCs/>
                <w:color w:val="auto"/>
                <w:position w:val="4"/>
                <w:sz w:val="24"/>
                <w:szCs w:val="24"/>
              </w:rPr>
              <w:t>L</w:t>
            </w:r>
            <w:r>
              <w:rPr>
                <w:rFonts w:ascii="Times New Roman" w:hAnsi="Times New Roman" w:eastAsia="Times New Roman" w:cs="Times New Roman"/>
                <w:i/>
                <w:iCs/>
                <w:color w:val="auto"/>
                <w:position w:val="3"/>
                <w:sz w:val="24"/>
                <w:szCs w:val="24"/>
              </w:rPr>
              <w:t>grij</w:t>
            </w:r>
          </w:p>
          <w:p w14:paraId="72B67DD3">
            <w:pPr>
              <w:pStyle w:val="7"/>
              <w:spacing w:before="188" w:line="212" w:lineRule="auto"/>
              <w:ind w:left="485"/>
              <w:rPr>
                <w:color w:val="auto"/>
                <w:sz w:val="24"/>
                <w:szCs w:val="24"/>
              </w:rPr>
            </w:pPr>
            <w:r>
              <w:rPr>
                <w:color w:val="auto"/>
                <w:spacing w:val="-1"/>
                <w:sz w:val="24"/>
                <w:szCs w:val="24"/>
              </w:rPr>
              <w:t>式中：</w:t>
            </w:r>
            <w:r>
              <w:rPr>
                <w:rFonts w:ascii="Times New Roman" w:hAnsi="Times New Roman" w:eastAsia="Times New Roman" w:cs="Times New Roman"/>
                <w:i/>
                <w:iCs/>
                <w:color w:val="auto"/>
                <w:spacing w:val="-1"/>
                <w:sz w:val="24"/>
                <w:szCs w:val="24"/>
              </w:rPr>
              <w:t>L</w:t>
            </w:r>
            <w:r>
              <w:rPr>
                <w:rFonts w:ascii="Times New Roman" w:hAnsi="Times New Roman" w:eastAsia="Times New Roman" w:cs="Times New Roman"/>
                <w:i/>
                <w:iCs/>
                <w:color w:val="auto"/>
                <w:spacing w:val="-1"/>
                <w:position w:val="-1"/>
                <w:sz w:val="24"/>
                <w:szCs w:val="24"/>
              </w:rPr>
              <w:t>Ai</w:t>
            </w:r>
            <w:r>
              <w:rPr>
                <w:rFonts w:ascii="Times New Roman" w:hAnsi="Times New Roman" w:eastAsia="Times New Roman" w:cs="Times New Roman"/>
                <w:color w:val="auto"/>
                <w:spacing w:val="-1"/>
                <w:sz w:val="24"/>
                <w:szCs w:val="24"/>
              </w:rPr>
              <w:t>—i</w:t>
            </w:r>
            <w:r>
              <w:rPr>
                <w:rFonts w:ascii="Times New Roman" w:hAnsi="Times New Roman" w:eastAsia="Times New Roman" w:cs="Times New Roman"/>
                <w:color w:val="auto"/>
                <w:spacing w:val="14"/>
                <w:sz w:val="24"/>
                <w:szCs w:val="24"/>
              </w:rPr>
              <w:t xml:space="preserve"> </w:t>
            </w:r>
            <w:r>
              <w:rPr>
                <w:color w:val="auto"/>
                <w:spacing w:val="-1"/>
                <w:sz w:val="24"/>
                <w:szCs w:val="24"/>
              </w:rPr>
              <w:t>声源在预测点产生的</w:t>
            </w:r>
            <w:r>
              <w:rPr>
                <w:color w:val="auto"/>
                <w:spacing w:val="-58"/>
                <w:sz w:val="24"/>
                <w:szCs w:val="24"/>
              </w:rPr>
              <w:t xml:space="preserve"> </w:t>
            </w:r>
            <w:r>
              <w:rPr>
                <w:rFonts w:ascii="Times New Roman" w:hAnsi="Times New Roman" w:eastAsia="Times New Roman" w:cs="Times New Roman"/>
                <w:color w:val="auto"/>
                <w:spacing w:val="-1"/>
                <w:sz w:val="24"/>
                <w:szCs w:val="24"/>
              </w:rPr>
              <w:t xml:space="preserve">A </w:t>
            </w:r>
            <w:r>
              <w:rPr>
                <w:color w:val="auto"/>
                <w:spacing w:val="-1"/>
                <w:sz w:val="24"/>
                <w:szCs w:val="24"/>
              </w:rPr>
              <w:t>声级，</w:t>
            </w:r>
            <w:r>
              <w:rPr>
                <w:rFonts w:ascii="Times New Roman" w:hAnsi="Times New Roman" w:eastAsia="Times New Roman" w:cs="Times New Roman"/>
                <w:color w:val="auto"/>
                <w:spacing w:val="-1"/>
                <w:sz w:val="24"/>
                <w:szCs w:val="24"/>
              </w:rPr>
              <w:t>dB(A)</w:t>
            </w:r>
            <w:r>
              <w:rPr>
                <w:color w:val="auto"/>
                <w:spacing w:val="-1"/>
                <w:sz w:val="24"/>
                <w:szCs w:val="24"/>
              </w:rPr>
              <w:t>；</w:t>
            </w:r>
          </w:p>
          <w:p w14:paraId="513A0EC7">
            <w:pPr>
              <w:pStyle w:val="7"/>
              <w:spacing w:before="192" w:line="213" w:lineRule="auto"/>
              <w:ind w:left="1196"/>
              <w:rPr>
                <w:color w:val="auto"/>
                <w:sz w:val="24"/>
                <w:szCs w:val="24"/>
              </w:rPr>
            </w:pPr>
            <w:r>
              <w:rPr>
                <w:rFonts w:ascii="Times New Roman" w:hAnsi="Times New Roman" w:eastAsia="Times New Roman" w:cs="Times New Roman"/>
                <w:i/>
                <w:iCs/>
                <w:color w:val="auto"/>
                <w:sz w:val="24"/>
                <w:szCs w:val="24"/>
              </w:rPr>
              <w:t>r</w:t>
            </w:r>
            <w:r>
              <w:rPr>
                <w:rFonts w:ascii="Times New Roman" w:hAnsi="Times New Roman" w:eastAsia="Times New Roman" w:cs="Times New Roman"/>
                <w:i/>
                <w:iCs/>
                <w:color w:val="auto"/>
                <w:position w:val="-1"/>
                <w:sz w:val="24"/>
                <w:szCs w:val="24"/>
              </w:rPr>
              <w:t>ij</w:t>
            </w:r>
            <w:r>
              <w:rPr>
                <w:rFonts w:ascii="Times New Roman" w:hAnsi="Times New Roman" w:eastAsia="Times New Roman" w:cs="Times New Roman"/>
                <w:color w:val="auto"/>
                <w:spacing w:val="1"/>
                <w:sz w:val="24"/>
                <w:szCs w:val="24"/>
              </w:rPr>
              <w:t xml:space="preserve">—i </w:t>
            </w:r>
            <w:r>
              <w:rPr>
                <w:color w:val="auto"/>
                <w:spacing w:val="1"/>
                <w:sz w:val="24"/>
                <w:szCs w:val="24"/>
              </w:rPr>
              <w:t>声源至预测点</w:t>
            </w:r>
            <w:r>
              <w:rPr>
                <w:rFonts w:ascii="Times New Roman" w:hAnsi="Times New Roman" w:eastAsia="Times New Roman" w:cs="Times New Roman"/>
                <w:color w:val="auto"/>
                <w:spacing w:val="1"/>
                <w:sz w:val="24"/>
                <w:szCs w:val="24"/>
              </w:rPr>
              <w:t>j</w:t>
            </w:r>
            <w:r>
              <w:rPr>
                <w:rFonts w:ascii="Times New Roman" w:hAnsi="Times New Roman" w:eastAsia="Times New Roman" w:cs="Times New Roman"/>
                <w:color w:val="auto"/>
                <w:spacing w:val="39"/>
                <w:w w:val="101"/>
                <w:sz w:val="24"/>
                <w:szCs w:val="24"/>
              </w:rPr>
              <w:t xml:space="preserve"> </w:t>
            </w:r>
            <w:r>
              <w:rPr>
                <w:color w:val="auto"/>
                <w:spacing w:val="1"/>
                <w:sz w:val="24"/>
                <w:szCs w:val="24"/>
              </w:rPr>
              <w:t>的距离，</w:t>
            </w:r>
            <w:r>
              <w:rPr>
                <w:rFonts w:ascii="Times New Roman" w:hAnsi="Times New Roman" w:eastAsia="Times New Roman" w:cs="Times New Roman"/>
                <w:color w:val="auto"/>
                <w:spacing w:val="1"/>
                <w:sz w:val="24"/>
                <w:szCs w:val="24"/>
              </w:rPr>
              <w:t>m</w:t>
            </w:r>
            <w:r>
              <w:rPr>
                <w:color w:val="auto"/>
                <w:spacing w:val="1"/>
                <w:sz w:val="24"/>
                <w:szCs w:val="24"/>
              </w:rPr>
              <w:t>；</w:t>
            </w:r>
          </w:p>
          <w:p w14:paraId="24307C3F">
            <w:pPr>
              <w:pStyle w:val="7"/>
              <w:spacing w:before="192" w:line="212" w:lineRule="auto"/>
              <w:ind w:left="1184"/>
              <w:rPr>
                <w:color w:val="auto"/>
                <w:sz w:val="24"/>
                <w:szCs w:val="24"/>
              </w:rPr>
            </w:pPr>
            <w:r>
              <w:rPr>
                <w:rFonts w:ascii="Times New Roman" w:hAnsi="Times New Roman" w:eastAsia="Times New Roman" w:cs="Times New Roman"/>
                <w:i/>
                <w:iCs/>
                <w:color w:val="auto"/>
                <w:spacing w:val="-1"/>
                <w:sz w:val="24"/>
                <w:szCs w:val="24"/>
              </w:rPr>
              <w:t>L</w:t>
            </w:r>
            <w:r>
              <w:rPr>
                <w:rFonts w:ascii="Times New Roman" w:hAnsi="Times New Roman" w:eastAsia="Times New Roman" w:cs="Times New Roman"/>
                <w:i/>
                <w:iCs/>
                <w:color w:val="auto"/>
                <w:spacing w:val="-1"/>
                <w:position w:val="-1"/>
                <w:sz w:val="24"/>
                <w:szCs w:val="24"/>
              </w:rPr>
              <w:t>Wi</w:t>
            </w:r>
            <w:r>
              <w:rPr>
                <w:rFonts w:ascii="Times New Roman" w:hAnsi="Times New Roman" w:eastAsia="Times New Roman" w:cs="Times New Roman"/>
                <w:color w:val="auto"/>
                <w:spacing w:val="-1"/>
                <w:sz w:val="24"/>
                <w:szCs w:val="24"/>
              </w:rPr>
              <w:t>—</w:t>
            </w:r>
            <w:r>
              <w:rPr>
                <w:color w:val="auto"/>
                <w:spacing w:val="-1"/>
                <w:sz w:val="24"/>
                <w:szCs w:val="24"/>
              </w:rPr>
              <w:t>噪声源的等效声级，</w:t>
            </w:r>
            <w:r>
              <w:rPr>
                <w:rFonts w:ascii="Times New Roman" w:hAnsi="Times New Roman" w:eastAsia="Times New Roman" w:cs="Times New Roman"/>
                <w:color w:val="auto"/>
                <w:spacing w:val="-1"/>
                <w:sz w:val="24"/>
                <w:szCs w:val="24"/>
              </w:rPr>
              <w:t>dB(A)</w:t>
            </w:r>
            <w:r>
              <w:rPr>
                <w:color w:val="auto"/>
                <w:spacing w:val="-1"/>
                <w:sz w:val="24"/>
                <w:szCs w:val="24"/>
              </w:rPr>
              <w:t>；</w:t>
            </w:r>
          </w:p>
          <w:p w14:paraId="4EEB5806">
            <w:pPr>
              <w:pStyle w:val="7"/>
              <w:spacing w:before="192" w:line="212" w:lineRule="auto"/>
              <w:jc w:val="right"/>
              <w:rPr>
                <w:color w:val="auto"/>
                <w:sz w:val="24"/>
                <w:szCs w:val="24"/>
              </w:rPr>
            </w:pPr>
            <w:r>
              <w:rPr>
                <w:rFonts w:ascii="Times New Roman" w:hAnsi="Times New Roman" w:eastAsia="Times New Roman" w:cs="Times New Roman"/>
                <w:i/>
                <w:iCs/>
                <w:color w:val="auto"/>
                <w:spacing w:val="-2"/>
                <w:sz w:val="24"/>
                <w:szCs w:val="24"/>
              </w:rPr>
              <w:t>T</w:t>
            </w:r>
            <w:r>
              <w:rPr>
                <w:rFonts w:ascii="Times New Roman" w:hAnsi="Times New Roman" w:eastAsia="Times New Roman" w:cs="Times New Roman"/>
                <w:i/>
                <w:iCs/>
                <w:color w:val="auto"/>
                <w:spacing w:val="-2"/>
                <w:position w:val="-1"/>
                <w:sz w:val="24"/>
                <w:szCs w:val="24"/>
              </w:rPr>
              <w:t>L</w:t>
            </w:r>
            <w:r>
              <w:rPr>
                <w:rFonts w:ascii="Times New Roman" w:hAnsi="Times New Roman" w:eastAsia="Times New Roman" w:cs="Times New Roman"/>
                <w:color w:val="auto"/>
                <w:spacing w:val="-2"/>
                <w:sz w:val="24"/>
                <w:szCs w:val="24"/>
              </w:rPr>
              <w:t>—</w:t>
            </w:r>
            <w:r>
              <w:rPr>
                <w:color w:val="auto"/>
                <w:spacing w:val="-2"/>
                <w:sz w:val="24"/>
                <w:szCs w:val="24"/>
              </w:rPr>
              <w:t>大气吸收、屏障屏蔽、地面效应等引起的噪声衰减，本项目取</w:t>
            </w:r>
            <w:r>
              <w:rPr>
                <w:color w:val="auto"/>
                <w:spacing w:val="-41"/>
                <w:sz w:val="24"/>
                <w:szCs w:val="24"/>
              </w:rPr>
              <w:t xml:space="preserve"> </w:t>
            </w:r>
            <w:r>
              <w:rPr>
                <w:rFonts w:ascii="Times New Roman" w:hAnsi="Times New Roman" w:eastAsia="Times New Roman" w:cs="Times New Roman"/>
                <w:color w:val="auto"/>
                <w:spacing w:val="-2"/>
                <w:sz w:val="24"/>
                <w:szCs w:val="24"/>
              </w:rPr>
              <w:t>5dB(A)</w:t>
            </w:r>
            <w:r>
              <w:rPr>
                <w:color w:val="auto"/>
                <w:spacing w:val="-2"/>
                <w:sz w:val="24"/>
                <w:szCs w:val="24"/>
              </w:rPr>
              <w:t>。</w:t>
            </w:r>
          </w:p>
          <w:p w14:paraId="76A2A24B">
            <w:pPr>
              <w:pStyle w:val="7"/>
              <w:spacing w:before="192" w:line="217" w:lineRule="auto"/>
              <w:ind w:left="479"/>
              <w:rPr>
                <w:rFonts w:ascii="Arial"/>
                <w:color w:val="auto"/>
                <w:sz w:val="24"/>
                <w:szCs w:val="24"/>
              </w:rPr>
            </w:pPr>
            <w:r>
              <w:rPr>
                <w:color w:val="auto"/>
                <w:spacing w:val="-1"/>
                <w:sz w:val="24"/>
                <w:szCs w:val="24"/>
              </w:rPr>
              <w:t>②流动声源衰减公式</w:t>
            </w:r>
          </w:p>
          <w:p w14:paraId="3219CDC0">
            <w:pPr>
              <w:spacing w:before="102"/>
              <w:ind w:left="1892"/>
              <w:rPr>
                <w:rFonts w:ascii="Times New Roman" w:hAnsi="Times New Roman" w:eastAsia="Times New Roman" w:cs="Times New Roman"/>
                <w:color w:val="auto"/>
                <w:sz w:val="24"/>
                <w:szCs w:val="24"/>
              </w:rPr>
            </w:pPr>
            <w:r>
              <w:rPr>
                <w:rFonts w:ascii="Times New Roman" w:hAnsi="Times New Roman" w:eastAsia="Times New Roman" w:cs="Times New Roman"/>
                <w:color w:val="auto"/>
                <w:position w:val="-3"/>
                <w:sz w:val="24"/>
                <w:szCs w:val="24"/>
              </w:rPr>
              <w:drawing>
                <wp:inline distT="0" distB="0" distL="114300" distR="114300">
                  <wp:extent cx="452755" cy="306705"/>
                  <wp:effectExtent l="0" t="0" r="4445" b="17780"/>
                  <wp:docPr id="14" name="图片 7"/>
                  <wp:cNvGraphicFramePr/>
                  <a:graphic xmlns:a="http://schemas.openxmlformats.org/drawingml/2006/main">
                    <a:graphicData uri="http://schemas.openxmlformats.org/drawingml/2006/picture">
                      <pic:pic xmlns:pic="http://schemas.openxmlformats.org/drawingml/2006/picture">
                        <pic:nvPicPr>
                          <pic:cNvPr id="14" name="图片 7"/>
                          <pic:cNvPicPr/>
                        </pic:nvPicPr>
                        <pic:blipFill>
                          <a:blip r:embed="rId16"/>
                          <a:stretch>
                            <a:fillRect/>
                          </a:stretch>
                        </pic:blipFill>
                        <pic:spPr>
                          <a:xfrm>
                            <a:off x="0" y="0"/>
                            <a:ext cx="452755" cy="306705"/>
                          </a:xfrm>
                          <a:prstGeom prst="rect">
                            <a:avLst/>
                          </a:prstGeom>
                          <a:noFill/>
                          <a:ln>
                            <a:noFill/>
                          </a:ln>
                        </pic:spPr>
                      </pic:pic>
                    </a:graphicData>
                  </a:graphic>
                </wp:inline>
              </w:drawing>
            </w:r>
            <w:r>
              <w:rPr>
                <w:rFonts w:ascii="Times New Roman" w:hAnsi="Times New Roman" w:eastAsia="Times New Roman" w:cs="Times New Roman"/>
                <w:i/>
                <w:iCs/>
                <w:color w:val="auto"/>
                <w:spacing w:val="-5"/>
                <w:position w:val="2"/>
                <w:sz w:val="24"/>
                <w:szCs w:val="24"/>
              </w:rPr>
              <w:t xml:space="preserve"> </w:t>
            </w:r>
            <w:r>
              <w:rPr>
                <w:rFonts w:ascii="Times New Roman" w:hAnsi="Times New Roman" w:eastAsia="Times New Roman" w:cs="Times New Roman"/>
                <w:i/>
                <w:iCs/>
                <w:color w:val="auto"/>
                <w:spacing w:val="-3"/>
                <w:position w:val="2"/>
                <w:sz w:val="24"/>
                <w:szCs w:val="24"/>
              </w:rPr>
              <w:t>L</w:t>
            </w:r>
            <w:r>
              <w:rPr>
                <w:rFonts w:ascii="Times New Roman" w:hAnsi="Times New Roman" w:eastAsia="Times New Roman" w:cs="Times New Roman"/>
                <w:i/>
                <w:iCs/>
                <w:color w:val="auto"/>
                <w:spacing w:val="-3"/>
                <w:position w:val="-3"/>
                <w:sz w:val="24"/>
                <w:szCs w:val="24"/>
              </w:rPr>
              <w:t>W</w:t>
            </w:r>
            <w:r>
              <w:rPr>
                <w:rFonts w:ascii="Times New Roman" w:hAnsi="Times New Roman" w:eastAsia="Times New Roman" w:cs="Times New Roman"/>
                <w:i/>
                <w:iCs/>
                <w:color w:val="auto"/>
                <w:spacing w:val="-22"/>
                <w:position w:val="-3"/>
                <w:sz w:val="24"/>
                <w:szCs w:val="24"/>
              </w:rPr>
              <w:t xml:space="preserve"> </w:t>
            </w:r>
            <w:r>
              <w:rPr>
                <w:rFonts w:ascii="Times New Roman" w:hAnsi="Times New Roman" w:eastAsia="Times New Roman" w:cs="Times New Roman"/>
                <w:color w:val="auto"/>
                <w:spacing w:val="-3"/>
                <w:position w:val="-3"/>
                <w:sz w:val="24"/>
                <w:szCs w:val="24"/>
              </w:rPr>
              <w:t>,</w:t>
            </w:r>
            <w:r>
              <w:rPr>
                <w:rFonts w:ascii="Times New Roman" w:hAnsi="Times New Roman" w:eastAsia="Times New Roman" w:cs="Times New Roman"/>
                <w:i/>
                <w:iCs/>
                <w:color w:val="auto"/>
                <w:spacing w:val="-3"/>
                <w:position w:val="-3"/>
                <w:sz w:val="24"/>
                <w:szCs w:val="24"/>
              </w:rPr>
              <w:t>i</w:t>
            </w:r>
            <w:r>
              <w:rPr>
                <w:rFonts w:ascii="Times New Roman" w:hAnsi="Times New Roman" w:eastAsia="Times New Roman" w:cs="Times New Roman"/>
                <w:i/>
                <w:iCs/>
                <w:color w:val="auto"/>
                <w:spacing w:val="1"/>
                <w:position w:val="-3"/>
                <w:sz w:val="24"/>
                <w:szCs w:val="24"/>
              </w:rPr>
              <w:t xml:space="preserve">  </w:t>
            </w:r>
            <w:r>
              <w:rPr>
                <w:rFonts w:ascii="微软雅黑" w:hAnsi="微软雅黑" w:eastAsia="微软雅黑" w:cs="微软雅黑"/>
                <w:color w:val="auto"/>
                <w:spacing w:val="-17"/>
                <w:w w:val="99"/>
                <w:position w:val="2"/>
                <w:sz w:val="24"/>
                <w:szCs w:val="24"/>
              </w:rPr>
              <w:t>+</w:t>
            </w:r>
            <w:r>
              <w:rPr>
                <w:rFonts w:ascii="Times New Roman" w:hAnsi="Times New Roman" w:eastAsia="Times New Roman" w:cs="Times New Roman"/>
                <w:color w:val="auto"/>
                <w:spacing w:val="-17"/>
                <w:w w:val="99"/>
                <w:position w:val="2"/>
                <w:sz w:val="24"/>
                <w:szCs w:val="24"/>
              </w:rPr>
              <w:t>10lg</w:t>
            </w:r>
            <w:r>
              <w:rPr>
                <w:color w:val="auto"/>
                <w:position w:val="-25"/>
                <w:sz w:val="24"/>
                <w:szCs w:val="24"/>
              </w:rPr>
              <w:drawing>
                <wp:inline distT="0" distB="0" distL="114300" distR="114300">
                  <wp:extent cx="594995" cy="460375"/>
                  <wp:effectExtent l="0" t="0" r="14605" b="15875"/>
                  <wp:docPr id="7" name="图片 8"/>
                  <wp:cNvGraphicFramePr/>
                  <a:graphic xmlns:a="http://schemas.openxmlformats.org/drawingml/2006/main">
                    <a:graphicData uri="http://schemas.openxmlformats.org/drawingml/2006/picture">
                      <pic:pic xmlns:pic="http://schemas.openxmlformats.org/drawingml/2006/picture">
                        <pic:nvPicPr>
                          <pic:cNvPr id="7" name="图片 8"/>
                          <pic:cNvPicPr/>
                        </pic:nvPicPr>
                        <pic:blipFill>
                          <a:blip r:embed="rId17"/>
                          <a:stretch>
                            <a:fillRect/>
                          </a:stretch>
                        </pic:blipFill>
                        <pic:spPr>
                          <a:xfrm>
                            <a:off x="0" y="0"/>
                            <a:ext cx="594995" cy="460375"/>
                          </a:xfrm>
                          <a:prstGeom prst="rect">
                            <a:avLst/>
                          </a:prstGeom>
                          <a:noFill/>
                          <a:ln>
                            <a:noFill/>
                          </a:ln>
                        </pic:spPr>
                      </pic:pic>
                    </a:graphicData>
                  </a:graphic>
                </wp:inline>
              </w:drawing>
            </w:r>
            <w:r>
              <w:rPr>
                <w:rFonts w:ascii="Times New Roman" w:hAnsi="Times New Roman" w:eastAsia="Times New Roman" w:cs="Times New Roman"/>
                <w:i/>
                <w:iCs/>
                <w:color w:val="auto"/>
                <w:spacing w:val="-17"/>
                <w:w w:val="99"/>
                <w:position w:val="2"/>
                <w:sz w:val="24"/>
                <w:szCs w:val="24"/>
              </w:rPr>
              <w:t>L</w:t>
            </w:r>
            <w:r>
              <w:rPr>
                <w:rFonts w:ascii="微软雅黑" w:hAnsi="微软雅黑" w:eastAsia="微软雅黑" w:cs="微软雅黑"/>
                <w:i/>
                <w:iCs/>
                <w:color w:val="auto"/>
                <w:spacing w:val="-17"/>
                <w:w w:val="99"/>
                <w:position w:val="-4"/>
                <w:sz w:val="24"/>
                <w:szCs w:val="24"/>
              </w:rPr>
              <w:t>距离</w:t>
            </w:r>
            <w:r>
              <w:rPr>
                <w:rFonts w:ascii="微软雅黑" w:hAnsi="微软雅黑" w:eastAsia="微软雅黑" w:cs="微软雅黑"/>
                <w:color w:val="auto"/>
                <w:spacing w:val="27"/>
                <w:w w:val="101"/>
                <w:position w:val="-4"/>
                <w:sz w:val="24"/>
                <w:szCs w:val="24"/>
              </w:rPr>
              <w:t xml:space="preserve"> </w:t>
            </w:r>
            <w:r>
              <w:rPr>
                <w:rFonts w:ascii="微软雅黑" w:hAnsi="微软雅黑" w:eastAsia="微软雅黑" w:cs="微软雅黑"/>
                <w:color w:val="auto"/>
                <w:spacing w:val="-17"/>
                <w:w w:val="99"/>
                <w:position w:val="2"/>
                <w:sz w:val="24"/>
                <w:szCs w:val="24"/>
              </w:rPr>
              <w:t>+</w:t>
            </w:r>
            <w:r>
              <w:rPr>
                <w:rFonts w:ascii="微软雅黑" w:hAnsi="微软雅黑" w:eastAsia="微软雅黑" w:cs="微软雅黑"/>
                <w:color w:val="auto"/>
                <w:spacing w:val="-20"/>
                <w:position w:val="2"/>
                <w:sz w:val="24"/>
                <w:szCs w:val="24"/>
              </w:rPr>
              <w:t xml:space="preserve"> </w:t>
            </w:r>
            <w:r>
              <w:rPr>
                <w:rFonts w:ascii="微软雅黑" w:hAnsi="微软雅黑" w:eastAsia="微软雅黑" w:cs="微软雅黑"/>
                <w:color w:val="auto"/>
                <w:spacing w:val="-17"/>
                <w:w w:val="99"/>
                <w:position w:val="2"/>
                <w:sz w:val="24"/>
                <w:szCs w:val="24"/>
              </w:rPr>
              <w:t>Δ</w:t>
            </w:r>
            <w:r>
              <w:rPr>
                <w:rFonts w:ascii="Times New Roman" w:hAnsi="Times New Roman" w:eastAsia="Times New Roman" w:cs="Times New Roman"/>
                <w:i/>
                <w:iCs/>
                <w:color w:val="auto"/>
                <w:spacing w:val="-17"/>
                <w:w w:val="99"/>
                <w:position w:val="2"/>
                <w:sz w:val="24"/>
                <w:szCs w:val="24"/>
              </w:rPr>
              <w:t>L</w:t>
            </w:r>
            <w:r>
              <w:rPr>
                <w:rFonts w:ascii="微软雅黑" w:hAnsi="微软雅黑" w:eastAsia="微软雅黑" w:cs="微软雅黑"/>
                <w:i/>
                <w:iCs/>
                <w:color w:val="auto"/>
                <w:spacing w:val="-17"/>
                <w:w w:val="99"/>
                <w:position w:val="-4"/>
                <w:sz w:val="24"/>
                <w:szCs w:val="24"/>
              </w:rPr>
              <w:t>纵坡</w:t>
            </w:r>
            <w:r>
              <w:rPr>
                <w:rFonts w:ascii="微软雅黑" w:hAnsi="微软雅黑" w:eastAsia="微软雅黑" w:cs="微软雅黑"/>
                <w:color w:val="auto"/>
                <w:spacing w:val="19"/>
                <w:w w:val="101"/>
                <w:position w:val="-4"/>
                <w:sz w:val="24"/>
                <w:szCs w:val="24"/>
              </w:rPr>
              <w:t xml:space="preserve"> </w:t>
            </w:r>
            <w:r>
              <w:rPr>
                <w:rFonts w:ascii="微软雅黑" w:hAnsi="微软雅黑" w:eastAsia="微软雅黑" w:cs="微软雅黑"/>
                <w:color w:val="auto"/>
                <w:spacing w:val="-17"/>
                <w:w w:val="99"/>
                <w:position w:val="2"/>
                <w:sz w:val="24"/>
                <w:szCs w:val="24"/>
              </w:rPr>
              <w:t>+</w:t>
            </w:r>
            <w:r>
              <w:rPr>
                <w:rFonts w:ascii="微软雅黑" w:hAnsi="微软雅黑" w:eastAsia="微软雅黑" w:cs="微软雅黑"/>
                <w:color w:val="auto"/>
                <w:spacing w:val="-20"/>
                <w:position w:val="2"/>
                <w:sz w:val="24"/>
                <w:szCs w:val="24"/>
              </w:rPr>
              <w:t xml:space="preserve"> </w:t>
            </w:r>
            <w:r>
              <w:rPr>
                <w:rFonts w:ascii="微软雅黑" w:hAnsi="微软雅黑" w:eastAsia="微软雅黑" w:cs="微软雅黑"/>
                <w:color w:val="auto"/>
                <w:spacing w:val="-17"/>
                <w:w w:val="99"/>
                <w:position w:val="2"/>
                <w:sz w:val="24"/>
                <w:szCs w:val="24"/>
              </w:rPr>
              <w:t>Δ</w:t>
            </w:r>
            <w:r>
              <w:rPr>
                <w:rFonts w:ascii="Times New Roman" w:hAnsi="Times New Roman" w:eastAsia="Times New Roman" w:cs="Times New Roman"/>
                <w:i/>
                <w:iCs/>
                <w:color w:val="auto"/>
                <w:spacing w:val="-17"/>
                <w:w w:val="99"/>
                <w:position w:val="2"/>
                <w:sz w:val="24"/>
                <w:szCs w:val="24"/>
              </w:rPr>
              <w:t>L</w:t>
            </w:r>
            <w:r>
              <w:rPr>
                <w:rFonts w:ascii="微软雅黑" w:hAnsi="微软雅黑" w:eastAsia="微软雅黑" w:cs="微软雅黑"/>
                <w:i/>
                <w:iCs/>
                <w:color w:val="auto"/>
                <w:spacing w:val="-17"/>
                <w:w w:val="99"/>
                <w:position w:val="-4"/>
                <w:sz w:val="24"/>
                <w:szCs w:val="24"/>
              </w:rPr>
              <w:t>路面</w:t>
            </w:r>
            <w:r>
              <w:rPr>
                <w:rFonts w:ascii="微软雅黑" w:hAnsi="微软雅黑" w:eastAsia="微软雅黑" w:cs="微软雅黑"/>
                <w:color w:val="auto"/>
                <w:spacing w:val="29"/>
                <w:w w:val="101"/>
                <w:position w:val="-4"/>
                <w:sz w:val="24"/>
                <w:szCs w:val="24"/>
              </w:rPr>
              <w:t xml:space="preserve"> </w:t>
            </w:r>
            <w:r>
              <w:rPr>
                <w:rFonts w:ascii="微软雅黑" w:hAnsi="微软雅黑" w:eastAsia="微软雅黑" w:cs="微软雅黑"/>
                <w:color w:val="auto"/>
                <w:spacing w:val="-17"/>
                <w:w w:val="99"/>
                <w:position w:val="2"/>
                <w:sz w:val="24"/>
                <w:szCs w:val="24"/>
              </w:rPr>
              <w:t>_</w:t>
            </w:r>
            <w:r>
              <w:rPr>
                <w:rFonts w:ascii="Times New Roman" w:hAnsi="Times New Roman" w:eastAsia="Times New Roman" w:cs="Times New Roman"/>
                <w:color w:val="auto"/>
                <w:spacing w:val="-17"/>
                <w:w w:val="99"/>
                <w:position w:val="2"/>
                <w:sz w:val="24"/>
                <w:szCs w:val="24"/>
              </w:rPr>
              <w:t>16</w:t>
            </w:r>
          </w:p>
          <w:p w14:paraId="66DB8112">
            <w:pPr>
              <w:pStyle w:val="7"/>
              <w:spacing w:before="277" w:line="234" w:lineRule="auto"/>
              <w:ind w:left="483"/>
              <w:rPr>
                <w:rFonts w:ascii="Arial"/>
                <w:color w:val="auto"/>
                <w:sz w:val="24"/>
                <w:szCs w:val="24"/>
              </w:rPr>
            </w:pPr>
            <w:r>
              <w:rPr>
                <w:color w:val="auto"/>
                <w:spacing w:val="-1"/>
                <w:sz w:val="24"/>
                <w:szCs w:val="24"/>
              </w:rPr>
              <w:t>式中：</w:t>
            </w:r>
            <w:r>
              <w:rPr>
                <w:rFonts w:ascii="Times New Roman" w:hAnsi="Times New Roman" w:eastAsia="Times New Roman" w:cs="Times New Roman"/>
                <w:color w:val="auto"/>
                <w:spacing w:val="-1"/>
                <w:position w:val="-1"/>
                <w:sz w:val="24"/>
                <w:szCs w:val="24"/>
              </w:rPr>
              <w:t>(</w:t>
            </w:r>
            <w:r>
              <w:rPr>
                <w:rFonts w:ascii="Times New Roman" w:hAnsi="Times New Roman" w:eastAsia="Times New Roman" w:cs="Times New Roman"/>
                <w:i/>
                <w:iCs/>
                <w:color w:val="auto"/>
                <w:spacing w:val="-1"/>
                <w:position w:val="-1"/>
                <w:sz w:val="24"/>
                <w:szCs w:val="24"/>
              </w:rPr>
              <w:t>LAeq</w:t>
            </w:r>
            <w:r>
              <w:rPr>
                <w:rFonts w:ascii="Times New Roman" w:hAnsi="Times New Roman" w:eastAsia="Times New Roman" w:cs="Times New Roman"/>
                <w:color w:val="auto"/>
                <w:spacing w:val="-1"/>
                <w:position w:val="-1"/>
                <w:sz w:val="24"/>
                <w:szCs w:val="24"/>
              </w:rPr>
              <w:t>)</w:t>
            </w:r>
            <w:r>
              <w:rPr>
                <w:rFonts w:ascii="Times New Roman" w:hAnsi="Times New Roman" w:eastAsia="Times New Roman" w:cs="Times New Roman"/>
                <w:color w:val="auto"/>
                <w:spacing w:val="-1"/>
                <w:sz w:val="24"/>
                <w:szCs w:val="24"/>
              </w:rPr>
              <w:t>i—</w:t>
            </w:r>
            <w:r>
              <w:rPr>
                <w:rFonts w:ascii="Times New Roman" w:hAnsi="Times New Roman" w:eastAsia="Times New Roman" w:cs="Times New Roman"/>
                <w:i/>
                <w:iCs/>
                <w:color w:val="auto"/>
                <w:spacing w:val="-1"/>
                <w:sz w:val="24"/>
                <w:szCs w:val="24"/>
              </w:rPr>
              <w:t>i</w:t>
            </w:r>
            <w:r>
              <w:rPr>
                <w:rFonts w:ascii="Times New Roman" w:hAnsi="Times New Roman" w:eastAsia="Times New Roman" w:cs="Times New Roman"/>
                <w:i/>
                <w:iCs/>
                <w:color w:val="auto"/>
                <w:spacing w:val="23"/>
                <w:w w:val="101"/>
                <w:sz w:val="24"/>
                <w:szCs w:val="24"/>
              </w:rPr>
              <w:t xml:space="preserve"> </w:t>
            </w:r>
            <w:r>
              <w:rPr>
                <w:color w:val="auto"/>
                <w:spacing w:val="-1"/>
                <w:sz w:val="24"/>
                <w:szCs w:val="24"/>
              </w:rPr>
              <w:t>型车辆行驶时，预测点接收到的小时交通噪声值，</w:t>
            </w:r>
            <w:r>
              <w:rPr>
                <w:rFonts w:ascii="Times New Roman" w:hAnsi="Times New Roman" w:eastAsia="Times New Roman" w:cs="Times New Roman"/>
                <w:color w:val="auto"/>
                <w:spacing w:val="-1"/>
                <w:sz w:val="24"/>
                <w:szCs w:val="24"/>
              </w:rPr>
              <w:t>dB(A)</w:t>
            </w:r>
            <w:r>
              <w:rPr>
                <w:color w:val="auto"/>
                <w:spacing w:val="-1"/>
                <w:sz w:val="24"/>
                <w:szCs w:val="24"/>
              </w:rPr>
              <w:t>；</w:t>
            </w:r>
          </w:p>
          <w:p w14:paraId="2DC7FF94">
            <w:pPr>
              <w:pStyle w:val="7"/>
              <w:spacing w:before="78" w:line="212" w:lineRule="auto"/>
              <w:ind w:left="1302"/>
              <w:rPr>
                <w:rFonts w:ascii="Arial"/>
                <w:color w:val="auto"/>
                <w:sz w:val="24"/>
                <w:szCs w:val="24"/>
              </w:rPr>
            </w:pPr>
            <w:r>
              <w:rPr>
                <w:rFonts w:ascii="Times New Roman" w:hAnsi="Times New Roman" w:eastAsia="Times New Roman" w:cs="Times New Roman"/>
                <w:i/>
                <w:iCs/>
                <w:color w:val="auto"/>
                <w:sz w:val="24"/>
                <w:szCs w:val="24"/>
              </w:rPr>
              <w:t>LWi</w:t>
            </w:r>
            <w:r>
              <w:rPr>
                <w:rFonts w:ascii="Times New Roman" w:hAnsi="Times New Roman" w:eastAsia="Times New Roman" w:cs="Times New Roman"/>
                <w:color w:val="auto"/>
                <w:sz w:val="24"/>
                <w:szCs w:val="24"/>
              </w:rPr>
              <w:t>—</w:t>
            </w:r>
            <w:r>
              <w:rPr>
                <w:color w:val="auto"/>
                <w:sz w:val="24"/>
                <w:szCs w:val="24"/>
              </w:rPr>
              <w:t>第</w:t>
            </w:r>
            <w:r>
              <w:rPr>
                <w:color w:val="auto"/>
                <w:spacing w:val="-40"/>
                <w:sz w:val="24"/>
                <w:szCs w:val="24"/>
              </w:rPr>
              <w:t xml:space="preserve"> </w:t>
            </w:r>
            <w:r>
              <w:rPr>
                <w:rFonts w:ascii="Times New Roman" w:hAnsi="Times New Roman" w:eastAsia="Times New Roman" w:cs="Times New Roman"/>
                <w:i/>
                <w:iCs/>
                <w:color w:val="auto"/>
                <w:sz w:val="24"/>
                <w:szCs w:val="24"/>
              </w:rPr>
              <w:t>i</w:t>
            </w:r>
            <w:r>
              <w:rPr>
                <w:rFonts w:ascii="Times New Roman" w:hAnsi="Times New Roman" w:eastAsia="Times New Roman" w:cs="Times New Roman"/>
                <w:i/>
                <w:iCs/>
                <w:color w:val="auto"/>
                <w:spacing w:val="17"/>
                <w:w w:val="101"/>
                <w:sz w:val="24"/>
                <w:szCs w:val="24"/>
              </w:rPr>
              <w:t xml:space="preserve"> </w:t>
            </w:r>
            <w:r>
              <w:rPr>
                <w:color w:val="auto"/>
                <w:sz w:val="24"/>
                <w:szCs w:val="24"/>
              </w:rPr>
              <w:t>型车辆的平均辐射声级，相当于</w:t>
            </w:r>
            <w:r>
              <w:rPr>
                <w:color w:val="auto"/>
                <w:spacing w:val="-51"/>
                <w:sz w:val="24"/>
                <w:szCs w:val="24"/>
              </w:rPr>
              <w:t xml:space="preserve"> </w:t>
            </w:r>
            <w:r>
              <w:rPr>
                <w:rFonts w:ascii="Times New Roman" w:hAnsi="Times New Roman" w:eastAsia="Times New Roman" w:cs="Times New Roman"/>
                <w:color w:val="auto"/>
                <w:sz w:val="24"/>
                <w:szCs w:val="24"/>
              </w:rPr>
              <w:t xml:space="preserve">7.5m </w:t>
            </w:r>
            <w:r>
              <w:rPr>
                <w:color w:val="auto"/>
                <w:sz w:val="24"/>
                <w:szCs w:val="24"/>
              </w:rPr>
              <w:t>处的</w:t>
            </w:r>
            <w:r>
              <w:rPr>
                <w:color w:val="auto"/>
                <w:spacing w:val="-58"/>
                <w:sz w:val="24"/>
                <w:szCs w:val="24"/>
              </w:rPr>
              <w:t xml:space="preserve"> </w:t>
            </w:r>
            <w:r>
              <w:rPr>
                <w:rFonts w:ascii="Times New Roman" w:hAnsi="Times New Roman" w:eastAsia="Times New Roman" w:cs="Times New Roman"/>
                <w:color w:val="auto"/>
                <w:sz w:val="24"/>
                <w:szCs w:val="24"/>
              </w:rPr>
              <w:t>A</w:t>
            </w:r>
            <w:r>
              <w:rPr>
                <w:rFonts w:ascii="Times New Roman" w:hAnsi="Times New Roman" w:eastAsia="Times New Roman" w:cs="Times New Roman"/>
                <w:color w:val="auto"/>
                <w:spacing w:val="16"/>
                <w:sz w:val="24"/>
                <w:szCs w:val="24"/>
              </w:rPr>
              <w:t xml:space="preserve"> </w:t>
            </w:r>
            <w:r>
              <w:rPr>
                <w:color w:val="auto"/>
                <w:sz w:val="24"/>
                <w:szCs w:val="24"/>
              </w:rPr>
              <w:t>声级，</w:t>
            </w:r>
            <w:r>
              <w:rPr>
                <w:rFonts w:ascii="Times New Roman" w:hAnsi="Times New Roman" w:eastAsia="Times New Roman" w:cs="Times New Roman"/>
                <w:color w:val="auto"/>
                <w:sz w:val="24"/>
                <w:szCs w:val="24"/>
              </w:rPr>
              <w:t>dB(A)</w:t>
            </w:r>
            <w:r>
              <w:rPr>
                <w:color w:val="auto"/>
                <w:sz w:val="24"/>
                <w:szCs w:val="24"/>
              </w:rPr>
              <w:t>；</w:t>
            </w:r>
          </w:p>
          <w:p w14:paraId="62C59EE4">
            <w:pPr>
              <w:pStyle w:val="7"/>
              <w:spacing w:before="78" w:line="225" w:lineRule="auto"/>
              <w:ind w:left="1303"/>
              <w:rPr>
                <w:rFonts w:ascii="Arial"/>
                <w:color w:val="auto"/>
                <w:sz w:val="24"/>
                <w:szCs w:val="24"/>
              </w:rPr>
            </w:pPr>
            <w:r>
              <w:rPr>
                <w:rFonts w:ascii="Times New Roman" w:hAnsi="Times New Roman" w:eastAsia="Times New Roman" w:cs="Times New Roman"/>
                <w:i/>
                <w:iCs/>
                <w:color w:val="auto"/>
                <w:sz w:val="24"/>
                <w:szCs w:val="24"/>
              </w:rPr>
              <w:t>Ni</w:t>
            </w:r>
            <w:r>
              <w:rPr>
                <w:rFonts w:ascii="Times New Roman" w:hAnsi="Times New Roman" w:eastAsia="Times New Roman" w:cs="Times New Roman"/>
                <w:color w:val="auto"/>
                <w:spacing w:val="2"/>
                <w:sz w:val="24"/>
                <w:szCs w:val="24"/>
              </w:rPr>
              <w:t>—</w:t>
            </w:r>
            <w:r>
              <w:rPr>
                <w:color w:val="auto"/>
                <w:spacing w:val="2"/>
                <w:sz w:val="24"/>
                <w:szCs w:val="24"/>
              </w:rPr>
              <w:t>第</w:t>
            </w:r>
            <w:r>
              <w:rPr>
                <w:color w:val="auto"/>
                <w:spacing w:val="-47"/>
                <w:sz w:val="24"/>
                <w:szCs w:val="24"/>
              </w:rPr>
              <w:t xml:space="preserve"> </w:t>
            </w:r>
            <w:r>
              <w:rPr>
                <w:rFonts w:ascii="Times New Roman" w:hAnsi="Times New Roman" w:eastAsia="Times New Roman" w:cs="Times New Roman"/>
                <w:i/>
                <w:iCs/>
                <w:color w:val="auto"/>
                <w:spacing w:val="2"/>
                <w:sz w:val="24"/>
                <w:szCs w:val="24"/>
              </w:rPr>
              <w:t xml:space="preserve">i </w:t>
            </w:r>
            <w:r>
              <w:rPr>
                <w:color w:val="auto"/>
                <w:spacing w:val="2"/>
                <w:sz w:val="24"/>
                <w:szCs w:val="24"/>
              </w:rPr>
              <w:t>型车辆的昼间或夜间的平均小时交通量，辆</w:t>
            </w:r>
            <w:r>
              <w:rPr>
                <w:rFonts w:ascii="Times New Roman" w:hAnsi="Times New Roman" w:eastAsia="Times New Roman" w:cs="Times New Roman"/>
                <w:color w:val="auto"/>
                <w:spacing w:val="2"/>
                <w:sz w:val="24"/>
                <w:szCs w:val="24"/>
              </w:rPr>
              <w:t>/h</w:t>
            </w:r>
            <w:r>
              <w:rPr>
                <w:color w:val="auto"/>
                <w:spacing w:val="2"/>
                <w:sz w:val="24"/>
                <w:szCs w:val="24"/>
              </w:rPr>
              <w:t>；</w:t>
            </w:r>
          </w:p>
          <w:p w14:paraId="41ADDB91">
            <w:pPr>
              <w:pStyle w:val="7"/>
              <w:spacing w:before="79" w:line="225" w:lineRule="auto"/>
              <w:ind w:left="1339"/>
              <w:rPr>
                <w:rFonts w:ascii="Arial"/>
                <w:color w:val="auto"/>
                <w:sz w:val="24"/>
                <w:szCs w:val="24"/>
              </w:rPr>
            </w:pPr>
            <w:r>
              <w:rPr>
                <w:rFonts w:ascii="Times New Roman" w:hAnsi="Times New Roman" w:eastAsia="Times New Roman" w:cs="Times New Roman"/>
                <w:i/>
                <w:iCs/>
                <w:color w:val="auto"/>
                <w:spacing w:val="-3"/>
                <w:sz w:val="24"/>
                <w:szCs w:val="24"/>
              </w:rPr>
              <w:t>Vi</w:t>
            </w:r>
            <w:r>
              <w:rPr>
                <w:rFonts w:ascii="Times New Roman" w:hAnsi="Times New Roman" w:eastAsia="Times New Roman" w:cs="Times New Roman"/>
                <w:color w:val="auto"/>
                <w:spacing w:val="-3"/>
                <w:sz w:val="24"/>
                <w:szCs w:val="24"/>
              </w:rPr>
              <w:t>—</w:t>
            </w:r>
            <w:r>
              <w:rPr>
                <w:rFonts w:ascii="Times New Roman" w:hAnsi="Times New Roman" w:eastAsia="Times New Roman" w:cs="Times New Roman"/>
                <w:i/>
                <w:iCs/>
                <w:color w:val="auto"/>
                <w:spacing w:val="-3"/>
                <w:sz w:val="24"/>
                <w:szCs w:val="24"/>
              </w:rPr>
              <w:t>i</w:t>
            </w:r>
            <w:r>
              <w:rPr>
                <w:rFonts w:ascii="Times New Roman" w:hAnsi="Times New Roman" w:eastAsia="Times New Roman" w:cs="Times New Roman"/>
                <w:i/>
                <w:iCs/>
                <w:color w:val="auto"/>
                <w:spacing w:val="30"/>
                <w:w w:val="101"/>
                <w:sz w:val="24"/>
                <w:szCs w:val="24"/>
              </w:rPr>
              <w:t xml:space="preserve"> </w:t>
            </w:r>
            <w:r>
              <w:rPr>
                <w:color w:val="auto"/>
                <w:spacing w:val="-3"/>
                <w:sz w:val="24"/>
                <w:szCs w:val="24"/>
              </w:rPr>
              <w:t>型车辆的平均行驶速度，</w:t>
            </w:r>
            <w:r>
              <w:rPr>
                <w:rFonts w:ascii="Times New Roman" w:hAnsi="Times New Roman" w:eastAsia="Times New Roman" w:cs="Times New Roman"/>
                <w:color w:val="auto"/>
                <w:spacing w:val="-3"/>
                <w:sz w:val="24"/>
                <w:szCs w:val="24"/>
              </w:rPr>
              <w:t>km/h</w:t>
            </w:r>
            <w:r>
              <w:rPr>
                <w:color w:val="auto"/>
                <w:spacing w:val="-3"/>
                <w:sz w:val="24"/>
                <w:szCs w:val="24"/>
              </w:rPr>
              <w:t>；</w:t>
            </w:r>
          </w:p>
          <w:p w14:paraId="328E1ED4">
            <w:pPr>
              <w:pStyle w:val="7"/>
              <w:spacing w:before="79" w:line="234" w:lineRule="auto"/>
              <w:ind w:left="1326"/>
              <w:rPr>
                <w:color w:val="auto"/>
                <w:sz w:val="24"/>
                <w:szCs w:val="24"/>
              </w:rPr>
            </w:pPr>
            <w:r>
              <w:rPr>
                <w:rFonts w:ascii="Times New Roman" w:hAnsi="Times New Roman" w:eastAsia="Times New Roman" w:cs="Times New Roman"/>
                <w:i/>
                <w:iCs/>
                <w:color w:val="auto"/>
                <w:spacing w:val="-5"/>
                <w:position w:val="-1"/>
                <w:sz w:val="24"/>
                <w:szCs w:val="24"/>
              </w:rPr>
              <w:t>T</w:t>
            </w:r>
            <w:r>
              <w:rPr>
                <w:rFonts w:ascii="Times New Roman" w:hAnsi="Times New Roman" w:eastAsia="Times New Roman" w:cs="Times New Roman"/>
                <w:color w:val="auto"/>
                <w:spacing w:val="-5"/>
                <w:position w:val="-1"/>
                <w:sz w:val="24"/>
                <w:szCs w:val="24"/>
              </w:rPr>
              <w:t>—</w:t>
            </w:r>
            <w:r>
              <w:rPr>
                <w:rFonts w:ascii="Times New Roman" w:hAnsi="Times New Roman" w:eastAsia="Times New Roman" w:cs="Times New Roman"/>
                <w:i/>
                <w:iCs/>
                <w:color w:val="auto"/>
                <w:spacing w:val="-5"/>
                <w:position w:val="-1"/>
                <w:sz w:val="24"/>
                <w:szCs w:val="24"/>
              </w:rPr>
              <w:t>LAeq</w:t>
            </w:r>
            <w:r>
              <w:rPr>
                <w:rFonts w:ascii="Times New Roman" w:hAnsi="Times New Roman" w:eastAsia="Times New Roman" w:cs="Times New Roman"/>
                <w:i/>
                <w:iCs/>
                <w:color w:val="auto"/>
                <w:spacing w:val="44"/>
                <w:w w:val="101"/>
                <w:position w:val="-1"/>
                <w:sz w:val="24"/>
                <w:szCs w:val="24"/>
              </w:rPr>
              <w:t xml:space="preserve"> </w:t>
            </w:r>
            <w:r>
              <w:rPr>
                <w:color w:val="auto"/>
                <w:spacing w:val="-5"/>
                <w:sz w:val="24"/>
                <w:szCs w:val="24"/>
              </w:rPr>
              <w:t>的预测时间，在此取</w:t>
            </w:r>
            <w:r>
              <w:rPr>
                <w:color w:val="auto"/>
                <w:spacing w:val="-32"/>
                <w:sz w:val="24"/>
                <w:szCs w:val="24"/>
              </w:rPr>
              <w:t xml:space="preserve"> </w:t>
            </w:r>
            <w:r>
              <w:rPr>
                <w:rFonts w:ascii="Times New Roman" w:hAnsi="Times New Roman" w:eastAsia="Times New Roman" w:cs="Times New Roman"/>
                <w:color w:val="auto"/>
                <w:spacing w:val="-5"/>
                <w:sz w:val="24"/>
                <w:szCs w:val="24"/>
              </w:rPr>
              <w:t>1h</w:t>
            </w:r>
            <w:r>
              <w:rPr>
                <w:color w:val="auto"/>
                <w:spacing w:val="-5"/>
                <w:sz w:val="24"/>
                <w:szCs w:val="24"/>
              </w:rPr>
              <w:t>；</w:t>
            </w:r>
          </w:p>
          <w:p w14:paraId="1F1099E9">
            <w:pPr>
              <w:pStyle w:val="7"/>
              <w:spacing w:before="312" w:line="387" w:lineRule="auto"/>
              <w:ind w:right="27" w:firstLine="1179"/>
              <w:rPr>
                <w:color w:val="auto"/>
                <w:sz w:val="24"/>
                <w:szCs w:val="24"/>
              </w:rPr>
            </w:pPr>
            <w:r>
              <w:rPr>
                <w:rFonts w:ascii="Times New Roman" w:hAnsi="Times New Roman" w:eastAsia="Times New Roman" w:cs="Times New Roman"/>
                <w:i/>
                <w:iCs/>
                <w:color w:val="auto"/>
                <w:spacing w:val="-3"/>
                <w:sz w:val="24"/>
                <w:szCs w:val="24"/>
              </w:rPr>
              <w:t>ΔL</w:t>
            </w:r>
            <w:r>
              <w:rPr>
                <w:rFonts w:ascii="Times New Roman" w:hAnsi="Times New Roman" w:eastAsia="Times New Roman" w:cs="Times New Roman"/>
                <w:i/>
                <w:iCs/>
                <w:color w:val="auto"/>
                <w:spacing w:val="18"/>
                <w:sz w:val="24"/>
                <w:szCs w:val="24"/>
              </w:rPr>
              <w:t xml:space="preserve"> </w:t>
            </w:r>
            <w:r>
              <w:rPr>
                <w:i/>
                <w:iCs/>
                <w:color w:val="auto"/>
                <w:spacing w:val="-3"/>
                <w:position w:val="-7"/>
                <w:sz w:val="24"/>
                <w:szCs w:val="24"/>
              </w:rPr>
              <w:t>距离</w:t>
            </w:r>
            <w:r>
              <w:rPr>
                <w:rFonts w:ascii="Times New Roman" w:hAnsi="Times New Roman" w:eastAsia="Times New Roman" w:cs="Times New Roman"/>
                <w:color w:val="auto"/>
                <w:spacing w:val="-3"/>
                <w:sz w:val="24"/>
                <w:szCs w:val="24"/>
              </w:rPr>
              <w:t>—</w:t>
            </w:r>
            <w:r>
              <w:rPr>
                <w:color w:val="auto"/>
                <w:spacing w:val="-3"/>
                <w:sz w:val="24"/>
                <w:szCs w:val="24"/>
              </w:rPr>
              <w:t>第</w:t>
            </w:r>
            <w:r>
              <w:rPr>
                <w:color w:val="auto"/>
                <w:spacing w:val="-50"/>
                <w:sz w:val="24"/>
                <w:szCs w:val="24"/>
              </w:rPr>
              <w:t xml:space="preserve"> </w:t>
            </w:r>
            <w:r>
              <w:rPr>
                <w:rFonts w:ascii="Times New Roman" w:hAnsi="Times New Roman" w:eastAsia="Times New Roman" w:cs="Times New Roman"/>
                <w:i/>
                <w:iCs/>
                <w:color w:val="auto"/>
                <w:spacing w:val="-3"/>
                <w:sz w:val="24"/>
                <w:szCs w:val="24"/>
              </w:rPr>
              <w:t>i</w:t>
            </w:r>
            <w:r>
              <w:rPr>
                <w:rFonts w:ascii="Times New Roman" w:hAnsi="Times New Roman" w:eastAsia="Times New Roman" w:cs="Times New Roman"/>
                <w:i/>
                <w:iCs/>
                <w:color w:val="auto"/>
                <w:spacing w:val="15"/>
                <w:w w:val="101"/>
                <w:sz w:val="24"/>
                <w:szCs w:val="24"/>
              </w:rPr>
              <w:t xml:space="preserve"> </w:t>
            </w:r>
            <w:r>
              <w:rPr>
                <w:color w:val="auto"/>
                <w:spacing w:val="-3"/>
                <w:sz w:val="24"/>
                <w:szCs w:val="24"/>
              </w:rPr>
              <w:t>型车辆行驶噪声，昼间或夜间在距噪声等效行车</w:t>
            </w:r>
            <w:r>
              <w:rPr>
                <w:color w:val="auto"/>
                <w:spacing w:val="-4"/>
                <w:sz w:val="24"/>
                <w:szCs w:val="24"/>
              </w:rPr>
              <w:t>线距离为</w:t>
            </w:r>
            <w:r>
              <w:rPr>
                <w:color w:val="auto"/>
                <w:spacing w:val="-59"/>
                <w:sz w:val="24"/>
                <w:szCs w:val="24"/>
              </w:rPr>
              <w:t xml:space="preserve"> </w:t>
            </w:r>
            <w:r>
              <w:rPr>
                <w:rFonts w:ascii="Times New Roman" w:hAnsi="Times New Roman" w:eastAsia="Times New Roman" w:cs="Times New Roman"/>
                <w:color w:val="auto"/>
                <w:spacing w:val="-4"/>
                <w:sz w:val="24"/>
                <w:szCs w:val="24"/>
              </w:rPr>
              <w:t>r</w:t>
            </w:r>
            <w:r>
              <w:rPr>
                <w:rFonts w:ascii="Times New Roman" w:hAnsi="Times New Roman" w:eastAsia="Times New Roman" w:cs="Times New Roman"/>
                <w:color w:val="auto"/>
                <w:spacing w:val="27"/>
                <w:sz w:val="24"/>
                <w:szCs w:val="24"/>
              </w:rPr>
              <w:t xml:space="preserve"> </w:t>
            </w:r>
            <w:r>
              <w:rPr>
                <w:color w:val="auto"/>
                <w:spacing w:val="-4"/>
                <w:sz w:val="24"/>
                <w:szCs w:val="24"/>
              </w:rPr>
              <w:t>的预</w:t>
            </w:r>
            <w:r>
              <w:rPr>
                <w:color w:val="auto"/>
                <w:spacing w:val="-1"/>
                <w:sz w:val="24"/>
                <w:szCs w:val="24"/>
              </w:rPr>
              <w:t>测点处的距离衰减量，</w:t>
            </w:r>
            <w:r>
              <w:rPr>
                <w:rFonts w:ascii="Times New Roman" w:hAnsi="Times New Roman" w:eastAsia="Times New Roman" w:cs="Times New Roman"/>
                <w:color w:val="auto"/>
                <w:spacing w:val="-1"/>
                <w:sz w:val="24"/>
                <w:szCs w:val="24"/>
              </w:rPr>
              <w:t>dB(A)</w:t>
            </w:r>
            <w:r>
              <w:rPr>
                <w:color w:val="auto"/>
                <w:spacing w:val="-1"/>
                <w:sz w:val="24"/>
                <w:szCs w:val="24"/>
              </w:rPr>
              <w:t>；</w:t>
            </w:r>
          </w:p>
          <w:p w14:paraId="5239605D">
            <w:pPr>
              <w:pStyle w:val="7"/>
              <w:spacing w:before="51" w:line="220" w:lineRule="auto"/>
              <w:ind w:left="1179"/>
              <w:rPr>
                <w:color w:val="auto"/>
                <w:sz w:val="24"/>
                <w:szCs w:val="24"/>
              </w:rPr>
            </w:pPr>
            <w:r>
              <w:rPr>
                <w:rFonts w:ascii="Times New Roman" w:hAnsi="Times New Roman" w:eastAsia="Times New Roman" w:cs="Times New Roman"/>
                <w:i/>
                <w:iCs/>
                <w:color w:val="auto"/>
                <w:spacing w:val="-1"/>
                <w:sz w:val="24"/>
                <w:szCs w:val="24"/>
              </w:rPr>
              <w:t>ΔL</w:t>
            </w:r>
            <w:r>
              <w:rPr>
                <w:rFonts w:ascii="Times New Roman" w:hAnsi="Times New Roman" w:eastAsia="Times New Roman" w:cs="Times New Roman"/>
                <w:i/>
                <w:iCs/>
                <w:color w:val="auto"/>
                <w:spacing w:val="33"/>
                <w:w w:val="101"/>
                <w:sz w:val="24"/>
                <w:szCs w:val="24"/>
              </w:rPr>
              <w:t xml:space="preserve"> </w:t>
            </w:r>
            <w:r>
              <w:rPr>
                <w:i/>
                <w:iCs/>
                <w:color w:val="auto"/>
                <w:spacing w:val="-1"/>
                <w:position w:val="-7"/>
                <w:sz w:val="24"/>
                <w:szCs w:val="24"/>
              </w:rPr>
              <w:t>纵坡</w:t>
            </w:r>
            <w:r>
              <w:rPr>
                <w:rFonts w:ascii="Times New Roman" w:hAnsi="Times New Roman" w:eastAsia="Times New Roman" w:cs="Times New Roman"/>
                <w:color w:val="auto"/>
                <w:spacing w:val="-1"/>
                <w:sz w:val="24"/>
                <w:szCs w:val="24"/>
              </w:rPr>
              <w:t>—</w:t>
            </w:r>
            <w:r>
              <w:rPr>
                <w:color w:val="auto"/>
                <w:spacing w:val="-1"/>
                <w:sz w:val="24"/>
                <w:szCs w:val="24"/>
              </w:rPr>
              <w:t>公路纵坡引起的交通噪声修正量，</w:t>
            </w:r>
            <w:r>
              <w:rPr>
                <w:rFonts w:ascii="Times New Roman" w:hAnsi="Times New Roman" w:eastAsia="Times New Roman" w:cs="Times New Roman"/>
                <w:color w:val="auto"/>
                <w:spacing w:val="-1"/>
                <w:sz w:val="24"/>
                <w:szCs w:val="24"/>
              </w:rPr>
              <w:t>dB(A)</w:t>
            </w:r>
            <w:r>
              <w:rPr>
                <w:color w:val="auto"/>
                <w:spacing w:val="-1"/>
                <w:sz w:val="24"/>
                <w:szCs w:val="24"/>
              </w:rPr>
              <w:t>；</w:t>
            </w:r>
          </w:p>
          <w:p w14:paraId="2F8F9DC8">
            <w:pPr>
              <w:pStyle w:val="7"/>
              <w:spacing w:before="303" w:line="219" w:lineRule="auto"/>
              <w:ind w:left="1179"/>
              <w:rPr>
                <w:color w:val="auto"/>
                <w:sz w:val="24"/>
                <w:szCs w:val="24"/>
              </w:rPr>
            </w:pPr>
            <w:r>
              <w:rPr>
                <w:rFonts w:ascii="Times New Roman" w:hAnsi="Times New Roman" w:eastAsia="Times New Roman" w:cs="Times New Roman"/>
                <w:i/>
                <w:iCs/>
                <w:color w:val="auto"/>
                <w:spacing w:val="-1"/>
                <w:sz w:val="24"/>
                <w:szCs w:val="24"/>
              </w:rPr>
              <w:t>ΔL</w:t>
            </w:r>
            <w:r>
              <w:rPr>
                <w:rFonts w:ascii="Times New Roman" w:hAnsi="Times New Roman" w:eastAsia="Times New Roman" w:cs="Times New Roman"/>
                <w:i/>
                <w:iCs/>
                <w:color w:val="auto"/>
                <w:spacing w:val="33"/>
                <w:w w:val="101"/>
                <w:sz w:val="24"/>
                <w:szCs w:val="24"/>
              </w:rPr>
              <w:t xml:space="preserve"> </w:t>
            </w:r>
            <w:r>
              <w:rPr>
                <w:i/>
                <w:iCs/>
                <w:color w:val="auto"/>
                <w:spacing w:val="-1"/>
                <w:position w:val="-7"/>
                <w:sz w:val="24"/>
                <w:szCs w:val="24"/>
              </w:rPr>
              <w:t>路面</w:t>
            </w:r>
            <w:r>
              <w:rPr>
                <w:rFonts w:ascii="Times New Roman" w:hAnsi="Times New Roman" w:eastAsia="Times New Roman" w:cs="Times New Roman"/>
                <w:color w:val="auto"/>
                <w:spacing w:val="-1"/>
                <w:sz w:val="24"/>
                <w:szCs w:val="24"/>
              </w:rPr>
              <w:t>—</w:t>
            </w:r>
            <w:r>
              <w:rPr>
                <w:color w:val="auto"/>
                <w:spacing w:val="-1"/>
                <w:sz w:val="24"/>
                <w:szCs w:val="24"/>
              </w:rPr>
              <w:t>公路路面引起的交通噪声修正量，</w:t>
            </w:r>
            <w:r>
              <w:rPr>
                <w:rFonts w:ascii="Times New Roman" w:hAnsi="Times New Roman" w:eastAsia="Times New Roman" w:cs="Times New Roman"/>
                <w:color w:val="auto"/>
                <w:spacing w:val="-1"/>
                <w:sz w:val="24"/>
                <w:szCs w:val="24"/>
              </w:rPr>
              <w:t>dB(A)</w:t>
            </w:r>
            <w:r>
              <w:rPr>
                <w:color w:val="auto"/>
                <w:spacing w:val="-1"/>
                <w:sz w:val="24"/>
                <w:szCs w:val="24"/>
              </w:rPr>
              <w:t>。</w:t>
            </w:r>
          </w:p>
          <w:p w14:paraId="39CC3038">
            <w:pPr>
              <w:pStyle w:val="7"/>
              <w:spacing w:before="247" w:line="210" w:lineRule="auto"/>
              <w:ind w:left="480"/>
              <w:rPr>
                <w:color w:val="auto"/>
                <w:sz w:val="24"/>
                <w:szCs w:val="24"/>
              </w:rPr>
            </w:pPr>
            <w:r>
              <w:rPr>
                <w:color w:val="auto"/>
                <w:spacing w:val="-1"/>
                <w:sz w:val="24"/>
                <w:szCs w:val="24"/>
              </w:rPr>
              <w:t>本项目进出车辆为小汽车，声级按</w:t>
            </w:r>
            <w:r>
              <w:rPr>
                <w:color w:val="auto"/>
                <w:spacing w:val="-47"/>
                <w:sz w:val="24"/>
                <w:szCs w:val="24"/>
              </w:rPr>
              <w:t xml:space="preserve"> </w:t>
            </w:r>
            <w:r>
              <w:rPr>
                <w:rFonts w:ascii="Times New Roman" w:hAnsi="Times New Roman" w:eastAsia="Times New Roman" w:cs="Times New Roman"/>
                <w:color w:val="auto"/>
                <w:spacing w:val="-1"/>
                <w:sz w:val="24"/>
                <w:szCs w:val="24"/>
              </w:rPr>
              <w:t>75dB(A)</w:t>
            </w:r>
            <w:r>
              <w:rPr>
                <w:color w:val="auto"/>
                <w:spacing w:val="-1"/>
                <w:sz w:val="24"/>
                <w:szCs w:val="24"/>
              </w:rPr>
              <w:t>计。</w:t>
            </w:r>
          </w:p>
          <w:p w14:paraId="7DF854EF">
            <w:pPr>
              <w:pStyle w:val="7"/>
              <w:spacing w:before="195" w:line="217" w:lineRule="auto"/>
              <w:ind w:left="477"/>
              <w:rPr>
                <w:color w:val="auto"/>
                <w:sz w:val="24"/>
                <w:szCs w:val="24"/>
              </w:rPr>
            </w:pPr>
            <w:r>
              <w:rPr>
                <w:color w:val="auto"/>
                <w:spacing w:val="-1"/>
                <w:sz w:val="24"/>
                <w:szCs w:val="24"/>
              </w:rPr>
              <w:t>③室内声场扩散衰减公式</w:t>
            </w:r>
          </w:p>
          <w:p w14:paraId="51BF35EE">
            <w:pPr>
              <w:spacing w:before="219" w:line="639" w:lineRule="exact"/>
              <w:ind w:left="2895"/>
              <w:rPr>
                <w:color w:val="auto"/>
                <w:sz w:val="24"/>
                <w:szCs w:val="24"/>
              </w:rPr>
            </w:pPr>
            <w:r>
              <w:rPr>
                <w:color w:val="auto"/>
                <w:position w:val="-13"/>
                <w:sz w:val="24"/>
                <w:szCs w:val="24"/>
              </w:rPr>
              <w:drawing>
                <wp:inline distT="0" distB="0" distL="114300" distR="114300">
                  <wp:extent cx="2353310" cy="405130"/>
                  <wp:effectExtent l="0" t="0" r="8890" b="13970"/>
                  <wp:docPr id="9" name="图片 9"/>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8"/>
                          <a:stretch>
                            <a:fillRect/>
                          </a:stretch>
                        </pic:blipFill>
                        <pic:spPr>
                          <a:xfrm>
                            <a:off x="0" y="0"/>
                            <a:ext cx="2353310" cy="405130"/>
                          </a:xfrm>
                          <a:prstGeom prst="rect">
                            <a:avLst/>
                          </a:prstGeom>
                          <a:noFill/>
                          <a:ln>
                            <a:noFill/>
                          </a:ln>
                        </pic:spPr>
                      </pic:pic>
                    </a:graphicData>
                  </a:graphic>
                </wp:inline>
              </w:drawing>
            </w:r>
          </w:p>
          <w:p w14:paraId="36271C26">
            <w:pPr>
              <w:pStyle w:val="7"/>
              <w:spacing w:before="264" w:line="210" w:lineRule="auto"/>
              <w:ind w:left="483"/>
              <w:rPr>
                <w:color w:val="auto"/>
                <w:sz w:val="24"/>
                <w:szCs w:val="24"/>
              </w:rPr>
            </w:pPr>
            <w:r>
              <w:rPr>
                <w:color w:val="auto"/>
                <w:spacing w:val="-1"/>
                <w:sz w:val="24"/>
                <w:szCs w:val="24"/>
              </w:rPr>
              <w:t>式中：</w:t>
            </w:r>
            <w:r>
              <w:rPr>
                <w:rFonts w:ascii="Times New Roman" w:hAnsi="Times New Roman" w:eastAsia="Times New Roman" w:cs="Times New Roman"/>
                <w:i/>
                <w:iCs/>
                <w:color w:val="auto"/>
                <w:spacing w:val="-1"/>
                <w:sz w:val="24"/>
                <w:szCs w:val="24"/>
              </w:rPr>
              <w:t>L</w:t>
            </w:r>
            <w:r>
              <w:rPr>
                <w:rFonts w:ascii="Times New Roman" w:hAnsi="Times New Roman" w:eastAsia="Times New Roman" w:cs="Times New Roman"/>
                <w:i/>
                <w:iCs/>
                <w:color w:val="auto"/>
                <w:spacing w:val="-1"/>
                <w:position w:val="-1"/>
                <w:sz w:val="24"/>
                <w:szCs w:val="24"/>
              </w:rPr>
              <w:t>P</w:t>
            </w:r>
            <w:r>
              <w:rPr>
                <w:rFonts w:ascii="Times New Roman" w:hAnsi="Times New Roman" w:eastAsia="Times New Roman" w:cs="Times New Roman"/>
                <w:color w:val="auto"/>
                <w:spacing w:val="-1"/>
                <w:sz w:val="24"/>
                <w:szCs w:val="24"/>
              </w:rPr>
              <w:t>—</w:t>
            </w:r>
            <w:r>
              <w:rPr>
                <w:color w:val="auto"/>
                <w:spacing w:val="-1"/>
                <w:sz w:val="24"/>
                <w:szCs w:val="24"/>
              </w:rPr>
              <w:t>预测点的噪声级</w:t>
            </w:r>
            <w:r>
              <w:rPr>
                <w:rFonts w:ascii="Times New Roman" w:hAnsi="Times New Roman" w:eastAsia="Times New Roman" w:cs="Times New Roman"/>
                <w:color w:val="auto"/>
                <w:spacing w:val="-1"/>
                <w:sz w:val="24"/>
                <w:szCs w:val="24"/>
              </w:rPr>
              <w:t>(dB(A))</w:t>
            </w:r>
            <w:r>
              <w:rPr>
                <w:color w:val="auto"/>
                <w:spacing w:val="-1"/>
                <w:sz w:val="24"/>
                <w:szCs w:val="24"/>
              </w:rPr>
              <w:t>；</w:t>
            </w:r>
          </w:p>
          <w:p w14:paraId="2C88AD70">
            <w:pPr>
              <w:pStyle w:val="7"/>
              <w:spacing w:before="195" w:line="210" w:lineRule="auto"/>
              <w:ind w:left="1182"/>
              <w:rPr>
                <w:color w:val="auto"/>
                <w:sz w:val="24"/>
                <w:szCs w:val="24"/>
              </w:rPr>
            </w:pPr>
            <w:r>
              <w:rPr>
                <w:rFonts w:ascii="Times New Roman" w:hAnsi="Times New Roman" w:eastAsia="Times New Roman" w:cs="Times New Roman"/>
                <w:i/>
                <w:iCs/>
                <w:color w:val="auto"/>
                <w:sz w:val="24"/>
                <w:szCs w:val="24"/>
              </w:rPr>
              <w:t>Lw</w:t>
            </w:r>
            <w:r>
              <w:rPr>
                <w:rFonts w:ascii="Times New Roman" w:hAnsi="Times New Roman" w:eastAsia="Times New Roman" w:cs="Times New Roman"/>
                <w:color w:val="auto"/>
                <w:sz w:val="24"/>
                <w:szCs w:val="24"/>
              </w:rPr>
              <w:t>—</w:t>
            </w:r>
            <w:r>
              <w:rPr>
                <w:color w:val="auto"/>
                <w:sz w:val="24"/>
                <w:szCs w:val="24"/>
              </w:rPr>
              <w:t>声源声功率级</w:t>
            </w:r>
            <w:r>
              <w:rPr>
                <w:rFonts w:ascii="Times New Roman" w:hAnsi="Times New Roman" w:eastAsia="Times New Roman" w:cs="Times New Roman"/>
                <w:color w:val="auto"/>
                <w:sz w:val="24"/>
                <w:szCs w:val="24"/>
              </w:rPr>
              <w:t>(dB(A))</w:t>
            </w:r>
            <w:r>
              <w:rPr>
                <w:color w:val="auto"/>
                <w:sz w:val="24"/>
                <w:szCs w:val="24"/>
              </w:rPr>
              <w:t>；</w:t>
            </w:r>
          </w:p>
          <w:p w14:paraId="028AF642">
            <w:pPr>
              <w:pStyle w:val="7"/>
              <w:spacing w:before="194" w:line="351" w:lineRule="auto"/>
              <w:ind w:left="6" w:right="27" w:firstLine="1194"/>
              <w:rPr>
                <w:rFonts w:ascii="Times New Roman" w:hAnsi="Times New Roman" w:eastAsia="Times New Roman" w:cs="Times New Roman"/>
                <w:color w:val="auto"/>
                <w:sz w:val="24"/>
                <w:szCs w:val="24"/>
              </w:rPr>
            </w:pPr>
            <w:r>
              <w:rPr>
                <w:rFonts w:ascii="Times New Roman" w:hAnsi="Times New Roman" w:eastAsia="Times New Roman" w:cs="Times New Roman"/>
                <w:i/>
                <w:iCs/>
                <w:color w:val="auto"/>
                <w:spacing w:val="-4"/>
                <w:sz w:val="24"/>
                <w:szCs w:val="24"/>
              </w:rPr>
              <w:t>Q</w:t>
            </w:r>
            <w:r>
              <w:rPr>
                <w:rFonts w:ascii="Times New Roman" w:hAnsi="Times New Roman" w:eastAsia="Times New Roman" w:cs="Times New Roman"/>
                <w:color w:val="auto"/>
                <w:spacing w:val="-4"/>
                <w:sz w:val="24"/>
                <w:szCs w:val="24"/>
              </w:rPr>
              <w:t>—</w:t>
            </w:r>
            <w:r>
              <w:rPr>
                <w:color w:val="auto"/>
                <w:spacing w:val="-4"/>
                <w:sz w:val="24"/>
                <w:szCs w:val="24"/>
              </w:rPr>
              <w:t>室内空间指向因子，</w:t>
            </w:r>
            <w:r>
              <w:rPr>
                <w:rFonts w:ascii="Times New Roman" w:hAnsi="Times New Roman" w:eastAsia="Times New Roman" w:cs="Times New Roman"/>
                <w:color w:val="auto"/>
                <w:spacing w:val="-4"/>
                <w:sz w:val="24"/>
                <w:szCs w:val="24"/>
              </w:rPr>
              <w:t>(</w:t>
            </w:r>
            <w:r>
              <w:rPr>
                <w:color w:val="auto"/>
                <w:spacing w:val="-4"/>
                <w:sz w:val="24"/>
                <w:szCs w:val="24"/>
              </w:rPr>
              <w:t>完全自由空间</w:t>
            </w:r>
            <w:r>
              <w:rPr>
                <w:color w:val="auto"/>
                <w:spacing w:val="-49"/>
                <w:sz w:val="24"/>
                <w:szCs w:val="24"/>
              </w:rPr>
              <w:t xml:space="preserve"> </w:t>
            </w:r>
            <w:r>
              <w:rPr>
                <w:rFonts w:ascii="Times New Roman" w:hAnsi="Times New Roman" w:eastAsia="Times New Roman" w:cs="Times New Roman"/>
                <w:color w:val="auto"/>
                <w:spacing w:val="-4"/>
                <w:sz w:val="24"/>
                <w:szCs w:val="24"/>
              </w:rPr>
              <w:t>Q</w:t>
            </w:r>
            <w:r>
              <w:rPr>
                <w:rFonts w:ascii="Times New Roman" w:hAnsi="Times New Roman" w:eastAsia="Times New Roman" w:cs="Times New Roman"/>
                <w:color w:val="auto"/>
                <w:spacing w:val="-26"/>
                <w:sz w:val="24"/>
                <w:szCs w:val="24"/>
              </w:rPr>
              <w:t xml:space="preserve"> </w:t>
            </w:r>
            <w:r>
              <w:rPr>
                <w:color w:val="auto"/>
                <w:spacing w:val="-4"/>
                <w:sz w:val="24"/>
                <w:szCs w:val="24"/>
              </w:rPr>
              <w:t>＝</w:t>
            </w:r>
            <w:r>
              <w:rPr>
                <w:rFonts w:ascii="Times New Roman" w:hAnsi="Times New Roman" w:eastAsia="Times New Roman" w:cs="Times New Roman"/>
                <w:color w:val="auto"/>
                <w:spacing w:val="-4"/>
                <w:sz w:val="24"/>
                <w:szCs w:val="24"/>
              </w:rPr>
              <w:t>1</w:t>
            </w:r>
            <w:r>
              <w:rPr>
                <w:rFonts w:ascii="Times New Roman" w:hAnsi="Times New Roman" w:eastAsia="Times New Roman" w:cs="Times New Roman"/>
                <w:color w:val="auto"/>
                <w:spacing w:val="-28"/>
                <w:sz w:val="24"/>
                <w:szCs w:val="24"/>
              </w:rPr>
              <w:t xml:space="preserve"> </w:t>
            </w:r>
            <w:r>
              <w:rPr>
                <w:color w:val="auto"/>
                <w:spacing w:val="-4"/>
                <w:sz w:val="24"/>
                <w:szCs w:val="24"/>
              </w:rPr>
              <w:t>，半自由空间</w:t>
            </w:r>
            <w:r>
              <w:rPr>
                <w:color w:val="auto"/>
                <w:spacing w:val="-49"/>
                <w:sz w:val="24"/>
                <w:szCs w:val="24"/>
              </w:rPr>
              <w:t xml:space="preserve"> </w:t>
            </w:r>
            <w:r>
              <w:rPr>
                <w:rFonts w:ascii="Times New Roman" w:hAnsi="Times New Roman" w:eastAsia="Times New Roman" w:cs="Times New Roman"/>
                <w:color w:val="auto"/>
                <w:spacing w:val="-4"/>
                <w:sz w:val="24"/>
                <w:szCs w:val="24"/>
              </w:rPr>
              <w:t>Q</w:t>
            </w:r>
            <w:r>
              <w:rPr>
                <w:rFonts w:ascii="Times New Roman" w:hAnsi="Times New Roman" w:eastAsia="Times New Roman" w:cs="Times New Roman"/>
                <w:color w:val="auto"/>
                <w:spacing w:val="-28"/>
                <w:sz w:val="24"/>
                <w:szCs w:val="24"/>
              </w:rPr>
              <w:t xml:space="preserve"> </w:t>
            </w:r>
            <w:r>
              <w:rPr>
                <w:color w:val="auto"/>
                <w:spacing w:val="-4"/>
                <w:sz w:val="24"/>
                <w:szCs w:val="24"/>
              </w:rPr>
              <w:t>＝</w:t>
            </w:r>
            <w:r>
              <w:rPr>
                <w:rFonts w:ascii="Times New Roman" w:hAnsi="Times New Roman" w:eastAsia="Times New Roman" w:cs="Times New Roman"/>
                <w:color w:val="auto"/>
                <w:spacing w:val="-4"/>
                <w:sz w:val="24"/>
                <w:szCs w:val="24"/>
              </w:rPr>
              <w:t>2</w:t>
            </w:r>
            <w:r>
              <w:rPr>
                <w:rFonts w:ascii="Times New Roman" w:hAnsi="Times New Roman" w:eastAsia="Times New Roman" w:cs="Times New Roman"/>
                <w:color w:val="auto"/>
                <w:spacing w:val="-28"/>
                <w:sz w:val="24"/>
                <w:szCs w:val="24"/>
              </w:rPr>
              <w:t xml:space="preserve"> </w:t>
            </w:r>
            <w:r>
              <w:rPr>
                <w:color w:val="auto"/>
                <w:spacing w:val="-5"/>
                <w:sz w:val="24"/>
                <w:szCs w:val="24"/>
              </w:rPr>
              <w:t>，</w:t>
            </w:r>
            <w:r>
              <w:rPr>
                <w:rFonts w:ascii="Times New Roman" w:hAnsi="Times New Roman" w:eastAsia="Times New Roman" w:cs="Times New Roman"/>
                <w:color w:val="auto"/>
                <w:spacing w:val="-5"/>
                <w:sz w:val="24"/>
                <w:szCs w:val="24"/>
              </w:rPr>
              <w:t>1/4</w:t>
            </w:r>
            <w:r>
              <w:rPr>
                <w:rFonts w:ascii="Times New Roman" w:hAnsi="Times New Roman" w:eastAsia="Times New Roman" w:cs="Times New Roman"/>
                <w:color w:val="auto"/>
                <w:spacing w:val="51"/>
                <w:sz w:val="24"/>
                <w:szCs w:val="24"/>
              </w:rPr>
              <w:t xml:space="preserve"> </w:t>
            </w:r>
            <w:r>
              <w:rPr>
                <w:color w:val="auto"/>
                <w:spacing w:val="-5"/>
                <w:sz w:val="24"/>
                <w:szCs w:val="24"/>
              </w:rPr>
              <w:t>自由</w:t>
            </w:r>
            <w:r>
              <w:rPr>
                <w:color w:val="auto"/>
                <w:spacing w:val="-11"/>
                <w:sz w:val="24"/>
                <w:szCs w:val="24"/>
              </w:rPr>
              <w:t>空间</w:t>
            </w:r>
            <w:r>
              <w:rPr>
                <w:color w:val="auto"/>
                <w:spacing w:val="-43"/>
                <w:sz w:val="24"/>
                <w:szCs w:val="24"/>
              </w:rPr>
              <w:t xml:space="preserve"> </w:t>
            </w:r>
            <w:r>
              <w:rPr>
                <w:rFonts w:ascii="Times New Roman" w:hAnsi="Times New Roman" w:eastAsia="Times New Roman" w:cs="Times New Roman"/>
                <w:color w:val="auto"/>
                <w:spacing w:val="-11"/>
                <w:sz w:val="24"/>
                <w:szCs w:val="24"/>
              </w:rPr>
              <w:t>Q</w:t>
            </w:r>
            <w:r>
              <w:rPr>
                <w:rFonts w:ascii="Times New Roman" w:hAnsi="Times New Roman" w:eastAsia="Times New Roman" w:cs="Times New Roman"/>
                <w:color w:val="auto"/>
                <w:spacing w:val="-27"/>
                <w:sz w:val="24"/>
                <w:szCs w:val="24"/>
              </w:rPr>
              <w:t xml:space="preserve"> </w:t>
            </w:r>
            <w:r>
              <w:rPr>
                <w:color w:val="auto"/>
                <w:spacing w:val="-11"/>
                <w:sz w:val="24"/>
                <w:szCs w:val="24"/>
              </w:rPr>
              <w:t>＝</w:t>
            </w:r>
            <w:r>
              <w:rPr>
                <w:rFonts w:ascii="Times New Roman" w:hAnsi="Times New Roman" w:eastAsia="Times New Roman" w:cs="Times New Roman"/>
                <w:color w:val="auto"/>
                <w:spacing w:val="-11"/>
                <w:sz w:val="24"/>
                <w:szCs w:val="24"/>
              </w:rPr>
              <w:t>4</w:t>
            </w:r>
            <w:r>
              <w:rPr>
                <w:rFonts w:ascii="Times New Roman" w:hAnsi="Times New Roman" w:eastAsia="Times New Roman" w:cs="Times New Roman"/>
                <w:color w:val="auto"/>
                <w:spacing w:val="-31"/>
                <w:sz w:val="24"/>
                <w:szCs w:val="24"/>
              </w:rPr>
              <w:t xml:space="preserve"> </w:t>
            </w:r>
            <w:r>
              <w:rPr>
                <w:color w:val="auto"/>
                <w:spacing w:val="-11"/>
                <w:sz w:val="24"/>
                <w:szCs w:val="24"/>
              </w:rPr>
              <w:t>，</w:t>
            </w:r>
            <w:r>
              <w:rPr>
                <w:rFonts w:ascii="Times New Roman" w:hAnsi="Times New Roman" w:eastAsia="Times New Roman" w:cs="Times New Roman"/>
                <w:color w:val="auto"/>
                <w:spacing w:val="-11"/>
                <w:sz w:val="24"/>
                <w:szCs w:val="24"/>
              </w:rPr>
              <w:t>1/8</w:t>
            </w:r>
            <w:r>
              <w:rPr>
                <w:rFonts w:ascii="Times New Roman" w:hAnsi="Times New Roman" w:eastAsia="Times New Roman" w:cs="Times New Roman"/>
                <w:color w:val="auto"/>
                <w:spacing w:val="48"/>
                <w:w w:val="101"/>
                <w:sz w:val="24"/>
                <w:szCs w:val="24"/>
              </w:rPr>
              <w:t xml:space="preserve"> </w:t>
            </w:r>
            <w:r>
              <w:rPr>
                <w:color w:val="auto"/>
                <w:spacing w:val="-11"/>
                <w:sz w:val="24"/>
                <w:szCs w:val="24"/>
              </w:rPr>
              <w:t>自由空间</w:t>
            </w:r>
            <w:r>
              <w:rPr>
                <w:color w:val="auto"/>
                <w:spacing w:val="-52"/>
                <w:sz w:val="24"/>
                <w:szCs w:val="24"/>
              </w:rPr>
              <w:t xml:space="preserve"> </w:t>
            </w:r>
            <w:r>
              <w:rPr>
                <w:rFonts w:ascii="Times New Roman" w:hAnsi="Times New Roman" w:eastAsia="Times New Roman" w:cs="Times New Roman"/>
                <w:color w:val="auto"/>
                <w:spacing w:val="-11"/>
                <w:sz w:val="24"/>
                <w:szCs w:val="24"/>
              </w:rPr>
              <w:t>Q</w:t>
            </w:r>
            <w:r>
              <w:rPr>
                <w:rFonts w:ascii="Times New Roman" w:hAnsi="Times New Roman" w:eastAsia="Times New Roman" w:cs="Times New Roman"/>
                <w:color w:val="auto"/>
                <w:spacing w:val="-27"/>
                <w:sz w:val="24"/>
                <w:szCs w:val="24"/>
              </w:rPr>
              <w:t xml:space="preserve"> </w:t>
            </w:r>
            <w:r>
              <w:rPr>
                <w:color w:val="auto"/>
                <w:spacing w:val="-11"/>
                <w:sz w:val="24"/>
                <w:szCs w:val="24"/>
              </w:rPr>
              <w:t>＝</w:t>
            </w:r>
            <w:r>
              <w:rPr>
                <w:rFonts w:ascii="Times New Roman" w:hAnsi="Times New Roman" w:eastAsia="Times New Roman" w:cs="Times New Roman"/>
                <w:color w:val="auto"/>
                <w:spacing w:val="-11"/>
                <w:sz w:val="24"/>
                <w:szCs w:val="24"/>
              </w:rPr>
              <w:t>8)</w:t>
            </w:r>
          </w:p>
          <w:p w14:paraId="41A931CE">
            <w:pPr>
              <w:pStyle w:val="7"/>
              <w:spacing w:before="24" w:line="210" w:lineRule="auto"/>
              <w:ind w:left="1278"/>
              <w:rPr>
                <w:color w:val="auto"/>
                <w:sz w:val="24"/>
                <w:szCs w:val="24"/>
              </w:rPr>
            </w:pPr>
            <w:r>
              <w:rPr>
                <w:rFonts w:ascii="Times New Roman" w:hAnsi="Times New Roman" w:eastAsia="Times New Roman" w:cs="Times New Roman"/>
                <w:i/>
                <w:iCs/>
                <w:color w:val="auto"/>
                <w:spacing w:val="-1"/>
                <w:sz w:val="24"/>
                <w:szCs w:val="24"/>
              </w:rPr>
              <w:t>r</w:t>
            </w:r>
            <w:r>
              <w:rPr>
                <w:rFonts w:ascii="Times New Roman" w:hAnsi="Times New Roman" w:eastAsia="Times New Roman" w:cs="Times New Roman"/>
                <w:color w:val="auto"/>
                <w:spacing w:val="-1"/>
                <w:sz w:val="24"/>
                <w:szCs w:val="24"/>
              </w:rPr>
              <w:t>—</w:t>
            </w:r>
            <w:r>
              <w:rPr>
                <w:color w:val="auto"/>
                <w:spacing w:val="-1"/>
                <w:sz w:val="24"/>
                <w:szCs w:val="24"/>
              </w:rPr>
              <w:t>预测点离声源距离</w:t>
            </w:r>
            <w:r>
              <w:rPr>
                <w:rFonts w:ascii="Times New Roman" w:hAnsi="Times New Roman" w:eastAsia="Times New Roman" w:cs="Times New Roman"/>
                <w:color w:val="auto"/>
                <w:spacing w:val="-1"/>
                <w:sz w:val="24"/>
                <w:szCs w:val="24"/>
              </w:rPr>
              <w:t>(m)</w:t>
            </w:r>
            <w:r>
              <w:rPr>
                <w:color w:val="auto"/>
                <w:spacing w:val="-1"/>
                <w:sz w:val="24"/>
                <w:szCs w:val="24"/>
              </w:rPr>
              <w:t>；</w:t>
            </w:r>
          </w:p>
          <w:p w14:paraId="47F4AAE1">
            <w:pPr>
              <w:pStyle w:val="7"/>
              <w:spacing w:before="195" w:line="210" w:lineRule="auto"/>
              <w:ind w:left="1184"/>
              <w:rPr>
                <w:color w:val="auto"/>
                <w:sz w:val="24"/>
                <w:szCs w:val="24"/>
              </w:rPr>
            </w:pPr>
            <w:r>
              <w:rPr>
                <w:rFonts w:ascii="Times New Roman" w:hAnsi="Times New Roman" w:eastAsia="Times New Roman" w:cs="Times New Roman"/>
                <w:i/>
                <w:iCs/>
                <w:color w:val="auto"/>
                <w:sz w:val="24"/>
                <w:szCs w:val="24"/>
              </w:rPr>
              <w:t>R</w:t>
            </w:r>
            <w:r>
              <w:rPr>
                <w:rFonts w:ascii="Times New Roman" w:hAnsi="Times New Roman" w:eastAsia="Times New Roman" w:cs="Times New Roman"/>
                <w:color w:val="auto"/>
                <w:sz w:val="24"/>
                <w:szCs w:val="24"/>
              </w:rPr>
              <w:t>—</w:t>
            </w:r>
            <w:r>
              <w:rPr>
                <w:color w:val="auto"/>
                <w:sz w:val="24"/>
                <w:szCs w:val="24"/>
              </w:rPr>
              <w:t>室内房间常数</w:t>
            </w:r>
            <w:r>
              <w:rPr>
                <w:rFonts w:ascii="Times New Roman" w:hAnsi="Times New Roman" w:eastAsia="Times New Roman" w:cs="Times New Roman"/>
                <w:color w:val="auto"/>
                <w:sz w:val="24"/>
                <w:szCs w:val="24"/>
              </w:rPr>
              <w:t>(</w:t>
            </w:r>
            <w:r>
              <w:rPr>
                <w:color w:val="auto"/>
                <w:sz w:val="24"/>
                <w:szCs w:val="24"/>
              </w:rPr>
              <w:t>由房间材料决定</w:t>
            </w:r>
            <w:r>
              <w:rPr>
                <w:rFonts w:ascii="Times New Roman" w:hAnsi="Times New Roman" w:eastAsia="Times New Roman" w:cs="Times New Roman"/>
                <w:color w:val="auto"/>
                <w:sz w:val="24"/>
                <w:szCs w:val="24"/>
              </w:rPr>
              <w:t>)</w:t>
            </w:r>
            <w:r>
              <w:rPr>
                <w:color w:val="auto"/>
                <w:sz w:val="24"/>
                <w:szCs w:val="24"/>
              </w:rPr>
              <w:t>；</w:t>
            </w:r>
          </w:p>
          <w:p w14:paraId="1F5460D4">
            <w:pPr>
              <w:pStyle w:val="7"/>
              <w:spacing w:before="195" w:line="210" w:lineRule="auto"/>
              <w:ind w:left="1160"/>
              <w:rPr>
                <w:color w:val="auto"/>
                <w:sz w:val="24"/>
                <w:szCs w:val="24"/>
              </w:rPr>
            </w:pPr>
            <w:r>
              <w:rPr>
                <w:rFonts w:ascii="Times New Roman" w:hAnsi="Times New Roman" w:eastAsia="Times New Roman" w:cs="Times New Roman"/>
                <w:i/>
                <w:iCs/>
                <w:color w:val="auto"/>
                <w:spacing w:val="-1"/>
                <w:sz w:val="24"/>
                <w:szCs w:val="24"/>
              </w:rPr>
              <w:t>c</w:t>
            </w:r>
            <w:r>
              <w:rPr>
                <w:rFonts w:ascii="Times New Roman" w:hAnsi="Times New Roman" w:eastAsia="Times New Roman" w:cs="Times New Roman"/>
                <w:color w:val="auto"/>
                <w:spacing w:val="-1"/>
                <w:sz w:val="24"/>
                <w:szCs w:val="24"/>
              </w:rPr>
              <w:t>—</w:t>
            </w:r>
            <w:r>
              <w:rPr>
                <w:color w:val="auto"/>
                <w:spacing w:val="-1"/>
                <w:sz w:val="24"/>
                <w:szCs w:val="24"/>
              </w:rPr>
              <w:t>空气中的声速</w:t>
            </w:r>
            <w:r>
              <w:rPr>
                <w:rFonts w:ascii="Times New Roman" w:hAnsi="Times New Roman" w:eastAsia="Times New Roman" w:cs="Times New Roman"/>
                <w:color w:val="auto"/>
                <w:spacing w:val="-1"/>
                <w:sz w:val="24"/>
                <w:szCs w:val="24"/>
              </w:rPr>
              <w:t>(m/s)</w:t>
            </w:r>
            <w:r>
              <w:rPr>
                <w:color w:val="auto"/>
                <w:spacing w:val="-1"/>
                <w:sz w:val="24"/>
                <w:szCs w:val="24"/>
              </w:rPr>
              <w:t>；</w:t>
            </w:r>
          </w:p>
          <w:p w14:paraId="1DF6F81C">
            <w:pPr>
              <w:pStyle w:val="7"/>
              <w:spacing w:before="195" w:line="210" w:lineRule="auto"/>
              <w:ind w:left="1146"/>
              <w:rPr>
                <w:color w:val="auto"/>
                <w:sz w:val="24"/>
                <w:szCs w:val="24"/>
              </w:rPr>
            </w:pPr>
            <w:r>
              <w:rPr>
                <w:rFonts w:ascii="Times New Roman" w:hAnsi="Times New Roman" w:eastAsia="Times New Roman" w:cs="Times New Roman"/>
                <w:i/>
                <w:iCs/>
                <w:color w:val="auto"/>
                <w:sz w:val="24"/>
                <w:szCs w:val="24"/>
              </w:rPr>
              <w:t>L</w:t>
            </w:r>
            <w:r>
              <w:rPr>
                <w:rFonts w:ascii="Times New Roman" w:hAnsi="Times New Roman" w:eastAsia="Times New Roman" w:cs="Times New Roman"/>
                <w:i/>
                <w:iCs/>
                <w:color w:val="auto"/>
                <w:position w:val="-1"/>
                <w:sz w:val="24"/>
                <w:szCs w:val="24"/>
              </w:rPr>
              <w:t>TL</w:t>
            </w:r>
            <w:r>
              <w:rPr>
                <w:rFonts w:ascii="Times New Roman" w:hAnsi="Times New Roman" w:eastAsia="Times New Roman" w:cs="Times New Roman"/>
                <w:color w:val="auto"/>
                <w:sz w:val="24"/>
                <w:szCs w:val="24"/>
              </w:rPr>
              <w:t>—</w:t>
            </w:r>
            <w:r>
              <w:rPr>
                <w:color w:val="auto"/>
                <w:sz w:val="24"/>
                <w:szCs w:val="24"/>
              </w:rPr>
              <w:t>隔墙的传声损失</w:t>
            </w:r>
            <w:r>
              <w:rPr>
                <w:rFonts w:ascii="Times New Roman" w:hAnsi="Times New Roman" w:eastAsia="Times New Roman" w:cs="Times New Roman"/>
                <w:color w:val="auto"/>
                <w:sz w:val="24"/>
                <w:szCs w:val="24"/>
              </w:rPr>
              <w:t>(dB(A))</w:t>
            </w:r>
            <w:r>
              <w:rPr>
                <w:color w:val="auto"/>
                <w:sz w:val="24"/>
                <w:szCs w:val="24"/>
              </w:rPr>
              <w:t>。</w:t>
            </w:r>
          </w:p>
          <w:p w14:paraId="5E847BA4">
            <w:pPr>
              <w:pStyle w:val="7"/>
              <w:spacing w:before="195" w:line="217" w:lineRule="auto"/>
              <w:ind w:left="477"/>
              <w:rPr>
                <w:color w:val="auto"/>
                <w:sz w:val="24"/>
                <w:szCs w:val="24"/>
              </w:rPr>
            </w:pPr>
            <w:r>
              <w:rPr>
                <w:color w:val="auto"/>
                <w:spacing w:val="-1"/>
                <w:sz w:val="24"/>
                <w:szCs w:val="24"/>
              </w:rPr>
              <w:t>④噪声级的叠加公式</w:t>
            </w:r>
          </w:p>
          <w:p w14:paraId="215F844C">
            <w:pPr>
              <w:pStyle w:val="7"/>
              <w:spacing w:before="186" w:line="362" w:lineRule="auto"/>
              <w:ind w:left="18" w:firstLine="459"/>
              <w:rPr>
                <w:rFonts w:ascii="Arial"/>
                <w:color w:val="auto"/>
                <w:sz w:val="24"/>
                <w:szCs w:val="24"/>
              </w:rPr>
            </w:pPr>
            <w:r>
              <w:rPr>
                <w:color w:val="auto"/>
                <w:spacing w:val="-1"/>
                <w:sz w:val="24"/>
                <w:szCs w:val="24"/>
              </w:rPr>
              <w:t>对于相距较远的两个或两个以上噪声源同时存在时，它们对远处某一点（预测点）的声压级必须按能量叠加，该点的总声压级可用下面的公式进行计算：</w:t>
            </w:r>
          </w:p>
          <w:p w14:paraId="4168B2CA">
            <w:pPr>
              <w:spacing w:line="707" w:lineRule="exact"/>
              <w:ind w:left="2145"/>
              <w:rPr>
                <w:color w:val="auto"/>
                <w:sz w:val="24"/>
                <w:szCs w:val="24"/>
              </w:rPr>
            </w:pPr>
            <w:r>
              <w:rPr>
                <w:color w:val="auto"/>
                <w:position w:val="-14"/>
                <w:sz w:val="24"/>
                <w:szCs w:val="24"/>
              </w:rPr>
              <w:drawing>
                <wp:inline distT="0" distB="0" distL="114300" distR="114300">
                  <wp:extent cx="3204210" cy="448310"/>
                  <wp:effectExtent l="0" t="0" r="15240" b="8890"/>
                  <wp:docPr id="8" name="图片 10"/>
                  <wp:cNvGraphicFramePr/>
                  <a:graphic xmlns:a="http://schemas.openxmlformats.org/drawingml/2006/main">
                    <a:graphicData uri="http://schemas.openxmlformats.org/drawingml/2006/picture">
                      <pic:pic xmlns:pic="http://schemas.openxmlformats.org/drawingml/2006/picture">
                        <pic:nvPicPr>
                          <pic:cNvPr id="8" name="图片 10"/>
                          <pic:cNvPicPr/>
                        </pic:nvPicPr>
                        <pic:blipFill>
                          <a:blip r:embed="rId19"/>
                          <a:stretch>
                            <a:fillRect/>
                          </a:stretch>
                        </pic:blipFill>
                        <pic:spPr>
                          <a:xfrm>
                            <a:off x="0" y="0"/>
                            <a:ext cx="3204210" cy="448310"/>
                          </a:xfrm>
                          <a:prstGeom prst="rect">
                            <a:avLst/>
                          </a:prstGeom>
                          <a:noFill/>
                          <a:ln>
                            <a:noFill/>
                          </a:ln>
                        </pic:spPr>
                      </pic:pic>
                    </a:graphicData>
                  </a:graphic>
                </wp:inline>
              </w:drawing>
            </w:r>
          </w:p>
          <w:p w14:paraId="7ED32406">
            <w:pPr>
              <w:pStyle w:val="7"/>
              <w:spacing w:before="223" w:line="219" w:lineRule="auto"/>
              <w:ind w:left="875"/>
              <w:rPr>
                <w:color w:val="auto"/>
                <w:sz w:val="24"/>
                <w:szCs w:val="24"/>
              </w:rPr>
            </w:pPr>
            <w:r>
              <w:rPr>
                <w:color w:val="auto"/>
                <w:spacing w:val="-1"/>
                <w:sz w:val="24"/>
                <w:szCs w:val="24"/>
              </w:rPr>
              <w:t>式中：</w:t>
            </w:r>
            <w:r>
              <w:rPr>
                <w:rFonts w:ascii="Times New Roman" w:hAnsi="Times New Roman" w:eastAsia="Times New Roman" w:cs="Times New Roman"/>
                <w:i/>
                <w:iCs/>
                <w:color w:val="auto"/>
                <w:spacing w:val="-1"/>
                <w:sz w:val="24"/>
                <w:szCs w:val="24"/>
              </w:rPr>
              <w:t>T</w:t>
            </w:r>
            <w:r>
              <w:rPr>
                <w:rFonts w:ascii="Times New Roman" w:hAnsi="Times New Roman" w:eastAsia="Times New Roman" w:cs="Times New Roman"/>
                <w:color w:val="auto"/>
                <w:spacing w:val="-1"/>
                <w:sz w:val="24"/>
                <w:szCs w:val="24"/>
              </w:rPr>
              <w:t>—</w:t>
            </w:r>
            <w:r>
              <w:rPr>
                <w:color w:val="auto"/>
                <w:spacing w:val="-1"/>
                <w:sz w:val="24"/>
                <w:szCs w:val="24"/>
              </w:rPr>
              <w:t>计算等效声级的时间；</w:t>
            </w:r>
          </w:p>
          <w:p w14:paraId="5AE67551">
            <w:pPr>
              <w:pStyle w:val="7"/>
              <w:spacing w:before="183" w:line="219" w:lineRule="auto"/>
              <w:ind w:left="1694"/>
              <w:rPr>
                <w:color w:val="auto"/>
                <w:sz w:val="24"/>
                <w:szCs w:val="24"/>
              </w:rPr>
            </w:pPr>
            <w:r>
              <w:rPr>
                <w:rFonts w:ascii="Times New Roman" w:hAnsi="Times New Roman" w:eastAsia="Times New Roman" w:cs="Times New Roman"/>
                <w:i/>
                <w:iCs/>
                <w:color w:val="auto"/>
                <w:sz w:val="24"/>
                <w:szCs w:val="24"/>
              </w:rPr>
              <w:t>N</w:t>
            </w:r>
            <w:r>
              <w:rPr>
                <w:rFonts w:ascii="Times New Roman" w:hAnsi="Times New Roman" w:eastAsia="Times New Roman" w:cs="Times New Roman"/>
                <w:color w:val="auto"/>
                <w:sz w:val="24"/>
                <w:szCs w:val="24"/>
              </w:rPr>
              <w:t>—</w:t>
            </w:r>
            <w:r>
              <w:rPr>
                <w:color w:val="auto"/>
                <w:sz w:val="24"/>
                <w:szCs w:val="24"/>
              </w:rPr>
              <w:t>室外声源个数；</w:t>
            </w:r>
          </w:p>
          <w:p w14:paraId="031EA70F">
            <w:pPr>
              <w:pStyle w:val="7"/>
              <w:spacing w:before="183" w:line="219" w:lineRule="auto"/>
              <w:ind w:left="1573"/>
              <w:rPr>
                <w:color w:val="auto"/>
                <w:sz w:val="24"/>
                <w:szCs w:val="24"/>
              </w:rPr>
            </w:pPr>
            <w:r>
              <w:rPr>
                <w:rFonts w:ascii="Times New Roman" w:hAnsi="Times New Roman" w:eastAsia="Times New Roman" w:cs="Times New Roman"/>
                <w:i/>
                <w:iCs/>
                <w:color w:val="auto"/>
                <w:sz w:val="24"/>
                <w:szCs w:val="24"/>
              </w:rPr>
              <w:t>M</w:t>
            </w:r>
            <w:r>
              <w:rPr>
                <w:rFonts w:ascii="Times New Roman" w:hAnsi="Times New Roman" w:eastAsia="Times New Roman" w:cs="Times New Roman"/>
                <w:color w:val="auto"/>
                <w:sz w:val="24"/>
                <w:szCs w:val="24"/>
              </w:rPr>
              <w:t>—</w:t>
            </w:r>
            <w:r>
              <w:rPr>
                <w:color w:val="auto"/>
                <w:sz w:val="24"/>
                <w:szCs w:val="24"/>
              </w:rPr>
              <w:t>等效室外声源个数。</w:t>
            </w:r>
          </w:p>
          <w:p w14:paraId="1ED9D310">
            <w:pPr>
              <w:pStyle w:val="7"/>
              <w:spacing w:before="183" w:line="210" w:lineRule="auto"/>
              <w:ind w:left="628"/>
              <w:rPr>
                <w:color w:val="auto"/>
                <w:sz w:val="24"/>
                <w:szCs w:val="24"/>
              </w:rPr>
            </w:pPr>
            <w:r>
              <w:rPr>
                <w:color w:val="auto"/>
                <w:spacing w:val="-1"/>
                <w:sz w:val="24"/>
                <w:szCs w:val="24"/>
              </w:rPr>
              <w:t>⑤预测点的预测等效声级</w:t>
            </w:r>
            <w:r>
              <w:rPr>
                <w:color w:val="auto"/>
                <w:spacing w:val="-47"/>
                <w:sz w:val="24"/>
                <w:szCs w:val="24"/>
              </w:rPr>
              <w:t xml:space="preserve"> </w:t>
            </w:r>
            <w:r>
              <w:rPr>
                <w:rFonts w:ascii="Times New Roman" w:hAnsi="Times New Roman" w:eastAsia="Times New Roman" w:cs="Times New Roman"/>
                <w:color w:val="auto"/>
                <w:spacing w:val="-1"/>
                <w:sz w:val="24"/>
                <w:szCs w:val="24"/>
              </w:rPr>
              <w:t>Leq</w:t>
            </w:r>
            <w:r>
              <w:rPr>
                <w:color w:val="auto"/>
                <w:spacing w:val="-1"/>
                <w:sz w:val="24"/>
                <w:szCs w:val="24"/>
              </w:rPr>
              <w:t>（</w:t>
            </w:r>
            <w:r>
              <w:rPr>
                <w:rFonts w:ascii="Times New Roman" w:hAnsi="Times New Roman" w:eastAsia="Times New Roman" w:cs="Times New Roman"/>
                <w:color w:val="auto"/>
                <w:spacing w:val="-1"/>
                <w:sz w:val="24"/>
                <w:szCs w:val="24"/>
              </w:rPr>
              <w:t>A</w:t>
            </w:r>
            <w:r>
              <w:rPr>
                <w:color w:val="auto"/>
                <w:spacing w:val="-1"/>
                <w:sz w:val="24"/>
                <w:szCs w:val="24"/>
              </w:rPr>
              <w:t>）计算公式</w:t>
            </w:r>
          </w:p>
          <w:p w14:paraId="27859765">
            <w:pPr>
              <w:pStyle w:val="7"/>
              <w:spacing w:before="193" w:line="217" w:lineRule="auto"/>
              <w:ind w:left="1737"/>
              <w:rPr>
                <w:rFonts w:ascii="Times New Roman" w:hAnsi="Times New Roman" w:eastAsia="Times New Roman" w:cs="Times New Roman"/>
                <w:color w:val="auto"/>
                <w:sz w:val="24"/>
                <w:szCs w:val="24"/>
              </w:rPr>
            </w:pPr>
            <w:r>
              <w:rPr>
                <w:rFonts w:ascii="Times New Roman" w:hAnsi="Times New Roman" w:eastAsia="Times New Roman" w:cs="Times New Roman"/>
                <w:i/>
                <w:iCs/>
                <w:color w:val="auto"/>
                <w:spacing w:val="-9"/>
                <w:position w:val="-1"/>
                <w:sz w:val="24"/>
                <w:szCs w:val="24"/>
              </w:rPr>
              <w:t>L</w:t>
            </w:r>
            <w:r>
              <w:rPr>
                <w:rFonts w:ascii="Times New Roman" w:hAnsi="Times New Roman" w:eastAsia="Times New Roman" w:cs="Times New Roman"/>
                <w:i/>
                <w:iCs/>
                <w:color w:val="auto"/>
                <w:spacing w:val="-9"/>
                <w:position w:val="-7"/>
                <w:sz w:val="24"/>
                <w:szCs w:val="24"/>
              </w:rPr>
              <w:t>eq</w:t>
            </w:r>
            <w:r>
              <w:rPr>
                <w:rFonts w:ascii="Times New Roman" w:hAnsi="Times New Roman" w:eastAsia="Times New Roman" w:cs="Times New Roman"/>
                <w:i/>
                <w:iCs/>
                <w:color w:val="auto"/>
                <w:spacing w:val="7"/>
                <w:position w:val="-7"/>
                <w:sz w:val="24"/>
                <w:szCs w:val="24"/>
              </w:rPr>
              <w:t xml:space="preserve"> </w:t>
            </w:r>
            <w:r>
              <w:rPr>
                <w:rFonts w:ascii="Times New Roman" w:hAnsi="Times New Roman" w:eastAsia="Times New Roman" w:cs="Times New Roman"/>
                <w:color w:val="auto"/>
                <w:spacing w:val="-9"/>
                <w:position w:val="-1"/>
                <w:sz w:val="24"/>
                <w:szCs w:val="24"/>
              </w:rPr>
              <w:t>(</w:t>
            </w:r>
            <w:r>
              <w:rPr>
                <w:rFonts w:ascii="Times New Roman" w:hAnsi="Times New Roman" w:eastAsia="Times New Roman" w:cs="Times New Roman"/>
                <w:i/>
                <w:iCs/>
                <w:color w:val="auto"/>
                <w:spacing w:val="-9"/>
                <w:position w:val="-1"/>
                <w:sz w:val="24"/>
                <w:szCs w:val="24"/>
              </w:rPr>
              <w:t>A</w:t>
            </w:r>
            <w:r>
              <w:rPr>
                <w:rFonts w:ascii="Times New Roman" w:hAnsi="Times New Roman" w:eastAsia="Times New Roman" w:cs="Times New Roman"/>
                <w:color w:val="auto"/>
                <w:spacing w:val="-9"/>
                <w:position w:val="-1"/>
                <w:sz w:val="24"/>
                <w:szCs w:val="24"/>
              </w:rPr>
              <w:t xml:space="preserve">) </w:t>
            </w:r>
            <w:r>
              <w:rPr>
                <w:rFonts w:ascii="微软雅黑" w:hAnsi="微软雅黑" w:eastAsia="微软雅黑" w:cs="微软雅黑"/>
                <w:color w:val="auto"/>
                <w:spacing w:val="-9"/>
                <w:position w:val="-1"/>
                <w:sz w:val="24"/>
                <w:szCs w:val="24"/>
              </w:rPr>
              <w:t xml:space="preserve">= </w:t>
            </w:r>
            <w:r>
              <w:rPr>
                <w:rFonts w:ascii="Times New Roman" w:hAnsi="Times New Roman" w:eastAsia="Times New Roman" w:cs="Times New Roman"/>
                <w:color w:val="auto"/>
                <w:spacing w:val="-9"/>
                <w:position w:val="-1"/>
                <w:sz w:val="24"/>
                <w:szCs w:val="24"/>
              </w:rPr>
              <w:t>10lg</w:t>
            </w:r>
            <w:r>
              <w:rPr>
                <w:color w:val="auto"/>
                <w:spacing w:val="-9"/>
                <w:position w:val="-1"/>
                <w:sz w:val="24"/>
                <w:szCs w:val="24"/>
              </w:rPr>
              <w:t>（</w:t>
            </w:r>
            <w:r>
              <w:rPr>
                <w:rFonts w:ascii="Times New Roman" w:hAnsi="Times New Roman" w:eastAsia="Times New Roman" w:cs="Times New Roman"/>
                <w:color w:val="auto"/>
                <w:spacing w:val="-9"/>
                <w:position w:val="-1"/>
                <w:sz w:val="24"/>
                <w:szCs w:val="24"/>
              </w:rPr>
              <w:t>10</w:t>
            </w:r>
            <w:r>
              <w:rPr>
                <w:rFonts w:ascii="Times New Roman" w:hAnsi="Times New Roman" w:eastAsia="Times New Roman" w:cs="Times New Roman"/>
                <w:color w:val="auto"/>
                <w:spacing w:val="6"/>
                <w:position w:val="8"/>
                <w:sz w:val="24"/>
                <w:szCs w:val="24"/>
              </w:rPr>
              <w:t>0.</w:t>
            </w:r>
            <w:r>
              <w:rPr>
                <w:rFonts w:ascii="Times New Roman" w:hAnsi="Times New Roman" w:eastAsia="Times New Roman" w:cs="Times New Roman"/>
                <w:color w:val="auto"/>
                <w:spacing w:val="-16"/>
                <w:position w:val="8"/>
                <w:sz w:val="24"/>
                <w:szCs w:val="24"/>
              </w:rPr>
              <w:t xml:space="preserve"> </w:t>
            </w:r>
            <w:r>
              <w:rPr>
                <w:rFonts w:ascii="Times New Roman" w:hAnsi="Times New Roman" w:eastAsia="Times New Roman" w:cs="Times New Roman"/>
                <w:color w:val="auto"/>
                <w:spacing w:val="6"/>
                <w:position w:val="8"/>
                <w:sz w:val="24"/>
                <w:szCs w:val="24"/>
              </w:rPr>
              <w:t>1</w:t>
            </w:r>
            <w:r>
              <w:rPr>
                <w:rFonts w:ascii="Times New Roman" w:hAnsi="Times New Roman" w:eastAsia="Times New Roman" w:cs="Times New Roman"/>
                <w:color w:val="auto"/>
                <w:position w:val="8"/>
                <w:sz w:val="24"/>
                <w:szCs w:val="24"/>
              </w:rPr>
              <w:t>L</w:t>
            </w:r>
            <w:r>
              <w:rPr>
                <w:rFonts w:ascii="Times New Roman" w:hAnsi="Times New Roman" w:eastAsia="Times New Roman" w:cs="Times New Roman"/>
                <w:i/>
                <w:iCs/>
                <w:color w:val="auto"/>
                <w:position w:val="8"/>
                <w:sz w:val="24"/>
                <w:szCs w:val="24"/>
              </w:rPr>
              <w:t>eq</w:t>
            </w:r>
            <w:r>
              <w:rPr>
                <w:rFonts w:ascii="Times New Roman" w:hAnsi="Times New Roman" w:eastAsia="Times New Roman" w:cs="Times New Roman"/>
                <w:i/>
                <w:iCs/>
                <w:color w:val="auto"/>
                <w:spacing w:val="7"/>
                <w:position w:val="8"/>
                <w:sz w:val="24"/>
                <w:szCs w:val="24"/>
              </w:rPr>
              <w:t xml:space="preserve">  </w:t>
            </w:r>
            <w:r>
              <w:rPr>
                <w:rFonts w:ascii="微软雅黑" w:hAnsi="微软雅黑" w:eastAsia="微软雅黑" w:cs="微软雅黑"/>
                <w:color w:val="auto"/>
                <w:spacing w:val="-22"/>
                <w:position w:val="-1"/>
                <w:sz w:val="24"/>
                <w:szCs w:val="24"/>
              </w:rPr>
              <w:t>+</w:t>
            </w:r>
            <w:r>
              <w:rPr>
                <w:rFonts w:ascii="微软雅黑" w:hAnsi="微软雅黑" w:eastAsia="微软雅黑" w:cs="微软雅黑"/>
                <w:color w:val="auto"/>
                <w:spacing w:val="-13"/>
                <w:position w:val="-1"/>
                <w:sz w:val="24"/>
                <w:szCs w:val="24"/>
              </w:rPr>
              <w:t xml:space="preserve"> </w:t>
            </w:r>
            <w:r>
              <w:rPr>
                <w:rFonts w:ascii="Times New Roman" w:hAnsi="Times New Roman" w:eastAsia="Times New Roman" w:cs="Times New Roman"/>
                <w:color w:val="auto"/>
                <w:spacing w:val="-22"/>
                <w:position w:val="-1"/>
                <w:sz w:val="24"/>
                <w:szCs w:val="24"/>
              </w:rPr>
              <w:t>10</w:t>
            </w:r>
            <w:r>
              <w:rPr>
                <w:rFonts w:ascii="Times New Roman" w:hAnsi="Times New Roman" w:eastAsia="Times New Roman" w:cs="Times New Roman"/>
                <w:color w:val="auto"/>
                <w:spacing w:val="14"/>
                <w:position w:val="8"/>
                <w:sz w:val="24"/>
                <w:szCs w:val="24"/>
              </w:rPr>
              <w:t>0.</w:t>
            </w:r>
            <w:r>
              <w:rPr>
                <w:rFonts w:ascii="Times New Roman" w:hAnsi="Times New Roman" w:eastAsia="Times New Roman" w:cs="Times New Roman"/>
                <w:color w:val="auto"/>
                <w:spacing w:val="-16"/>
                <w:position w:val="8"/>
                <w:sz w:val="24"/>
                <w:szCs w:val="24"/>
              </w:rPr>
              <w:t xml:space="preserve"> </w:t>
            </w:r>
            <w:r>
              <w:rPr>
                <w:rFonts w:ascii="Times New Roman" w:hAnsi="Times New Roman" w:eastAsia="Times New Roman" w:cs="Times New Roman"/>
                <w:color w:val="auto"/>
                <w:spacing w:val="14"/>
                <w:position w:val="8"/>
                <w:sz w:val="24"/>
                <w:szCs w:val="24"/>
              </w:rPr>
              <w:t>1</w:t>
            </w:r>
            <w:r>
              <w:rPr>
                <w:rFonts w:ascii="Times New Roman" w:hAnsi="Times New Roman" w:eastAsia="Times New Roman" w:cs="Times New Roman"/>
                <w:i/>
                <w:iCs/>
                <w:color w:val="auto"/>
                <w:position w:val="8"/>
                <w:sz w:val="24"/>
                <w:szCs w:val="24"/>
              </w:rPr>
              <w:t>Leq</w:t>
            </w:r>
            <w:r>
              <w:rPr>
                <w:rFonts w:ascii="Times New Roman" w:hAnsi="Times New Roman" w:eastAsia="Times New Roman" w:cs="Times New Roman"/>
                <w:i/>
                <w:iCs/>
                <w:color w:val="auto"/>
                <w:position w:val="2"/>
                <w:sz w:val="24"/>
                <w:szCs w:val="24"/>
              </w:rPr>
              <w:t>b</w:t>
            </w:r>
            <w:r>
              <w:rPr>
                <w:rFonts w:ascii="Times New Roman" w:hAnsi="Times New Roman" w:eastAsia="Times New Roman" w:cs="Times New Roman"/>
                <w:color w:val="auto"/>
                <w:spacing w:val="14"/>
                <w:position w:val="2"/>
                <w:sz w:val="24"/>
                <w:szCs w:val="24"/>
              </w:rPr>
              <w:t>)</w:t>
            </w:r>
          </w:p>
          <w:p w14:paraId="5AE90BEE">
            <w:pPr>
              <w:pStyle w:val="7"/>
              <w:spacing w:before="268" w:line="205" w:lineRule="auto"/>
              <w:ind w:left="875"/>
              <w:rPr>
                <w:color w:val="auto"/>
                <w:sz w:val="24"/>
                <w:szCs w:val="24"/>
              </w:rPr>
            </w:pPr>
            <w:r>
              <w:rPr>
                <w:color w:val="auto"/>
                <w:spacing w:val="-1"/>
                <w:sz w:val="24"/>
                <w:szCs w:val="24"/>
              </w:rPr>
              <w:t>式中：</w:t>
            </w:r>
            <w:r>
              <w:rPr>
                <w:rFonts w:ascii="Times New Roman" w:hAnsi="Times New Roman" w:eastAsia="Times New Roman" w:cs="Times New Roman"/>
                <w:i/>
                <w:iCs/>
                <w:color w:val="auto"/>
                <w:spacing w:val="-1"/>
                <w:sz w:val="24"/>
                <w:szCs w:val="24"/>
              </w:rPr>
              <w:t>L</w:t>
            </w:r>
            <w:r>
              <w:rPr>
                <w:rFonts w:ascii="Times New Roman" w:hAnsi="Times New Roman" w:eastAsia="Times New Roman" w:cs="Times New Roman"/>
                <w:i/>
                <w:iCs/>
                <w:color w:val="auto"/>
                <w:spacing w:val="-1"/>
                <w:position w:val="-1"/>
                <w:sz w:val="24"/>
                <w:szCs w:val="24"/>
              </w:rPr>
              <w:t>eq</w:t>
            </w:r>
            <w:r>
              <w:rPr>
                <w:i/>
                <w:iCs/>
                <w:color w:val="auto"/>
                <w:spacing w:val="-1"/>
                <w:sz w:val="24"/>
                <w:szCs w:val="24"/>
              </w:rPr>
              <w:t>（</w:t>
            </w:r>
            <w:r>
              <w:rPr>
                <w:rFonts w:ascii="Times New Roman" w:hAnsi="Times New Roman" w:eastAsia="Times New Roman" w:cs="Times New Roman"/>
                <w:i/>
                <w:iCs/>
                <w:color w:val="auto"/>
                <w:spacing w:val="-1"/>
                <w:sz w:val="24"/>
                <w:szCs w:val="24"/>
              </w:rPr>
              <w:t>A</w:t>
            </w:r>
            <w:r>
              <w:rPr>
                <w:i/>
                <w:iCs/>
                <w:color w:val="auto"/>
                <w:spacing w:val="-1"/>
                <w:sz w:val="24"/>
                <w:szCs w:val="24"/>
              </w:rPr>
              <w:t>）</w:t>
            </w:r>
            <w:r>
              <w:rPr>
                <w:rFonts w:ascii="Times New Roman" w:hAnsi="Times New Roman" w:eastAsia="Times New Roman" w:cs="Times New Roman"/>
                <w:color w:val="auto"/>
                <w:spacing w:val="-1"/>
                <w:sz w:val="24"/>
                <w:szCs w:val="24"/>
              </w:rPr>
              <w:t>—</w:t>
            </w:r>
            <w:r>
              <w:rPr>
                <w:color w:val="auto"/>
                <w:spacing w:val="-1"/>
                <w:sz w:val="24"/>
                <w:szCs w:val="24"/>
              </w:rPr>
              <w:t>建设项目声源在预测点的等效声级贡献值，</w:t>
            </w:r>
            <w:r>
              <w:rPr>
                <w:rFonts w:ascii="Times New Roman" w:hAnsi="Times New Roman" w:eastAsia="Times New Roman" w:cs="Times New Roman"/>
                <w:color w:val="auto"/>
                <w:spacing w:val="-1"/>
                <w:sz w:val="24"/>
                <w:szCs w:val="24"/>
              </w:rPr>
              <w:t>dB(A)</w:t>
            </w:r>
            <w:r>
              <w:rPr>
                <w:color w:val="auto"/>
                <w:spacing w:val="-1"/>
                <w:sz w:val="24"/>
                <w:szCs w:val="24"/>
              </w:rPr>
              <w:t>；</w:t>
            </w:r>
          </w:p>
          <w:p w14:paraId="79CF6392">
            <w:pPr>
              <w:pStyle w:val="7"/>
              <w:spacing w:before="191" w:line="222" w:lineRule="auto"/>
              <w:ind w:left="1573"/>
              <w:rPr>
                <w:color w:val="auto"/>
                <w:sz w:val="24"/>
                <w:szCs w:val="24"/>
              </w:rPr>
            </w:pPr>
            <w:r>
              <w:rPr>
                <w:rFonts w:ascii="Times New Roman" w:hAnsi="Times New Roman" w:eastAsia="Times New Roman" w:cs="Times New Roman"/>
                <w:i/>
                <w:iCs/>
                <w:color w:val="auto"/>
                <w:sz w:val="24"/>
                <w:szCs w:val="24"/>
              </w:rPr>
              <w:t>L</w:t>
            </w:r>
            <w:r>
              <w:rPr>
                <w:rFonts w:ascii="Times New Roman" w:hAnsi="Times New Roman" w:eastAsia="Times New Roman" w:cs="Times New Roman"/>
                <w:i/>
                <w:iCs/>
                <w:color w:val="auto"/>
                <w:position w:val="-1"/>
                <w:sz w:val="24"/>
                <w:szCs w:val="24"/>
              </w:rPr>
              <w:t>eq</w:t>
            </w:r>
            <w:r>
              <w:rPr>
                <w:rFonts w:ascii="Times New Roman" w:hAnsi="Times New Roman" w:eastAsia="Times New Roman" w:cs="Times New Roman"/>
                <w:i/>
                <w:iCs/>
                <w:color w:val="auto"/>
                <w:sz w:val="24"/>
                <w:szCs w:val="24"/>
              </w:rPr>
              <w:t>b</w:t>
            </w:r>
            <w:r>
              <w:rPr>
                <w:rFonts w:ascii="Times New Roman" w:hAnsi="Times New Roman" w:eastAsia="Times New Roman" w:cs="Times New Roman"/>
                <w:color w:val="auto"/>
                <w:spacing w:val="1"/>
                <w:sz w:val="24"/>
                <w:szCs w:val="24"/>
              </w:rPr>
              <w:t>—</w:t>
            </w:r>
            <w:r>
              <w:rPr>
                <w:color w:val="auto"/>
                <w:spacing w:val="1"/>
                <w:sz w:val="24"/>
                <w:szCs w:val="24"/>
              </w:rPr>
              <w:t>预测点背景值，</w:t>
            </w:r>
            <w:r>
              <w:rPr>
                <w:rFonts w:ascii="Times New Roman" w:hAnsi="Times New Roman" w:eastAsia="Times New Roman" w:cs="Times New Roman"/>
                <w:color w:val="auto"/>
                <w:sz w:val="24"/>
                <w:szCs w:val="24"/>
              </w:rPr>
              <w:t>dB</w:t>
            </w:r>
            <w:r>
              <w:rPr>
                <w:rFonts w:ascii="Times New Roman" w:hAnsi="Times New Roman" w:eastAsia="Times New Roman" w:cs="Times New Roman"/>
                <w:color w:val="auto"/>
                <w:spacing w:val="1"/>
                <w:sz w:val="24"/>
                <w:szCs w:val="24"/>
              </w:rPr>
              <w:t>(A)</w:t>
            </w:r>
            <w:r>
              <w:rPr>
                <w:color w:val="auto"/>
                <w:spacing w:val="1"/>
                <w:sz w:val="24"/>
                <w:szCs w:val="24"/>
              </w:rPr>
              <w:t>。</w:t>
            </w:r>
          </w:p>
          <w:p w14:paraId="42901D9F">
            <w:pPr>
              <w:pStyle w:val="47"/>
              <w:numPr>
                <w:ilvl w:val="0"/>
                <w:numId w:val="0"/>
              </w:numPr>
              <w:tabs>
                <w:tab w:val="left" w:pos="1244"/>
              </w:tabs>
              <w:ind w:firstLine="480" w:firstLineChars="200"/>
              <w:rPr>
                <w:rFonts w:hint="default" w:eastAsia="宋体"/>
                <w:color w:val="auto"/>
                <w:szCs w:val="24"/>
                <w:lang w:val="en-US" w:eastAsia="zh-CN"/>
              </w:rPr>
            </w:pPr>
            <w:r>
              <w:rPr>
                <w:rFonts w:hint="eastAsia"/>
                <w:color w:val="auto"/>
                <w:szCs w:val="24"/>
                <w:lang w:val="en-US" w:eastAsia="zh-CN"/>
              </w:rPr>
              <w:t>（2）预测结果</w:t>
            </w:r>
          </w:p>
          <w:p w14:paraId="2F21A0AF">
            <w:pPr>
              <w:pStyle w:val="48"/>
              <w:adjustRightInd/>
              <w:spacing w:before="120" w:beforeLines="50" w:line="240" w:lineRule="auto"/>
              <w:ind w:firstLine="0"/>
              <w:jc w:val="center"/>
              <w:rPr>
                <w:b/>
                <w:bCs/>
                <w:color w:val="auto"/>
                <w:szCs w:val="24"/>
              </w:rPr>
            </w:pPr>
            <w:r>
              <w:rPr>
                <w:rFonts w:hint="eastAsia"/>
                <w:b/>
                <w:bCs/>
                <w:color w:val="auto"/>
                <w:szCs w:val="24"/>
              </w:rPr>
              <w:t>表</w:t>
            </w:r>
            <w:r>
              <w:rPr>
                <w:b/>
                <w:bCs/>
                <w:color w:val="auto"/>
                <w:szCs w:val="24"/>
              </w:rPr>
              <w:t>4</w:t>
            </w:r>
            <w:r>
              <w:rPr>
                <w:rFonts w:hint="eastAsia"/>
                <w:b/>
                <w:bCs/>
                <w:color w:val="auto"/>
                <w:szCs w:val="24"/>
              </w:rPr>
              <w:t>.2-7项目厂界噪声影响预测结果</w:t>
            </w:r>
          </w:p>
          <w:tbl>
            <w:tblPr>
              <w:tblStyle w:val="1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12"/>
              <w:gridCol w:w="2115"/>
              <w:gridCol w:w="1511"/>
              <w:gridCol w:w="1510"/>
              <w:gridCol w:w="1466"/>
            </w:tblGrid>
            <w:tr w14:paraId="0AC944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9" w:type="dxa"/>
                  <w:noWrap w:val="0"/>
                  <w:vAlign w:val="center"/>
                </w:tcPr>
                <w:p w14:paraId="6D1A1E0C">
                  <w:pPr>
                    <w:pStyle w:val="48"/>
                    <w:spacing w:line="340" w:lineRule="exact"/>
                    <w:ind w:firstLine="0"/>
                    <w:jc w:val="center"/>
                    <w:rPr>
                      <w:color w:val="auto"/>
                      <w:sz w:val="21"/>
                      <w:szCs w:val="21"/>
                    </w:rPr>
                  </w:pPr>
                  <w:r>
                    <w:rPr>
                      <w:rFonts w:hint="eastAsia"/>
                      <w:color w:val="auto"/>
                      <w:sz w:val="21"/>
                      <w:szCs w:val="21"/>
                    </w:rPr>
                    <w:t>预测点位及名称</w:t>
                  </w:r>
                </w:p>
              </w:tc>
              <w:tc>
                <w:tcPr>
                  <w:tcW w:w="2000" w:type="dxa"/>
                  <w:noWrap w:val="0"/>
                  <w:vAlign w:val="center"/>
                </w:tcPr>
                <w:p w14:paraId="173011AC">
                  <w:pPr>
                    <w:pStyle w:val="48"/>
                    <w:spacing w:line="340" w:lineRule="exact"/>
                    <w:ind w:firstLine="0"/>
                    <w:jc w:val="center"/>
                    <w:rPr>
                      <w:color w:val="auto"/>
                      <w:sz w:val="21"/>
                      <w:szCs w:val="21"/>
                    </w:rPr>
                  </w:pPr>
                  <w:r>
                    <w:rPr>
                      <w:rFonts w:hint="eastAsia"/>
                      <w:color w:val="auto"/>
                      <w:sz w:val="21"/>
                      <w:szCs w:val="21"/>
                    </w:rPr>
                    <w:t>等效到室外声源</w:t>
                  </w:r>
                </w:p>
                <w:p w14:paraId="3F9B0E50">
                  <w:pPr>
                    <w:pStyle w:val="48"/>
                    <w:spacing w:line="340" w:lineRule="exact"/>
                    <w:ind w:firstLine="0"/>
                    <w:jc w:val="center"/>
                    <w:rPr>
                      <w:color w:val="auto"/>
                      <w:sz w:val="21"/>
                      <w:szCs w:val="21"/>
                    </w:rPr>
                  </w:pPr>
                  <w:r>
                    <w:rPr>
                      <w:rFonts w:hint="eastAsia"/>
                      <w:color w:val="auto"/>
                      <w:sz w:val="21"/>
                      <w:szCs w:val="21"/>
                    </w:rPr>
                    <w:t>与厂界的距离(</w:t>
                  </w:r>
                  <w:r>
                    <w:rPr>
                      <w:color w:val="auto"/>
                      <w:sz w:val="21"/>
                      <w:szCs w:val="21"/>
                    </w:rPr>
                    <w:t>m)</w:t>
                  </w:r>
                </w:p>
              </w:tc>
              <w:tc>
                <w:tcPr>
                  <w:tcW w:w="1429" w:type="dxa"/>
                  <w:noWrap w:val="0"/>
                  <w:vAlign w:val="center"/>
                </w:tcPr>
                <w:p w14:paraId="6CF3C4C7">
                  <w:pPr>
                    <w:pStyle w:val="48"/>
                    <w:spacing w:line="340" w:lineRule="exact"/>
                    <w:ind w:firstLine="0"/>
                    <w:jc w:val="center"/>
                    <w:rPr>
                      <w:color w:val="auto"/>
                      <w:sz w:val="21"/>
                      <w:szCs w:val="21"/>
                    </w:rPr>
                  </w:pPr>
                  <w:r>
                    <w:rPr>
                      <w:rFonts w:hint="eastAsia"/>
                      <w:color w:val="auto"/>
                      <w:sz w:val="21"/>
                      <w:szCs w:val="21"/>
                    </w:rPr>
                    <w:t>贡献值</w:t>
                  </w:r>
                </w:p>
                <w:p w14:paraId="3C4440EE">
                  <w:pPr>
                    <w:pStyle w:val="48"/>
                    <w:spacing w:line="340" w:lineRule="exact"/>
                    <w:ind w:firstLine="0"/>
                    <w:jc w:val="center"/>
                    <w:rPr>
                      <w:color w:val="auto"/>
                      <w:sz w:val="21"/>
                      <w:szCs w:val="21"/>
                    </w:rPr>
                  </w:pPr>
                  <w:r>
                    <w:rPr>
                      <w:rFonts w:hint="eastAsia"/>
                      <w:color w:val="auto"/>
                      <w:sz w:val="21"/>
                      <w:szCs w:val="21"/>
                    </w:rPr>
                    <w:t>[</w:t>
                  </w:r>
                  <w:r>
                    <w:rPr>
                      <w:color w:val="auto"/>
                      <w:sz w:val="21"/>
                      <w:szCs w:val="21"/>
                    </w:rPr>
                    <w:t>dB(A)]</w:t>
                  </w:r>
                </w:p>
              </w:tc>
              <w:tc>
                <w:tcPr>
                  <w:tcW w:w="1428" w:type="dxa"/>
                  <w:noWrap w:val="0"/>
                  <w:vAlign w:val="center"/>
                </w:tcPr>
                <w:p w14:paraId="0FB8E382">
                  <w:pPr>
                    <w:pStyle w:val="48"/>
                    <w:spacing w:line="340" w:lineRule="exact"/>
                    <w:ind w:firstLine="0"/>
                    <w:jc w:val="center"/>
                    <w:rPr>
                      <w:color w:val="auto"/>
                      <w:sz w:val="21"/>
                      <w:szCs w:val="21"/>
                    </w:rPr>
                  </w:pPr>
                  <w:r>
                    <w:rPr>
                      <w:rFonts w:hint="eastAsia"/>
                      <w:color w:val="auto"/>
                      <w:sz w:val="21"/>
                      <w:szCs w:val="21"/>
                    </w:rPr>
                    <w:t>标准值</w:t>
                  </w:r>
                </w:p>
                <w:p w14:paraId="0F87DB56">
                  <w:pPr>
                    <w:pStyle w:val="48"/>
                    <w:spacing w:line="340" w:lineRule="exact"/>
                    <w:ind w:firstLine="0"/>
                    <w:jc w:val="center"/>
                    <w:rPr>
                      <w:color w:val="auto"/>
                      <w:sz w:val="21"/>
                      <w:szCs w:val="21"/>
                    </w:rPr>
                  </w:pPr>
                  <w:r>
                    <w:rPr>
                      <w:rFonts w:hint="eastAsia"/>
                      <w:color w:val="auto"/>
                      <w:sz w:val="21"/>
                      <w:szCs w:val="21"/>
                    </w:rPr>
                    <w:t>[</w:t>
                  </w:r>
                  <w:r>
                    <w:rPr>
                      <w:color w:val="auto"/>
                      <w:sz w:val="21"/>
                      <w:szCs w:val="21"/>
                    </w:rPr>
                    <w:t>dB(A)]</w:t>
                  </w:r>
                </w:p>
              </w:tc>
              <w:tc>
                <w:tcPr>
                  <w:tcW w:w="1386" w:type="dxa"/>
                  <w:noWrap w:val="0"/>
                  <w:vAlign w:val="center"/>
                </w:tcPr>
                <w:p w14:paraId="76F2DE6A">
                  <w:pPr>
                    <w:pStyle w:val="48"/>
                    <w:spacing w:line="340" w:lineRule="exact"/>
                    <w:ind w:firstLine="0"/>
                    <w:jc w:val="center"/>
                    <w:rPr>
                      <w:color w:val="auto"/>
                      <w:sz w:val="21"/>
                      <w:szCs w:val="21"/>
                    </w:rPr>
                  </w:pPr>
                  <w:r>
                    <w:rPr>
                      <w:rFonts w:hint="eastAsia"/>
                      <w:color w:val="auto"/>
                      <w:sz w:val="21"/>
                      <w:szCs w:val="21"/>
                    </w:rPr>
                    <w:t>达标</w:t>
                  </w:r>
                </w:p>
                <w:p w14:paraId="6BA17C77">
                  <w:pPr>
                    <w:pStyle w:val="48"/>
                    <w:spacing w:line="340" w:lineRule="exact"/>
                    <w:ind w:firstLine="0"/>
                    <w:jc w:val="center"/>
                    <w:rPr>
                      <w:color w:val="auto"/>
                      <w:sz w:val="21"/>
                      <w:szCs w:val="21"/>
                    </w:rPr>
                  </w:pPr>
                  <w:r>
                    <w:rPr>
                      <w:rFonts w:hint="eastAsia"/>
                      <w:color w:val="auto"/>
                      <w:sz w:val="21"/>
                      <w:szCs w:val="21"/>
                    </w:rPr>
                    <w:t>情况</w:t>
                  </w:r>
                </w:p>
              </w:tc>
            </w:tr>
            <w:tr w14:paraId="047F7D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9" w:type="dxa"/>
                  <w:noWrap w:val="0"/>
                  <w:vAlign w:val="center"/>
                </w:tcPr>
                <w:p w14:paraId="0FFE9853">
                  <w:pPr>
                    <w:pStyle w:val="48"/>
                    <w:spacing w:line="340" w:lineRule="exact"/>
                    <w:ind w:firstLine="0"/>
                    <w:jc w:val="center"/>
                    <w:rPr>
                      <w:color w:val="auto"/>
                      <w:sz w:val="21"/>
                      <w:szCs w:val="21"/>
                    </w:rPr>
                  </w:pPr>
                  <w:r>
                    <w:rPr>
                      <w:rFonts w:hint="eastAsia"/>
                      <w:color w:val="auto"/>
                      <w:sz w:val="21"/>
                      <w:szCs w:val="21"/>
                    </w:rPr>
                    <w:t>东侧厂界</w:t>
                  </w:r>
                </w:p>
              </w:tc>
              <w:tc>
                <w:tcPr>
                  <w:tcW w:w="2000" w:type="dxa"/>
                  <w:noWrap w:val="0"/>
                  <w:vAlign w:val="center"/>
                </w:tcPr>
                <w:p w14:paraId="6DDF8365">
                  <w:pPr>
                    <w:pStyle w:val="48"/>
                    <w:spacing w:line="340" w:lineRule="exact"/>
                    <w:ind w:firstLine="0"/>
                    <w:jc w:val="center"/>
                    <w:rPr>
                      <w:color w:val="auto"/>
                      <w:sz w:val="21"/>
                      <w:szCs w:val="21"/>
                    </w:rPr>
                  </w:pPr>
                  <w:r>
                    <w:rPr>
                      <w:color w:val="auto"/>
                      <w:sz w:val="21"/>
                      <w:szCs w:val="21"/>
                    </w:rPr>
                    <w:t>1</w:t>
                  </w:r>
                </w:p>
              </w:tc>
              <w:tc>
                <w:tcPr>
                  <w:tcW w:w="1429" w:type="dxa"/>
                  <w:noWrap w:val="0"/>
                  <w:vAlign w:val="center"/>
                </w:tcPr>
                <w:p w14:paraId="6D68521D">
                  <w:pPr>
                    <w:pStyle w:val="48"/>
                    <w:spacing w:line="340" w:lineRule="exact"/>
                    <w:ind w:firstLine="0"/>
                    <w:jc w:val="center"/>
                    <w:rPr>
                      <w:rFonts w:hint="default" w:eastAsia="宋体"/>
                      <w:color w:val="auto"/>
                      <w:sz w:val="21"/>
                      <w:szCs w:val="21"/>
                      <w:lang w:val="en-US" w:eastAsia="zh-CN"/>
                    </w:rPr>
                  </w:pPr>
                  <w:r>
                    <w:rPr>
                      <w:rFonts w:hint="eastAsia"/>
                      <w:color w:val="auto"/>
                      <w:sz w:val="21"/>
                      <w:szCs w:val="21"/>
                      <w:lang w:val="en-US" w:eastAsia="zh-CN"/>
                    </w:rPr>
                    <w:t>35.65</w:t>
                  </w:r>
                </w:p>
              </w:tc>
              <w:tc>
                <w:tcPr>
                  <w:tcW w:w="1428" w:type="dxa"/>
                  <w:noWrap w:val="0"/>
                  <w:vAlign w:val="center"/>
                </w:tcPr>
                <w:p w14:paraId="493727A9">
                  <w:pPr>
                    <w:pStyle w:val="48"/>
                    <w:spacing w:line="340" w:lineRule="exact"/>
                    <w:ind w:firstLine="0"/>
                    <w:jc w:val="center"/>
                    <w:rPr>
                      <w:color w:val="auto"/>
                      <w:sz w:val="21"/>
                      <w:szCs w:val="21"/>
                    </w:rPr>
                  </w:pPr>
                  <w:r>
                    <w:rPr>
                      <w:rFonts w:hint="eastAsia"/>
                      <w:color w:val="auto"/>
                      <w:sz w:val="21"/>
                      <w:szCs w:val="21"/>
                    </w:rPr>
                    <w:t>55</w:t>
                  </w:r>
                </w:p>
              </w:tc>
              <w:tc>
                <w:tcPr>
                  <w:tcW w:w="1386" w:type="dxa"/>
                  <w:noWrap w:val="0"/>
                  <w:vAlign w:val="center"/>
                </w:tcPr>
                <w:p w14:paraId="122D400D">
                  <w:pPr>
                    <w:pStyle w:val="48"/>
                    <w:spacing w:line="340" w:lineRule="exact"/>
                    <w:ind w:firstLine="0"/>
                    <w:jc w:val="center"/>
                    <w:rPr>
                      <w:color w:val="auto"/>
                      <w:sz w:val="21"/>
                      <w:szCs w:val="21"/>
                    </w:rPr>
                  </w:pPr>
                  <w:r>
                    <w:rPr>
                      <w:rFonts w:hint="eastAsia"/>
                      <w:color w:val="auto"/>
                      <w:sz w:val="21"/>
                      <w:szCs w:val="21"/>
                    </w:rPr>
                    <w:t>达标</w:t>
                  </w:r>
                </w:p>
              </w:tc>
            </w:tr>
            <w:tr w14:paraId="1006FC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9" w:type="dxa"/>
                  <w:noWrap w:val="0"/>
                  <w:vAlign w:val="center"/>
                </w:tcPr>
                <w:p w14:paraId="68E00AF3">
                  <w:pPr>
                    <w:pStyle w:val="48"/>
                    <w:spacing w:line="340" w:lineRule="exact"/>
                    <w:ind w:firstLine="0"/>
                    <w:jc w:val="center"/>
                    <w:rPr>
                      <w:color w:val="auto"/>
                      <w:sz w:val="21"/>
                      <w:szCs w:val="21"/>
                    </w:rPr>
                  </w:pPr>
                  <w:r>
                    <w:rPr>
                      <w:rFonts w:hint="eastAsia"/>
                      <w:color w:val="auto"/>
                      <w:sz w:val="21"/>
                      <w:szCs w:val="21"/>
                    </w:rPr>
                    <w:t>南侧厂界</w:t>
                  </w:r>
                </w:p>
              </w:tc>
              <w:tc>
                <w:tcPr>
                  <w:tcW w:w="2000" w:type="dxa"/>
                  <w:noWrap w:val="0"/>
                  <w:vAlign w:val="center"/>
                </w:tcPr>
                <w:p w14:paraId="7F180534">
                  <w:pPr>
                    <w:pStyle w:val="48"/>
                    <w:spacing w:line="340" w:lineRule="exact"/>
                    <w:ind w:firstLine="0"/>
                    <w:jc w:val="center"/>
                    <w:rPr>
                      <w:color w:val="auto"/>
                      <w:sz w:val="21"/>
                      <w:szCs w:val="21"/>
                    </w:rPr>
                  </w:pPr>
                  <w:r>
                    <w:rPr>
                      <w:color w:val="auto"/>
                      <w:sz w:val="21"/>
                      <w:szCs w:val="21"/>
                    </w:rPr>
                    <w:t>1</w:t>
                  </w:r>
                </w:p>
              </w:tc>
              <w:tc>
                <w:tcPr>
                  <w:tcW w:w="1429" w:type="dxa"/>
                  <w:noWrap w:val="0"/>
                  <w:vAlign w:val="center"/>
                </w:tcPr>
                <w:p w14:paraId="406753DA">
                  <w:pPr>
                    <w:pStyle w:val="48"/>
                    <w:spacing w:line="340" w:lineRule="exact"/>
                    <w:ind w:firstLine="0"/>
                    <w:jc w:val="center"/>
                    <w:rPr>
                      <w:rFonts w:hint="default" w:eastAsia="宋体"/>
                      <w:color w:val="auto"/>
                      <w:sz w:val="21"/>
                      <w:szCs w:val="21"/>
                      <w:lang w:val="en-US" w:eastAsia="zh-CN"/>
                    </w:rPr>
                  </w:pPr>
                  <w:r>
                    <w:rPr>
                      <w:rFonts w:hint="eastAsia"/>
                      <w:color w:val="auto"/>
                      <w:sz w:val="21"/>
                      <w:szCs w:val="21"/>
                      <w:lang w:val="en-US" w:eastAsia="zh-CN"/>
                    </w:rPr>
                    <w:t>35.57</w:t>
                  </w:r>
                </w:p>
              </w:tc>
              <w:tc>
                <w:tcPr>
                  <w:tcW w:w="1428" w:type="dxa"/>
                  <w:noWrap w:val="0"/>
                  <w:vAlign w:val="center"/>
                </w:tcPr>
                <w:p w14:paraId="3F012B80">
                  <w:pPr>
                    <w:pStyle w:val="48"/>
                    <w:spacing w:line="340" w:lineRule="exact"/>
                    <w:ind w:firstLine="0"/>
                    <w:jc w:val="center"/>
                    <w:rPr>
                      <w:color w:val="auto"/>
                      <w:sz w:val="21"/>
                      <w:szCs w:val="21"/>
                    </w:rPr>
                  </w:pPr>
                  <w:r>
                    <w:rPr>
                      <w:rFonts w:hint="eastAsia"/>
                      <w:color w:val="auto"/>
                      <w:sz w:val="21"/>
                      <w:szCs w:val="21"/>
                    </w:rPr>
                    <w:t>55</w:t>
                  </w:r>
                </w:p>
              </w:tc>
              <w:tc>
                <w:tcPr>
                  <w:tcW w:w="1386" w:type="dxa"/>
                  <w:noWrap w:val="0"/>
                  <w:vAlign w:val="center"/>
                </w:tcPr>
                <w:p w14:paraId="2C6BE571">
                  <w:pPr>
                    <w:pStyle w:val="48"/>
                    <w:spacing w:line="340" w:lineRule="exact"/>
                    <w:ind w:firstLine="0"/>
                    <w:jc w:val="center"/>
                    <w:rPr>
                      <w:color w:val="auto"/>
                      <w:sz w:val="21"/>
                      <w:szCs w:val="21"/>
                    </w:rPr>
                  </w:pPr>
                  <w:r>
                    <w:rPr>
                      <w:rFonts w:hint="eastAsia"/>
                      <w:color w:val="auto"/>
                      <w:sz w:val="21"/>
                      <w:szCs w:val="21"/>
                    </w:rPr>
                    <w:t>达标</w:t>
                  </w:r>
                </w:p>
              </w:tc>
            </w:tr>
            <w:tr w14:paraId="4F3D0B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9" w:type="dxa"/>
                  <w:noWrap w:val="0"/>
                  <w:vAlign w:val="center"/>
                </w:tcPr>
                <w:p w14:paraId="1C5D6245">
                  <w:pPr>
                    <w:pStyle w:val="48"/>
                    <w:spacing w:line="340" w:lineRule="exact"/>
                    <w:ind w:firstLine="0"/>
                    <w:jc w:val="center"/>
                    <w:rPr>
                      <w:color w:val="auto"/>
                      <w:sz w:val="21"/>
                      <w:szCs w:val="21"/>
                    </w:rPr>
                  </w:pPr>
                  <w:r>
                    <w:rPr>
                      <w:rFonts w:hint="eastAsia"/>
                      <w:color w:val="auto"/>
                      <w:sz w:val="21"/>
                      <w:szCs w:val="21"/>
                    </w:rPr>
                    <w:t>西侧厂界</w:t>
                  </w:r>
                </w:p>
              </w:tc>
              <w:tc>
                <w:tcPr>
                  <w:tcW w:w="2000" w:type="dxa"/>
                  <w:noWrap w:val="0"/>
                  <w:vAlign w:val="center"/>
                </w:tcPr>
                <w:p w14:paraId="7FBC89D2">
                  <w:pPr>
                    <w:pStyle w:val="48"/>
                    <w:spacing w:line="340" w:lineRule="exact"/>
                    <w:ind w:firstLine="0"/>
                    <w:jc w:val="center"/>
                    <w:rPr>
                      <w:color w:val="auto"/>
                      <w:sz w:val="21"/>
                      <w:szCs w:val="21"/>
                    </w:rPr>
                  </w:pPr>
                  <w:r>
                    <w:rPr>
                      <w:color w:val="auto"/>
                      <w:sz w:val="21"/>
                      <w:szCs w:val="21"/>
                    </w:rPr>
                    <w:t>1</w:t>
                  </w:r>
                </w:p>
              </w:tc>
              <w:tc>
                <w:tcPr>
                  <w:tcW w:w="1429" w:type="dxa"/>
                  <w:noWrap w:val="0"/>
                  <w:vAlign w:val="center"/>
                </w:tcPr>
                <w:p w14:paraId="16A6E574">
                  <w:pPr>
                    <w:pStyle w:val="48"/>
                    <w:spacing w:line="340" w:lineRule="exact"/>
                    <w:ind w:firstLine="0"/>
                    <w:jc w:val="center"/>
                    <w:rPr>
                      <w:rFonts w:hint="default" w:eastAsia="宋体" w:cs="宋体"/>
                      <w:bCs/>
                      <w:color w:val="auto"/>
                      <w:spacing w:val="-10"/>
                      <w:sz w:val="21"/>
                      <w:szCs w:val="21"/>
                      <w:lang w:val="en-US" w:eastAsia="zh-CN"/>
                    </w:rPr>
                  </w:pPr>
                  <w:r>
                    <w:rPr>
                      <w:rFonts w:hint="eastAsia" w:cs="宋体"/>
                      <w:bCs/>
                      <w:color w:val="auto"/>
                      <w:spacing w:val="-10"/>
                      <w:sz w:val="21"/>
                      <w:szCs w:val="21"/>
                      <w:lang w:val="en-US" w:eastAsia="zh-CN"/>
                    </w:rPr>
                    <w:t>35.59</w:t>
                  </w:r>
                </w:p>
              </w:tc>
              <w:tc>
                <w:tcPr>
                  <w:tcW w:w="1428" w:type="dxa"/>
                  <w:noWrap w:val="0"/>
                  <w:vAlign w:val="center"/>
                </w:tcPr>
                <w:p w14:paraId="69372C4D">
                  <w:pPr>
                    <w:pStyle w:val="48"/>
                    <w:spacing w:line="340" w:lineRule="exact"/>
                    <w:ind w:firstLine="0"/>
                    <w:jc w:val="center"/>
                    <w:rPr>
                      <w:color w:val="auto"/>
                      <w:sz w:val="21"/>
                      <w:szCs w:val="21"/>
                    </w:rPr>
                  </w:pPr>
                  <w:r>
                    <w:rPr>
                      <w:rFonts w:hint="eastAsia"/>
                      <w:color w:val="auto"/>
                      <w:sz w:val="21"/>
                      <w:szCs w:val="21"/>
                    </w:rPr>
                    <w:t>55</w:t>
                  </w:r>
                </w:p>
              </w:tc>
              <w:tc>
                <w:tcPr>
                  <w:tcW w:w="1386" w:type="dxa"/>
                  <w:noWrap w:val="0"/>
                  <w:vAlign w:val="center"/>
                </w:tcPr>
                <w:p w14:paraId="16F07E93">
                  <w:pPr>
                    <w:pStyle w:val="48"/>
                    <w:spacing w:line="340" w:lineRule="exact"/>
                    <w:ind w:firstLine="0"/>
                    <w:jc w:val="center"/>
                    <w:rPr>
                      <w:color w:val="auto"/>
                      <w:sz w:val="21"/>
                      <w:szCs w:val="21"/>
                    </w:rPr>
                  </w:pPr>
                  <w:r>
                    <w:rPr>
                      <w:rFonts w:hint="eastAsia"/>
                      <w:color w:val="auto"/>
                      <w:sz w:val="21"/>
                      <w:szCs w:val="21"/>
                    </w:rPr>
                    <w:t>达标</w:t>
                  </w:r>
                </w:p>
              </w:tc>
            </w:tr>
            <w:tr w14:paraId="001CD8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9" w:type="dxa"/>
                  <w:noWrap w:val="0"/>
                  <w:vAlign w:val="center"/>
                </w:tcPr>
                <w:p w14:paraId="0E730399">
                  <w:pPr>
                    <w:pStyle w:val="48"/>
                    <w:spacing w:line="340" w:lineRule="exact"/>
                    <w:ind w:firstLine="0"/>
                    <w:jc w:val="center"/>
                    <w:rPr>
                      <w:color w:val="auto"/>
                      <w:sz w:val="21"/>
                      <w:szCs w:val="21"/>
                    </w:rPr>
                  </w:pPr>
                  <w:r>
                    <w:rPr>
                      <w:rFonts w:hint="eastAsia"/>
                      <w:color w:val="auto"/>
                      <w:sz w:val="21"/>
                      <w:szCs w:val="21"/>
                    </w:rPr>
                    <w:t>北侧厂界</w:t>
                  </w:r>
                </w:p>
              </w:tc>
              <w:tc>
                <w:tcPr>
                  <w:tcW w:w="2000" w:type="dxa"/>
                  <w:noWrap w:val="0"/>
                  <w:vAlign w:val="center"/>
                </w:tcPr>
                <w:p w14:paraId="099C8131">
                  <w:pPr>
                    <w:pStyle w:val="48"/>
                    <w:spacing w:line="340" w:lineRule="exact"/>
                    <w:ind w:firstLine="0"/>
                    <w:jc w:val="center"/>
                    <w:rPr>
                      <w:rFonts w:hint="eastAsia"/>
                      <w:color w:val="auto"/>
                      <w:sz w:val="21"/>
                      <w:szCs w:val="21"/>
                    </w:rPr>
                  </w:pPr>
                  <w:r>
                    <w:rPr>
                      <w:color w:val="auto"/>
                      <w:sz w:val="21"/>
                      <w:szCs w:val="21"/>
                    </w:rPr>
                    <w:t>1</w:t>
                  </w:r>
                </w:p>
              </w:tc>
              <w:tc>
                <w:tcPr>
                  <w:tcW w:w="1429" w:type="dxa"/>
                  <w:noWrap w:val="0"/>
                  <w:vAlign w:val="center"/>
                </w:tcPr>
                <w:p w14:paraId="4BB3BBE0">
                  <w:pPr>
                    <w:pStyle w:val="48"/>
                    <w:spacing w:line="340" w:lineRule="exact"/>
                    <w:ind w:firstLine="0"/>
                    <w:jc w:val="center"/>
                    <w:rPr>
                      <w:rFonts w:hint="default" w:eastAsia="宋体" w:cs="宋体"/>
                      <w:bCs/>
                      <w:color w:val="auto"/>
                      <w:spacing w:val="-10"/>
                      <w:sz w:val="21"/>
                      <w:szCs w:val="21"/>
                      <w:lang w:val="en-US" w:eastAsia="zh-CN"/>
                    </w:rPr>
                  </w:pPr>
                  <w:r>
                    <w:rPr>
                      <w:rFonts w:hint="eastAsia" w:cs="宋体"/>
                      <w:bCs/>
                      <w:color w:val="auto"/>
                      <w:spacing w:val="-10"/>
                      <w:sz w:val="21"/>
                      <w:szCs w:val="21"/>
                      <w:lang w:val="en-US" w:eastAsia="zh-CN"/>
                    </w:rPr>
                    <w:t>35.97</w:t>
                  </w:r>
                </w:p>
              </w:tc>
              <w:tc>
                <w:tcPr>
                  <w:tcW w:w="1428" w:type="dxa"/>
                  <w:noWrap w:val="0"/>
                  <w:vAlign w:val="center"/>
                </w:tcPr>
                <w:p w14:paraId="4134B44B">
                  <w:pPr>
                    <w:pStyle w:val="48"/>
                    <w:spacing w:line="340" w:lineRule="exact"/>
                    <w:ind w:firstLine="0"/>
                    <w:jc w:val="center"/>
                    <w:rPr>
                      <w:color w:val="auto"/>
                      <w:sz w:val="21"/>
                      <w:szCs w:val="21"/>
                    </w:rPr>
                  </w:pPr>
                  <w:r>
                    <w:rPr>
                      <w:rFonts w:hint="eastAsia"/>
                      <w:color w:val="auto"/>
                      <w:sz w:val="21"/>
                      <w:szCs w:val="21"/>
                    </w:rPr>
                    <w:t>55</w:t>
                  </w:r>
                </w:p>
              </w:tc>
              <w:tc>
                <w:tcPr>
                  <w:tcW w:w="1386" w:type="dxa"/>
                  <w:noWrap w:val="0"/>
                  <w:vAlign w:val="center"/>
                </w:tcPr>
                <w:p w14:paraId="44D88364">
                  <w:pPr>
                    <w:pStyle w:val="48"/>
                    <w:spacing w:line="340" w:lineRule="exact"/>
                    <w:ind w:firstLine="0"/>
                    <w:jc w:val="center"/>
                    <w:rPr>
                      <w:rFonts w:hint="eastAsia"/>
                      <w:color w:val="auto"/>
                      <w:sz w:val="21"/>
                      <w:szCs w:val="21"/>
                    </w:rPr>
                  </w:pPr>
                  <w:r>
                    <w:rPr>
                      <w:rFonts w:hint="eastAsia"/>
                      <w:color w:val="auto"/>
                      <w:sz w:val="21"/>
                      <w:szCs w:val="21"/>
                    </w:rPr>
                    <w:t>达标</w:t>
                  </w:r>
                </w:p>
              </w:tc>
            </w:tr>
          </w:tbl>
          <w:p w14:paraId="2F7C074B">
            <w:pPr>
              <w:pStyle w:val="7"/>
              <w:spacing w:before="183" w:line="360" w:lineRule="auto"/>
              <w:ind w:left="150" w:right="108" w:firstLine="483"/>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项目工程分析，该项目运营期的内部噪声污染源主要为设备机械噪声，噪声源强在80dB（A）左右。由于本项目为本项目医院建设项目，一般情况下不会出现吵闹声，因此，只要严格遵守规章制度，保持安静，出现突发情况及时制止，人流嘈杂声不会对周围声环境产生明显影响。</w:t>
            </w:r>
          </w:p>
          <w:p w14:paraId="6FA221F9">
            <w:pPr>
              <w:pStyle w:val="7"/>
              <w:spacing w:before="183" w:line="360" w:lineRule="auto"/>
              <w:ind w:left="150" w:right="108" w:firstLine="483"/>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三、敏感点噪声预测结果</w:t>
            </w:r>
          </w:p>
          <w:p w14:paraId="0BDF7839">
            <w:pPr>
              <w:pStyle w:val="7"/>
              <w:spacing w:before="183" w:line="360" w:lineRule="auto"/>
              <w:ind w:left="150" w:right="108" w:firstLine="483"/>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项目周围敏感目标主要为项目西面的</w:t>
            </w:r>
            <w:r>
              <w:rPr>
                <w:rFonts w:hint="eastAsia" w:ascii="Times New Roman" w:hAnsi="Times New Roman" w:eastAsia="宋体" w:cs="Times New Roman"/>
                <w:color w:val="auto"/>
                <w:sz w:val="21"/>
                <w:szCs w:val="21"/>
                <w:lang w:val="en-US" w:eastAsia="zh-CN"/>
              </w:rPr>
              <w:t>居民楼(洋中村)，</w:t>
            </w:r>
            <w:r>
              <w:rPr>
                <w:rFonts w:hint="eastAsia" w:ascii="Times New Roman" w:hAnsi="Times New Roman" w:eastAsia="宋体" w:cs="Times New Roman"/>
                <w:color w:val="auto"/>
                <w:kern w:val="2"/>
                <w:sz w:val="24"/>
                <w:szCs w:val="24"/>
                <w:lang w:val="en-US" w:eastAsia="zh-CN" w:bidi="ar-SA"/>
              </w:rPr>
              <w:t>根据预测模式、项目噪声源强分类及源强大小，预测本项目声源对上述敏感目标的噪声贡献值，并叠加背景噪声后，预测对敏感点噪声影响，具体预测结果见表4.2-8。</w:t>
            </w:r>
          </w:p>
          <w:p w14:paraId="276C7F23">
            <w:pPr>
              <w:pStyle w:val="7"/>
              <w:spacing w:before="1" w:line="219" w:lineRule="auto"/>
              <w:ind w:left="2839"/>
              <w:rPr>
                <w:rFonts w:hint="eastAsia" w:ascii="Times New Roman" w:hAnsi="Times New Roman" w:eastAsia="宋体" w:cs="Times New Roman"/>
                <w:b/>
                <w:bCs/>
                <w:color w:val="auto"/>
                <w:kern w:val="24"/>
                <w:sz w:val="24"/>
                <w:szCs w:val="24"/>
                <w:lang w:val="en-US" w:eastAsia="zh-CN" w:bidi="ar-SA"/>
              </w:rPr>
            </w:pPr>
            <w:r>
              <w:rPr>
                <w:rFonts w:hint="eastAsia" w:ascii="Times New Roman" w:hAnsi="Times New Roman" w:eastAsia="宋体" w:cs="Times New Roman"/>
                <w:b/>
                <w:bCs/>
                <w:color w:val="auto"/>
                <w:kern w:val="24"/>
                <w:sz w:val="24"/>
                <w:szCs w:val="24"/>
                <w:lang w:val="en-US" w:eastAsia="zh-CN" w:bidi="ar-SA"/>
              </w:rPr>
              <w:t>表 4.2-8敏感目标噪声预测值一览</w:t>
            </w:r>
          </w:p>
          <w:p w14:paraId="3914520D">
            <w:pPr>
              <w:spacing w:line="69" w:lineRule="exact"/>
              <w:rPr>
                <w:color w:val="auto"/>
              </w:rPr>
            </w:pPr>
          </w:p>
          <w:tbl>
            <w:tblPr>
              <w:tblStyle w:val="32"/>
              <w:tblW w:w="8517"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272"/>
              <w:gridCol w:w="1084"/>
              <w:gridCol w:w="725"/>
              <w:gridCol w:w="725"/>
              <w:gridCol w:w="1225"/>
              <w:gridCol w:w="681"/>
              <w:gridCol w:w="737"/>
              <w:gridCol w:w="684"/>
              <w:gridCol w:w="691"/>
              <w:gridCol w:w="347"/>
              <w:gridCol w:w="346"/>
            </w:tblGrid>
            <w:tr w14:paraId="16956E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276" w:type="dxa"/>
                  <w:vMerge w:val="restart"/>
                  <w:tcBorders>
                    <w:tl2br w:val="nil"/>
                    <w:tr2bl w:val="nil"/>
                  </w:tcBorders>
                  <w:noWrap w:val="0"/>
                  <w:vAlign w:val="top"/>
                </w:tcPr>
                <w:p w14:paraId="4BCA126C">
                  <w:pPr>
                    <w:pStyle w:val="48"/>
                    <w:spacing w:line="340" w:lineRule="exact"/>
                    <w:ind w:firstLine="0"/>
                    <w:jc w:val="center"/>
                    <w:rPr>
                      <w:rFonts w:hint="eastAsia" w:ascii="Times New Roman" w:hAnsi="Times New Roman" w:eastAsia="宋体" w:cs="Times New Roman"/>
                      <w:b w:val="0"/>
                      <w:bCs w:val="0"/>
                      <w:color w:val="auto"/>
                      <w:sz w:val="21"/>
                      <w:szCs w:val="21"/>
                    </w:rPr>
                  </w:pPr>
                </w:p>
                <w:p w14:paraId="72B47018">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预测点位</w:t>
                  </w:r>
                </w:p>
              </w:tc>
              <w:tc>
                <w:tcPr>
                  <w:tcW w:w="1086" w:type="dxa"/>
                  <w:vMerge w:val="restart"/>
                  <w:tcBorders>
                    <w:tl2br w:val="nil"/>
                    <w:tr2bl w:val="nil"/>
                  </w:tcBorders>
                  <w:noWrap w:val="0"/>
                  <w:vAlign w:val="top"/>
                </w:tcPr>
                <w:p w14:paraId="7FA8A9E7">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相对设备最近距离（m）</w:t>
                  </w:r>
                </w:p>
              </w:tc>
              <w:tc>
                <w:tcPr>
                  <w:tcW w:w="1452" w:type="dxa"/>
                  <w:gridSpan w:val="2"/>
                  <w:tcBorders>
                    <w:tl2br w:val="nil"/>
                    <w:tr2bl w:val="nil"/>
                  </w:tcBorders>
                  <w:noWrap w:val="0"/>
                  <w:vAlign w:val="top"/>
                </w:tcPr>
                <w:p w14:paraId="72570A09">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背景值（dB(A)）</w:t>
                  </w:r>
                </w:p>
              </w:tc>
              <w:tc>
                <w:tcPr>
                  <w:tcW w:w="1226" w:type="dxa"/>
                  <w:vMerge w:val="restart"/>
                  <w:tcBorders>
                    <w:tl2br w:val="nil"/>
                    <w:tr2bl w:val="nil"/>
                  </w:tcBorders>
                  <w:noWrap w:val="0"/>
                  <w:vAlign w:val="top"/>
                </w:tcPr>
                <w:p w14:paraId="1C8EA8A7">
                  <w:pPr>
                    <w:pStyle w:val="48"/>
                    <w:spacing w:line="340" w:lineRule="exact"/>
                    <w:ind w:firstLine="0"/>
                    <w:jc w:val="center"/>
                    <w:rPr>
                      <w:rFonts w:hint="eastAsia" w:ascii="Times New Roman" w:hAnsi="Times New Roman" w:eastAsia="宋体" w:cs="Times New Roman"/>
                      <w:b w:val="0"/>
                      <w:bCs w:val="0"/>
                      <w:color w:val="auto"/>
                      <w:sz w:val="21"/>
                      <w:szCs w:val="21"/>
                    </w:rPr>
                  </w:pPr>
                </w:p>
                <w:p w14:paraId="4C1CC888">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贡献值（dB(A)）</w:t>
                  </w:r>
                </w:p>
              </w:tc>
              <w:tc>
                <w:tcPr>
                  <w:tcW w:w="1420" w:type="dxa"/>
                  <w:gridSpan w:val="2"/>
                  <w:tcBorders>
                    <w:tl2br w:val="nil"/>
                    <w:tr2bl w:val="nil"/>
                  </w:tcBorders>
                  <w:noWrap w:val="0"/>
                  <w:vAlign w:val="top"/>
                </w:tcPr>
                <w:p w14:paraId="7B222270">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预测值（dB(A)）</w:t>
                  </w:r>
                </w:p>
              </w:tc>
              <w:tc>
                <w:tcPr>
                  <w:tcW w:w="1377" w:type="dxa"/>
                  <w:gridSpan w:val="2"/>
                  <w:tcBorders>
                    <w:tl2br w:val="nil"/>
                    <w:tr2bl w:val="nil"/>
                  </w:tcBorders>
                  <w:noWrap w:val="0"/>
                  <w:vAlign w:val="top"/>
                </w:tcPr>
                <w:p w14:paraId="5805FDAA">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标准值（dB(A)）</w:t>
                  </w:r>
                </w:p>
              </w:tc>
              <w:tc>
                <w:tcPr>
                  <w:tcW w:w="680" w:type="dxa"/>
                  <w:gridSpan w:val="2"/>
                  <w:tcBorders>
                    <w:tl2br w:val="nil"/>
                    <w:tr2bl w:val="nil"/>
                  </w:tcBorders>
                  <w:noWrap w:val="0"/>
                  <w:vAlign w:val="top"/>
                </w:tcPr>
                <w:p w14:paraId="437BAE3D">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达标情况</w:t>
                  </w:r>
                </w:p>
              </w:tc>
            </w:tr>
            <w:tr w14:paraId="2AB54A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276" w:type="dxa"/>
                  <w:vMerge w:val="continue"/>
                  <w:tcBorders>
                    <w:tl2br w:val="nil"/>
                    <w:tr2bl w:val="nil"/>
                  </w:tcBorders>
                  <w:noWrap w:val="0"/>
                  <w:vAlign w:val="top"/>
                </w:tcPr>
                <w:p w14:paraId="5D0D59B6">
                  <w:pPr>
                    <w:pStyle w:val="48"/>
                    <w:spacing w:line="340" w:lineRule="exact"/>
                    <w:ind w:firstLine="0"/>
                    <w:jc w:val="center"/>
                    <w:rPr>
                      <w:rFonts w:hint="eastAsia" w:ascii="Times New Roman" w:hAnsi="Times New Roman" w:eastAsia="宋体" w:cs="Times New Roman"/>
                      <w:b w:val="0"/>
                      <w:bCs w:val="0"/>
                      <w:color w:val="auto"/>
                      <w:sz w:val="21"/>
                      <w:szCs w:val="21"/>
                    </w:rPr>
                  </w:pPr>
                </w:p>
              </w:tc>
              <w:tc>
                <w:tcPr>
                  <w:tcW w:w="1086" w:type="dxa"/>
                  <w:vMerge w:val="continue"/>
                  <w:tcBorders>
                    <w:tl2br w:val="nil"/>
                    <w:tr2bl w:val="nil"/>
                  </w:tcBorders>
                  <w:noWrap w:val="0"/>
                  <w:vAlign w:val="top"/>
                </w:tcPr>
                <w:p w14:paraId="407243F2">
                  <w:pPr>
                    <w:pStyle w:val="48"/>
                    <w:spacing w:line="340" w:lineRule="exact"/>
                    <w:ind w:firstLine="0"/>
                    <w:jc w:val="center"/>
                    <w:rPr>
                      <w:rFonts w:hint="eastAsia" w:ascii="Times New Roman" w:hAnsi="Times New Roman" w:eastAsia="宋体" w:cs="Times New Roman"/>
                      <w:b w:val="0"/>
                      <w:bCs w:val="0"/>
                      <w:color w:val="auto"/>
                      <w:sz w:val="21"/>
                      <w:szCs w:val="21"/>
                    </w:rPr>
                  </w:pPr>
                </w:p>
              </w:tc>
              <w:tc>
                <w:tcPr>
                  <w:tcW w:w="726" w:type="dxa"/>
                  <w:tcBorders>
                    <w:tl2br w:val="nil"/>
                    <w:tr2bl w:val="nil"/>
                  </w:tcBorders>
                  <w:noWrap w:val="0"/>
                  <w:vAlign w:val="top"/>
                </w:tcPr>
                <w:p w14:paraId="2B4D0169">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昼间</w:t>
                  </w:r>
                </w:p>
              </w:tc>
              <w:tc>
                <w:tcPr>
                  <w:tcW w:w="726" w:type="dxa"/>
                  <w:tcBorders>
                    <w:tl2br w:val="nil"/>
                    <w:tr2bl w:val="nil"/>
                  </w:tcBorders>
                  <w:noWrap w:val="0"/>
                  <w:vAlign w:val="top"/>
                </w:tcPr>
                <w:p w14:paraId="25A71BDB">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夜间</w:t>
                  </w:r>
                </w:p>
              </w:tc>
              <w:tc>
                <w:tcPr>
                  <w:tcW w:w="1226" w:type="dxa"/>
                  <w:vMerge w:val="continue"/>
                  <w:tcBorders>
                    <w:tl2br w:val="nil"/>
                    <w:tr2bl w:val="nil"/>
                  </w:tcBorders>
                  <w:noWrap w:val="0"/>
                  <w:vAlign w:val="top"/>
                </w:tcPr>
                <w:p w14:paraId="5C6B8102">
                  <w:pPr>
                    <w:pStyle w:val="48"/>
                    <w:spacing w:line="340" w:lineRule="exact"/>
                    <w:ind w:firstLine="0"/>
                    <w:jc w:val="center"/>
                    <w:rPr>
                      <w:rFonts w:hint="eastAsia" w:ascii="Times New Roman" w:hAnsi="Times New Roman" w:eastAsia="宋体" w:cs="Times New Roman"/>
                      <w:b w:val="0"/>
                      <w:bCs w:val="0"/>
                      <w:color w:val="auto"/>
                      <w:sz w:val="21"/>
                      <w:szCs w:val="21"/>
                    </w:rPr>
                  </w:pPr>
                </w:p>
              </w:tc>
              <w:tc>
                <w:tcPr>
                  <w:tcW w:w="682" w:type="dxa"/>
                  <w:tcBorders>
                    <w:tl2br w:val="nil"/>
                    <w:tr2bl w:val="nil"/>
                  </w:tcBorders>
                  <w:noWrap w:val="0"/>
                  <w:vAlign w:val="top"/>
                </w:tcPr>
                <w:p w14:paraId="7C0BD700">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昼间</w:t>
                  </w:r>
                </w:p>
              </w:tc>
              <w:tc>
                <w:tcPr>
                  <w:tcW w:w="738" w:type="dxa"/>
                  <w:tcBorders>
                    <w:tl2br w:val="nil"/>
                    <w:tr2bl w:val="nil"/>
                  </w:tcBorders>
                  <w:noWrap w:val="0"/>
                  <w:vAlign w:val="top"/>
                </w:tcPr>
                <w:p w14:paraId="4C8CA992">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夜间</w:t>
                  </w:r>
                </w:p>
              </w:tc>
              <w:tc>
                <w:tcPr>
                  <w:tcW w:w="685" w:type="dxa"/>
                  <w:tcBorders>
                    <w:tl2br w:val="nil"/>
                    <w:tr2bl w:val="nil"/>
                  </w:tcBorders>
                  <w:noWrap w:val="0"/>
                  <w:vAlign w:val="top"/>
                </w:tcPr>
                <w:p w14:paraId="31233268">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昼间</w:t>
                  </w:r>
                </w:p>
              </w:tc>
              <w:tc>
                <w:tcPr>
                  <w:tcW w:w="692" w:type="dxa"/>
                  <w:tcBorders>
                    <w:tl2br w:val="nil"/>
                    <w:tr2bl w:val="nil"/>
                  </w:tcBorders>
                  <w:noWrap w:val="0"/>
                  <w:vAlign w:val="top"/>
                </w:tcPr>
                <w:p w14:paraId="73207E5F">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夜间</w:t>
                  </w:r>
                </w:p>
              </w:tc>
              <w:tc>
                <w:tcPr>
                  <w:tcW w:w="348" w:type="dxa"/>
                  <w:tcBorders>
                    <w:tl2br w:val="nil"/>
                    <w:tr2bl w:val="nil"/>
                  </w:tcBorders>
                  <w:noWrap w:val="0"/>
                  <w:vAlign w:val="top"/>
                </w:tcPr>
                <w:p w14:paraId="6251660E">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昼间</w:t>
                  </w:r>
                </w:p>
              </w:tc>
              <w:tc>
                <w:tcPr>
                  <w:tcW w:w="332" w:type="dxa"/>
                  <w:tcBorders>
                    <w:tl2br w:val="nil"/>
                    <w:tr2bl w:val="nil"/>
                  </w:tcBorders>
                  <w:noWrap w:val="0"/>
                  <w:textDirection w:val="tbRlV"/>
                  <w:vAlign w:val="top"/>
                </w:tcPr>
                <w:p w14:paraId="337601FB">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夜 间</w:t>
                  </w:r>
                </w:p>
              </w:tc>
            </w:tr>
            <w:tr w14:paraId="514C8B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76" w:type="dxa"/>
                  <w:tcBorders>
                    <w:tl2br w:val="nil"/>
                    <w:tr2bl w:val="nil"/>
                  </w:tcBorders>
                  <w:noWrap w:val="0"/>
                  <w:vAlign w:val="top"/>
                </w:tcPr>
                <w:p w14:paraId="13CA7043">
                  <w:pPr>
                    <w:pStyle w:val="48"/>
                    <w:spacing w:line="340" w:lineRule="exact"/>
                    <w:ind w:firstLine="0"/>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西侧居民楼(洋中村)</w:t>
                  </w:r>
                </w:p>
              </w:tc>
              <w:tc>
                <w:tcPr>
                  <w:tcW w:w="1086" w:type="dxa"/>
                  <w:tcBorders>
                    <w:tl2br w:val="nil"/>
                    <w:tr2bl w:val="nil"/>
                  </w:tcBorders>
                  <w:noWrap w:val="0"/>
                  <w:vAlign w:val="top"/>
                </w:tcPr>
                <w:p w14:paraId="0BB5FA88">
                  <w:pPr>
                    <w:pStyle w:val="48"/>
                    <w:spacing w:line="340" w:lineRule="exact"/>
                    <w:ind w:firstLine="0"/>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45</w:t>
                  </w:r>
                </w:p>
              </w:tc>
              <w:tc>
                <w:tcPr>
                  <w:tcW w:w="726" w:type="dxa"/>
                  <w:tcBorders>
                    <w:tl2br w:val="nil"/>
                    <w:tr2bl w:val="nil"/>
                  </w:tcBorders>
                  <w:noWrap w:val="0"/>
                  <w:vAlign w:val="top"/>
                </w:tcPr>
                <w:p w14:paraId="49B2782F">
                  <w:pPr>
                    <w:pStyle w:val="48"/>
                    <w:spacing w:line="340" w:lineRule="exact"/>
                    <w:ind w:firstLine="0"/>
                    <w:jc w:val="center"/>
                    <w:rPr>
                      <w:rFonts w:hint="eastAsia" w:ascii="Times New Roman" w:hAnsi="Times New Roman" w:eastAsia="宋体" w:cs="Times New Roman"/>
                      <w:b w:val="0"/>
                      <w:bCs w:val="0"/>
                      <w:color w:val="auto"/>
                      <w:sz w:val="21"/>
                      <w:szCs w:val="21"/>
                    </w:rPr>
                  </w:pPr>
                  <w:r>
                    <w:rPr>
                      <w:rFonts w:ascii="Times New Roman" w:hAnsi="Times New Roman" w:eastAsia="Times New Roman" w:cs="Times New Roman"/>
                      <w:b w:val="0"/>
                      <w:bCs w:val="0"/>
                      <w:color w:val="auto"/>
                      <w:spacing w:val="-3"/>
                      <w:sz w:val="21"/>
                      <w:szCs w:val="21"/>
                    </w:rPr>
                    <w:t>53.8</w:t>
                  </w:r>
                </w:p>
              </w:tc>
              <w:tc>
                <w:tcPr>
                  <w:tcW w:w="726" w:type="dxa"/>
                  <w:tcBorders>
                    <w:tl2br w:val="nil"/>
                    <w:tr2bl w:val="nil"/>
                  </w:tcBorders>
                  <w:noWrap w:val="0"/>
                  <w:vAlign w:val="top"/>
                </w:tcPr>
                <w:p w14:paraId="069A0273">
                  <w:pPr>
                    <w:pStyle w:val="48"/>
                    <w:spacing w:line="340" w:lineRule="exact"/>
                    <w:ind w:firstLine="0"/>
                    <w:jc w:val="center"/>
                    <w:rPr>
                      <w:rFonts w:hint="eastAsia" w:ascii="Times New Roman" w:hAnsi="Times New Roman" w:eastAsia="宋体" w:cs="Times New Roman"/>
                      <w:b w:val="0"/>
                      <w:bCs w:val="0"/>
                      <w:color w:val="auto"/>
                      <w:sz w:val="21"/>
                      <w:szCs w:val="21"/>
                    </w:rPr>
                  </w:pPr>
                  <w:r>
                    <w:rPr>
                      <w:rFonts w:ascii="Times New Roman" w:hAnsi="Times New Roman" w:eastAsia="Times New Roman" w:cs="Times New Roman"/>
                      <w:b w:val="0"/>
                      <w:bCs w:val="0"/>
                      <w:color w:val="auto"/>
                      <w:spacing w:val="-1"/>
                      <w:sz w:val="21"/>
                      <w:szCs w:val="21"/>
                    </w:rPr>
                    <w:t>43.8</w:t>
                  </w:r>
                </w:p>
              </w:tc>
              <w:tc>
                <w:tcPr>
                  <w:tcW w:w="1226" w:type="dxa"/>
                  <w:tcBorders>
                    <w:tl2br w:val="nil"/>
                    <w:tr2bl w:val="nil"/>
                  </w:tcBorders>
                  <w:noWrap w:val="0"/>
                  <w:vAlign w:val="top"/>
                </w:tcPr>
                <w:p w14:paraId="3C9B111C">
                  <w:pPr>
                    <w:pStyle w:val="48"/>
                    <w:spacing w:line="340" w:lineRule="exact"/>
                    <w:ind w:firstLine="0"/>
                    <w:jc w:val="center"/>
                    <w:rPr>
                      <w:rFonts w:hint="eastAsia" w:ascii="Times New Roman" w:hAnsi="Times New Roman" w:eastAsia="宋体" w:cs="Times New Roman"/>
                      <w:b w:val="0"/>
                      <w:bCs w:val="0"/>
                      <w:color w:val="auto"/>
                      <w:sz w:val="21"/>
                      <w:szCs w:val="21"/>
                      <w:lang w:eastAsia="zh-CN"/>
                    </w:rPr>
                  </w:pPr>
                  <w:r>
                    <w:rPr>
                      <w:rFonts w:hint="eastAsia" w:ascii="Times New Roman" w:hAnsi="Times New Roman" w:eastAsia="宋体" w:cs="Times New Roman"/>
                      <w:b w:val="0"/>
                      <w:bCs w:val="0"/>
                      <w:color w:val="auto"/>
                      <w:sz w:val="21"/>
                      <w:szCs w:val="21"/>
                      <w:lang w:val="en-US" w:eastAsia="zh-CN"/>
                    </w:rPr>
                    <w:t>2</w:t>
                  </w:r>
                </w:p>
              </w:tc>
              <w:tc>
                <w:tcPr>
                  <w:tcW w:w="682" w:type="dxa"/>
                  <w:tcBorders>
                    <w:tl2br w:val="nil"/>
                    <w:tr2bl w:val="nil"/>
                  </w:tcBorders>
                  <w:noWrap w:val="0"/>
                  <w:vAlign w:val="top"/>
                </w:tcPr>
                <w:p w14:paraId="1D6E532F">
                  <w:pPr>
                    <w:pStyle w:val="48"/>
                    <w:spacing w:line="340" w:lineRule="exact"/>
                    <w:ind w:firstLine="0" w:firstLineChars="0"/>
                    <w:jc w:val="center"/>
                    <w:rPr>
                      <w:rFonts w:hint="eastAsia" w:ascii="Times New Roman" w:hAnsi="Times New Roman" w:eastAsia="宋体" w:cs="Times New Roman"/>
                      <w:b w:val="0"/>
                      <w:bCs w:val="0"/>
                      <w:color w:val="auto"/>
                      <w:sz w:val="21"/>
                      <w:szCs w:val="21"/>
                    </w:rPr>
                  </w:pPr>
                  <w:r>
                    <w:rPr>
                      <w:rFonts w:ascii="Times New Roman" w:hAnsi="Times New Roman" w:eastAsia="Times New Roman" w:cs="Times New Roman"/>
                      <w:b w:val="0"/>
                      <w:bCs w:val="0"/>
                      <w:color w:val="auto"/>
                      <w:spacing w:val="-3"/>
                      <w:sz w:val="21"/>
                      <w:szCs w:val="21"/>
                    </w:rPr>
                    <w:t>53.8</w:t>
                  </w:r>
                </w:p>
              </w:tc>
              <w:tc>
                <w:tcPr>
                  <w:tcW w:w="738" w:type="dxa"/>
                  <w:tcBorders>
                    <w:tl2br w:val="nil"/>
                    <w:tr2bl w:val="nil"/>
                  </w:tcBorders>
                  <w:noWrap w:val="0"/>
                  <w:vAlign w:val="top"/>
                </w:tcPr>
                <w:p w14:paraId="5A223C7D">
                  <w:pPr>
                    <w:pStyle w:val="48"/>
                    <w:spacing w:line="340" w:lineRule="exact"/>
                    <w:ind w:firstLine="0" w:firstLineChars="0"/>
                    <w:jc w:val="center"/>
                    <w:rPr>
                      <w:rFonts w:hint="eastAsia" w:ascii="Times New Roman" w:hAnsi="Times New Roman" w:eastAsia="宋体" w:cs="Times New Roman"/>
                      <w:b w:val="0"/>
                      <w:bCs w:val="0"/>
                      <w:color w:val="auto"/>
                      <w:sz w:val="21"/>
                      <w:szCs w:val="21"/>
                    </w:rPr>
                  </w:pPr>
                  <w:r>
                    <w:rPr>
                      <w:rFonts w:ascii="Times New Roman" w:hAnsi="Times New Roman" w:eastAsia="Times New Roman" w:cs="Times New Roman"/>
                      <w:b w:val="0"/>
                      <w:bCs w:val="0"/>
                      <w:color w:val="auto"/>
                      <w:spacing w:val="-1"/>
                      <w:sz w:val="21"/>
                      <w:szCs w:val="21"/>
                    </w:rPr>
                    <w:t>43.8</w:t>
                  </w:r>
                </w:p>
              </w:tc>
              <w:tc>
                <w:tcPr>
                  <w:tcW w:w="685" w:type="dxa"/>
                  <w:tcBorders>
                    <w:tl2br w:val="nil"/>
                    <w:tr2bl w:val="nil"/>
                  </w:tcBorders>
                  <w:noWrap w:val="0"/>
                  <w:vAlign w:val="top"/>
                </w:tcPr>
                <w:p w14:paraId="14AFFC9E">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60</w:t>
                  </w:r>
                </w:p>
              </w:tc>
              <w:tc>
                <w:tcPr>
                  <w:tcW w:w="692" w:type="dxa"/>
                  <w:tcBorders>
                    <w:tl2br w:val="nil"/>
                    <w:tr2bl w:val="nil"/>
                  </w:tcBorders>
                  <w:noWrap w:val="0"/>
                  <w:vAlign w:val="top"/>
                </w:tcPr>
                <w:p w14:paraId="2DB2CBE9">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50</w:t>
                  </w:r>
                </w:p>
              </w:tc>
              <w:tc>
                <w:tcPr>
                  <w:tcW w:w="348" w:type="dxa"/>
                  <w:tcBorders>
                    <w:tl2br w:val="nil"/>
                    <w:tr2bl w:val="nil"/>
                  </w:tcBorders>
                  <w:noWrap w:val="0"/>
                  <w:vAlign w:val="top"/>
                </w:tcPr>
                <w:p w14:paraId="6E136B85">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达标</w:t>
                  </w:r>
                </w:p>
              </w:tc>
              <w:tc>
                <w:tcPr>
                  <w:tcW w:w="332" w:type="dxa"/>
                  <w:tcBorders>
                    <w:tl2br w:val="nil"/>
                    <w:tr2bl w:val="nil"/>
                  </w:tcBorders>
                  <w:noWrap w:val="0"/>
                  <w:vAlign w:val="top"/>
                </w:tcPr>
                <w:p w14:paraId="13950925">
                  <w:pPr>
                    <w:pStyle w:val="48"/>
                    <w:spacing w:line="340" w:lineRule="exact"/>
                    <w:ind w:firstLine="0"/>
                    <w:jc w:val="center"/>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达标</w:t>
                  </w:r>
                </w:p>
              </w:tc>
            </w:tr>
          </w:tbl>
          <w:p w14:paraId="2F6A779C">
            <w:pPr>
              <w:pStyle w:val="7"/>
              <w:spacing w:line="219" w:lineRule="auto"/>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四、交通噪声影响分析</w:t>
            </w:r>
          </w:p>
          <w:p w14:paraId="14FD815C">
            <w:pPr>
              <w:pStyle w:val="7"/>
              <w:spacing w:before="183" w:line="360" w:lineRule="auto"/>
              <w:ind w:left="150" w:right="108" w:firstLine="483"/>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项目营运期间，进出停车场的车辆会产生交通噪声，交通噪声与机动车行驶速度与出入的机动车数量有关。一般出入停车场的车辆行车速度较慢，不超过20km/h，根据《公路建设项目环境影响评价规范》（JTGB 03-2006），车速20km/h时，单辆小型车在参照点（7.5m处）平均噪声级为59.8 dB（A）。噪声预测结果详见表4.2-9。</w:t>
            </w:r>
          </w:p>
          <w:p w14:paraId="69643DE8">
            <w:pPr>
              <w:pStyle w:val="7"/>
              <w:spacing w:before="1" w:line="219" w:lineRule="auto"/>
              <w:jc w:val="center"/>
              <w:rPr>
                <w:rFonts w:hint="eastAsia" w:ascii="Times New Roman" w:hAnsi="Times New Roman" w:eastAsia="宋体" w:cs="Times New Roman"/>
                <w:b/>
                <w:bCs/>
                <w:color w:val="auto"/>
                <w:kern w:val="24"/>
                <w:sz w:val="24"/>
                <w:szCs w:val="24"/>
                <w:lang w:val="en-US" w:eastAsia="zh-CN" w:bidi="ar-SA"/>
              </w:rPr>
            </w:pPr>
            <w:r>
              <w:rPr>
                <w:rFonts w:hint="eastAsia" w:ascii="Times New Roman" w:hAnsi="Times New Roman" w:eastAsia="宋体" w:cs="Times New Roman"/>
                <w:b/>
                <w:bCs/>
                <w:color w:val="auto"/>
                <w:kern w:val="24"/>
                <w:sz w:val="24"/>
                <w:szCs w:val="24"/>
                <w:lang w:val="en-US" w:eastAsia="zh-CN" w:bidi="ar-SA"/>
              </w:rPr>
              <w:t>表4.2-9停车场小型车交通噪声预测结果单位：dB(A)</w:t>
            </w:r>
          </w:p>
          <w:p w14:paraId="53EFB8BD">
            <w:pPr>
              <w:spacing w:line="79" w:lineRule="exact"/>
              <w:rPr>
                <w:color w:val="auto"/>
              </w:rPr>
            </w:pPr>
          </w:p>
          <w:tbl>
            <w:tblPr>
              <w:tblStyle w:val="32"/>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785"/>
              <w:gridCol w:w="942"/>
              <w:gridCol w:w="941"/>
              <w:gridCol w:w="942"/>
              <w:gridCol w:w="944"/>
              <w:gridCol w:w="1075"/>
              <w:gridCol w:w="941"/>
              <w:gridCol w:w="941"/>
            </w:tblGrid>
            <w:tr w14:paraId="6000E8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39" w:hRule="atLeast"/>
              </w:trPr>
              <w:tc>
                <w:tcPr>
                  <w:tcW w:w="1048" w:type="pct"/>
                  <w:tcBorders>
                    <w:tl2br w:val="nil"/>
                    <w:tr2bl w:val="nil"/>
                  </w:tcBorders>
                  <w:noWrap w:val="0"/>
                  <w:vAlign w:val="top"/>
                </w:tcPr>
                <w:p w14:paraId="671B3628">
                  <w:pPr>
                    <w:pStyle w:val="30"/>
                    <w:spacing w:before="71" w:line="228" w:lineRule="auto"/>
                    <w:ind w:left="439"/>
                    <w:rPr>
                      <w:b w:val="0"/>
                      <w:bCs w:val="0"/>
                      <w:color w:val="auto"/>
                      <w:sz w:val="21"/>
                      <w:szCs w:val="21"/>
                    </w:rPr>
                  </w:pPr>
                  <w:r>
                    <w:rPr>
                      <w:b w:val="0"/>
                      <w:bCs w:val="0"/>
                      <w:color w:val="auto"/>
                      <w:spacing w:val="4"/>
                      <w:sz w:val="21"/>
                      <w:szCs w:val="21"/>
                    </w:rPr>
                    <w:t>距离（</w:t>
                  </w:r>
                  <w:r>
                    <w:rPr>
                      <w:rFonts w:ascii="Times New Roman" w:hAnsi="Times New Roman" w:eastAsia="Times New Roman" w:cs="Times New Roman"/>
                      <w:b w:val="0"/>
                      <w:bCs w:val="0"/>
                      <w:color w:val="auto"/>
                      <w:spacing w:val="4"/>
                      <w:sz w:val="21"/>
                      <w:szCs w:val="21"/>
                    </w:rPr>
                    <w:t>m</w:t>
                  </w:r>
                  <w:r>
                    <w:rPr>
                      <w:b w:val="0"/>
                      <w:bCs w:val="0"/>
                      <w:color w:val="auto"/>
                      <w:spacing w:val="4"/>
                      <w:sz w:val="21"/>
                      <w:szCs w:val="21"/>
                    </w:rPr>
                    <w:t>）</w:t>
                  </w:r>
                </w:p>
              </w:tc>
              <w:tc>
                <w:tcPr>
                  <w:tcW w:w="553" w:type="pct"/>
                  <w:tcBorders>
                    <w:tl2br w:val="nil"/>
                    <w:tr2bl w:val="nil"/>
                  </w:tcBorders>
                  <w:noWrap w:val="0"/>
                  <w:vAlign w:val="top"/>
                </w:tcPr>
                <w:p w14:paraId="5FBE0082">
                  <w:pPr>
                    <w:spacing w:before="110" w:line="192" w:lineRule="auto"/>
                    <w:ind w:left="357"/>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2"/>
                      <w:sz w:val="21"/>
                      <w:szCs w:val="21"/>
                    </w:rPr>
                    <w:t>5m</w:t>
                  </w:r>
                </w:p>
              </w:tc>
              <w:tc>
                <w:tcPr>
                  <w:tcW w:w="552" w:type="pct"/>
                  <w:tcBorders>
                    <w:tl2br w:val="nil"/>
                    <w:tr2bl w:val="nil"/>
                  </w:tcBorders>
                  <w:noWrap w:val="0"/>
                  <w:vAlign w:val="top"/>
                </w:tcPr>
                <w:p w14:paraId="148C44BC">
                  <w:pPr>
                    <w:spacing w:before="107" w:line="195" w:lineRule="auto"/>
                    <w:ind w:left="310"/>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1"/>
                      <w:sz w:val="21"/>
                      <w:szCs w:val="21"/>
                    </w:rPr>
                    <w:t>10m</w:t>
                  </w:r>
                </w:p>
              </w:tc>
              <w:tc>
                <w:tcPr>
                  <w:tcW w:w="553" w:type="pct"/>
                  <w:tcBorders>
                    <w:tl2br w:val="nil"/>
                    <w:tr2bl w:val="nil"/>
                  </w:tcBorders>
                  <w:noWrap w:val="0"/>
                  <w:vAlign w:val="top"/>
                </w:tcPr>
                <w:p w14:paraId="5871B034">
                  <w:pPr>
                    <w:spacing w:before="107" w:line="195" w:lineRule="auto"/>
                    <w:ind w:left="304"/>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4"/>
                      <w:sz w:val="21"/>
                      <w:szCs w:val="21"/>
                    </w:rPr>
                    <w:t>20m</w:t>
                  </w:r>
                </w:p>
              </w:tc>
              <w:tc>
                <w:tcPr>
                  <w:tcW w:w="554" w:type="pct"/>
                  <w:tcBorders>
                    <w:tl2br w:val="nil"/>
                    <w:tr2bl w:val="nil"/>
                  </w:tcBorders>
                  <w:noWrap w:val="0"/>
                  <w:vAlign w:val="top"/>
                </w:tcPr>
                <w:p w14:paraId="78298EF5">
                  <w:pPr>
                    <w:spacing w:before="107" w:line="195" w:lineRule="auto"/>
                    <w:ind w:left="305"/>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4"/>
                      <w:sz w:val="21"/>
                      <w:szCs w:val="21"/>
                    </w:rPr>
                    <w:t>40m</w:t>
                  </w:r>
                </w:p>
              </w:tc>
              <w:tc>
                <w:tcPr>
                  <w:tcW w:w="631" w:type="pct"/>
                  <w:tcBorders>
                    <w:tl2br w:val="nil"/>
                    <w:tr2bl w:val="nil"/>
                  </w:tcBorders>
                  <w:noWrap w:val="0"/>
                  <w:vAlign w:val="top"/>
                </w:tcPr>
                <w:p w14:paraId="2630F6BD">
                  <w:pPr>
                    <w:spacing w:before="107" w:line="195" w:lineRule="auto"/>
                    <w:ind w:left="377"/>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3"/>
                      <w:sz w:val="21"/>
                      <w:szCs w:val="21"/>
                    </w:rPr>
                    <w:t>60m</w:t>
                  </w:r>
                </w:p>
              </w:tc>
              <w:tc>
                <w:tcPr>
                  <w:tcW w:w="552" w:type="pct"/>
                  <w:tcBorders>
                    <w:tl2br w:val="nil"/>
                    <w:tr2bl w:val="nil"/>
                  </w:tcBorders>
                  <w:noWrap w:val="0"/>
                  <w:vAlign w:val="top"/>
                </w:tcPr>
                <w:p w14:paraId="38079470">
                  <w:pPr>
                    <w:spacing w:before="107" w:line="195" w:lineRule="auto"/>
                    <w:ind w:left="306"/>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3"/>
                      <w:sz w:val="21"/>
                      <w:szCs w:val="21"/>
                    </w:rPr>
                    <w:t>80m</w:t>
                  </w:r>
                </w:p>
              </w:tc>
              <w:tc>
                <w:tcPr>
                  <w:tcW w:w="552" w:type="pct"/>
                  <w:tcBorders>
                    <w:tl2br w:val="nil"/>
                    <w:tr2bl w:val="nil"/>
                  </w:tcBorders>
                  <w:noWrap w:val="0"/>
                  <w:vAlign w:val="top"/>
                </w:tcPr>
                <w:p w14:paraId="29FFAC89">
                  <w:pPr>
                    <w:spacing w:before="92" w:line="195" w:lineRule="auto"/>
                    <w:ind w:left="260"/>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2"/>
                      <w:sz w:val="21"/>
                      <w:szCs w:val="21"/>
                    </w:rPr>
                    <w:t>100m</w:t>
                  </w:r>
                </w:p>
              </w:tc>
            </w:tr>
            <w:tr w14:paraId="5B3238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048" w:type="pct"/>
                  <w:tcBorders>
                    <w:tl2br w:val="nil"/>
                    <w:tr2bl w:val="nil"/>
                  </w:tcBorders>
                  <w:noWrap w:val="0"/>
                  <w:vAlign w:val="top"/>
                </w:tcPr>
                <w:p w14:paraId="4B53AD47">
                  <w:pPr>
                    <w:pStyle w:val="30"/>
                    <w:spacing w:before="74" w:line="228" w:lineRule="auto"/>
                    <w:ind w:left="213"/>
                    <w:rPr>
                      <w:b w:val="0"/>
                      <w:bCs w:val="0"/>
                      <w:color w:val="auto"/>
                      <w:sz w:val="21"/>
                      <w:szCs w:val="21"/>
                    </w:rPr>
                  </w:pPr>
                  <w:r>
                    <w:rPr>
                      <w:b w:val="0"/>
                      <w:bCs w:val="0"/>
                      <w:color w:val="auto"/>
                      <w:spacing w:val="8"/>
                      <w:sz w:val="21"/>
                      <w:szCs w:val="21"/>
                    </w:rPr>
                    <w:t>单辆小型车出入</w:t>
                  </w:r>
                </w:p>
              </w:tc>
              <w:tc>
                <w:tcPr>
                  <w:tcW w:w="553" w:type="pct"/>
                  <w:tcBorders>
                    <w:tl2br w:val="nil"/>
                    <w:tr2bl w:val="nil"/>
                  </w:tcBorders>
                  <w:noWrap w:val="0"/>
                  <w:vAlign w:val="top"/>
                </w:tcPr>
                <w:p w14:paraId="31F0F5D6">
                  <w:pPr>
                    <w:spacing w:before="111" w:line="195" w:lineRule="auto"/>
                    <w:ind w:left="316"/>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2"/>
                      <w:sz w:val="21"/>
                      <w:szCs w:val="21"/>
                    </w:rPr>
                    <w:t>61.3</w:t>
                  </w:r>
                </w:p>
              </w:tc>
              <w:tc>
                <w:tcPr>
                  <w:tcW w:w="552" w:type="pct"/>
                  <w:tcBorders>
                    <w:tl2br w:val="nil"/>
                    <w:tr2bl w:val="nil"/>
                  </w:tcBorders>
                  <w:noWrap w:val="0"/>
                  <w:vAlign w:val="top"/>
                </w:tcPr>
                <w:p w14:paraId="3FE34E6A">
                  <w:pPr>
                    <w:spacing w:before="111" w:line="195" w:lineRule="auto"/>
                    <w:ind w:left="316"/>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2"/>
                      <w:sz w:val="21"/>
                      <w:szCs w:val="21"/>
                    </w:rPr>
                    <w:t>55.3</w:t>
                  </w:r>
                </w:p>
              </w:tc>
              <w:tc>
                <w:tcPr>
                  <w:tcW w:w="553" w:type="pct"/>
                  <w:tcBorders>
                    <w:tl2br w:val="nil"/>
                    <w:tr2bl w:val="nil"/>
                  </w:tcBorders>
                  <w:noWrap w:val="0"/>
                  <w:vAlign w:val="top"/>
                </w:tcPr>
                <w:p w14:paraId="3D6E508A">
                  <w:pPr>
                    <w:spacing w:before="111" w:line="195" w:lineRule="auto"/>
                    <w:ind w:left="310"/>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3"/>
                      <w:sz w:val="21"/>
                      <w:szCs w:val="21"/>
                    </w:rPr>
                    <w:t>49.3</w:t>
                  </w:r>
                </w:p>
              </w:tc>
              <w:tc>
                <w:tcPr>
                  <w:tcW w:w="554" w:type="pct"/>
                  <w:tcBorders>
                    <w:tl2br w:val="nil"/>
                    <w:tr2bl w:val="nil"/>
                  </w:tcBorders>
                  <w:noWrap w:val="0"/>
                  <w:vAlign w:val="top"/>
                </w:tcPr>
                <w:p w14:paraId="2538947D">
                  <w:pPr>
                    <w:spacing w:before="111" w:line="195" w:lineRule="auto"/>
                    <w:ind w:left="313"/>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3"/>
                      <w:sz w:val="21"/>
                      <w:szCs w:val="21"/>
                    </w:rPr>
                    <w:t>43.3</w:t>
                  </w:r>
                </w:p>
              </w:tc>
              <w:tc>
                <w:tcPr>
                  <w:tcW w:w="631" w:type="pct"/>
                  <w:tcBorders>
                    <w:tl2br w:val="nil"/>
                    <w:tr2bl w:val="nil"/>
                  </w:tcBorders>
                  <w:noWrap w:val="0"/>
                  <w:vAlign w:val="top"/>
                </w:tcPr>
                <w:p w14:paraId="7E5E43E1">
                  <w:pPr>
                    <w:spacing w:before="111" w:line="195" w:lineRule="auto"/>
                    <w:ind w:left="387"/>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1"/>
                      <w:sz w:val="21"/>
                      <w:szCs w:val="21"/>
                    </w:rPr>
                    <w:t>39.7</w:t>
                  </w:r>
                </w:p>
              </w:tc>
              <w:tc>
                <w:tcPr>
                  <w:tcW w:w="552" w:type="pct"/>
                  <w:tcBorders>
                    <w:tl2br w:val="nil"/>
                    <w:tr2bl w:val="nil"/>
                  </w:tcBorders>
                  <w:noWrap w:val="0"/>
                  <w:vAlign w:val="top"/>
                </w:tcPr>
                <w:p w14:paraId="0F4B8BE2">
                  <w:pPr>
                    <w:spacing w:before="111" w:line="195" w:lineRule="auto"/>
                    <w:ind w:left="315"/>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2"/>
                      <w:sz w:val="21"/>
                      <w:szCs w:val="21"/>
                    </w:rPr>
                    <w:t>37.2</w:t>
                  </w:r>
                </w:p>
              </w:tc>
              <w:tc>
                <w:tcPr>
                  <w:tcW w:w="552" w:type="pct"/>
                  <w:tcBorders>
                    <w:tl2br w:val="nil"/>
                    <w:tr2bl w:val="nil"/>
                  </w:tcBorders>
                  <w:noWrap w:val="0"/>
                  <w:vAlign w:val="top"/>
                </w:tcPr>
                <w:p w14:paraId="0D08F48F">
                  <w:pPr>
                    <w:spacing w:before="99" w:line="195" w:lineRule="auto"/>
                    <w:ind w:left="315"/>
                    <w:rPr>
                      <w:rFonts w:ascii="Times New Roman" w:hAnsi="Times New Roman" w:eastAsia="Times New Roman" w:cs="Times New Roman"/>
                      <w:b w:val="0"/>
                      <w:bCs w:val="0"/>
                      <w:color w:val="auto"/>
                      <w:sz w:val="21"/>
                      <w:szCs w:val="21"/>
                    </w:rPr>
                  </w:pPr>
                  <w:r>
                    <w:rPr>
                      <w:rFonts w:ascii="Times New Roman" w:hAnsi="Times New Roman" w:eastAsia="Times New Roman" w:cs="Times New Roman"/>
                      <w:b w:val="0"/>
                      <w:bCs w:val="0"/>
                      <w:color w:val="auto"/>
                      <w:spacing w:val="2"/>
                      <w:sz w:val="21"/>
                      <w:szCs w:val="21"/>
                    </w:rPr>
                    <w:t>35.3</w:t>
                  </w:r>
                </w:p>
              </w:tc>
            </w:tr>
          </w:tbl>
          <w:p w14:paraId="73338946">
            <w:pPr>
              <w:pStyle w:val="7"/>
              <w:spacing w:before="55" w:line="360" w:lineRule="auto"/>
              <w:ind w:left="1" w:firstLine="480" w:firstLineChars="200"/>
              <w:outlineLvl w:val="2"/>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对类似停车场的噪声监测结果表明，在进出车库的车辆相对较少情况下，一般不会发生交通堵塞，进出停车场的路边交通噪声值基本上在65dB（A）以下，车辆噪声对周围环境的影响较小。而在高峰期，由于进入停车场的车流量大幅增加，可能造成车辆局部拥挤堵塞，车辆不停地怠速、加速和减速，进出车库的路边交通噪声值有时达到70～80dB（A），使局部声环境质量变差。</w:t>
            </w:r>
          </w:p>
          <w:p w14:paraId="06A9E828">
            <w:pPr>
              <w:pStyle w:val="7"/>
              <w:spacing w:before="55" w:line="360" w:lineRule="auto"/>
              <w:ind w:left="1" w:firstLine="480" w:firstLineChars="200"/>
              <w:outlineLvl w:val="2"/>
              <w:rPr>
                <w:rFonts w:hint="eastAsia"/>
                <w:color w:val="auto"/>
                <w:sz w:val="24"/>
              </w:rPr>
            </w:pPr>
            <w:r>
              <w:rPr>
                <w:rFonts w:hint="eastAsia" w:ascii="Times New Roman" w:hAnsi="Times New Roman" w:eastAsia="宋体" w:cs="Times New Roman"/>
                <w:color w:val="auto"/>
                <w:sz w:val="24"/>
              </w:rPr>
              <w:t>因此在项目营运期间，为避免在高峰期造成局部交通堵塞对环境的影响，应高度重视医院交通管理。</w:t>
            </w:r>
          </w:p>
          <w:p w14:paraId="5FD9AC06">
            <w:pPr>
              <w:pStyle w:val="7"/>
              <w:spacing w:line="219" w:lineRule="auto"/>
              <w:ind w:left="641"/>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五、保护措施</w:t>
            </w:r>
          </w:p>
          <w:p w14:paraId="75DCCCD6">
            <w:pPr>
              <w:spacing w:line="360" w:lineRule="auto"/>
              <w:ind w:firstLine="480" w:firstLineChars="200"/>
              <w:rPr>
                <w:rFonts w:hint="eastAsia"/>
                <w:color w:val="auto"/>
                <w:sz w:val="24"/>
              </w:rPr>
            </w:pPr>
            <w:r>
              <w:rPr>
                <w:rFonts w:hint="eastAsia"/>
                <w:color w:val="auto"/>
                <w:sz w:val="24"/>
              </w:rPr>
              <w:t>1、选用低噪声设备，并加强设备的日常管理及维护保养，并定期检修，保证设备处于良好的运行状态，避免因设备运转不正常造成周界噪声值增加。</w:t>
            </w:r>
          </w:p>
          <w:p w14:paraId="7DBFF4ED">
            <w:pPr>
              <w:spacing w:line="360" w:lineRule="auto"/>
              <w:ind w:firstLine="480" w:firstLineChars="200"/>
              <w:rPr>
                <w:rFonts w:hint="eastAsia"/>
                <w:color w:val="auto"/>
                <w:sz w:val="24"/>
              </w:rPr>
            </w:pPr>
            <w:r>
              <w:rPr>
                <w:rFonts w:hint="eastAsia" w:ascii="Times New Roman" w:hAnsi="Times New Roman" w:eastAsia="宋体" w:cs="Times New Roman"/>
                <w:color w:val="auto"/>
                <w:sz w:val="24"/>
                <w:lang w:val="en-US" w:eastAsia="zh-CN"/>
              </w:rPr>
              <w:t>2、</w:t>
            </w:r>
            <w:r>
              <w:rPr>
                <w:rFonts w:hint="eastAsia" w:ascii="Times New Roman" w:hAnsi="Times New Roman" w:eastAsia="宋体" w:cs="Times New Roman"/>
                <w:color w:val="auto"/>
                <w:sz w:val="24"/>
              </w:rPr>
              <w:t>应高度重视医院交通管理。需完善医院的车辆管理制度；合理规划医院内的车流方向，保持区内的车流畅通；禁止区内车辆随意停放，尤其是不得在人行道上停放；设立限速标志，限制医院内车辆的车速；禁止车辆鸣笛等。</w:t>
            </w:r>
          </w:p>
          <w:p w14:paraId="3E01C131">
            <w:pPr>
              <w:spacing w:line="360" w:lineRule="auto"/>
              <w:rPr>
                <w:rFonts w:hint="eastAsia"/>
                <w:b/>
                <w:color w:val="auto"/>
                <w:kern w:val="0"/>
                <w:sz w:val="28"/>
                <w:szCs w:val="28"/>
              </w:rPr>
            </w:pPr>
            <w:r>
              <w:rPr>
                <w:b/>
                <w:bCs/>
                <w:color w:val="auto"/>
                <w:sz w:val="28"/>
                <w:szCs w:val="28"/>
              </w:rPr>
              <w:t>4.</w:t>
            </w:r>
            <w:r>
              <w:rPr>
                <w:rFonts w:hint="eastAsia"/>
                <w:b/>
                <w:bCs/>
                <w:color w:val="auto"/>
                <w:sz w:val="28"/>
                <w:szCs w:val="28"/>
              </w:rPr>
              <w:t>2</w:t>
            </w:r>
            <w:r>
              <w:rPr>
                <w:b/>
                <w:bCs/>
                <w:color w:val="auto"/>
                <w:sz w:val="28"/>
                <w:szCs w:val="28"/>
              </w:rPr>
              <w:t>.</w:t>
            </w:r>
            <w:r>
              <w:rPr>
                <w:rFonts w:hint="eastAsia"/>
                <w:b/>
                <w:bCs/>
                <w:color w:val="auto"/>
                <w:sz w:val="28"/>
                <w:szCs w:val="28"/>
              </w:rPr>
              <w:t>4固体废物</w:t>
            </w:r>
            <w:r>
              <w:rPr>
                <w:b/>
                <w:color w:val="auto"/>
                <w:kern w:val="0"/>
                <w:sz w:val="28"/>
                <w:szCs w:val="28"/>
              </w:rPr>
              <w:t>环境影响</w:t>
            </w:r>
            <w:r>
              <w:rPr>
                <w:rFonts w:hint="eastAsia"/>
                <w:b/>
                <w:color w:val="auto"/>
                <w:kern w:val="0"/>
                <w:sz w:val="28"/>
                <w:szCs w:val="28"/>
              </w:rPr>
              <w:t>和保护措施</w:t>
            </w:r>
          </w:p>
          <w:p w14:paraId="0CA45413">
            <w:pPr>
              <w:pStyle w:val="30"/>
              <w:spacing w:before="213" w:line="234" w:lineRule="auto"/>
              <w:ind w:left="577"/>
              <w:rPr>
                <w:color w:val="auto"/>
                <w:lang w:eastAsia="zh-CN"/>
              </w:rPr>
            </w:pPr>
            <w:r>
              <w:rPr>
                <w:rFonts w:ascii="Times New Roman" w:hAnsi="Times New Roman" w:eastAsia="Times New Roman" w:cs="Times New Roman"/>
                <w:color w:val="auto"/>
                <w:spacing w:val="-1"/>
                <w:lang w:eastAsia="zh-CN"/>
              </w:rPr>
              <w:t>a</w:t>
            </w:r>
            <w:r>
              <w:rPr>
                <w:color w:val="auto"/>
                <w:spacing w:val="-1"/>
                <w:lang w:eastAsia="zh-CN"/>
              </w:rPr>
              <w:t>）医疗废物</w:t>
            </w:r>
          </w:p>
          <w:p w14:paraId="57F50985">
            <w:pPr>
              <w:pStyle w:val="30"/>
              <w:spacing w:before="196" w:line="371" w:lineRule="auto"/>
              <w:ind w:left="104" w:right="101" w:firstLine="484"/>
              <w:rPr>
                <w:color w:val="auto"/>
                <w:lang w:eastAsia="zh-CN"/>
              </w:rPr>
            </w:pPr>
            <w:r>
              <w:rPr>
                <w:color w:val="auto"/>
                <w:lang w:eastAsia="zh-CN"/>
              </w:rPr>
              <w:t>医院产生的医疗废物来源广泛，且成分复杂，根据</w:t>
            </w:r>
            <w:r>
              <w:rPr>
                <w:color w:val="auto"/>
                <w:spacing w:val="-2"/>
                <w:lang w:eastAsia="zh-CN"/>
              </w:rPr>
              <w:t>《国家危险废物名录（</w:t>
            </w:r>
            <w:r>
              <w:rPr>
                <w:rFonts w:ascii="Times New Roman" w:hAnsi="Times New Roman" w:eastAsia="Times New Roman" w:cs="Times New Roman"/>
                <w:color w:val="auto"/>
                <w:spacing w:val="-2"/>
                <w:lang w:eastAsia="zh-CN"/>
              </w:rPr>
              <w:t>202</w:t>
            </w:r>
            <w:r>
              <w:rPr>
                <w:rFonts w:hint="eastAsia" w:ascii="Times New Roman" w:hAnsi="Times New Roman" w:cs="Times New Roman"/>
                <w:color w:val="auto"/>
                <w:spacing w:val="-2"/>
                <w:lang w:eastAsia="zh-CN"/>
              </w:rPr>
              <w:t>5</w:t>
            </w:r>
            <w:r>
              <w:rPr>
                <w:color w:val="auto"/>
                <w:spacing w:val="-2"/>
                <w:lang w:eastAsia="zh-CN"/>
              </w:rPr>
              <w:t>年版）》</w:t>
            </w:r>
            <w:r>
              <w:rPr>
                <w:color w:val="auto"/>
                <w:spacing w:val="-1"/>
                <w:lang w:eastAsia="zh-CN"/>
              </w:rPr>
              <w:t>，医疗废物主要有以下五类，具体见下表：</w:t>
            </w:r>
          </w:p>
          <w:p w14:paraId="631BF209">
            <w:pPr>
              <w:pStyle w:val="30"/>
              <w:spacing w:before="98" w:line="214" w:lineRule="auto"/>
              <w:ind w:left="3061"/>
              <w:rPr>
                <w:color w:val="auto"/>
              </w:rPr>
            </w:pPr>
            <w:r>
              <w:rPr>
                <w:b/>
                <w:bCs/>
                <w:color w:val="auto"/>
                <w:spacing w:val="-4"/>
              </w:rPr>
              <w:t>表</w:t>
            </w:r>
            <w:r>
              <w:rPr>
                <w:rFonts w:ascii="Times New Roman" w:hAnsi="Times New Roman" w:eastAsia="Times New Roman" w:cs="Times New Roman"/>
                <w:b/>
                <w:bCs/>
                <w:color w:val="auto"/>
                <w:spacing w:val="-4"/>
              </w:rPr>
              <w:t>4.</w:t>
            </w:r>
            <w:r>
              <w:rPr>
                <w:rFonts w:hint="eastAsia" w:ascii="Times New Roman" w:hAnsi="Times New Roman" w:cs="Times New Roman"/>
                <w:b/>
                <w:bCs/>
                <w:color w:val="auto"/>
                <w:spacing w:val="-4"/>
                <w:lang w:eastAsia="zh-CN"/>
              </w:rPr>
              <w:t>2</w:t>
            </w:r>
            <w:r>
              <w:rPr>
                <w:rFonts w:ascii="Times New Roman" w:hAnsi="Times New Roman" w:eastAsia="Times New Roman" w:cs="Times New Roman"/>
                <w:b/>
                <w:bCs/>
                <w:color w:val="auto"/>
                <w:spacing w:val="-4"/>
              </w:rPr>
              <w:t>-</w:t>
            </w:r>
            <w:r>
              <w:rPr>
                <w:rFonts w:hint="eastAsia" w:ascii="Times New Roman" w:hAnsi="Times New Roman" w:cs="Times New Roman"/>
                <w:b/>
                <w:bCs/>
                <w:color w:val="auto"/>
                <w:spacing w:val="-4"/>
                <w:lang w:eastAsia="zh-CN"/>
              </w:rPr>
              <w:t>6</w:t>
            </w:r>
            <w:r>
              <w:rPr>
                <w:b/>
                <w:bCs/>
                <w:color w:val="auto"/>
                <w:spacing w:val="-4"/>
              </w:rPr>
              <w:t>医疗废物分类</w:t>
            </w:r>
          </w:p>
          <w:tbl>
            <w:tblPr>
              <w:tblStyle w:val="17"/>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2"/>
              <w:gridCol w:w="1292"/>
              <w:gridCol w:w="3642"/>
              <w:gridCol w:w="1533"/>
              <w:gridCol w:w="1357"/>
            </w:tblGrid>
            <w:tr w14:paraId="45591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401" w:type="pct"/>
                  <w:tcBorders>
                    <w:top w:val="single" w:color="000000" w:sz="12" w:space="0"/>
                    <w:left w:val="nil"/>
                    <w:bottom w:val="single" w:color="auto" w:sz="4" w:space="0"/>
                    <w:right w:val="single" w:color="auto" w:sz="4" w:space="0"/>
                  </w:tcBorders>
                  <w:shd w:val="clear" w:color="auto" w:fill="FFFFFF"/>
                  <w:noWrap w:val="0"/>
                  <w:vAlign w:val="center"/>
                </w:tcPr>
                <w:p w14:paraId="56D08156">
                  <w:pPr>
                    <w:pStyle w:val="30"/>
                    <w:spacing w:line="340" w:lineRule="exact"/>
                    <w:jc w:val="center"/>
                    <w:rPr>
                      <w:color w:val="auto"/>
                      <w:sz w:val="21"/>
                      <w:szCs w:val="21"/>
                    </w:rPr>
                  </w:pPr>
                  <w:r>
                    <w:rPr>
                      <w:color w:val="auto"/>
                      <w:spacing w:val="-2"/>
                      <w:sz w:val="21"/>
                      <w:szCs w:val="21"/>
                    </w:rPr>
                    <w:t>类型</w:t>
                  </w:r>
                </w:p>
              </w:tc>
              <w:tc>
                <w:tcPr>
                  <w:tcW w:w="2899" w:type="pct"/>
                  <w:gridSpan w:val="2"/>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15B272B4">
                  <w:pPr>
                    <w:pStyle w:val="30"/>
                    <w:spacing w:line="340" w:lineRule="exact"/>
                    <w:jc w:val="center"/>
                    <w:rPr>
                      <w:color w:val="auto"/>
                      <w:sz w:val="21"/>
                      <w:szCs w:val="21"/>
                    </w:rPr>
                  </w:pPr>
                  <w:r>
                    <w:rPr>
                      <w:color w:val="auto"/>
                      <w:spacing w:val="-3"/>
                      <w:sz w:val="21"/>
                      <w:szCs w:val="21"/>
                    </w:rPr>
                    <w:t>定义</w:t>
                  </w:r>
                </w:p>
              </w:tc>
              <w:tc>
                <w:tcPr>
                  <w:tcW w:w="901" w:type="pct"/>
                  <w:tcBorders>
                    <w:top w:val="single" w:color="000000" w:sz="12" w:space="0"/>
                    <w:left w:val="single" w:color="auto" w:sz="4" w:space="0"/>
                    <w:bottom w:val="single" w:color="auto" w:sz="4" w:space="0"/>
                    <w:right w:val="nil"/>
                  </w:tcBorders>
                  <w:shd w:val="clear" w:color="auto" w:fill="FFFFFF"/>
                  <w:noWrap w:val="0"/>
                  <w:vAlign w:val="center"/>
                </w:tcPr>
                <w:p w14:paraId="1BA140B4">
                  <w:pPr>
                    <w:pStyle w:val="30"/>
                    <w:spacing w:line="340" w:lineRule="exact"/>
                    <w:jc w:val="center"/>
                    <w:rPr>
                      <w:color w:val="auto"/>
                      <w:sz w:val="21"/>
                      <w:szCs w:val="21"/>
                    </w:rPr>
                  </w:pPr>
                  <w:r>
                    <w:rPr>
                      <w:color w:val="auto"/>
                      <w:spacing w:val="-1"/>
                      <w:sz w:val="21"/>
                      <w:szCs w:val="21"/>
                    </w:rPr>
                    <w:t>本项目实施后</w:t>
                  </w:r>
                </w:p>
              </w:tc>
              <w:tc>
                <w:tcPr>
                  <w:tcW w:w="797" w:type="pct"/>
                  <w:tcBorders>
                    <w:top w:val="single" w:color="000000" w:sz="12" w:space="0"/>
                    <w:left w:val="single" w:color="auto" w:sz="4" w:space="0"/>
                    <w:bottom w:val="single" w:color="auto" w:sz="4" w:space="0"/>
                    <w:right w:val="nil"/>
                  </w:tcBorders>
                  <w:shd w:val="clear" w:color="auto" w:fill="FFFFFF"/>
                  <w:noWrap w:val="0"/>
                  <w:vAlign w:val="center"/>
                </w:tcPr>
                <w:p w14:paraId="0BE01480">
                  <w:pPr>
                    <w:pStyle w:val="30"/>
                    <w:spacing w:line="340" w:lineRule="exact"/>
                    <w:jc w:val="center"/>
                    <w:rPr>
                      <w:rFonts w:hint="eastAsia"/>
                      <w:color w:val="auto"/>
                      <w:spacing w:val="-1"/>
                      <w:sz w:val="21"/>
                      <w:szCs w:val="21"/>
                      <w:lang w:eastAsia="zh-CN"/>
                    </w:rPr>
                  </w:pPr>
                  <w:r>
                    <w:rPr>
                      <w:rFonts w:hint="eastAsia"/>
                      <w:color w:val="auto"/>
                      <w:spacing w:val="-1"/>
                      <w:sz w:val="21"/>
                      <w:szCs w:val="21"/>
                      <w:lang w:eastAsia="zh-CN"/>
                    </w:rPr>
                    <w:t>产生科室</w:t>
                  </w:r>
                </w:p>
              </w:tc>
            </w:tr>
            <w:tr w14:paraId="1202A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3" w:hRule="atLeast"/>
              </w:trPr>
              <w:tc>
                <w:tcPr>
                  <w:tcW w:w="401" w:type="pct"/>
                  <w:vMerge w:val="restart"/>
                  <w:tcBorders>
                    <w:top w:val="single" w:color="auto" w:sz="4" w:space="0"/>
                    <w:left w:val="nil"/>
                    <w:bottom w:val="single" w:color="auto" w:sz="4" w:space="0"/>
                    <w:right w:val="single" w:color="auto" w:sz="4" w:space="0"/>
                  </w:tcBorders>
                  <w:shd w:val="clear" w:color="auto" w:fill="FFFFFF"/>
                  <w:noWrap w:val="0"/>
                  <w:vAlign w:val="center"/>
                </w:tcPr>
                <w:p w14:paraId="1F1FB169">
                  <w:pPr>
                    <w:pStyle w:val="30"/>
                    <w:spacing w:line="340" w:lineRule="exact"/>
                    <w:jc w:val="center"/>
                    <w:rPr>
                      <w:color w:val="auto"/>
                      <w:sz w:val="21"/>
                      <w:szCs w:val="21"/>
                    </w:rPr>
                  </w:pPr>
                  <w:r>
                    <w:rPr>
                      <w:color w:val="auto"/>
                      <w:spacing w:val="-2"/>
                      <w:sz w:val="21"/>
                      <w:szCs w:val="21"/>
                    </w:rPr>
                    <w:t>感染</w:t>
                  </w:r>
                </w:p>
                <w:p w14:paraId="0BCA26CE">
                  <w:pPr>
                    <w:pStyle w:val="30"/>
                    <w:spacing w:line="340" w:lineRule="exact"/>
                    <w:jc w:val="center"/>
                    <w:rPr>
                      <w:color w:val="auto"/>
                      <w:sz w:val="21"/>
                      <w:szCs w:val="21"/>
                    </w:rPr>
                  </w:pPr>
                  <w:r>
                    <w:rPr>
                      <w:color w:val="auto"/>
                      <w:spacing w:val="-2"/>
                      <w:sz w:val="21"/>
                      <w:szCs w:val="21"/>
                    </w:rPr>
                    <w:t>性废</w:t>
                  </w:r>
                </w:p>
                <w:p w14:paraId="19431F5D">
                  <w:pPr>
                    <w:pStyle w:val="30"/>
                    <w:spacing w:line="340" w:lineRule="exact"/>
                    <w:jc w:val="center"/>
                    <w:rPr>
                      <w:color w:val="auto"/>
                      <w:sz w:val="21"/>
                      <w:szCs w:val="21"/>
                    </w:rPr>
                  </w:pPr>
                  <w:r>
                    <w:rPr>
                      <w:color w:val="auto"/>
                      <w:sz w:val="21"/>
                      <w:szCs w:val="21"/>
                    </w:rPr>
                    <w:t>物</w:t>
                  </w:r>
                </w:p>
              </w:tc>
              <w:tc>
                <w:tcPr>
                  <w:tcW w:w="759" w:type="pct"/>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471361">
                  <w:pPr>
                    <w:spacing w:line="340" w:lineRule="exact"/>
                    <w:jc w:val="center"/>
                    <w:rPr>
                      <w:rFonts w:ascii="Arial"/>
                      <w:color w:val="auto"/>
                    </w:rPr>
                  </w:pPr>
                </w:p>
                <w:p w14:paraId="6C74FEA1">
                  <w:pPr>
                    <w:spacing w:line="340" w:lineRule="exact"/>
                    <w:jc w:val="center"/>
                    <w:rPr>
                      <w:rFonts w:ascii="Arial"/>
                      <w:color w:val="auto"/>
                    </w:rPr>
                  </w:pPr>
                </w:p>
                <w:p w14:paraId="4729C086">
                  <w:pPr>
                    <w:pStyle w:val="30"/>
                    <w:spacing w:line="340" w:lineRule="exact"/>
                    <w:jc w:val="center"/>
                    <w:rPr>
                      <w:color w:val="auto"/>
                      <w:sz w:val="21"/>
                      <w:szCs w:val="21"/>
                      <w:lang w:eastAsia="zh-CN"/>
                    </w:rPr>
                  </w:pPr>
                  <w:r>
                    <w:rPr>
                      <w:color w:val="auto"/>
                      <w:spacing w:val="-1"/>
                      <w:sz w:val="21"/>
                      <w:szCs w:val="21"/>
                      <w:lang w:eastAsia="zh-CN"/>
                    </w:rPr>
                    <w:t>携带病原微生物具有引发感染性疾病传播危险</w:t>
                  </w:r>
                  <w:r>
                    <w:rPr>
                      <w:color w:val="auto"/>
                      <w:spacing w:val="-6"/>
                      <w:sz w:val="21"/>
                      <w:szCs w:val="21"/>
                      <w:lang w:eastAsia="zh-CN"/>
                    </w:rPr>
                    <w:t>的医疗废物。</w:t>
                  </w: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17FEDB">
                  <w:pPr>
                    <w:pStyle w:val="30"/>
                    <w:spacing w:line="340" w:lineRule="exact"/>
                    <w:jc w:val="center"/>
                    <w:rPr>
                      <w:color w:val="auto"/>
                      <w:sz w:val="21"/>
                      <w:szCs w:val="21"/>
                      <w:lang w:eastAsia="zh-CN"/>
                    </w:rPr>
                  </w:pPr>
                  <w:r>
                    <w:rPr>
                      <w:rFonts w:ascii="Times New Roman" w:hAnsi="Times New Roman" w:eastAsia="Times New Roman" w:cs="Times New Roman"/>
                      <w:color w:val="auto"/>
                      <w:spacing w:val="-2"/>
                      <w:sz w:val="21"/>
                      <w:szCs w:val="21"/>
                      <w:lang w:eastAsia="zh-CN"/>
                    </w:rPr>
                    <w:t>1.</w:t>
                  </w:r>
                  <w:r>
                    <w:rPr>
                      <w:color w:val="auto"/>
                      <w:spacing w:val="-2"/>
                      <w:sz w:val="21"/>
                      <w:szCs w:val="21"/>
                      <w:lang w:eastAsia="zh-CN"/>
                    </w:rPr>
                    <w:t>被患者血液、体液、排泄物等污染的除锐</w:t>
                  </w:r>
                  <w:r>
                    <w:rPr>
                      <w:color w:val="auto"/>
                      <w:spacing w:val="-5"/>
                      <w:sz w:val="21"/>
                      <w:szCs w:val="21"/>
                      <w:lang w:eastAsia="zh-CN"/>
                    </w:rPr>
                    <w:t>器以外的废物；</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6C864915">
                  <w:pPr>
                    <w:pStyle w:val="30"/>
                    <w:spacing w:line="340" w:lineRule="exact"/>
                    <w:jc w:val="center"/>
                    <w:rPr>
                      <w:color w:val="auto"/>
                      <w:sz w:val="21"/>
                      <w:szCs w:val="21"/>
                    </w:rPr>
                  </w:pPr>
                  <w:r>
                    <w:rPr>
                      <w:color w:val="auto"/>
                      <w:spacing w:val="-1"/>
                      <w:sz w:val="21"/>
                      <w:szCs w:val="21"/>
                    </w:rPr>
                    <w:t>含此类废物</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33F4231C">
                  <w:pPr>
                    <w:pStyle w:val="30"/>
                    <w:spacing w:line="340" w:lineRule="exact"/>
                    <w:jc w:val="center"/>
                    <w:rPr>
                      <w:color w:val="auto"/>
                      <w:spacing w:val="-1"/>
                      <w:sz w:val="21"/>
                      <w:szCs w:val="21"/>
                    </w:rPr>
                  </w:pPr>
                  <w:r>
                    <w:rPr>
                      <w:rFonts w:hint="eastAsia" w:ascii="Times New Roman" w:hAnsi="Times New Roman" w:cs="Times New Roman"/>
                      <w:color w:val="auto"/>
                      <w:sz w:val="21"/>
                      <w:szCs w:val="21"/>
                      <w:lang w:val="en-US" w:eastAsia="zh-CN"/>
                    </w:rPr>
                    <w:t>化验</w:t>
                  </w:r>
                  <w:r>
                    <w:rPr>
                      <w:rFonts w:hint="eastAsia" w:ascii="Times New Roman" w:hAnsi="Times New Roman" w:cs="Times New Roman"/>
                      <w:color w:val="auto"/>
                      <w:sz w:val="21"/>
                      <w:szCs w:val="21"/>
                      <w:lang w:eastAsia="zh-CN"/>
                    </w:rPr>
                    <w:t>科</w:t>
                  </w:r>
                </w:p>
              </w:tc>
            </w:tr>
            <w:tr w14:paraId="7A35A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401"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1AEEB813">
                  <w:pPr>
                    <w:spacing w:line="340" w:lineRule="exact"/>
                    <w:jc w:val="center"/>
                    <w:rPr>
                      <w:rFonts w:ascii="Arial"/>
                      <w:color w:val="auto"/>
                    </w:rPr>
                  </w:pPr>
                </w:p>
              </w:tc>
              <w:tc>
                <w:tcPr>
                  <w:tcW w:w="759"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1E7A3D">
                  <w:pPr>
                    <w:spacing w:line="340" w:lineRule="exact"/>
                    <w:jc w:val="center"/>
                    <w:rPr>
                      <w:rFonts w:ascii="Arial"/>
                      <w:color w:val="auto"/>
                    </w:rPr>
                  </w:pP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0E187F">
                  <w:pPr>
                    <w:pStyle w:val="30"/>
                    <w:spacing w:line="340" w:lineRule="exact"/>
                    <w:jc w:val="center"/>
                    <w:rPr>
                      <w:color w:val="auto"/>
                      <w:sz w:val="21"/>
                      <w:szCs w:val="21"/>
                      <w:lang w:eastAsia="zh-CN"/>
                    </w:rPr>
                  </w:pPr>
                  <w:r>
                    <w:rPr>
                      <w:rFonts w:ascii="Times New Roman" w:hAnsi="Times New Roman" w:eastAsia="Times New Roman" w:cs="Times New Roman"/>
                      <w:color w:val="auto"/>
                      <w:spacing w:val="-1"/>
                      <w:sz w:val="21"/>
                      <w:szCs w:val="21"/>
                      <w:lang w:eastAsia="zh-CN"/>
                    </w:rPr>
                    <w:t>2.</w:t>
                  </w:r>
                  <w:r>
                    <w:rPr>
                      <w:color w:val="auto"/>
                      <w:spacing w:val="-1"/>
                      <w:sz w:val="21"/>
                      <w:szCs w:val="21"/>
                      <w:lang w:eastAsia="zh-CN"/>
                    </w:rPr>
                    <w:t>使用后废弃的一次性使用医疗器械，如注射器、输液器、透析器等；</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6FC56C3C">
                  <w:pPr>
                    <w:pStyle w:val="30"/>
                    <w:spacing w:line="340" w:lineRule="exact"/>
                    <w:jc w:val="center"/>
                    <w:rPr>
                      <w:color w:val="auto"/>
                      <w:sz w:val="21"/>
                      <w:szCs w:val="21"/>
                    </w:rPr>
                  </w:pPr>
                  <w:r>
                    <w:rPr>
                      <w:color w:val="auto"/>
                      <w:spacing w:val="-1"/>
                      <w:sz w:val="21"/>
                      <w:szCs w:val="21"/>
                    </w:rPr>
                    <w:t>含此类废物</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74BCB977">
                  <w:pPr>
                    <w:pStyle w:val="30"/>
                    <w:spacing w:line="340" w:lineRule="exact"/>
                    <w:jc w:val="center"/>
                    <w:rPr>
                      <w:color w:val="auto"/>
                      <w:spacing w:val="-1"/>
                      <w:sz w:val="21"/>
                      <w:szCs w:val="21"/>
                    </w:rPr>
                  </w:pPr>
                  <w:r>
                    <w:rPr>
                      <w:rFonts w:hint="eastAsia" w:ascii="Times New Roman" w:hAnsi="Times New Roman" w:cs="Times New Roman"/>
                      <w:color w:val="auto"/>
                      <w:sz w:val="21"/>
                      <w:szCs w:val="21"/>
                      <w:lang w:val="en-US" w:eastAsia="zh-CN"/>
                    </w:rPr>
                    <w:t>化验</w:t>
                  </w:r>
                  <w:r>
                    <w:rPr>
                      <w:rFonts w:hint="eastAsia" w:ascii="Times New Roman" w:hAnsi="Times New Roman" w:cs="Times New Roman"/>
                      <w:color w:val="auto"/>
                      <w:sz w:val="21"/>
                      <w:szCs w:val="21"/>
                      <w:lang w:eastAsia="zh-CN"/>
                    </w:rPr>
                    <w:t>科、病房</w:t>
                  </w:r>
                </w:p>
              </w:tc>
            </w:tr>
            <w:tr w14:paraId="4ACE6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9" w:hRule="atLeast"/>
              </w:trPr>
              <w:tc>
                <w:tcPr>
                  <w:tcW w:w="401"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5486B1DF">
                  <w:pPr>
                    <w:spacing w:line="340" w:lineRule="exact"/>
                    <w:jc w:val="center"/>
                    <w:rPr>
                      <w:rFonts w:ascii="Arial"/>
                      <w:color w:val="auto"/>
                    </w:rPr>
                  </w:pPr>
                </w:p>
              </w:tc>
              <w:tc>
                <w:tcPr>
                  <w:tcW w:w="759"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BD5FCF">
                  <w:pPr>
                    <w:spacing w:line="340" w:lineRule="exact"/>
                    <w:jc w:val="center"/>
                    <w:rPr>
                      <w:rFonts w:ascii="Arial"/>
                      <w:color w:val="auto"/>
                    </w:rPr>
                  </w:pP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75DBEC">
                  <w:pPr>
                    <w:pStyle w:val="30"/>
                    <w:spacing w:line="340" w:lineRule="exact"/>
                    <w:jc w:val="center"/>
                    <w:rPr>
                      <w:color w:val="auto"/>
                      <w:sz w:val="21"/>
                      <w:szCs w:val="21"/>
                      <w:lang w:eastAsia="zh-CN"/>
                    </w:rPr>
                  </w:pPr>
                  <w:r>
                    <w:rPr>
                      <w:rFonts w:ascii="Times New Roman" w:hAnsi="Times New Roman" w:eastAsia="Times New Roman" w:cs="Times New Roman"/>
                      <w:color w:val="auto"/>
                      <w:spacing w:val="-1"/>
                      <w:sz w:val="21"/>
                      <w:szCs w:val="21"/>
                      <w:lang w:eastAsia="zh-CN"/>
                    </w:rPr>
                    <w:t>3.</w:t>
                  </w:r>
                  <w:r>
                    <w:rPr>
                      <w:color w:val="auto"/>
                      <w:spacing w:val="-1"/>
                      <w:sz w:val="21"/>
                      <w:szCs w:val="21"/>
                      <w:lang w:eastAsia="zh-CN"/>
                    </w:rPr>
                    <w:t>病原微生物实验室废弃的病原体培养基、</w:t>
                  </w:r>
                  <w:r>
                    <w:rPr>
                      <w:color w:val="auto"/>
                      <w:spacing w:val="-2"/>
                      <w:sz w:val="21"/>
                      <w:szCs w:val="21"/>
                      <w:lang w:eastAsia="zh-CN"/>
                    </w:rPr>
                    <w:t>标本，菌种和毒种保存液及其容器；其他实验室及科室废弃的血液、血清、分泌物等标</w:t>
                  </w:r>
                  <w:r>
                    <w:rPr>
                      <w:color w:val="auto"/>
                      <w:spacing w:val="-6"/>
                      <w:sz w:val="21"/>
                      <w:szCs w:val="21"/>
                      <w:lang w:eastAsia="zh-CN"/>
                    </w:rPr>
                    <w:t>本和容器；</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211F64FA">
                  <w:pPr>
                    <w:pStyle w:val="30"/>
                    <w:spacing w:line="340" w:lineRule="exact"/>
                    <w:jc w:val="center"/>
                    <w:rPr>
                      <w:color w:val="auto"/>
                      <w:sz w:val="21"/>
                      <w:szCs w:val="21"/>
                    </w:rPr>
                  </w:pPr>
                  <w:r>
                    <w:rPr>
                      <w:color w:val="auto"/>
                      <w:sz w:val="21"/>
                      <w:szCs w:val="21"/>
                    </w:rPr>
                    <w:t>无</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6A09BC82">
                  <w:pPr>
                    <w:pStyle w:val="30"/>
                    <w:spacing w:line="340" w:lineRule="exact"/>
                    <w:jc w:val="center"/>
                    <w:rPr>
                      <w:color w:val="auto"/>
                      <w:sz w:val="21"/>
                      <w:szCs w:val="21"/>
                      <w:lang w:eastAsia="zh-CN"/>
                    </w:rPr>
                  </w:pPr>
                  <w:r>
                    <w:rPr>
                      <w:rFonts w:hint="eastAsia"/>
                      <w:color w:val="auto"/>
                      <w:sz w:val="21"/>
                      <w:szCs w:val="21"/>
                      <w:lang w:eastAsia="zh-CN"/>
                    </w:rPr>
                    <w:t>\</w:t>
                  </w:r>
                </w:p>
              </w:tc>
            </w:tr>
            <w:tr w14:paraId="33E66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401"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56BBD502">
                  <w:pPr>
                    <w:spacing w:line="340" w:lineRule="exact"/>
                    <w:jc w:val="center"/>
                    <w:rPr>
                      <w:rFonts w:ascii="Arial"/>
                      <w:color w:val="auto"/>
                    </w:rPr>
                  </w:pPr>
                </w:p>
              </w:tc>
              <w:tc>
                <w:tcPr>
                  <w:tcW w:w="759"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9E9E19">
                  <w:pPr>
                    <w:spacing w:line="340" w:lineRule="exact"/>
                    <w:jc w:val="center"/>
                    <w:rPr>
                      <w:rFonts w:ascii="Arial"/>
                      <w:color w:val="auto"/>
                    </w:rPr>
                  </w:pP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7AC6C48">
                  <w:pPr>
                    <w:pStyle w:val="30"/>
                    <w:spacing w:line="340" w:lineRule="exact"/>
                    <w:jc w:val="center"/>
                    <w:rPr>
                      <w:color w:val="auto"/>
                      <w:sz w:val="21"/>
                      <w:szCs w:val="21"/>
                      <w:lang w:eastAsia="zh-CN"/>
                    </w:rPr>
                  </w:pPr>
                  <w:r>
                    <w:rPr>
                      <w:rFonts w:ascii="Times New Roman" w:hAnsi="Times New Roman" w:eastAsia="Times New Roman" w:cs="Times New Roman"/>
                      <w:color w:val="auto"/>
                      <w:sz w:val="21"/>
                      <w:szCs w:val="21"/>
                      <w:lang w:eastAsia="zh-CN"/>
                    </w:rPr>
                    <w:t>4.</w:t>
                  </w:r>
                  <w:r>
                    <w:rPr>
                      <w:color w:val="auto"/>
                      <w:sz w:val="21"/>
                      <w:szCs w:val="21"/>
                      <w:lang w:eastAsia="zh-CN"/>
                    </w:rPr>
                    <w:t>隔离传染病患者或者疑似传染病患者产生</w:t>
                  </w:r>
                  <w:r>
                    <w:rPr>
                      <w:color w:val="auto"/>
                      <w:spacing w:val="-8"/>
                      <w:sz w:val="21"/>
                      <w:szCs w:val="21"/>
                      <w:lang w:eastAsia="zh-CN"/>
                    </w:rPr>
                    <w:t>的废弃物。</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39B3A7A6">
                  <w:pPr>
                    <w:pStyle w:val="30"/>
                    <w:spacing w:line="340" w:lineRule="exact"/>
                    <w:jc w:val="center"/>
                    <w:rPr>
                      <w:color w:val="auto"/>
                      <w:sz w:val="21"/>
                      <w:szCs w:val="21"/>
                    </w:rPr>
                  </w:pPr>
                  <w:r>
                    <w:rPr>
                      <w:color w:val="auto"/>
                      <w:sz w:val="21"/>
                      <w:szCs w:val="21"/>
                    </w:rPr>
                    <w:t>无</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58F6F505">
                  <w:pPr>
                    <w:pStyle w:val="30"/>
                    <w:spacing w:line="340" w:lineRule="exact"/>
                    <w:jc w:val="center"/>
                    <w:rPr>
                      <w:color w:val="auto"/>
                      <w:sz w:val="21"/>
                      <w:szCs w:val="21"/>
                    </w:rPr>
                  </w:pPr>
                  <w:r>
                    <w:rPr>
                      <w:rFonts w:hint="eastAsia"/>
                      <w:color w:val="auto"/>
                      <w:sz w:val="21"/>
                      <w:szCs w:val="21"/>
                      <w:lang w:eastAsia="zh-CN"/>
                    </w:rPr>
                    <w:t>\</w:t>
                  </w:r>
                </w:p>
              </w:tc>
            </w:tr>
            <w:tr w14:paraId="2B445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401" w:type="pct"/>
                  <w:vMerge w:val="restart"/>
                  <w:tcBorders>
                    <w:top w:val="single" w:color="auto" w:sz="4" w:space="0"/>
                    <w:left w:val="nil"/>
                    <w:bottom w:val="single" w:color="auto" w:sz="4" w:space="0"/>
                    <w:right w:val="single" w:color="auto" w:sz="4" w:space="0"/>
                  </w:tcBorders>
                  <w:shd w:val="clear" w:color="auto" w:fill="FFFFFF"/>
                  <w:noWrap w:val="0"/>
                  <w:vAlign w:val="center"/>
                </w:tcPr>
                <w:p w14:paraId="1F36F0C2">
                  <w:pPr>
                    <w:spacing w:line="340" w:lineRule="exact"/>
                    <w:jc w:val="center"/>
                    <w:rPr>
                      <w:rFonts w:ascii="Arial"/>
                      <w:color w:val="auto"/>
                    </w:rPr>
                  </w:pPr>
                </w:p>
                <w:p w14:paraId="57632918">
                  <w:pPr>
                    <w:pStyle w:val="30"/>
                    <w:spacing w:line="340" w:lineRule="exact"/>
                    <w:jc w:val="center"/>
                    <w:rPr>
                      <w:color w:val="auto"/>
                      <w:sz w:val="21"/>
                      <w:szCs w:val="21"/>
                    </w:rPr>
                  </w:pPr>
                  <w:r>
                    <w:rPr>
                      <w:color w:val="auto"/>
                      <w:spacing w:val="-2"/>
                      <w:sz w:val="21"/>
                      <w:szCs w:val="21"/>
                    </w:rPr>
                    <w:t>损伤</w:t>
                  </w:r>
                </w:p>
                <w:p w14:paraId="1EA16A48">
                  <w:pPr>
                    <w:pStyle w:val="30"/>
                    <w:spacing w:line="340" w:lineRule="exact"/>
                    <w:jc w:val="center"/>
                    <w:rPr>
                      <w:color w:val="auto"/>
                      <w:sz w:val="21"/>
                      <w:szCs w:val="21"/>
                    </w:rPr>
                  </w:pPr>
                  <w:r>
                    <w:rPr>
                      <w:color w:val="auto"/>
                      <w:spacing w:val="-2"/>
                      <w:sz w:val="21"/>
                      <w:szCs w:val="21"/>
                    </w:rPr>
                    <w:t>性废</w:t>
                  </w:r>
                </w:p>
                <w:p w14:paraId="0112F952">
                  <w:pPr>
                    <w:pStyle w:val="30"/>
                    <w:spacing w:line="340" w:lineRule="exact"/>
                    <w:jc w:val="center"/>
                    <w:rPr>
                      <w:color w:val="auto"/>
                      <w:sz w:val="21"/>
                      <w:szCs w:val="21"/>
                    </w:rPr>
                  </w:pPr>
                  <w:r>
                    <w:rPr>
                      <w:color w:val="auto"/>
                      <w:sz w:val="21"/>
                      <w:szCs w:val="21"/>
                    </w:rPr>
                    <w:t>物</w:t>
                  </w:r>
                </w:p>
              </w:tc>
              <w:tc>
                <w:tcPr>
                  <w:tcW w:w="759" w:type="pct"/>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3815FE">
                  <w:pPr>
                    <w:spacing w:line="340" w:lineRule="exact"/>
                    <w:jc w:val="center"/>
                    <w:rPr>
                      <w:rFonts w:ascii="Arial"/>
                      <w:color w:val="auto"/>
                    </w:rPr>
                  </w:pPr>
                </w:p>
                <w:p w14:paraId="43B56EE9">
                  <w:pPr>
                    <w:pStyle w:val="30"/>
                    <w:spacing w:line="340" w:lineRule="exact"/>
                    <w:jc w:val="center"/>
                    <w:rPr>
                      <w:color w:val="auto"/>
                      <w:sz w:val="21"/>
                      <w:szCs w:val="21"/>
                      <w:lang w:eastAsia="zh-CN"/>
                    </w:rPr>
                  </w:pPr>
                  <w:r>
                    <w:rPr>
                      <w:color w:val="auto"/>
                      <w:spacing w:val="-3"/>
                      <w:sz w:val="21"/>
                      <w:szCs w:val="21"/>
                      <w:lang w:eastAsia="zh-CN"/>
                    </w:rPr>
                    <w:t>能够刺伤或</w:t>
                  </w:r>
                  <w:r>
                    <w:rPr>
                      <w:color w:val="auto"/>
                      <w:spacing w:val="-2"/>
                      <w:sz w:val="21"/>
                      <w:szCs w:val="21"/>
                      <w:lang w:eastAsia="zh-CN"/>
                    </w:rPr>
                    <w:t>者割伤人体的废弃的医用锐器。</w:t>
                  </w: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D369F1">
                  <w:pPr>
                    <w:pStyle w:val="30"/>
                    <w:spacing w:line="340" w:lineRule="exact"/>
                    <w:jc w:val="center"/>
                    <w:rPr>
                      <w:color w:val="auto"/>
                      <w:sz w:val="21"/>
                      <w:szCs w:val="21"/>
                      <w:lang w:eastAsia="zh-CN"/>
                    </w:rPr>
                  </w:pPr>
                  <w:r>
                    <w:rPr>
                      <w:rFonts w:ascii="Times New Roman" w:hAnsi="Times New Roman" w:eastAsia="Times New Roman" w:cs="Times New Roman"/>
                      <w:color w:val="auto"/>
                      <w:spacing w:val="-2"/>
                      <w:sz w:val="21"/>
                      <w:szCs w:val="21"/>
                      <w:lang w:eastAsia="zh-CN"/>
                    </w:rPr>
                    <w:t>1.</w:t>
                  </w:r>
                  <w:r>
                    <w:rPr>
                      <w:color w:val="auto"/>
                      <w:spacing w:val="-2"/>
                      <w:sz w:val="21"/>
                      <w:szCs w:val="21"/>
                      <w:lang w:eastAsia="zh-CN"/>
                    </w:rPr>
                    <w:t>废弃的金属类锐器，如针头、缝合针、针灸针、探针、穿刺针、解剖刀、手术刀、手</w:t>
                  </w:r>
                  <w:r>
                    <w:rPr>
                      <w:color w:val="auto"/>
                      <w:spacing w:val="-3"/>
                      <w:sz w:val="21"/>
                      <w:szCs w:val="21"/>
                      <w:lang w:eastAsia="zh-CN"/>
                    </w:rPr>
                    <w:t>术锯、备皮刀、钢钉和导丝等；</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78C4C63C">
                  <w:pPr>
                    <w:pStyle w:val="30"/>
                    <w:spacing w:line="340" w:lineRule="exact"/>
                    <w:jc w:val="center"/>
                    <w:rPr>
                      <w:color w:val="auto"/>
                      <w:sz w:val="21"/>
                      <w:szCs w:val="21"/>
                    </w:rPr>
                  </w:pPr>
                  <w:r>
                    <w:rPr>
                      <w:color w:val="auto"/>
                      <w:spacing w:val="-1"/>
                      <w:sz w:val="21"/>
                      <w:szCs w:val="21"/>
                    </w:rPr>
                    <w:t>含此类废物</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78739DB1">
                  <w:pPr>
                    <w:pStyle w:val="30"/>
                    <w:spacing w:line="340" w:lineRule="exact"/>
                    <w:jc w:val="center"/>
                    <w:rPr>
                      <w:color w:val="auto"/>
                      <w:spacing w:val="-1"/>
                      <w:sz w:val="21"/>
                      <w:szCs w:val="21"/>
                      <w:lang w:eastAsia="zh-CN"/>
                    </w:rPr>
                  </w:pPr>
                  <w:r>
                    <w:rPr>
                      <w:rFonts w:hint="eastAsia"/>
                      <w:color w:val="auto"/>
                      <w:spacing w:val="-1"/>
                      <w:sz w:val="21"/>
                      <w:szCs w:val="21"/>
                      <w:lang w:eastAsia="zh-CN"/>
                    </w:rPr>
                    <w:t>内科、外科、</w:t>
                  </w:r>
                  <w:r>
                    <w:rPr>
                      <w:rFonts w:hint="eastAsia" w:ascii="Times New Roman" w:hAnsi="Times New Roman" w:cs="Times New Roman"/>
                      <w:color w:val="auto"/>
                      <w:sz w:val="21"/>
                      <w:szCs w:val="21"/>
                      <w:lang w:val="en-US" w:eastAsia="zh-CN"/>
                    </w:rPr>
                    <w:t>化验</w:t>
                  </w:r>
                  <w:r>
                    <w:rPr>
                      <w:rFonts w:hint="eastAsia"/>
                      <w:color w:val="auto"/>
                      <w:spacing w:val="-1"/>
                      <w:sz w:val="21"/>
                      <w:szCs w:val="21"/>
                      <w:lang w:eastAsia="zh-CN"/>
                    </w:rPr>
                    <w:t>科、病房</w:t>
                  </w:r>
                </w:p>
              </w:tc>
            </w:tr>
            <w:tr w14:paraId="4A43C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401"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5E522E3C">
                  <w:pPr>
                    <w:spacing w:line="340" w:lineRule="exact"/>
                    <w:jc w:val="center"/>
                    <w:rPr>
                      <w:rFonts w:ascii="Arial"/>
                      <w:color w:val="auto"/>
                    </w:rPr>
                  </w:pPr>
                </w:p>
              </w:tc>
              <w:tc>
                <w:tcPr>
                  <w:tcW w:w="759"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C5390F">
                  <w:pPr>
                    <w:spacing w:line="340" w:lineRule="exact"/>
                    <w:jc w:val="center"/>
                    <w:rPr>
                      <w:rFonts w:ascii="Arial"/>
                      <w:color w:val="auto"/>
                    </w:rPr>
                  </w:pP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690C18">
                  <w:pPr>
                    <w:pStyle w:val="30"/>
                    <w:spacing w:line="340" w:lineRule="exact"/>
                    <w:jc w:val="center"/>
                    <w:rPr>
                      <w:color w:val="auto"/>
                      <w:sz w:val="21"/>
                      <w:szCs w:val="21"/>
                      <w:lang w:eastAsia="zh-CN"/>
                    </w:rPr>
                  </w:pPr>
                  <w:r>
                    <w:rPr>
                      <w:rFonts w:ascii="Times New Roman" w:hAnsi="Times New Roman" w:eastAsia="Times New Roman" w:cs="Times New Roman"/>
                      <w:color w:val="auto"/>
                      <w:spacing w:val="-2"/>
                      <w:sz w:val="21"/>
                      <w:szCs w:val="21"/>
                      <w:lang w:eastAsia="zh-CN"/>
                    </w:rPr>
                    <w:t>2.</w:t>
                  </w:r>
                  <w:r>
                    <w:rPr>
                      <w:color w:val="auto"/>
                      <w:spacing w:val="-2"/>
                      <w:sz w:val="21"/>
                      <w:szCs w:val="21"/>
                      <w:lang w:eastAsia="zh-CN"/>
                    </w:rPr>
                    <w:t>废弃的玻璃类锐器，如盖玻片、载玻片、玻璃安瓿等；</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0E3FA494">
                  <w:pPr>
                    <w:pStyle w:val="30"/>
                    <w:spacing w:line="340" w:lineRule="exact"/>
                    <w:jc w:val="center"/>
                    <w:rPr>
                      <w:color w:val="auto"/>
                      <w:sz w:val="21"/>
                      <w:szCs w:val="21"/>
                    </w:rPr>
                  </w:pPr>
                  <w:r>
                    <w:rPr>
                      <w:color w:val="auto"/>
                      <w:sz w:val="21"/>
                      <w:szCs w:val="21"/>
                    </w:rPr>
                    <w:t>无</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072BFECF">
                  <w:pPr>
                    <w:pStyle w:val="30"/>
                    <w:spacing w:line="340" w:lineRule="exact"/>
                    <w:jc w:val="center"/>
                    <w:rPr>
                      <w:color w:val="auto"/>
                      <w:sz w:val="21"/>
                      <w:szCs w:val="21"/>
                    </w:rPr>
                  </w:pPr>
                  <w:r>
                    <w:rPr>
                      <w:rFonts w:hint="eastAsia"/>
                      <w:color w:val="auto"/>
                      <w:sz w:val="21"/>
                      <w:szCs w:val="21"/>
                      <w:lang w:eastAsia="zh-CN"/>
                    </w:rPr>
                    <w:t>\</w:t>
                  </w:r>
                </w:p>
              </w:tc>
            </w:tr>
            <w:tr w14:paraId="72713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01"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164240B4">
                  <w:pPr>
                    <w:spacing w:line="340" w:lineRule="exact"/>
                    <w:jc w:val="center"/>
                    <w:rPr>
                      <w:rFonts w:ascii="Arial"/>
                      <w:color w:val="auto"/>
                    </w:rPr>
                  </w:pPr>
                </w:p>
              </w:tc>
              <w:tc>
                <w:tcPr>
                  <w:tcW w:w="759"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9CF174">
                  <w:pPr>
                    <w:spacing w:line="340" w:lineRule="exact"/>
                    <w:jc w:val="center"/>
                    <w:rPr>
                      <w:rFonts w:ascii="Arial"/>
                      <w:color w:val="auto"/>
                    </w:rPr>
                  </w:pP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7B40AA">
                  <w:pPr>
                    <w:pStyle w:val="30"/>
                    <w:spacing w:line="340" w:lineRule="exact"/>
                    <w:jc w:val="center"/>
                    <w:rPr>
                      <w:color w:val="auto"/>
                      <w:sz w:val="21"/>
                      <w:szCs w:val="21"/>
                      <w:lang w:eastAsia="zh-CN"/>
                    </w:rPr>
                  </w:pPr>
                  <w:r>
                    <w:rPr>
                      <w:rFonts w:ascii="Times New Roman" w:hAnsi="Times New Roman" w:eastAsia="Times New Roman" w:cs="Times New Roman"/>
                      <w:color w:val="auto"/>
                      <w:spacing w:val="-1"/>
                      <w:sz w:val="21"/>
                      <w:szCs w:val="21"/>
                      <w:lang w:eastAsia="zh-CN"/>
                    </w:rPr>
                    <w:t>3.</w:t>
                  </w:r>
                  <w:r>
                    <w:rPr>
                      <w:color w:val="auto"/>
                      <w:spacing w:val="-1"/>
                      <w:sz w:val="21"/>
                      <w:szCs w:val="21"/>
                      <w:lang w:eastAsia="zh-CN"/>
                    </w:rPr>
                    <w:t>废弃的其他材质类锐器。</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1556396F">
                  <w:pPr>
                    <w:pStyle w:val="30"/>
                    <w:spacing w:line="340" w:lineRule="exact"/>
                    <w:jc w:val="center"/>
                    <w:rPr>
                      <w:color w:val="auto"/>
                      <w:sz w:val="21"/>
                      <w:szCs w:val="21"/>
                    </w:rPr>
                  </w:pPr>
                  <w:r>
                    <w:rPr>
                      <w:color w:val="auto"/>
                      <w:spacing w:val="-1"/>
                      <w:sz w:val="21"/>
                      <w:szCs w:val="21"/>
                    </w:rPr>
                    <w:t>含此类废物</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4EAD1153">
                  <w:pPr>
                    <w:pStyle w:val="30"/>
                    <w:spacing w:line="340" w:lineRule="exact"/>
                    <w:jc w:val="center"/>
                    <w:rPr>
                      <w:color w:val="auto"/>
                      <w:spacing w:val="-1"/>
                      <w:sz w:val="21"/>
                      <w:szCs w:val="21"/>
                      <w:lang w:eastAsia="zh-CN"/>
                    </w:rPr>
                  </w:pPr>
                  <w:r>
                    <w:rPr>
                      <w:rFonts w:hint="eastAsia"/>
                      <w:color w:val="auto"/>
                      <w:spacing w:val="-1"/>
                      <w:sz w:val="21"/>
                      <w:szCs w:val="21"/>
                      <w:lang w:eastAsia="zh-CN"/>
                    </w:rPr>
                    <w:t>内科、外科、</w:t>
                  </w:r>
                  <w:r>
                    <w:rPr>
                      <w:rFonts w:hint="eastAsia" w:ascii="Times New Roman" w:hAnsi="Times New Roman" w:cs="Times New Roman"/>
                      <w:color w:val="auto"/>
                      <w:sz w:val="21"/>
                      <w:szCs w:val="21"/>
                      <w:lang w:val="en-US" w:eastAsia="zh-CN"/>
                    </w:rPr>
                    <w:t>化验</w:t>
                  </w:r>
                  <w:r>
                    <w:rPr>
                      <w:rFonts w:hint="eastAsia"/>
                      <w:color w:val="auto"/>
                      <w:spacing w:val="-1"/>
                      <w:sz w:val="21"/>
                      <w:szCs w:val="21"/>
                      <w:lang w:eastAsia="zh-CN"/>
                    </w:rPr>
                    <w:t>科、病房</w:t>
                  </w:r>
                </w:p>
              </w:tc>
            </w:tr>
            <w:tr w14:paraId="176C2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401" w:type="pct"/>
                  <w:vMerge w:val="restart"/>
                  <w:tcBorders>
                    <w:top w:val="single" w:color="auto" w:sz="4" w:space="0"/>
                    <w:left w:val="nil"/>
                    <w:bottom w:val="single" w:color="auto" w:sz="4" w:space="0"/>
                    <w:right w:val="single" w:color="auto" w:sz="4" w:space="0"/>
                  </w:tcBorders>
                  <w:shd w:val="clear" w:color="auto" w:fill="FFFFFF"/>
                  <w:noWrap w:val="0"/>
                  <w:vAlign w:val="center"/>
                </w:tcPr>
                <w:p w14:paraId="070515DE">
                  <w:pPr>
                    <w:pStyle w:val="30"/>
                    <w:spacing w:line="340" w:lineRule="exact"/>
                    <w:jc w:val="center"/>
                    <w:rPr>
                      <w:color w:val="auto"/>
                      <w:sz w:val="21"/>
                      <w:szCs w:val="21"/>
                    </w:rPr>
                  </w:pPr>
                  <w:r>
                    <w:rPr>
                      <w:color w:val="auto"/>
                      <w:spacing w:val="-2"/>
                      <w:sz w:val="21"/>
                      <w:szCs w:val="21"/>
                    </w:rPr>
                    <w:t>病理</w:t>
                  </w:r>
                </w:p>
                <w:p w14:paraId="471DF18B">
                  <w:pPr>
                    <w:pStyle w:val="30"/>
                    <w:spacing w:line="340" w:lineRule="exact"/>
                    <w:jc w:val="center"/>
                    <w:rPr>
                      <w:color w:val="auto"/>
                      <w:sz w:val="21"/>
                      <w:szCs w:val="21"/>
                    </w:rPr>
                  </w:pPr>
                  <w:r>
                    <w:rPr>
                      <w:color w:val="auto"/>
                      <w:spacing w:val="-2"/>
                      <w:sz w:val="21"/>
                      <w:szCs w:val="21"/>
                    </w:rPr>
                    <w:t>性废</w:t>
                  </w:r>
                </w:p>
                <w:p w14:paraId="53186BA5">
                  <w:pPr>
                    <w:pStyle w:val="30"/>
                    <w:spacing w:line="340" w:lineRule="exact"/>
                    <w:jc w:val="center"/>
                    <w:rPr>
                      <w:color w:val="auto"/>
                      <w:sz w:val="21"/>
                      <w:szCs w:val="21"/>
                    </w:rPr>
                  </w:pPr>
                  <w:r>
                    <w:rPr>
                      <w:color w:val="auto"/>
                      <w:sz w:val="21"/>
                      <w:szCs w:val="21"/>
                    </w:rPr>
                    <w:t>物</w:t>
                  </w:r>
                </w:p>
              </w:tc>
              <w:tc>
                <w:tcPr>
                  <w:tcW w:w="759" w:type="pct"/>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820535">
                  <w:pPr>
                    <w:pStyle w:val="30"/>
                    <w:spacing w:line="340" w:lineRule="exact"/>
                    <w:jc w:val="center"/>
                    <w:rPr>
                      <w:color w:val="auto"/>
                      <w:sz w:val="21"/>
                      <w:szCs w:val="21"/>
                      <w:lang w:eastAsia="zh-CN"/>
                    </w:rPr>
                  </w:pPr>
                  <w:r>
                    <w:rPr>
                      <w:color w:val="auto"/>
                      <w:spacing w:val="-2"/>
                      <w:sz w:val="21"/>
                      <w:szCs w:val="21"/>
                      <w:lang w:eastAsia="zh-CN"/>
                    </w:rPr>
                    <w:t>诊疗过程中</w:t>
                  </w:r>
                  <w:r>
                    <w:rPr>
                      <w:color w:val="auto"/>
                      <w:spacing w:val="-1"/>
                      <w:sz w:val="21"/>
                      <w:szCs w:val="21"/>
                      <w:lang w:eastAsia="zh-CN"/>
                    </w:rPr>
                    <w:t>产生的人体废弃物和医学实验动物尸体等。</w:t>
                  </w: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4504E4">
                  <w:pPr>
                    <w:pStyle w:val="30"/>
                    <w:spacing w:line="340" w:lineRule="exact"/>
                    <w:jc w:val="center"/>
                    <w:rPr>
                      <w:color w:val="auto"/>
                      <w:sz w:val="21"/>
                      <w:szCs w:val="21"/>
                      <w:lang w:eastAsia="zh-CN"/>
                    </w:rPr>
                  </w:pPr>
                  <w:r>
                    <w:rPr>
                      <w:rFonts w:ascii="Times New Roman" w:hAnsi="Times New Roman" w:eastAsia="Times New Roman" w:cs="Times New Roman"/>
                      <w:color w:val="auto"/>
                      <w:spacing w:val="-2"/>
                      <w:sz w:val="21"/>
                      <w:szCs w:val="21"/>
                      <w:lang w:eastAsia="zh-CN"/>
                    </w:rPr>
                    <w:t>1.</w:t>
                  </w:r>
                  <w:r>
                    <w:rPr>
                      <w:color w:val="auto"/>
                      <w:spacing w:val="-2"/>
                      <w:sz w:val="21"/>
                      <w:szCs w:val="21"/>
                      <w:lang w:eastAsia="zh-CN"/>
                    </w:rPr>
                    <w:t>手术及其他医学服务过程中产生的废弃的</w:t>
                  </w:r>
                  <w:r>
                    <w:rPr>
                      <w:color w:val="auto"/>
                      <w:spacing w:val="-1"/>
                      <w:sz w:val="21"/>
                      <w:szCs w:val="21"/>
                      <w:lang w:eastAsia="zh-CN"/>
                    </w:rPr>
                    <w:t>人体组织、器官；</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5DD64E9D">
                  <w:pPr>
                    <w:pStyle w:val="30"/>
                    <w:spacing w:line="340" w:lineRule="exact"/>
                    <w:jc w:val="center"/>
                    <w:rPr>
                      <w:rFonts w:hint="eastAsia"/>
                      <w:color w:val="auto"/>
                      <w:sz w:val="21"/>
                      <w:szCs w:val="21"/>
                      <w:lang w:eastAsia="zh-CN"/>
                    </w:rPr>
                  </w:pPr>
                  <w:r>
                    <w:rPr>
                      <w:rFonts w:hint="eastAsia"/>
                      <w:color w:val="auto"/>
                      <w:spacing w:val="-1"/>
                      <w:sz w:val="21"/>
                      <w:szCs w:val="21"/>
                      <w:lang w:eastAsia="zh-CN"/>
                    </w:rPr>
                    <w:t>无</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113AA4C9">
                  <w:pPr>
                    <w:pStyle w:val="30"/>
                    <w:spacing w:line="340" w:lineRule="exact"/>
                    <w:jc w:val="center"/>
                    <w:rPr>
                      <w:rFonts w:hint="eastAsia"/>
                      <w:color w:val="auto"/>
                      <w:spacing w:val="-1"/>
                      <w:sz w:val="21"/>
                      <w:szCs w:val="21"/>
                      <w:lang w:eastAsia="zh-CN"/>
                    </w:rPr>
                  </w:pPr>
                  <w:r>
                    <w:rPr>
                      <w:rFonts w:hint="eastAsia"/>
                      <w:color w:val="auto"/>
                      <w:sz w:val="21"/>
                      <w:szCs w:val="21"/>
                      <w:lang w:eastAsia="zh-CN"/>
                    </w:rPr>
                    <w:t>\</w:t>
                  </w:r>
                </w:p>
              </w:tc>
            </w:tr>
            <w:tr w14:paraId="2B0C0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01"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17A20DEE">
                  <w:pPr>
                    <w:spacing w:line="340" w:lineRule="exact"/>
                    <w:jc w:val="center"/>
                    <w:rPr>
                      <w:rFonts w:ascii="Arial"/>
                      <w:color w:val="auto"/>
                    </w:rPr>
                  </w:pPr>
                </w:p>
              </w:tc>
              <w:tc>
                <w:tcPr>
                  <w:tcW w:w="759"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EDE363">
                  <w:pPr>
                    <w:spacing w:line="340" w:lineRule="exact"/>
                    <w:jc w:val="center"/>
                    <w:rPr>
                      <w:rFonts w:ascii="Arial"/>
                      <w:color w:val="auto"/>
                    </w:rPr>
                  </w:pP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E8A5504">
                  <w:pPr>
                    <w:pStyle w:val="30"/>
                    <w:spacing w:line="340" w:lineRule="exact"/>
                    <w:jc w:val="center"/>
                    <w:rPr>
                      <w:color w:val="auto"/>
                      <w:sz w:val="21"/>
                      <w:szCs w:val="21"/>
                      <w:lang w:eastAsia="zh-CN"/>
                    </w:rPr>
                  </w:pPr>
                  <w:r>
                    <w:rPr>
                      <w:rFonts w:ascii="Times New Roman" w:hAnsi="Times New Roman" w:eastAsia="Times New Roman" w:cs="Times New Roman"/>
                      <w:color w:val="auto"/>
                      <w:sz w:val="21"/>
                      <w:szCs w:val="21"/>
                      <w:lang w:eastAsia="zh-CN"/>
                    </w:rPr>
                    <w:t>2.</w:t>
                  </w:r>
                  <w:r>
                    <w:rPr>
                      <w:color w:val="auto"/>
                      <w:sz w:val="21"/>
                      <w:szCs w:val="21"/>
                      <w:lang w:eastAsia="zh-CN"/>
                    </w:rPr>
                    <w:t>病理切片后废弃的人体组织、病理蜡块；</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4BA9E94F">
                  <w:pPr>
                    <w:pStyle w:val="30"/>
                    <w:spacing w:line="340" w:lineRule="exact"/>
                    <w:jc w:val="center"/>
                    <w:rPr>
                      <w:color w:val="auto"/>
                      <w:sz w:val="21"/>
                      <w:szCs w:val="21"/>
                    </w:rPr>
                  </w:pPr>
                  <w:r>
                    <w:rPr>
                      <w:color w:val="auto"/>
                      <w:sz w:val="21"/>
                      <w:szCs w:val="21"/>
                    </w:rPr>
                    <w:t>无</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7BDDA711">
                  <w:pPr>
                    <w:pStyle w:val="30"/>
                    <w:spacing w:line="340" w:lineRule="exact"/>
                    <w:jc w:val="center"/>
                    <w:rPr>
                      <w:color w:val="auto"/>
                      <w:sz w:val="21"/>
                      <w:szCs w:val="21"/>
                    </w:rPr>
                  </w:pPr>
                  <w:r>
                    <w:rPr>
                      <w:rFonts w:hint="eastAsia"/>
                      <w:color w:val="auto"/>
                      <w:sz w:val="21"/>
                      <w:szCs w:val="21"/>
                      <w:lang w:eastAsia="zh-CN"/>
                    </w:rPr>
                    <w:t>\</w:t>
                  </w:r>
                </w:p>
              </w:tc>
            </w:tr>
            <w:tr w14:paraId="48101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01"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06327753">
                  <w:pPr>
                    <w:spacing w:line="340" w:lineRule="exact"/>
                    <w:jc w:val="center"/>
                    <w:rPr>
                      <w:rFonts w:ascii="Arial"/>
                      <w:color w:val="auto"/>
                    </w:rPr>
                  </w:pPr>
                </w:p>
              </w:tc>
              <w:tc>
                <w:tcPr>
                  <w:tcW w:w="759"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03B920">
                  <w:pPr>
                    <w:spacing w:line="340" w:lineRule="exact"/>
                    <w:jc w:val="center"/>
                    <w:rPr>
                      <w:rFonts w:ascii="Arial"/>
                      <w:color w:val="auto"/>
                    </w:rPr>
                  </w:pP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E9F3094">
                  <w:pPr>
                    <w:pStyle w:val="30"/>
                    <w:spacing w:line="340" w:lineRule="exact"/>
                    <w:jc w:val="center"/>
                    <w:rPr>
                      <w:color w:val="auto"/>
                      <w:sz w:val="21"/>
                      <w:szCs w:val="21"/>
                      <w:lang w:eastAsia="zh-CN"/>
                    </w:rPr>
                  </w:pPr>
                  <w:r>
                    <w:rPr>
                      <w:rFonts w:ascii="Times New Roman" w:hAnsi="Times New Roman" w:eastAsia="Times New Roman" w:cs="Times New Roman"/>
                      <w:color w:val="auto"/>
                      <w:spacing w:val="-1"/>
                      <w:sz w:val="21"/>
                      <w:szCs w:val="21"/>
                      <w:lang w:eastAsia="zh-CN"/>
                    </w:rPr>
                    <w:t>3.</w:t>
                  </w:r>
                  <w:r>
                    <w:rPr>
                      <w:color w:val="auto"/>
                      <w:spacing w:val="-1"/>
                      <w:sz w:val="21"/>
                      <w:szCs w:val="21"/>
                      <w:lang w:eastAsia="zh-CN"/>
                    </w:rPr>
                    <w:t>废弃的医学实验动物的组织和尸体；</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553193AB">
                  <w:pPr>
                    <w:pStyle w:val="30"/>
                    <w:spacing w:line="340" w:lineRule="exact"/>
                    <w:jc w:val="center"/>
                    <w:rPr>
                      <w:color w:val="auto"/>
                      <w:sz w:val="21"/>
                      <w:szCs w:val="21"/>
                    </w:rPr>
                  </w:pPr>
                  <w:r>
                    <w:rPr>
                      <w:color w:val="auto"/>
                      <w:sz w:val="21"/>
                      <w:szCs w:val="21"/>
                    </w:rPr>
                    <w:t>无</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7733B6E6">
                  <w:pPr>
                    <w:pStyle w:val="30"/>
                    <w:spacing w:line="340" w:lineRule="exact"/>
                    <w:jc w:val="center"/>
                    <w:rPr>
                      <w:color w:val="auto"/>
                      <w:sz w:val="21"/>
                      <w:szCs w:val="21"/>
                    </w:rPr>
                  </w:pPr>
                  <w:r>
                    <w:rPr>
                      <w:rFonts w:hint="eastAsia"/>
                      <w:color w:val="auto"/>
                      <w:sz w:val="21"/>
                      <w:szCs w:val="21"/>
                      <w:lang w:eastAsia="zh-CN"/>
                    </w:rPr>
                    <w:t>\</w:t>
                  </w:r>
                </w:p>
              </w:tc>
            </w:tr>
            <w:tr w14:paraId="4ED93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401"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485BAE64">
                  <w:pPr>
                    <w:spacing w:line="340" w:lineRule="exact"/>
                    <w:jc w:val="center"/>
                    <w:rPr>
                      <w:rFonts w:ascii="Arial"/>
                      <w:color w:val="auto"/>
                    </w:rPr>
                  </w:pPr>
                </w:p>
              </w:tc>
              <w:tc>
                <w:tcPr>
                  <w:tcW w:w="759"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D4FD34">
                  <w:pPr>
                    <w:spacing w:line="340" w:lineRule="exact"/>
                    <w:jc w:val="center"/>
                    <w:rPr>
                      <w:rFonts w:ascii="Arial"/>
                      <w:color w:val="auto"/>
                    </w:rPr>
                  </w:pP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AB98F02">
                  <w:pPr>
                    <w:pStyle w:val="30"/>
                    <w:spacing w:line="340" w:lineRule="exact"/>
                    <w:jc w:val="center"/>
                    <w:rPr>
                      <w:color w:val="auto"/>
                      <w:sz w:val="21"/>
                      <w:szCs w:val="21"/>
                      <w:lang w:eastAsia="zh-CN"/>
                    </w:rPr>
                  </w:pPr>
                  <w:r>
                    <w:rPr>
                      <w:rFonts w:ascii="Times New Roman" w:hAnsi="Times New Roman" w:eastAsia="Times New Roman" w:cs="Times New Roman"/>
                      <w:color w:val="auto"/>
                      <w:spacing w:val="-1"/>
                      <w:sz w:val="21"/>
                      <w:szCs w:val="21"/>
                      <w:lang w:eastAsia="zh-CN"/>
                    </w:rPr>
                    <w:t>4.16</w:t>
                  </w:r>
                  <w:r>
                    <w:rPr>
                      <w:color w:val="auto"/>
                      <w:spacing w:val="-1"/>
                      <w:sz w:val="21"/>
                      <w:szCs w:val="21"/>
                      <w:lang w:eastAsia="zh-CN"/>
                    </w:rPr>
                    <w:t>周胎龄以下或重量不足</w:t>
                  </w:r>
                  <w:r>
                    <w:rPr>
                      <w:rFonts w:ascii="Times New Roman" w:hAnsi="Times New Roman" w:eastAsia="Times New Roman" w:cs="Times New Roman"/>
                      <w:color w:val="auto"/>
                      <w:spacing w:val="-1"/>
                      <w:sz w:val="21"/>
                      <w:szCs w:val="21"/>
                      <w:lang w:eastAsia="zh-CN"/>
                    </w:rPr>
                    <w:t>500</w:t>
                  </w:r>
                  <w:r>
                    <w:rPr>
                      <w:color w:val="auto"/>
                      <w:spacing w:val="-1"/>
                      <w:sz w:val="21"/>
                      <w:szCs w:val="21"/>
                      <w:lang w:eastAsia="zh-CN"/>
                    </w:rPr>
                    <w:t>克的胚胎组</w:t>
                  </w:r>
                  <w:r>
                    <w:rPr>
                      <w:color w:val="auto"/>
                      <w:spacing w:val="-13"/>
                      <w:sz w:val="21"/>
                      <w:szCs w:val="21"/>
                      <w:lang w:eastAsia="zh-CN"/>
                    </w:rPr>
                    <w:t>织等；</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0B123172">
                  <w:pPr>
                    <w:pStyle w:val="30"/>
                    <w:spacing w:line="340" w:lineRule="exact"/>
                    <w:jc w:val="center"/>
                    <w:rPr>
                      <w:color w:val="auto"/>
                      <w:sz w:val="21"/>
                      <w:szCs w:val="21"/>
                    </w:rPr>
                  </w:pPr>
                  <w:r>
                    <w:rPr>
                      <w:color w:val="auto"/>
                      <w:sz w:val="21"/>
                      <w:szCs w:val="21"/>
                    </w:rPr>
                    <w:t>无</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5BD262F8">
                  <w:pPr>
                    <w:pStyle w:val="30"/>
                    <w:spacing w:line="340" w:lineRule="exact"/>
                    <w:jc w:val="center"/>
                    <w:rPr>
                      <w:color w:val="auto"/>
                      <w:sz w:val="21"/>
                      <w:szCs w:val="21"/>
                    </w:rPr>
                  </w:pPr>
                  <w:r>
                    <w:rPr>
                      <w:rFonts w:hint="eastAsia"/>
                      <w:color w:val="auto"/>
                      <w:sz w:val="21"/>
                      <w:szCs w:val="21"/>
                      <w:lang w:eastAsia="zh-CN"/>
                    </w:rPr>
                    <w:t>\</w:t>
                  </w:r>
                </w:p>
              </w:tc>
            </w:tr>
            <w:tr w14:paraId="74E4D0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401"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0712A7DC">
                  <w:pPr>
                    <w:spacing w:line="340" w:lineRule="exact"/>
                    <w:jc w:val="center"/>
                    <w:rPr>
                      <w:rFonts w:ascii="Arial"/>
                      <w:color w:val="auto"/>
                    </w:rPr>
                  </w:pPr>
                </w:p>
              </w:tc>
              <w:tc>
                <w:tcPr>
                  <w:tcW w:w="759"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996640">
                  <w:pPr>
                    <w:spacing w:line="340" w:lineRule="exact"/>
                    <w:jc w:val="center"/>
                    <w:rPr>
                      <w:rFonts w:ascii="Arial"/>
                      <w:color w:val="auto"/>
                    </w:rPr>
                  </w:pP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AA57A4">
                  <w:pPr>
                    <w:pStyle w:val="30"/>
                    <w:spacing w:line="340" w:lineRule="exact"/>
                    <w:jc w:val="center"/>
                    <w:rPr>
                      <w:color w:val="auto"/>
                      <w:sz w:val="21"/>
                      <w:szCs w:val="21"/>
                      <w:lang w:eastAsia="zh-CN"/>
                    </w:rPr>
                  </w:pPr>
                  <w:r>
                    <w:rPr>
                      <w:rFonts w:ascii="Times New Roman" w:hAnsi="Times New Roman" w:eastAsia="Times New Roman" w:cs="Times New Roman"/>
                      <w:color w:val="auto"/>
                      <w:spacing w:val="-1"/>
                      <w:sz w:val="21"/>
                      <w:szCs w:val="21"/>
                      <w:lang w:eastAsia="zh-CN"/>
                    </w:rPr>
                    <w:t>5.</w:t>
                  </w:r>
                  <w:r>
                    <w:rPr>
                      <w:color w:val="auto"/>
                      <w:spacing w:val="-1"/>
                      <w:sz w:val="21"/>
                      <w:szCs w:val="21"/>
                      <w:lang w:eastAsia="zh-CN"/>
                    </w:rPr>
                    <w:t>确诊、疑似传染病或携带传染病病原体的产妇的胎盘。</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47851262">
                  <w:pPr>
                    <w:pStyle w:val="30"/>
                    <w:spacing w:line="340" w:lineRule="exact"/>
                    <w:jc w:val="center"/>
                    <w:rPr>
                      <w:color w:val="auto"/>
                      <w:sz w:val="21"/>
                      <w:szCs w:val="21"/>
                    </w:rPr>
                  </w:pPr>
                  <w:r>
                    <w:rPr>
                      <w:color w:val="auto"/>
                      <w:sz w:val="21"/>
                      <w:szCs w:val="21"/>
                    </w:rPr>
                    <w:t>无</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60CD8592">
                  <w:pPr>
                    <w:pStyle w:val="30"/>
                    <w:spacing w:line="340" w:lineRule="exact"/>
                    <w:jc w:val="center"/>
                    <w:rPr>
                      <w:color w:val="auto"/>
                      <w:sz w:val="21"/>
                      <w:szCs w:val="21"/>
                    </w:rPr>
                  </w:pPr>
                  <w:r>
                    <w:rPr>
                      <w:rFonts w:hint="eastAsia"/>
                      <w:color w:val="auto"/>
                      <w:sz w:val="21"/>
                      <w:szCs w:val="21"/>
                      <w:lang w:eastAsia="zh-CN"/>
                    </w:rPr>
                    <w:t>\</w:t>
                  </w:r>
                </w:p>
              </w:tc>
            </w:tr>
            <w:tr w14:paraId="5127A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401" w:type="pct"/>
                  <w:vMerge w:val="restart"/>
                  <w:tcBorders>
                    <w:top w:val="single" w:color="auto" w:sz="4" w:space="0"/>
                    <w:left w:val="nil"/>
                    <w:bottom w:val="single" w:color="auto" w:sz="4" w:space="0"/>
                    <w:right w:val="single" w:color="auto" w:sz="4" w:space="0"/>
                  </w:tcBorders>
                  <w:shd w:val="clear" w:color="auto" w:fill="FFFFFF"/>
                  <w:noWrap w:val="0"/>
                  <w:vAlign w:val="center"/>
                </w:tcPr>
                <w:p w14:paraId="29D4B003">
                  <w:pPr>
                    <w:pStyle w:val="30"/>
                    <w:spacing w:line="340" w:lineRule="exact"/>
                    <w:jc w:val="center"/>
                    <w:rPr>
                      <w:color w:val="auto"/>
                      <w:sz w:val="21"/>
                      <w:szCs w:val="21"/>
                    </w:rPr>
                  </w:pPr>
                  <w:r>
                    <w:rPr>
                      <w:color w:val="auto"/>
                      <w:spacing w:val="-3"/>
                      <w:sz w:val="21"/>
                      <w:szCs w:val="21"/>
                    </w:rPr>
                    <w:t>药物</w:t>
                  </w:r>
                </w:p>
                <w:p w14:paraId="5942E65F">
                  <w:pPr>
                    <w:pStyle w:val="30"/>
                    <w:spacing w:line="340" w:lineRule="exact"/>
                    <w:jc w:val="center"/>
                    <w:rPr>
                      <w:color w:val="auto"/>
                      <w:sz w:val="21"/>
                      <w:szCs w:val="21"/>
                    </w:rPr>
                  </w:pPr>
                  <w:r>
                    <w:rPr>
                      <w:color w:val="auto"/>
                      <w:spacing w:val="-2"/>
                      <w:sz w:val="21"/>
                      <w:szCs w:val="21"/>
                    </w:rPr>
                    <w:t>性废</w:t>
                  </w:r>
                </w:p>
                <w:p w14:paraId="7ED42FE1">
                  <w:pPr>
                    <w:pStyle w:val="30"/>
                    <w:spacing w:line="340" w:lineRule="exact"/>
                    <w:jc w:val="center"/>
                    <w:rPr>
                      <w:color w:val="auto"/>
                      <w:sz w:val="21"/>
                      <w:szCs w:val="21"/>
                    </w:rPr>
                  </w:pPr>
                  <w:r>
                    <w:rPr>
                      <w:color w:val="auto"/>
                      <w:sz w:val="21"/>
                      <w:szCs w:val="21"/>
                    </w:rPr>
                    <w:t>物</w:t>
                  </w:r>
                </w:p>
              </w:tc>
              <w:tc>
                <w:tcPr>
                  <w:tcW w:w="759" w:type="pct"/>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C81967">
                  <w:pPr>
                    <w:pStyle w:val="30"/>
                    <w:spacing w:line="340" w:lineRule="exact"/>
                    <w:jc w:val="center"/>
                    <w:rPr>
                      <w:color w:val="auto"/>
                      <w:sz w:val="21"/>
                      <w:szCs w:val="21"/>
                      <w:lang w:eastAsia="zh-CN"/>
                    </w:rPr>
                  </w:pPr>
                  <w:r>
                    <w:rPr>
                      <w:color w:val="auto"/>
                      <w:spacing w:val="-7"/>
                      <w:sz w:val="21"/>
                      <w:szCs w:val="21"/>
                      <w:lang w:eastAsia="zh-CN"/>
                    </w:rPr>
                    <w:t>过期、淘汰、</w:t>
                  </w:r>
                  <w:r>
                    <w:rPr>
                      <w:color w:val="auto"/>
                      <w:spacing w:val="-1"/>
                      <w:sz w:val="21"/>
                      <w:szCs w:val="21"/>
                      <w:lang w:eastAsia="zh-CN"/>
                    </w:rPr>
                    <w:t>变质或者被污染的废弃</w:t>
                  </w:r>
                  <w:r>
                    <w:rPr>
                      <w:color w:val="auto"/>
                      <w:spacing w:val="-2"/>
                      <w:sz w:val="21"/>
                      <w:szCs w:val="21"/>
                      <w:lang w:eastAsia="zh-CN"/>
                    </w:rPr>
                    <w:t>的药品。</w:t>
                  </w: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E98A9B">
                  <w:pPr>
                    <w:pStyle w:val="30"/>
                    <w:spacing w:line="340" w:lineRule="exact"/>
                    <w:jc w:val="center"/>
                    <w:rPr>
                      <w:color w:val="auto"/>
                      <w:sz w:val="21"/>
                      <w:szCs w:val="21"/>
                    </w:rPr>
                  </w:pPr>
                  <w:r>
                    <w:rPr>
                      <w:rFonts w:ascii="Times New Roman" w:hAnsi="Times New Roman" w:eastAsia="Times New Roman" w:cs="Times New Roman"/>
                      <w:color w:val="auto"/>
                      <w:spacing w:val="-2"/>
                      <w:sz w:val="21"/>
                      <w:szCs w:val="21"/>
                    </w:rPr>
                    <w:t>1.</w:t>
                  </w:r>
                  <w:r>
                    <w:rPr>
                      <w:color w:val="auto"/>
                      <w:spacing w:val="-2"/>
                      <w:sz w:val="21"/>
                      <w:szCs w:val="21"/>
                    </w:rPr>
                    <w:t>废弃的一般性药品；</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64003242">
                  <w:pPr>
                    <w:pStyle w:val="30"/>
                    <w:spacing w:line="340" w:lineRule="exact"/>
                    <w:jc w:val="center"/>
                    <w:rPr>
                      <w:color w:val="auto"/>
                      <w:sz w:val="21"/>
                      <w:szCs w:val="21"/>
                    </w:rPr>
                  </w:pPr>
                  <w:r>
                    <w:rPr>
                      <w:color w:val="auto"/>
                      <w:spacing w:val="-1"/>
                      <w:sz w:val="21"/>
                      <w:szCs w:val="21"/>
                    </w:rPr>
                    <w:t>含此类废物</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1CC4838A">
                  <w:pPr>
                    <w:pStyle w:val="30"/>
                    <w:spacing w:line="340" w:lineRule="exact"/>
                    <w:jc w:val="center"/>
                    <w:rPr>
                      <w:color w:val="auto"/>
                      <w:spacing w:val="-1"/>
                      <w:sz w:val="21"/>
                      <w:szCs w:val="21"/>
                    </w:rPr>
                  </w:pPr>
                  <w:r>
                    <w:rPr>
                      <w:rFonts w:ascii="Times New Roman" w:hAnsi="Times New Roman" w:cs="Times New Roman"/>
                      <w:color w:val="auto"/>
                      <w:sz w:val="21"/>
                      <w:szCs w:val="21"/>
                      <w:lang w:eastAsia="zh-CN"/>
                    </w:rPr>
                    <w:t>药房、药库</w:t>
                  </w:r>
                </w:p>
              </w:tc>
            </w:tr>
            <w:tr w14:paraId="5BF09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401"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2474BE32">
                  <w:pPr>
                    <w:spacing w:line="340" w:lineRule="exact"/>
                    <w:jc w:val="center"/>
                    <w:rPr>
                      <w:rFonts w:ascii="Arial"/>
                      <w:color w:val="auto"/>
                    </w:rPr>
                  </w:pPr>
                </w:p>
              </w:tc>
              <w:tc>
                <w:tcPr>
                  <w:tcW w:w="759"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2B2B9A">
                  <w:pPr>
                    <w:spacing w:line="340" w:lineRule="exact"/>
                    <w:jc w:val="center"/>
                    <w:rPr>
                      <w:rFonts w:ascii="Arial"/>
                      <w:color w:val="auto"/>
                    </w:rPr>
                  </w:pP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588D01F">
                  <w:pPr>
                    <w:pStyle w:val="30"/>
                    <w:spacing w:line="340" w:lineRule="exact"/>
                    <w:jc w:val="center"/>
                    <w:rPr>
                      <w:color w:val="auto"/>
                      <w:sz w:val="21"/>
                      <w:szCs w:val="21"/>
                      <w:lang w:eastAsia="zh-CN"/>
                    </w:rPr>
                  </w:pPr>
                  <w:r>
                    <w:rPr>
                      <w:rFonts w:ascii="Times New Roman" w:hAnsi="Times New Roman" w:eastAsia="Times New Roman" w:cs="Times New Roman"/>
                      <w:color w:val="auto"/>
                      <w:spacing w:val="-1"/>
                      <w:sz w:val="21"/>
                      <w:szCs w:val="21"/>
                      <w:lang w:eastAsia="zh-CN"/>
                    </w:rPr>
                    <w:t>2.</w:t>
                  </w:r>
                  <w:r>
                    <w:rPr>
                      <w:color w:val="auto"/>
                      <w:spacing w:val="-1"/>
                      <w:sz w:val="21"/>
                      <w:szCs w:val="21"/>
                      <w:lang w:eastAsia="zh-CN"/>
                    </w:rPr>
                    <w:t>废弃的细胞毒性药物和遗传毒性药物；</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343FF3ED">
                  <w:pPr>
                    <w:pStyle w:val="30"/>
                    <w:spacing w:line="340" w:lineRule="exact"/>
                    <w:jc w:val="center"/>
                    <w:rPr>
                      <w:color w:val="auto"/>
                      <w:sz w:val="21"/>
                      <w:szCs w:val="21"/>
                    </w:rPr>
                  </w:pPr>
                  <w:r>
                    <w:rPr>
                      <w:color w:val="auto"/>
                      <w:sz w:val="21"/>
                      <w:szCs w:val="21"/>
                    </w:rPr>
                    <w:t>无</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5A36EA13">
                  <w:pPr>
                    <w:pStyle w:val="30"/>
                    <w:spacing w:line="340" w:lineRule="exact"/>
                    <w:jc w:val="center"/>
                    <w:rPr>
                      <w:color w:val="auto"/>
                      <w:sz w:val="21"/>
                      <w:szCs w:val="21"/>
                    </w:rPr>
                  </w:pPr>
                  <w:r>
                    <w:rPr>
                      <w:rFonts w:hint="eastAsia"/>
                      <w:color w:val="auto"/>
                      <w:sz w:val="21"/>
                      <w:szCs w:val="21"/>
                      <w:lang w:eastAsia="zh-CN"/>
                    </w:rPr>
                    <w:t>\</w:t>
                  </w:r>
                </w:p>
              </w:tc>
            </w:tr>
            <w:tr w14:paraId="20691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401" w:type="pct"/>
                  <w:vMerge w:val="continue"/>
                  <w:tcBorders>
                    <w:top w:val="single" w:color="auto" w:sz="4" w:space="0"/>
                    <w:left w:val="nil"/>
                    <w:bottom w:val="single" w:color="auto" w:sz="4" w:space="0"/>
                    <w:right w:val="single" w:color="auto" w:sz="4" w:space="0"/>
                  </w:tcBorders>
                  <w:shd w:val="clear" w:color="auto" w:fill="FFFFFF"/>
                  <w:noWrap w:val="0"/>
                  <w:vAlign w:val="center"/>
                </w:tcPr>
                <w:p w14:paraId="419EA325">
                  <w:pPr>
                    <w:spacing w:line="340" w:lineRule="exact"/>
                    <w:jc w:val="center"/>
                    <w:rPr>
                      <w:rFonts w:ascii="Arial"/>
                      <w:color w:val="auto"/>
                    </w:rPr>
                  </w:pPr>
                </w:p>
              </w:tc>
              <w:tc>
                <w:tcPr>
                  <w:tcW w:w="759"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AB8B15">
                  <w:pPr>
                    <w:spacing w:line="340" w:lineRule="exact"/>
                    <w:jc w:val="center"/>
                    <w:rPr>
                      <w:rFonts w:ascii="Arial"/>
                      <w:color w:val="auto"/>
                    </w:rPr>
                  </w:pP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BCD7EA">
                  <w:pPr>
                    <w:pStyle w:val="30"/>
                    <w:spacing w:line="340" w:lineRule="exact"/>
                    <w:jc w:val="center"/>
                    <w:rPr>
                      <w:color w:val="auto"/>
                      <w:sz w:val="21"/>
                      <w:szCs w:val="21"/>
                      <w:lang w:eastAsia="zh-CN"/>
                    </w:rPr>
                  </w:pPr>
                  <w:r>
                    <w:rPr>
                      <w:rFonts w:ascii="Times New Roman" w:hAnsi="Times New Roman" w:eastAsia="Times New Roman" w:cs="Times New Roman"/>
                      <w:color w:val="auto"/>
                      <w:spacing w:val="-2"/>
                      <w:sz w:val="21"/>
                      <w:szCs w:val="21"/>
                      <w:lang w:eastAsia="zh-CN"/>
                    </w:rPr>
                    <w:t>3.</w:t>
                  </w:r>
                  <w:r>
                    <w:rPr>
                      <w:color w:val="auto"/>
                      <w:spacing w:val="-2"/>
                      <w:sz w:val="21"/>
                      <w:szCs w:val="21"/>
                      <w:lang w:eastAsia="zh-CN"/>
                    </w:rPr>
                    <w:t>废弃的疫苗及血液制品等。</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5D56ACF5">
                  <w:pPr>
                    <w:pStyle w:val="30"/>
                    <w:spacing w:line="340" w:lineRule="exact"/>
                    <w:jc w:val="center"/>
                    <w:rPr>
                      <w:color w:val="auto"/>
                      <w:sz w:val="21"/>
                      <w:szCs w:val="21"/>
                    </w:rPr>
                  </w:pPr>
                  <w:r>
                    <w:rPr>
                      <w:color w:val="auto"/>
                      <w:sz w:val="21"/>
                      <w:szCs w:val="21"/>
                    </w:rPr>
                    <w:t>无</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60B44187">
                  <w:pPr>
                    <w:pStyle w:val="30"/>
                    <w:spacing w:line="340" w:lineRule="exact"/>
                    <w:jc w:val="center"/>
                    <w:rPr>
                      <w:color w:val="auto"/>
                      <w:sz w:val="21"/>
                      <w:szCs w:val="21"/>
                    </w:rPr>
                  </w:pPr>
                  <w:r>
                    <w:rPr>
                      <w:rFonts w:hint="eastAsia"/>
                      <w:color w:val="auto"/>
                      <w:sz w:val="21"/>
                      <w:szCs w:val="21"/>
                      <w:lang w:eastAsia="zh-CN"/>
                    </w:rPr>
                    <w:t>\</w:t>
                  </w:r>
                </w:p>
              </w:tc>
            </w:tr>
            <w:tr w14:paraId="1ED96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1" w:hRule="atLeast"/>
              </w:trPr>
              <w:tc>
                <w:tcPr>
                  <w:tcW w:w="401" w:type="pct"/>
                  <w:vMerge w:val="restart"/>
                  <w:tcBorders>
                    <w:top w:val="single" w:color="auto" w:sz="4" w:space="0"/>
                    <w:left w:val="nil"/>
                    <w:right w:val="single" w:color="auto" w:sz="4" w:space="0"/>
                  </w:tcBorders>
                  <w:shd w:val="clear" w:color="auto" w:fill="FFFFFF"/>
                  <w:noWrap w:val="0"/>
                  <w:vAlign w:val="center"/>
                </w:tcPr>
                <w:p w14:paraId="39E5C572">
                  <w:pPr>
                    <w:spacing w:line="340" w:lineRule="exact"/>
                    <w:jc w:val="center"/>
                    <w:rPr>
                      <w:rFonts w:ascii="Arial"/>
                      <w:color w:val="auto"/>
                    </w:rPr>
                  </w:pPr>
                </w:p>
                <w:p w14:paraId="359A21BB">
                  <w:pPr>
                    <w:pStyle w:val="30"/>
                    <w:spacing w:line="340" w:lineRule="exact"/>
                    <w:jc w:val="center"/>
                    <w:rPr>
                      <w:color w:val="auto"/>
                      <w:sz w:val="21"/>
                      <w:szCs w:val="21"/>
                    </w:rPr>
                  </w:pPr>
                  <w:r>
                    <w:rPr>
                      <w:color w:val="auto"/>
                      <w:spacing w:val="-2"/>
                      <w:sz w:val="21"/>
                      <w:szCs w:val="21"/>
                    </w:rPr>
                    <w:t>化学</w:t>
                  </w:r>
                </w:p>
                <w:p w14:paraId="60B1BD2F">
                  <w:pPr>
                    <w:pStyle w:val="30"/>
                    <w:spacing w:line="340" w:lineRule="exact"/>
                    <w:jc w:val="center"/>
                    <w:rPr>
                      <w:color w:val="auto"/>
                      <w:sz w:val="21"/>
                      <w:szCs w:val="21"/>
                    </w:rPr>
                  </w:pPr>
                  <w:r>
                    <w:rPr>
                      <w:color w:val="auto"/>
                      <w:spacing w:val="-2"/>
                      <w:sz w:val="21"/>
                      <w:szCs w:val="21"/>
                    </w:rPr>
                    <w:t>性废</w:t>
                  </w:r>
                </w:p>
                <w:p w14:paraId="60771EEF">
                  <w:pPr>
                    <w:pStyle w:val="30"/>
                    <w:spacing w:line="340" w:lineRule="exact"/>
                    <w:jc w:val="center"/>
                    <w:rPr>
                      <w:color w:val="auto"/>
                      <w:sz w:val="21"/>
                      <w:szCs w:val="21"/>
                    </w:rPr>
                  </w:pPr>
                  <w:r>
                    <w:rPr>
                      <w:color w:val="auto"/>
                      <w:sz w:val="21"/>
                      <w:szCs w:val="21"/>
                    </w:rPr>
                    <w:t>物</w:t>
                  </w:r>
                </w:p>
              </w:tc>
              <w:tc>
                <w:tcPr>
                  <w:tcW w:w="759" w:type="pct"/>
                  <w:vMerge w:val="restart"/>
                  <w:tcBorders>
                    <w:top w:val="single" w:color="auto" w:sz="4" w:space="0"/>
                    <w:left w:val="single" w:color="auto" w:sz="4" w:space="0"/>
                    <w:right w:val="single" w:color="auto" w:sz="4" w:space="0"/>
                  </w:tcBorders>
                  <w:shd w:val="clear" w:color="auto" w:fill="FFFFFF"/>
                  <w:noWrap w:val="0"/>
                  <w:vAlign w:val="center"/>
                </w:tcPr>
                <w:p w14:paraId="1A6D7A08">
                  <w:pPr>
                    <w:pStyle w:val="30"/>
                    <w:spacing w:line="340" w:lineRule="exact"/>
                    <w:jc w:val="center"/>
                    <w:rPr>
                      <w:color w:val="auto"/>
                      <w:sz w:val="21"/>
                      <w:szCs w:val="21"/>
                      <w:lang w:eastAsia="zh-CN"/>
                    </w:rPr>
                  </w:pPr>
                  <w:r>
                    <w:rPr>
                      <w:color w:val="auto"/>
                      <w:spacing w:val="-12"/>
                      <w:sz w:val="21"/>
                      <w:szCs w:val="21"/>
                      <w:lang w:eastAsia="zh-CN"/>
                    </w:rPr>
                    <w:t>具有毒性、腐</w:t>
                  </w:r>
                  <w:r>
                    <w:rPr>
                      <w:color w:val="auto"/>
                      <w:spacing w:val="-1"/>
                      <w:sz w:val="21"/>
                      <w:szCs w:val="21"/>
                      <w:lang w:eastAsia="zh-CN"/>
                    </w:rPr>
                    <w:t>蚀性、易燃</w:t>
                  </w:r>
                  <w:r>
                    <w:rPr>
                      <w:color w:val="auto"/>
                      <w:spacing w:val="-11"/>
                      <w:sz w:val="21"/>
                      <w:szCs w:val="21"/>
                      <w:lang w:eastAsia="zh-CN"/>
                    </w:rPr>
                    <w:t>性、反应性的</w:t>
                  </w:r>
                  <w:r>
                    <w:rPr>
                      <w:color w:val="auto"/>
                      <w:spacing w:val="-1"/>
                      <w:sz w:val="21"/>
                      <w:szCs w:val="21"/>
                      <w:lang w:eastAsia="zh-CN"/>
                    </w:rPr>
                    <w:t>废弃的化学</w:t>
                  </w:r>
                  <w:r>
                    <w:rPr>
                      <w:color w:val="auto"/>
                      <w:spacing w:val="-2"/>
                      <w:sz w:val="21"/>
                      <w:szCs w:val="21"/>
                      <w:lang w:eastAsia="zh-CN"/>
                    </w:rPr>
                    <w:t>物品。</w:t>
                  </w: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04500E">
                  <w:pPr>
                    <w:pStyle w:val="30"/>
                    <w:spacing w:line="340" w:lineRule="exact"/>
                    <w:jc w:val="center"/>
                    <w:rPr>
                      <w:color w:val="auto"/>
                      <w:sz w:val="21"/>
                      <w:szCs w:val="21"/>
                      <w:lang w:eastAsia="zh-CN"/>
                    </w:rPr>
                  </w:pPr>
                  <w:r>
                    <w:rPr>
                      <w:rFonts w:ascii="Times New Roman" w:hAnsi="Times New Roman" w:eastAsia="Times New Roman" w:cs="Times New Roman"/>
                      <w:color w:val="auto"/>
                      <w:spacing w:val="-2"/>
                      <w:sz w:val="21"/>
                      <w:szCs w:val="21"/>
                      <w:lang w:eastAsia="zh-CN"/>
                    </w:rPr>
                    <w:t>1.</w:t>
                  </w:r>
                  <w:r>
                    <w:rPr>
                      <w:rFonts w:hint="eastAsia" w:ascii="Times New Roman" w:hAnsi="Times New Roman" w:eastAsia="Times New Roman" w:cs="Times New Roman"/>
                      <w:color w:val="auto"/>
                      <w:spacing w:val="-2"/>
                      <w:sz w:val="21"/>
                      <w:szCs w:val="21"/>
                      <w:lang w:eastAsia="zh-CN"/>
                    </w:rPr>
                    <w:t>实验室废弃的化学试剂</w:t>
                  </w:r>
                  <w:r>
                    <w:rPr>
                      <w:color w:val="auto"/>
                      <w:spacing w:val="-2"/>
                      <w:sz w:val="21"/>
                      <w:szCs w:val="21"/>
                      <w:lang w:eastAsia="zh-CN"/>
                    </w:rPr>
                    <w:t>；</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4D7C0F8C">
                  <w:pPr>
                    <w:pStyle w:val="30"/>
                    <w:spacing w:line="340" w:lineRule="exact"/>
                    <w:jc w:val="center"/>
                    <w:rPr>
                      <w:color w:val="auto"/>
                      <w:sz w:val="21"/>
                      <w:szCs w:val="21"/>
                    </w:rPr>
                  </w:pPr>
                  <w:r>
                    <w:rPr>
                      <w:color w:val="auto"/>
                      <w:spacing w:val="-1"/>
                      <w:sz w:val="21"/>
                      <w:szCs w:val="21"/>
                    </w:rPr>
                    <w:t>含此类废物</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70765D9E">
                  <w:pPr>
                    <w:pStyle w:val="30"/>
                    <w:spacing w:line="340" w:lineRule="exact"/>
                    <w:jc w:val="center"/>
                    <w:rPr>
                      <w:color w:val="auto"/>
                      <w:spacing w:val="-1"/>
                      <w:sz w:val="21"/>
                      <w:szCs w:val="21"/>
                    </w:rPr>
                  </w:pPr>
                  <w:r>
                    <w:rPr>
                      <w:rFonts w:hint="eastAsia" w:ascii="Times New Roman" w:hAnsi="Times New Roman" w:cs="Times New Roman"/>
                      <w:color w:val="auto"/>
                      <w:sz w:val="21"/>
                      <w:szCs w:val="21"/>
                      <w:lang w:val="en-US" w:eastAsia="zh-CN"/>
                    </w:rPr>
                    <w:t>化验</w:t>
                  </w:r>
                  <w:r>
                    <w:rPr>
                      <w:rFonts w:hint="eastAsia" w:ascii="Times New Roman" w:hAnsi="Times New Roman" w:cs="Times New Roman"/>
                      <w:color w:val="auto"/>
                      <w:sz w:val="21"/>
                      <w:szCs w:val="21"/>
                      <w:lang w:eastAsia="zh-CN"/>
                    </w:rPr>
                    <w:t>科</w:t>
                  </w:r>
                </w:p>
              </w:tc>
            </w:tr>
            <w:tr w14:paraId="18148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401" w:type="pct"/>
                  <w:vMerge w:val="continue"/>
                  <w:tcBorders>
                    <w:left w:val="nil"/>
                    <w:right w:val="single" w:color="auto" w:sz="4" w:space="0"/>
                  </w:tcBorders>
                  <w:shd w:val="clear" w:color="auto" w:fill="FFFFFF"/>
                  <w:noWrap w:val="0"/>
                  <w:vAlign w:val="center"/>
                </w:tcPr>
                <w:p w14:paraId="651020E7">
                  <w:pPr>
                    <w:pStyle w:val="30"/>
                    <w:spacing w:line="340" w:lineRule="exact"/>
                    <w:jc w:val="center"/>
                    <w:rPr>
                      <w:color w:val="auto"/>
                      <w:sz w:val="21"/>
                      <w:szCs w:val="21"/>
                    </w:rPr>
                  </w:pPr>
                </w:p>
              </w:tc>
              <w:tc>
                <w:tcPr>
                  <w:tcW w:w="759" w:type="pct"/>
                  <w:vMerge w:val="continue"/>
                  <w:tcBorders>
                    <w:left w:val="single" w:color="auto" w:sz="4" w:space="0"/>
                    <w:right w:val="single" w:color="auto" w:sz="4" w:space="0"/>
                  </w:tcBorders>
                  <w:shd w:val="clear" w:color="auto" w:fill="FFFFFF"/>
                  <w:noWrap w:val="0"/>
                  <w:vAlign w:val="center"/>
                </w:tcPr>
                <w:p w14:paraId="0CD018C7">
                  <w:pPr>
                    <w:pStyle w:val="30"/>
                    <w:spacing w:line="340" w:lineRule="exact"/>
                    <w:jc w:val="center"/>
                    <w:rPr>
                      <w:color w:val="auto"/>
                      <w:spacing w:val="-12"/>
                      <w:sz w:val="21"/>
                      <w:szCs w:val="21"/>
                    </w:rPr>
                  </w:pP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6CDE4E">
                  <w:pPr>
                    <w:pStyle w:val="30"/>
                    <w:spacing w:line="340" w:lineRule="exact"/>
                    <w:jc w:val="center"/>
                    <w:rPr>
                      <w:color w:val="auto"/>
                      <w:sz w:val="21"/>
                      <w:szCs w:val="21"/>
                      <w:lang w:eastAsia="zh-CN"/>
                    </w:rPr>
                  </w:pPr>
                  <w:r>
                    <w:rPr>
                      <w:rFonts w:ascii="Times New Roman" w:hAnsi="Times New Roman" w:eastAsia="Times New Roman" w:cs="Times New Roman"/>
                      <w:color w:val="auto"/>
                      <w:spacing w:val="-1"/>
                      <w:sz w:val="21"/>
                      <w:szCs w:val="21"/>
                      <w:lang w:eastAsia="zh-CN"/>
                    </w:rPr>
                    <w:t>2.</w:t>
                  </w:r>
                  <w:r>
                    <w:rPr>
                      <w:rFonts w:hint="eastAsia" w:ascii="Times New Roman" w:hAnsi="Times New Roman" w:eastAsia="Times New Roman" w:cs="Times New Roman"/>
                      <w:color w:val="auto"/>
                      <w:spacing w:val="-1"/>
                      <w:sz w:val="21"/>
                      <w:szCs w:val="21"/>
                      <w:lang w:eastAsia="zh-CN"/>
                    </w:rPr>
                    <w:t>废弃的汞血压计、汞温度计</w:t>
                  </w:r>
                  <w:r>
                    <w:rPr>
                      <w:color w:val="auto"/>
                      <w:spacing w:val="-1"/>
                      <w:sz w:val="21"/>
                      <w:szCs w:val="21"/>
                      <w:lang w:eastAsia="zh-CN"/>
                    </w:rPr>
                    <w:t>；</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10F689CC">
                  <w:pPr>
                    <w:pStyle w:val="30"/>
                    <w:spacing w:line="340" w:lineRule="exact"/>
                    <w:jc w:val="center"/>
                    <w:rPr>
                      <w:color w:val="auto"/>
                      <w:spacing w:val="-1"/>
                      <w:sz w:val="21"/>
                      <w:szCs w:val="21"/>
                    </w:rPr>
                  </w:pPr>
                  <w:r>
                    <w:rPr>
                      <w:color w:val="auto"/>
                      <w:spacing w:val="-1"/>
                      <w:sz w:val="21"/>
                      <w:szCs w:val="21"/>
                    </w:rPr>
                    <w:t>含此类废物</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061224E9">
                  <w:pPr>
                    <w:pStyle w:val="30"/>
                    <w:spacing w:line="340" w:lineRule="exact"/>
                    <w:jc w:val="center"/>
                    <w:rPr>
                      <w:color w:val="auto"/>
                      <w:spacing w:val="-1"/>
                      <w:sz w:val="21"/>
                      <w:szCs w:val="21"/>
                      <w:lang w:eastAsia="zh-CN"/>
                    </w:rPr>
                  </w:pPr>
                  <w:r>
                    <w:rPr>
                      <w:rFonts w:hint="eastAsia"/>
                      <w:color w:val="auto"/>
                      <w:spacing w:val="-1"/>
                      <w:sz w:val="21"/>
                      <w:szCs w:val="21"/>
                      <w:lang w:eastAsia="zh-CN"/>
                    </w:rPr>
                    <w:t>内科、病房</w:t>
                  </w:r>
                </w:p>
              </w:tc>
            </w:tr>
            <w:tr w14:paraId="0D9CA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401" w:type="pct"/>
                  <w:vMerge w:val="continue"/>
                  <w:tcBorders>
                    <w:left w:val="nil"/>
                    <w:right w:val="single" w:color="auto" w:sz="4" w:space="0"/>
                  </w:tcBorders>
                  <w:shd w:val="clear" w:color="auto" w:fill="FFFFFF"/>
                  <w:noWrap w:val="0"/>
                  <w:vAlign w:val="center"/>
                </w:tcPr>
                <w:p w14:paraId="1B224146">
                  <w:pPr>
                    <w:pStyle w:val="30"/>
                    <w:spacing w:line="340" w:lineRule="exact"/>
                    <w:jc w:val="center"/>
                    <w:rPr>
                      <w:color w:val="auto"/>
                      <w:sz w:val="21"/>
                      <w:szCs w:val="21"/>
                    </w:rPr>
                  </w:pPr>
                </w:p>
              </w:tc>
              <w:tc>
                <w:tcPr>
                  <w:tcW w:w="759" w:type="pct"/>
                  <w:vMerge w:val="continue"/>
                  <w:tcBorders>
                    <w:left w:val="single" w:color="auto" w:sz="4" w:space="0"/>
                    <w:right w:val="single" w:color="auto" w:sz="4" w:space="0"/>
                  </w:tcBorders>
                  <w:shd w:val="clear" w:color="auto" w:fill="FFFFFF"/>
                  <w:noWrap w:val="0"/>
                  <w:vAlign w:val="center"/>
                </w:tcPr>
                <w:p w14:paraId="16C55EEB">
                  <w:pPr>
                    <w:pStyle w:val="30"/>
                    <w:spacing w:line="340" w:lineRule="exact"/>
                    <w:jc w:val="center"/>
                    <w:rPr>
                      <w:color w:val="auto"/>
                      <w:spacing w:val="-12"/>
                      <w:sz w:val="21"/>
                      <w:szCs w:val="21"/>
                    </w:rPr>
                  </w:pPr>
                </w:p>
              </w:tc>
              <w:tc>
                <w:tcPr>
                  <w:tcW w:w="214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F1D9CE4">
                  <w:pPr>
                    <w:pStyle w:val="30"/>
                    <w:spacing w:line="340" w:lineRule="exact"/>
                    <w:jc w:val="center"/>
                    <w:rPr>
                      <w:color w:val="auto"/>
                      <w:sz w:val="21"/>
                      <w:szCs w:val="21"/>
                      <w:lang w:eastAsia="zh-CN"/>
                    </w:rPr>
                  </w:pPr>
                  <w:r>
                    <w:rPr>
                      <w:rFonts w:ascii="Times New Roman" w:hAnsi="Times New Roman" w:eastAsia="Times New Roman" w:cs="Times New Roman"/>
                      <w:color w:val="auto"/>
                      <w:spacing w:val="-2"/>
                      <w:sz w:val="21"/>
                      <w:szCs w:val="21"/>
                      <w:lang w:eastAsia="zh-CN"/>
                    </w:rPr>
                    <w:t>3.</w:t>
                  </w:r>
                  <w:r>
                    <w:rPr>
                      <w:color w:val="auto"/>
                      <w:spacing w:val="-2"/>
                      <w:sz w:val="21"/>
                      <w:szCs w:val="21"/>
                      <w:lang w:eastAsia="zh-CN"/>
                    </w:rPr>
                    <w:t>列入《国家危险废物名录》中的废弃危险化学品，如甲醛、二甲苯等。</w:t>
                  </w:r>
                </w:p>
              </w:tc>
              <w:tc>
                <w:tcPr>
                  <w:tcW w:w="901" w:type="pct"/>
                  <w:tcBorders>
                    <w:top w:val="single" w:color="auto" w:sz="4" w:space="0"/>
                    <w:left w:val="single" w:color="auto" w:sz="4" w:space="0"/>
                    <w:bottom w:val="single" w:color="auto" w:sz="4" w:space="0"/>
                    <w:right w:val="nil"/>
                  </w:tcBorders>
                  <w:shd w:val="clear" w:color="auto" w:fill="FFFFFF"/>
                  <w:noWrap w:val="0"/>
                  <w:vAlign w:val="center"/>
                </w:tcPr>
                <w:p w14:paraId="17AF8B11">
                  <w:pPr>
                    <w:pStyle w:val="30"/>
                    <w:spacing w:line="340" w:lineRule="exact"/>
                    <w:jc w:val="center"/>
                    <w:rPr>
                      <w:rFonts w:hint="eastAsia"/>
                      <w:color w:val="auto"/>
                      <w:spacing w:val="-1"/>
                      <w:sz w:val="21"/>
                      <w:szCs w:val="21"/>
                      <w:lang w:eastAsia="zh-CN"/>
                    </w:rPr>
                  </w:pPr>
                  <w:r>
                    <w:rPr>
                      <w:rFonts w:hint="eastAsia"/>
                      <w:color w:val="auto"/>
                      <w:spacing w:val="-1"/>
                      <w:sz w:val="21"/>
                      <w:szCs w:val="21"/>
                      <w:lang w:eastAsia="zh-CN"/>
                    </w:rPr>
                    <w:t>无</w:t>
                  </w:r>
                </w:p>
              </w:tc>
              <w:tc>
                <w:tcPr>
                  <w:tcW w:w="797" w:type="pct"/>
                  <w:tcBorders>
                    <w:top w:val="single" w:color="auto" w:sz="4" w:space="0"/>
                    <w:left w:val="single" w:color="auto" w:sz="4" w:space="0"/>
                    <w:bottom w:val="single" w:color="auto" w:sz="4" w:space="0"/>
                    <w:right w:val="nil"/>
                  </w:tcBorders>
                  <w:shd w:val="clear" w:color="auto" w:fill="FFFFFF"/>
                  <w:noWrap w:val="0"/>
                  <w:vAlign w:val="center"/>
                </w:tcPr>
                <w:p w14:paraId="2AC5445F">
                  <w:pPr>
                    <w:pStyle w:val="30"/>
                    <w:spacing w:line="340" w:lineRule="exact"/>
                    <w:jc w:val="center"/>
                    <w:rPr>
                      <w:rFonts w:hint="eastAsia"/>
                      <w:color w:val="auto"/>
                      <w:spacing w:val="-1"/>
                      <w:sz w:val="21"/>
                      <w:szCs w:val="21"/>
                      <w:lang w:eastAsia="zh-CN"/>
                    </w:rPr>
                  </w:pPr>
                  <w:r>
                    <w:rPr>
                      <w:rFonts w:hint="eastAsia"/>
                      <w:color w:val="auto"/>
                      <w:sz w:val="21"/>
                      <w:szCs w:val="21"/>
                      <w:lang w:eastAsia="zh-CN"/>
                    </w:rPr>
                    <w:t>\</w:t>
                  </w:r>
                </w:p>
              </w:tc>
            </w:tr>
          </w:tbl>
          <w:p w14:paraId="2AC6E1CC">
            <w:pPr>
              <w:pStyle w:val="30"/>
              <w:spacing w:before="199" w:line="360" w:lineRule="auto"/>
              <w:ind w:right="100" w:firstLine="480" w:firstLineChars="200"/>
              <w:rPr>
                <w:color w:val="auto"/>
                <w:lang w:eastAsia="zh-CN"/>
              </w:rPr>
            </w:pPr>
            <w:r>
              <w:rPr>
                <w:color w:val="auto"/>
                <w:lang w:eastAsia="zh-CN"/>
              </w:rPr>
              <w:t>根据上表，本项目医疗固废主要有感染性废物、损伤性废物、</w:t>
            </w:r>
            <w:r>
              <w:rPr>
                <w:color w:val="auto"/>
                <w:spacing w:val="-2"/>
                <w:lang w:eastAsia="zh-CN"/>
              </w:rPr>
              <w:t>化学性废物、药物性废物。对照《国家危险废物名录（</w:t>
            </w:r>
            <w:r>
              <w:rPr>
                <w:rFonts w:ascii="Times New Roman" w:hAnsi="Times New Roman" w:eastAsia="Times New Roman" w:cs="Times New Roman"/>
                <w:color w:val="auto"/>
                <w:spacing w:val="-2"/>
                <w:lang w:eastAsia="zh-CN"/>
              </w:rPr>
              <w:t>202</w:t>
            </w:r>
            <w:r>
              <w:rPr>
                <w:rFonts w:hint="eastAsia" w:ascii="Times New Roman" w:hAnsi="Times New Roman" w:cs="Times New Roman"/>
                <w:color w:val="auto"/>
                <w:spacing w:val="-2"/>
                <w:lang w:eastAsia="zh-CN"/>
              </w:rPr>
              <w:t>5</w:t>
            </w:r>
            <w:r>
              <w:rPr>
                <w:color w:val="auto"/>
                <w:spacing w:val="-2"/>
                <w:lang w:eastAsia="zh-CN"/>
              </w:rPr>
              <w:t>年版）》，</w:t>
            </w:r>
            <w:r>
              <w:rPr>
                <w:color w:val="auto"/>
                <w:spacing w:val="1"/>
                <w:lang w:eastAsia="zh-CN"/>
              </w:rPr>
              <w:t>其危废代码分别为</w:t>
            </w:r>
            <w:r>
              <w:rPr>
                <w:rFonts w:ascii="Times New Roman" w:hAnsi="Times New Roman" w:eastAsia="Times New Roman" w:cs="Times New Roman"/>
                <w:color w:val="auto"/>
                <w:lang w:eastAsia="zh-CN"/>
              </w:rPr>
              <w:t>HW</w:t>
            </w:r>
            <w:r>
              <w:rPr>
                <w:rFonts w:ascii="Times New Roman" w:hAnsi="Times New Roman" w:eastAsia="Times New Roman" w:cs="Times New Roman"/>
                <w:color w:val="auto"/>
                <w:spacing w:val="1"/>
                <w:lang w:eastAsia="zh-CN"/>
              </w:rPr>
              <w:t>01</w:t>
            </w:r>
            <w:r>
              <w:rPr>
                <w:color w:val="auto"/>
                <w:spacing w:val="1"/>
                <w:lang w:eastAsia="zh-CN"/>
              </w:rPr>
              <w:t>（</w:t>
            </w:r>
            <w:r>
              <w:rPr>
                <w:rFonts w:ascii="Times New Roman" w:hAnsi="Times New Roman" w:eastAsia="Times New Roman" w:cs="Times New Roman"/>
                <w:color w:val="auto"/>
                <w:spacing w:val="1"/>
                <w:lang w:eastAsia="zh-CN"/>
              </w:rPr>
              <w:t>841-001-01</w:t>
            </w:r>
            <w:r>
              <w:rPr>
                <w:color w:val="auto"/>
                <w:spacing w:val="1"/>
                <w:lang w:eastAsia="zh-CN"/>
              </w:rPr>
              <w:t>）、</w:t>
            </w:r>
            <w:r>
              <w:rPr>
                <w:rFonts w:ascii="Times New Roman" w:hAnsi="Times New Roman" w:eastAsia="Times New Roman" w:cs="Times New Roman"/>
                <w:color w:val="auto"/>
                <w:lang w:eastAsia="zh-CN"/>
              </w:rPr>
              <w:t>HW</w:t>
            </w:r>
            <w:r>
              <w:rPr>
                <w:rFonts w:ascii="Times New Roman" w:hAnsi="Times New Roman" w:eastAsia="Times New Roman" w:cs="Times New Roman"/>
                <w:color w:val="auto"/>
                <w:spacing w:val="1"/>
                <w:lang w:eastAsia="zh-CN"/>
              </w:rPr>
              <w:t>01</w:t>
            </w:r>
            <w:r>
              <w:rPr>
                <w:color w:val="auto"/>
                <w:spacing w:val="1"/>
                <w:lang w:eastAsia="zh-CN"/>
              </w:rPr>
              <w:t>（</w:t>
            </w:r>
            <w:r>
              <w:rPr>
                <w:rFonts w:ascii="Times New Roman" w:hAnsi="Times New Roman" w:eastAsia="Times New Roman" w:cs="Times New Roman"/>
                <w:color w:val="auto"/>
                <w:spacing w:val="1"/>
                <w:lang w:eastAsia="zh-CN"/>
              </w:rPr>
              <w:t>841-002-01</w:t>
            </w:r>
            <w:r>
              <w:rPr>
                <w:color w:val="auto"/>
                <w:spacing w:val="1"/>
                <w:lang w:eastAsia="zh-CN"/>
              </w:rPr>
              <w:t>）、</w:t>
            </w:r>
            <w:r>
              <w:rPr>
                <w:rFonts w:ascii="Times New Roman" w:hAnsi="Times New Roman" w:eastAsia="Times New Roman" w:cs="Times New Roman"/>
                <w:color w:val="auto"/>
                <w:spacing w:val="-1"/>
                <w:lang w:eastAsia="zh-CN"/>
              </w:rPr>
              <w:t>HW01</w:t>
            </w:r>
            <w:r>
              <w:rPr>
                <w:color w:val="auto"/>
                <w:spacing w:val="-1"/>
                <w:lang w:eastAsia="zh-CN"/>
              </w:rPr>
              <w:t>（</w:t>
            </w:r>
            <w:r>
              <w:rPr>
                <w:rFonts w:ascii="Times New Roman" w:hAnsi="Times New Roman" w:eastAsia="Times New Roman" w:cs="Times New Roman"/>
                <w:color w:val="auto"/>
                <w:spacing w:val="-1"/>
                <w:lang w:eastAsia="zh-CN"/>
              </w:rPr>
              <w:t>841-004-01</w:t>
            </w:r>
            <w:r>
              <w:rPr>
                <w:color w:val="auto"/>
                <w:spacing w:val="-1"/>
                <w:lang w:eastAsia="zh-CN"/>
              </w:rPr>
              <w:t>）、</w:t>
            </w:r>
            <w:r>
              <w:rPr>
                <w:rFonts w:ascii="Times New Roman" w:hAnsi="Times New Roman" w:eastAsia="Times New Roman" w:cs="Times New Roman"/>
                <w:color w:val="auto"/>
                <w:spacing w:val="-1"/>
                <w:lang w:eastAsia="zh-CN"/>
              </w:rPr>
              <w:t>HW01</w:t>
            </w:r>
            <w:r>
              <w:rPr>
                <w:color w:val="auto"/>
                <w:spacing w:val="-1"/>
                <w:lang w:eastAsia="zh-CN"/>
              </w:rPr>
              <w:t>（</w:t>
            </w:r>
            <w:r>
              <w:rPr>
                <w:rFonts w:ascii="Times New Roman" w:hAnsi="Times New Roman" w:eastAsia="Times New Roman" w:cs="Times New Roman"/>
                <w:color w:val="auto"/>
                <w:spacing w:val="-1"/>
                <w:lang w:eastAsia="zh-CN"/>
              </w:rPr>
              <w:t>841-005-01</w:t>
            </w:r>
            <w:r>
              <w:rPr>
                <w:color w:val="auto"/>
                <w:spacing w:val="-1"/>
                <w:lang w:eastAsia="zh-CN"/>
              </w:rPr>
              <w:t>）。</w:t>
            </w:r>
          </w:p>
          <w:p w14:paraId="4D905FBD">
            <w:pPr>
              <w:pStyle w:val="30"/>
              <w:spacing w:line="360" w:lineRule="auto"/>
              <w:rPr>
                <w:rFonts w:hint="default" w:eastAsia="宋体"/>
                <w:color w:val="auto"/>
                <w:sz w:val="24"/>
                <w:szCs w:val="24"/>
                <w:lang w:val="en-US" w:eastAsia="zh-CN"/>
              </w:rPr>
            </w:pPr>
            <w:r>
              <w:rPr>
                <w:color w:val="auto"/>
                <w:lang w:eastAsia="zh-CN"/>
              </w:rPr>
              <w:t>医疗废物产生量根据《第</w:t>
            </w:r>
            <w:r>
              <w:rPr>
                <w:rFonts w:hint="eastAsia"/>
                <w:color w:val="auto"/>
                <w:lang w:eastAsia="zh-CN"/>
              </w:rPr>
              <w:t>二</w:t>
            </w:r>
            <w:r>
              <w:rPr>
                <w:color w:val="auto"/>
                <w:lang w:eastAsia="zh-CN"/>
              </w:rPr>
              <w:t>次全国污染源普查城镇生活源产排污系数手</w:t>
            </w:r>
            <w:r>
              <w:rPr>
                <w:color w:val="auto"/>
                <w:spacing w:val="-1"/>
                <w:lang w:eastAsia="zh-CN"/>
              </w:rPr>
              <w:t>册》第二分册“医院污染物产生、排放系数”以及类比调查，病房产生医疗</w:t>
            </w:r>
            <w:r>
              <w:rPr>
                <w:color w:val="auto"/>
                <w:spacing w:val="-2"/>
                <w:lang w:eastAsia="zh-CN"/>
              </w:rPr>
              <w:t>废物约</w:t>
            </w:r>
            <w:r>
              <w:rPr>
                <w:rFonts w:ascii="Times New Roman" w:hAnsi="Times New Roman" w:eastAsia="Times New Roman" w:cs="Times New Roman"/>
                <w:color w:val="auto"/>
                <w:spacing w:val="-2"/>
                <w:lang w:eastAsia="zh-CN"/>
              </w:rPr>
              <w:t>0.</w:t>
            </w:r>
            <w:r>
              <w:rPr>
                <w:rFonts w:hint="eastAsia" w:ascii="Times New Roman" w:hAnsi="Times New Roman" w:eastAsia="Times New Roman" w:cs="Times New Roman"/>
                <w:color w:val="auto"/>
                <w:spacing w:val="-2"/>
                <w:lang w:val="en-US" w:eastAsia="zh-CN"/>
              </w:rPr>
              <w:t>42</w:t>
            </w:r>
            <w:r>
              <w:rPr>
                <w:rFonts w:ascii="Times New Roman" w:hAnsi="Times New Roman" w:eastAsia="Times New Roman" w:cs="Times New Roman"/>
                <w:color w:val="auto"/>
                <w:spacing w:val="-2"/>
                <w:lang w:eastAsia="zh-CN"/>
              </w:rPr>
              <w:t>kg/</w:t>
            </w:r>
            <w:r>
              <w:rPr>
                <w:color w:val="auto"/>
                <w:spacing w:val="-2"/>
                <w:lang w:eastAsia="zh-CN"/>
              </w:rPr>
              <w:t>床位</w:t>
            </w:r>
            <w:r>
              <w:rPr>
                <w:rFonts w:ascii="Times New Roman" w:hAnsi="Times New Roman" w:eastAsia="Times New Roman" w:cs="Times New Roman"/>
                <w:b/>
                <w:bCs/>
                <w:color w:val="auto"/>
                <w:spacing w:val="-2"/>
                <w:lang w:eastAsia="zh-CN"/>
              </w:rPr>
              <w:t>·</w:t>
            </w:r>
            <w:r>
              <w:rPr>
                <w:rFonts w:ascii="Times New Roman" w:hAnsi="Times New Roman" w:eastAsia="Times New Roman" w:cs="Times New Roman"/>
                <w:color w:val="auto"/>
                <w:spacing w:val="-2"/>
                <w:lang w:eastAsia="zh-CN"/>
              </w:rPr>
              <w:t>d</w:t>
            </w:r>
            <w:r>
              <w:rPr>
                <w:rFonts w:hint="eastAsia" w:ascii="Times New Roman" w:hAnsi="Times New Roman" w:eastAsia="Times New Roman" w:cs="Times New Roman"/>
                <w:color w:val="auto"/>
                <w:spacing w:val="-2"/>
                <w:lang w:eastAsia="zh-CN"/>
              </w:rPr>
              <w:t>，</w:t>
            </w:r>
            <w:r>
              <w:rPr>
                <w:color w:val="auto"/>
                <w:spacing w:val="-2"/>
                <w:sz w:val="24"/>
                <w:szCs w:val="24"/>
                <w:lang w:eastAsia="zh-CN"/>
              </w:rPr>
              <w:t>本项目</w:t>
            </w:r>
            <w:r>
              <w:rPr>
                <w:rFonts w:hint="eastAsia"/>
                <w:color w:val="auto"/>
                <w:spacing w:val="-2"/>
                <w:sz w:val="24"/>
                <w:szCs w:val="24"/>
                <w:lang w:val="en-US" w:eastAsia="zh-CN"/>
              </w:rPr>
              <w:t>新增</w:t>
            </w:r>
            <w:r>
              <w:rPr>
                <w:color w:val="auto"/>
                <w:spacing w:val="-3"/>
                <w:sz w:val="24"/>
                <w:szCs w:val="24"/>
                <w:lang w:eastAsia="zh-CN"/>
              </w:rPr>
              <w:t>床位</w:t>
            </w:r>
            <w:r>
              <w:rPr>
                <w:rFonts w:hint="eastAsia" w:ascii="Times New Roman" w:hAnsi="Times New Roman" w:eastAsia="Times New Roman" w:cs="Times New Roman"/>
                <w:color w:val="auto"/>
                <w:spacing w:val="-2"/>
                <w:lang w:val="en-US" w:eastAsia="zh-CN"/>
              </w:rPr>
              <w:t>170</w:t>
            </w:r>
            <w:r>
              <w:rPr>
                <w:rFonts w:ascii="Times New Roman" w:hAnsi="Times New Roman" w:eastAsia="Times New Roman" w:cs="Times New Roman"/>
                <w:color w:val="auto"/>
                <w:spacing w:val="-2"/>
                <w:lang w:eastAsia="zh-CN"/>
              </w:rPr>
              <w:t>张</w:t>
            </w:r>
            <w:r>
              <w:rPr>
                <w:color w:val="auto"/>
                <w:spacing w:val="-3"/>
                <w:sz w:val="24"/>
                <w:szCs w:val="24"/>
                <w:lang w:eastAsia="zh-CN"/>
              </w:rPr>
              <w:t>，</w:t>
            </w:r>
            <w:r>
              <w:rPr>
                <w:rFonts w:hint="eastAsia"/>
                <w:color w:val="auto"/>
                <w:spacing w:val="-3"/>
                <w:sz w:val="24"/>
                <w:szCs w:val="24"/>
                <w:lang w:val="en-US" w:eastAsia="zh-CN"/>
              </w:rPr>
              <w:t>新增</w:t>
            </w:r>
            <w:r>
              <w:rPr>
                <w:color w:val="auto"/>
                <w:spacing w:val="-3"/>
                <w:sz w:val="24"/>
                <w:szCs w:val="24"/>
                <w:lang w:eastAsia="zh-CN"/>
              </w:rPr>
              <w:t>医疗废物产生量</w:t>
            </w:r>
            <w:r>
              <w:rPr>
                <w:rFonts w:ascii="Times New Roman" w:hAnsi="Times New Roman" w:eastAsia="Times New Roman" w:cs="Times New Roman"/>
                <w:color w:val="auto"/>
                <w:spacing w:val="-2"/>
                <w:lang w:eastAsia="zh-CN"/>
              </w:rPr>
              <w:t>约26.06</w:t>
            </w:r>
            <w:r>
              <w:rPr>
                <w:rFonts w:hint="eastAsia" w:ascii="Times New Roman" w:hAnsi="Times New Roman" w:eastAsia="Times New Roman" w:cs="Times New Roman"/>
                <w:color w:val="auto"/>
                <w:spacing w:val="-2"/>
                <w:lang w:eastAsia="zh-CN"/>
              </w:rPr>
              <w:t>t</w:t>
            </w:r>
            <w:r>
              <w:rPr>
                <w:rFonts w:ascii="Times New Roman" w:hAnsi="Times New Roman" w:eastAsia="Times New Roman" w:cs="Times New Roman"/>
                <w:color w:val="auto"/>
                <w:spacing w:val="-2"/>
                <w:lang w:eastAsia="zh-CN"/>
              </w:rPr>
              <w:t>/a</w:t>
            </w:r>
            <w:r>
              <w:rPr>
                <w:rStyle w:val="21"/>
                <w:rFonts w:hint="eastAsia" w:ascii="Times New Roman" w:hAnsi="Times New Roman" w:cs="Times New Roman"/>
                <w:color w:val="auto"/>
                <w:kern w:val="0"/>
                <w:sz w:val="24"/>
                <w:szCs w:val="24"/>
                <w:lang w:eastAsia="zh-CN"/>
              </w:rPr>
              <w:t>；</w:t>
            </w:r>
            <w:r>
              <w:rPr>
                <w:rFonts w:hint="eastAsia"/>
                <w:color w:val="auto"/>
                <w:lang w:val="en-US" w:eastAsia="zh-CN"/>
              </w:rPr>
              <w:t>医疗废物经紫外消毒后暂存在危废仓库，委托有资质的单位定期进行安全运输、处置。</w:t>
            </w:r>
          </w:p>
          <w:p w14:paraId="61458168">
            <w:pPr>
              <w:pStyle w:val="30"/>
              <w:spacing w:before="32" w:line="360" w:lineRule="auto"/>
              <w:ind w:left="576"/>
              <w:rPr>
                <w:color w:val="auto"/>
                <w:lang w:eastAsia="zh-CN"/>
              </w:rPr>
            </w:pPr>
            <w:r>
              <w:rPr>
                <w:rFonts w:ascii="Times New Roman" w:hAnsi="Times New Roman" w:eastAsia="Times New Roman" w:cs="Times New Roman"/>
                <w:color w:val="auto"/>
                <w:lang w:eastAsia="zh-CN"/>
              </w:rPr>
              <w:t>b</w:t>
            </w:r>
            <w:r>
              <w:rPr>
                <w:color w:val="auto"/>
                <w:lang w:eastAsia="zh-CN"/>
              </w:rPr>
              <w:t>）</w:t>
            </w:r>
            <w:r>
              <w:rPr>
                <w:rFonts w:hint="eastAsia"/>
                <w:color w:val="auto"/>
                <w:lang w:val="en-US" w:eastAsia="zh-CN"/>
              </w:rPr>
              <w:t>医疗废水</w:t>
            </w:r>
            <w:r>
              <w:rPr>
                <w:color w:val="auto"/>
                <w:lang w:eastAsia="zh-CN"/>
              </w:rPr>
              <w:t>处理设施污泥</w:t>
            </w:r>
          </w:p>
          <w:p w14:paraId="04F0071B">
            <w:pPr>
              <w:pStyle w:val="30"/>
              <w:spacing w:line="360" w:lineRule="auto"/>
              <w:ind w:firstLine="504" w:firstLineChars="200"/>
              <w:rPr>
                <w:rFonts w:hint="eastAsia" w:ascii="Times New Roman" w:hAnsi="Times New Roman" w:eastAsia="宋体" w:cs="Times New Roman"/>
                <w:color w:val="auto"/>
                <w:spacing w:val="-5"/>
                <w:lang w:val="en-US" w:eastAsia="zh-CN"/>
              </w:rPr>
            </w:pPr>
            <w:r>
              <w:rPr>
                <w:color w:val="auto"/>
                <w:spacing w:val="6"/>
                <w:lang w:eastAsia="zh-CN"/>
              </w:rPr>
              <w:t>类比</w:t>
            </w:r>
            <w:r>
              <w:rPr>
                <w:rFonts w:hint="eastAsia"/>
                <w:color w:val="auto"/>
                <w:spacing w:val="6"/>
                <w:lang w:val="en-US" w:eastAsia="zh-CN"/>
              </w:rPr>
              <w:t>调查</w:t>
            </w:r>
            <w:r>
              <w:rPr>
                <w:color w:val="auto"/>
                <w:spacing w:val="6"/>
                <w:lang w:eastAsia="zh-CN"/>
              </w:rPr>
              <w:t>污泥产生情况，每万吨废水产生污泥约</w:t>
            </w:r>
            <w:r>
              <w:rPr>
                <w:rFonts w:ascii="Times New Roman" w:hAnsi="Times New Roman" w:eastAsia="Times New Roman" w:cs="Times New Roman"/>
                <w:color w:val="auto"/>
                <w:spacing w:val="6"/>
                <w:lang w:eastAsia="zh-CN"/>
              </w:rPr>
              <w:t>3t</w:t>
            </w:r>
            <w:r>
              <w:rPr>
                <w:rFonts w:hint="eastAsia" w:ascii="Times New Roman" w:hAnsi="Times New Roman" w:eastAsia="Times New Roman" w:cs="Times New Roman"/>
                <w:color w:val="auto"/>
                <w:spacing w:val="6"/>
                <w:lang w:eastAsia="zh-CN"/>
              </w:rPr>
              <w:t>（含水率约80%～90%）</w:t>
            </w:r>
            <w:r>
              <w:rPr>
                <w:color w:val="auto"/>
                <w:spacing w:val="6"/>
                <w:lang w:eastAsia="zh-CN"/>
              </w:rPr>
              <w:t>，本项目</w:t>
            </w:r>
            <w:r>
              <w:rPr>
                <w:color w:val="auto"/>
                <w:spacing w:val="5"/>
                <w:lang w:eastAsia="zh-CN"/>
              </w:rPr>
              <w:t>废水</w:t>
            </w:r>
            <w:r>
              <w:rPr>
                <w:rFonts w:hint="eastAsia" w:ascii="Times New Roman" w:hAnsi="Times New Roman" w:cs="Times New Roman"/>
                <w:color w:val="auto"/>
                <w:spacing w:val="5"/>
                <w:lang w:val="en-US" w:eastAsia="zh-CN"/>
              </w:rPr>
              <w:t>65143.01</w:t>
            </w:r>
            <w:r>
              <w:rPr>
                <w:rFonts w:ascii="Times New Roman" w:hAnsi="Times New Roman" w:eastAsia="Times New Roman" w:cs="Times New Roman"/>
                <w:color w:val="auto"/>
                <w:spacing w:val="-11"/>
                <w:lang w:eastAsia="zh-CN"/>
              </w:rPr>
              <w:t>t/a</w:t>
            </w:r>
            <w:r>
              <w:rPr>
                <w:color w:val="auto"/>
                <w:spacing w:val="-11"/>
                <w:lang w:eastAsia="zh-CN"/>
              </w:rPr>
              <w:t>，则新增污泥产生量约</w:t>
            </w:r>
            <w:r>
              <w:rPr>
                <w:rFonts w:hint="eastAsia" w:ascii="Times New Roman" w:hAnsi="Times New Roman" w:cs="Times New Roman"/>
                <w:color w:val="auto"/>
                <w:spacing w:val="-11"/>
                <w:lang w:val="en-US" w:eastAsia="zh-CN"/>
              </w:rPr>
              <w:t xml:space="preserve">23.24 </w:t>
            </w:r>
            <w:r>
              <w:rPr>
                <w:rFonts w:ascii="Times New Roman" w:hAnsi="Times New Roman" w:eastAsia="Times New Roman" w:cs="Times New Roman"/>
                <w:color w:val="auto"/>
                <w:spacing w:val="-11"/>
                <w:lang w:eastAsia="zh-CN"/>
              </w:rPr>
              <w:t>t/a</w:t>
            </w:r>
            <w:r>
              <w:rPr>
                <w:rFonts w:hint="eastAsia" w:ascii="Times New Roman" w:hAnsi="Times New Roman" w:eastAsia="Times New Roman" w:cs="Times New Roman"/>
                <w:color w:val="auto"/>
                <w:spacing w:val="6"/>
                <w:lang w:eastAsia="zh-CN"/>
              </w:rPr>
              <w:t>（含水率约80%～90%）</w:t>
            </w:r>
            <w:r>
              <w:rPr>
                <w:color w:val="auto"/>
                <w:spacing w:val="-11"/>
                <w:lang w:eastAsia="zh-CN"/>
              </w:rPr>
              <w:t>。对照《</w:t>
            </w:r>
            <w:r>
              <w:rPr>
                <w:color w:val="auto"/>
                <w:spacing w:val="-1"/>
                <w:lang w:eastAsia="zh-CN"/>
              </w:rPr>
              <w:t>国家危险废物名录</w:t>
            </w:r>
            <w:r>
              <w:rPr>
                <w:color w:val="auto"/>
                <w:spacing w:val="-12"/>
                <w:lang w:eastAsia="zh-CN"/>
              </w:rPr>
              <w:t>（</w:t>
            </w:r>
            <w:r>
              <w:rPr>
                <w:rFonts w:ascii="Times New Roman" w:hAnsi="Times New Roman" w:eastAsia="Times New Roman" w:cs="Times New Roman"/>
                <w:color w:val="auto"/>
                <w:spacing w:val="-12"/>
                <w:lang w:eastAsia="zh-CN"/>
              </w:rPr>
              <w:t>202</w:t>
            </w:r>
            <w:r>
              <w:rPr>
                <w:rFonts w:hint="eastAsia" w:ascii="Times New Roman" w:hAnsi="Times New Roman" w:cs="Times New Roman"/>
                <w:color w:val="auto"/>
                <w:spacing w:val="-12"/>
                <w:lang w:eastAsia="zh-CN"/>
              </w:rPr>
              <w:t>5</w:t>
            </w:r>
            <w:r>
              <w:rPr>
                <w:color w:val="auto"/>
                <w:spacing w:val="-12"/>
                <w:lang w:eastAsia="zh-CN"/>
              </w:rPr>
              <w:t>年版）》，</w:t>
            </w:r>
            <w:r>
              <w:rPr>
                <w:color w:val="auto"/>
                <w:lang w:eastAsia="zh-CN"/>
              </w:rPr>
              <w:t>污泥危废代码为</w:t>
            </w:r>
            <w:r>
              <w:rPr>
                <w:rFonts w:ascii="Times New Roman" w:hAnsi="Times New Roman" w:eastAsia="Times New Roman" w:cs="Times New Roman"/>
                <w:color w:val="auto"/>
                <w:lang w:eastAsia="zh-CN"/>
              </w:rPr>
              <w:t>HW49</w:t>
            </w:r>
            <w:r>
              <w:rPr>
                <w:color w:val="auto"/>
                <w:lang w:eastAsia="zh-CN"/>
              </w:rPr>
              <w:t>（</w:t>
            </w:r>
            <w:r>
              <w:rPr>
                <w:rFonts w:ascii="Times New Roman" w:hAnsi="Times New Roman" w:eastAsia="Times New Roman" w:cs="Times New Roman"/>
                <w:color w:val="auto"/>
                <w:lang w:eastAsia="zh-CN"/>
              </w:rPr>
              <w:t>772-006-</w:t>
            </w:r>
            <w:r>
              <w:rPr>
                <w:rFonts w:ascii="Times New Roman" w:hAnsi="Times New Roman" w:eastAsia="Times New Roman" w:cs="Times New Roman"/>
                <w:color w:val="auto"/>
                <w:spacing w:val="-1"/>
                <w:lang w:eastAsia="zh-CN"/>
              </w:rPr>
              <w:t>49</w:t>
            </w:r>
            <w:r>
              <w:rPr>
                <w:color w:val="auto"/>
                <w:spacing w:val="-1"/>
                <w:lang w:eastAsia="zh-CN"/>
              </w:rPr>
              <w:t>）。</w:t>
            </w:r>
            <w:r>
              <w:rPr>
                <w:rFonts w:hint="default" w:ascii="Times New Roman" w:hAnsi="Times New Roman" w:eastAsia="宋体" w:cs="Times New Roman"/>
                <w:color w:val="auto"/>
                <w:spacing w:val="-1"/>
                <w:lang w:eastAsia="zh-CN"/>
              </w:rPr>
              <w:t>根据《医疗机构水污染物排放标准》</w:t>
            </w:r>
            <w:r>
              <w:rPr>
                <w:rFonts w:hint="default" w:ascii="Times New Roman" w:hAnsi="Times New Roman" w:eastAsia="宋体" w:cs="Times New Roman"/>
                <w:color w:val="auto"/>
                <w:spacing w:val="-4"/>
                <w:lang w:eastAsia="zh-CN"/>
              </w:rPr>
              <w:t>（GB18466-2005）相关要求，建设单位使用化学消毒法进行污泥消毒，消毒剂为生石灰，投加充分搅拌均匀后保持接触30-60min，并存放7天以上</w:t>
            </w:r>
            <w:r>
              <w:rPr>
                <w:rFonts w:hint="default" w:ascii="Times New Roman" w:hAnsi="Times New Roman" w:eastAsia="宋体" w:cs="Times New Roman"/>
                <w:color w:val="auto"/>
                <w:spacing w:val="-5"/>
                <w:lang w:eastAsia="zh-CN"/>
              </w:rPr>
              <w:t>，达到该标准表4要求。</w:t>
            </w:r>
            <w:r>
              <w:rPr>
                <w:color w:val="auto"/>
                <w:spacing w:val="-2"/>
              </w:rPr>
              <w:t>污泥干化后暂存于污泥干化间</w:t>
            </w:r>
            <w:r>
              <w:rPr>
                <w:rFonts w:hint="eastAsia"/>
                <w:color w:val="auto"/>
                <w:spacing w:val="-2"/>
                <w:lang w:eastAsia="zh-CN"/>
              </w:rPr>
              <w:t>。</w:t>
            </w:r>
          </w:p>
          <w:p w14:paraId="49E16554">
            <w:pPr>
              <w:pStyle w:val="30"/>
              <w:spacing w:before="69" w:line="360" w:lineRule="auto"/>
              <w:ind w:left="585"/>
              <w:rPr>
                <w:rFonts w:hint="default"/>
                <w:color w:val="auto"/>
                <w:lang w:val="en-US" w:eastAsia="zh-CN"/>
              </w:rPr>
            </w:pPr>
            <w:r>
              <w:rPr>
                <w:rFonts w:hint="eastAsia" w:ascii="Times New Roman" w:hAnsi="Times New Roman" w:cs="Times New Roman"/>
                <w:color w:val="auto"/>
                <w:spacing w:val="-3"/>
                <w:lang w:val="en-US" w:eastAsia="zh-CN"/>
              </w:rPr>
              <w:t>c</w:t>
            </w:r>
            <w:r>
              <w:rPr>
                <w:color w:val="auto"/>
                <w:spacing w:val="-3"/>
                <w:lang w:eastAsia="zh-CN"/>
              </w:rPr>
              <w:t>）</w:t>
            </w:r>
            <w:r>
              <w:rPr>
                <w:rFonts w:hint="eastAsia"/>
                <w:color w:val="auto"/>
                <w:spacing w:val="-3"/>
                <w:lang w:val="en-US" w:eastAsia="zh-CN"/>
              </w:rPr>
              <w:t>废弃灯管</w:t>
            </w:r>
          </w:p>
          <w:p w14:paraId="3F6D4AE7">
            <w:pPr>
              <w:pStyle w:val="30"/>
              <w:spacing w:line="360" w:lineRule="auto"/>
              <w:ind w:firstLine="504" w:firstLineChars="200"/>
              <w:rPr>
                <w:color w:val="auto"/>
                <w:spacing w:val="-1"/>
                <w:lang w:eastAsia="zh-CN"/>
              </w:rPr>
            </w:pPr>
            <w:r>
              <w:rPr>
                <w:color w:val="auto"/>
                <w:spacing w:val="6"/>
                <w:lang w:eastAsia="zh-CN"/>
              </w:rPr>
              <w:t>类比</w:t>
            </w:r>
            <w:r>
              <w:rPr>
                <w:rFonts w:hint="eastAsia"/>
                <w:color w:val="auto"/>
                <w:spacing w:val="6"/>
                <w:lang w:val="en-US" w:eastAsia="zh-CN"/>
              </w:rPr>
              <w:t>调查废弃灯管</w:t>
            </w:r>
            <w:r>
              <w:rPr>
                <w:color w:val="auto"/>
                <w:spacing w:val="6"/>
                <w:lang w:eastAsia="zh-CN"/>
              </w:rPr>
              <w:t>产生情况，</w:t>
            </w:r>
            <w:r>
              <w:rPr>
                <w:rFonts w:ascii="Arial" w:hAnsi="Arial" w:eastAsia="Arial" w:cs="Arial"/>
                <w:i w:val="0"/>
                <w:iCs w:val="0"/>
                <w:caps w:val="0"/>
                <w:color w:val="auto"/>
                <w:spacing w:val="0"/>
                <w:sz w:val="24"/>
                <w:szCs w:val="24"/>
                <w:shd w:val="clear" w:color="auto" w:fill="FFFFFF"/>
              </w:rPr>
              <w:t>通常占医疗废物总量的</w:t>
            </w:r>
            <w:r>
              <w:rPr>
                <w:rFonts w:ascii="Times New Roman" w:hAnsi="Times New Roman" w:eastAsia="Times New Roman" w:cs="Times New Roman"/>
                <w:color w:val="auto"/>
                <w:spacing w:val="-2"/>
                <w:lang w:eastAsia="zh-CN"/>
              </w:rPr>
              <w:t>0.5%~2%</w:t>
            </w:r>
            <w:r>
              <w:rPr>
                <w:rFonts w:hint="eastAsia" w:ascii="Times New Roman" w:hAnsi="Times New Roman" w:eastAsia="Times New Roman" w:cs="Times New Roman"/>
                <w:color w:val="auto"/>
                <w:spacing w:val="-2"/>
                <w:lang w:eastAsia="zh-CN"/>
              </w:rPr>
              <w:t>，</w:t>
            </w:r>
            <w:r>
              <w:rPr>
                <w:rFonts w:hint="eastAsia" w:ascii="Arial" w:hAnsi="Arial" w:cs="Arial"/>
                <w:i w:val="0"/>
                <w:iCs w:val="0"/>
                <w:caps w:val="0"/>
                <w:color w:val="auto"/>
                <w:spacing w:val="0"/>
                <w:sz w:val="24"/>
                <w:szCs w:val="24"/>
                <w:shd w:val="clear" w:color="auto" w:fill="FFFFFF"/>
                <w:lang w:val="en-US" w:eastAsia="zh-CN"/>
              </w:rPr>
              <w:t>本项目扩建后全院医疗废物</w:t>
            </w:r>
            <w:r>
              <w:rPr>
                <w:rFonts w:hint="eastAsia" w:ascii="Times New Roman" w:hAnsi="Times New Roman" w:eastAsia="Times New Roman" w:cs="Times New Roman"/>
                <w:color w:val="auto"/>
                <w:spacing w:val="-2"/>
                <w:lang w:val="en-US" w:eastAsia="zh-CN"/>
              </w:rPr>
              <w:t>47.12</w:t>
            </w:r>
            <w:r>
              <w:rPr>
                <w:rFonts w:ascii="Times New Roman" w:hAnsi="Times New Roman" w:eastAsia="Times New Roman" w:cs="Times New Roman"/>
                <w:color w:val="auto"/>
                <w:spacing w:val="-3"/>
                <w:sz w:val="24"/>
                <w:szCs w:val="24"/>
                <w:lang w:eastAsia="zh-CN"/>
              </w:rPr>
              <w:t>/a</w:t>
            </w:r>
            <w:r>
              <w:rPr>
                <w:rFonts w:hint="eastAsia" w:ascii="Times New Roman" w:hAnsi="Times New Roman" w:eastAsia="Times New Roman" w:cs="Times New Roman"/>
                <w:color w:val="auto"/>
                <w:spacing w:val="-3"/>
                <w:sz w:val="24"/>
                <w:szCs w:val="24"/>
                <w:lang w:eastAsia="zh-CN"/>
              </w:rPr>
              <w:t>，</w:t>
            </w:r>
            <w:r>
              <w:rPr>
                <w:rFonts w:hint="eastAsia" w:ascii="Times New Roman" w:hAnsi="Times New Roman" w:eastAsia="Times New Roman" w:cs="Times New Roman"/>
                <w:color w:val="auto"/>
                <w:spacing w:val="-3"/>
                <w:sz w:val="24"/>
                <w:szCs w:val="24"/>
                <w:lang w:val="en-US" w:eastAsia="zh-CN"/>
              </w:rPr>
              <w:t>废灯管产生量按1%计，则每年废弃灯管产生量约为0.4712t</w:t>
            </w:r>
            <w:r>
              <w:rPr>
                <w:rFonts w:ascii="Times New Roman" w:hAnsi="Times New Roman" w:eastAsia="Times New Roman" w:cs="Times New Roman"/>
                <w:color w:val="auto"/>
                <w:spacing w:val="-3"/>
                <w:sz w:val="24"/>
                <w:szCs w:val="24"/>
                <w:lang w:eastAsia="zh-CN"/>
              </w:rPr>
              <w:t>/a</w:t>
            </w:r>
            <w:r>
              <w:rPr>
                <w:rFonts w:hint="eastAsia" w:ascii="Times New Roman" w:hAnsi="Times New Roman" w:eastAsia="Times New Roman" w:cs="Times New Roman"/>
                <w:color w:val="auto"/>
                <w:spacing w:val="-3"/>
                <w:sz w:val="24"/>
                <w:szCs w:val="24"/>
                <w:lang w:eastAsia="zh-CN"/>
              </w:rPr>
              <w:t>。</w:t>
            </w:r>
            <w:r>
              <w:rPr>
                <w:color w:val="auto"/>
                <w:spacing w:val="-11"/>
                <w:lang w:eastAsia="zh-CN"/>
              </w:rPr>
              <w:t>对照《</w:t>
            </w:r>
            <w:r>
              <w:rPr>
                <w:color w:val="auto"/>
                <w:spacing w:val="-1"/>
                <w:lang w:eastAsia="zh-CN"/>
              </w:rPr>
              <w:t>国家危险废物名录</w:t>
            </w:r>
            <w:r>
              <w:rPr>
                <w:color w:val="auto"/>
                <w:spacing w:val="-12"/>
                <w:lang w:eastAsia="zh-CN"/>
              </w:rPr>
              <w:t>（</w:t>
            </w:r>
            <w:r>
              <w:rPr>
                <w:rFonts w:ascii="Times New Roman" w:hAnsi="Times New Roman" w:eastAsia="Times New Roman" w:cs="Times New Roman"/>
                <w:color w:val="auto"/>
                <w:spacing w:val="-12"/>
                <w:lang w:eastAsia="zh-CN"/>
              </w:rPr>
              <w:t>202</w:t>
            </w:r>
            <w:r>
              <w:rPr>
                <w:rFonts w:hint="eastAsia" w:ascii="Times New Roman" w:hAnsi="Times New Roman" w:cs="Times New Roman"/>
                <w:color w:val="auto"/>
                <w:spacing w:val="-12"/>
                <w:lang w:eastAsia="zh-CN"/>
              </w:rPr>
              <w:t>5</w:t>
            </w:r>
            <w:r>
              <w:rPr>
                <w:color w:val="auto"/>
                <w:spacing w:val="-12"/>
                <w:lang w:eastAsia="zh-CN"/>
              </w:rPr>
              <w:t>年版）》，</w:t>
            </w:r>
            <w:r>
              <w:rPr>
                <w:rFonts w:hint="eastAsia" w:ascii="Times New Roman" w:hAnsi="Times New Roman" w:eastAsia="Times New Roman" w:cs="Times New Roman"/>
                <w:color w:val="auto"/>
                <w:spacing w:val="-3"/>
                <w:sz w:val="24"/>
                <w:szCs w:val="24"/>
                <w:lang w:val="en-US" w:eastAsia="zh-CN"/>
              </w:rPr>
              <w:t>废弃灯管</w:t>
            </w:r>
            <w:r>
              <w:rPr>
                <w:color w:val="auto"/>
                <w:lang w:eastAsia="zh-CN"/>
              </w:rPr>
              <w:t>危废代码为</w:t>
            </w:r>
            <w:r>
              <w:rPr>
                <w:rFonts w:hint="eastAsia" w:ascii="Times New Roman" w:hAnsi="Times New Roman" w:eastAsia="Times New Roman" w:cs="Times New Roman"/>
                <w:color w:val="auto"/>
                <w:lang w:eastAsia="zh-CN"/>
              </w:rPr>
              <w:t>‌HW29</w:t>
            </w:r>
            <w:r>
              <w:rPr>
                <w:color w:val="auto"/>
                <w:lang w:eastAsia="zh-CN"/>
              </w:rPr>
              <w:t>（</w:t>
            </w:r>
            <w:r>
              <w:rPr>
                <w:rFonts w:hint="eastAsia" w:ascii="Times New Roman" w:hAnsi="Times New Roman" w:eastAsia="Times New Roman" w:cs="Times New Roman"/>
                <w:color w:val="auto"/>
                <w:spacing w:val="-1"/>
                <w:lang w:eastAsia="zh-CN"/>
              </w:rPr>
              <w:t>900-023-29</w:t>
            </w:r>
            <w:r>
              <w:rPr>
                <w:color w:val="auto"/>
                <w:spacing w:val="-1"/>
                <w:lang w:eastAsia="zh-CN"/>
              </w:rPr>
              <w:t>）。</w:t>
            </w:r>
          </w:p>
          <w:p w14:paraId="63F15F96">
            <w:pPr>
              <w:pStyle w:val="30"/>
              <w:spacing w:before="69" w:line="360" w:lineRule="auto"/>
              <w:ind w:left="585"/>
              <w:rPr>
                <w:rFonts w:hint="default"/>
                <w:color w:val="auto"/>
                <w:lang w:val="en-US" w:eastAsia="zh-CN"/>
              </w:rPr>
            </w:pPr>
            <w:r>
              <w:rPr>
                <w:rFonts w:hint="eastAsia" w:ascii="Times New Roman" w:hAnsi="Times New Roman" w:cs="Times New Roman"/>
                <w:color w:val="auto"/>
                <w:spacing w:val="-3"/>
                <w:lang w:val="en-US" w:eastAsia="zh-CN"/>
              </w:rPr>
              <w:t>d</w:t>
            </w:r>
            <w:r>
              <w:rPr>
                <w:color w:val="auto"/>
                <w:spacing w:val="-3"/>
                <w:lang w:eastAsia="zh-CN"/>
              </w:rPr>
              <w:t>）</w:t>
            </w:r>
            <w:r>
              <w:rPr>
                <w:rFonts w:hint="eastAsia"/>
                <w:color w:val="auto"/>
                <w:spacing w:val="-3"/>
                <w:lang w:val="en-US" w:eastAsia="zh-CN"/>
              </w:rPr>
              <w:t>废活性炭</w:t>
            </w:r>
          </w:p>
          <w:p w14:paraId="137B5616">
            <w:pPr>
              <w:pStyle w:val="30"/>
              <w:spacing w:line="360" w:lineRule="auto"/>
              <w:ind w:firstLine="468" w:firstLineChars="200"/>
              <w:rPr>
                <w:rFonts w:hint="default" w:ascii="Times New Roman" w:hAnsi="Times New Roman" w:eastAsia="Times New Roman" w:cs="Times New Roman"/>
                <w:color w:val="auto"/>
                <w:spacing w:val="-3"/>
                <w:sz w:val="24"/>
                <w:szCs w:val="24"/>
                <w:lang w:val="en-US" w:eastAsia="zh-CN"/>
              </w:rPr>
            </w:pPr>
            <w:r>
              <w:rPr>
                <w:rFonts w:hint="eastAsia" w:ascii="Times New Roman" w:hAnsi="Times New Roman" w:eastAsia="Times New Roman" w:cs="Times New Roman"/>
                <w:color w:val="auto"/>
                <w:spacing w:val="-3"/>
                <w:sz w:val="24"/>
                <w:szCs w:val="24"/>
                <w:lang w:val="en-US" w:eastAsia="zh-CN"/>
              </w:rPr>
              <w:t>废气治理系统定期更换的废活性炭属于“含有或沾染毒性、感染性危险废物的废弃包装物、容器、过滤吸附介质”对照《国家危险废物名录（2025年版）》，废弃灯管危废代码为‌HW49（900-041-49）。废活性炭密封袋保存，委托有资质单位处置。预计产生量为1t/a</w:t>
            </w:r>
          </w:p>
          <w:p w14:paraId="68B2CD91">
            <w:pPr>
              <w:pStyle w:val="30"/>
              <w:spacing w:before="69" w:line="360" w:lineRule="auto"/>
              <w:ind w:left="585"/>
              <w:rPr>
                <w:color w:val="auto"/>
                <w:lang w:eastAsia="zh-CN"/>
              </w:rPr>
            </w:pPr>
            <w:r>
              <w:rPr>
                <w:rFonts w:hint="eastAsia" w:ascii="Times New Roman" w:hAnsi="Times New Roman" w:cs="Times New Roman"/>
                <w:color w:val="auto"/>
                <w:spacing w:val="-3"/>
                <w:lang w:val="en-US" w:eastAsia="zh-CN"/>
              </w:rPr>
              <w:t>e</w:t>
            </w:r>
            <w:r>
              <w:rPr>
                <w:color w:val="auto"/>
                <w:spacing w:val="-3"/>
                <w:lang w:eastAsia="zh-CN"/>
              </w:rPr>
              <w:t>）生活垃圾</w:t>
            </w:r>
          </w:p>
          <w:p w14:paraId="166DD362">
            <w:pPr>
              <w:pStyle w:val="30"/>
              <w:spacing w:before="182" w:line="360" w:lineRule="auto"/>
              <w:ind w:left="116" w:right="107" w:firstLine="479"/>
              <w:rPr>
                <w:rFonts w:hint="eastAsia"/>
                <w:color w:val="auto"/>
                <w:spacing w:val="-1"/>
                <w:lang w:val="en-US" w:eastAsia="zh-CN"/>
              </w:rPr>
            </w:pPr>
            <w:r>
              <w:rPr>
                <w:rFonts w:hint="eastAsia"/>
                <w:color w:val="auto"/>
                <w:spacing w:val="-1"/>
                <w:lang w:val="en-US" w:eastAsia="zh-CN"/>
              </w:rPr>
              <w:t>本次不新增生活垃圾。</w:t>
            </w:r>
          </w:p>
          <w:p w14:paraId="71CFF2CB">
            <w:pPr>
              <w:pStyle w:val="30"/>
              <w:spacing w:before="194" w:line="220" w:lineRule="auto"/>
              <w:ind w:left="594"/>
              <w:rPr>
                <w:color w:val="auto"/>
                <w:lang w:eastAsia="zh-CN"/>
              </w:rPr>
            </w:pPr>
            <w:r>
              <w:rPr>
                <w:b/>
                <w:bCs/>
                <w:color w:val="auto"/>
                <w:spacing w:val="-3"/>
                <w:lang w:eastAsia="zh-CN"/>
              </w:rPr>
              <w:t>（</w:t>
            </w:r>
            <w:r>
              <w:rPr>
                <w:rFonts w:ascii="Times New Roman" w:hAnsi="Times New Roman" w:eastAsia="Times New Roman" w:cs="Times New Roman"/>
                <w:b/>
                <w:bCs/>
                <w:color w:val="auto"/>
                <w:spacing w:val="-3"/>
                <w:lang w:eastAsia="zh-CN"/>
              </w:rPr>
              <w:t>3</w:t>
            </w:r>
            <w:r>
              <w:rPr>
                <w:b/>
                <w:bCs/>
                <w:color w:val="auto"/>
                <w:spacing w:val="-3"/>
                <w:lang w:eastAsia="zh-CN"/>
              </w:rPr>
              <w:t>）处置去向及管理要求</w:t>
            </w:r>
          </w:p>
          <w:p w14:paraId="4D28797D">
            <w:pPr>
              <w:pStyle w:val="30"/>
              <w:spacing w:before="215" w:line="233" w:lineRule="auto"/>
              <w:ind w:left="585"/>
              <w:rPr>
                <w:color w:val="auto"/>
                <w:lang w:eastAsia="zh-CN"/>
              </w:rPr>
            </w:pPr>
            <w:r>
              <w:rPr>
                <w:rFonts w:ascii="Times New Roman" w:hAnsi="Times New Roman" w:eastAsia="Times New Roman" w:cs="Times New Roman"/>
                <w:color w:val="auto"/>
                <w:spacing w:val="-4"/>
                <w:lang w:eastAsia="zh-CN"/>
              </w:rPr>
              <w:t>a</w:t>
            </w:r>
            <w:r>
              <w:rPr>
                <w:color w:val="auto"/>
                <w:spacing w:val="-4"/>
                <w:lang w:eastAsia="zh-CN"/>
              </w:rPr>
              <w:t>）本项固体废物利用处置去向详见下表：</w:t>
            </w:r>
          </w:p>
          <w:p w14:paraId="3C49D02D">
            <w:pPr>
              <w:pStyle w:val="30"/>
              <w:spacing w:before="260" w:line="212" w:lineRule="auto"/>
              <w:ind w:left="2329"/>
              <w:rPr>
                <w:color w:val="auto"/>
                <w:lang w:eastAsia="zh-CN"/>
              </w:rPr>
            </w:pPr>
            <w:r>
              <w:rPr>
                <w:b/>
                <w:bCs/>
                <w:color w:val="auto"/>
                <w:spacing w:val="-3"/>
                <w:lang w:eastAsia="zh-CN"/>
              </w:rPr>
              <w:t>表</w:t>
            </w:r>
            <w:r>
              <w:rPr>
                <w:rFonts w:ascii="Times New Roman" w:hAnsi="Times New Roman" w:eastAsia="Times New Roman" w:cs="Times New Roman"/>
                <w:b/>
                <w:bCs/>
                <w:color w:val="auto"/>
                <w:spacing w:val="-3"/>
                <w:lang w:eastAsia="zh-CN"/>
              </w:rPr>
              <w:t>4.</w:t>
            </w:r>
            <w:r>
              <w:rPr>
                <w:rFonts w:hint="eastAsia" w:ascii="Times New Roman" w:hAnsi="Times New Roman" w:cs="Times New Roman"/>
                <w:b/>
                <w:bCs/>
                <w:color w:val="auto"/>
                <w:spacing w:val="-3"/>
                <w:lang w:eastAsia="zh-CN"/>
              </w:rPr>
              <w:t>2</w:t>
            </w:r>
            <w:r>
              <w:rPr>
                <w:rFonts w:ascii="Times New Roman" w:hAnsi="Times New Roman" w:eastAsia="Times New Roman" w:cs="Times New Roman"/>
                <w:b/>
                <w:bCs/>
                <w:color w:val="auto"/>
                <w:spacing w:val="-3"/>
                <w:lang w:eastAsia="zh-CN"/>
              </w:rPr>
              <w:t>-</w:t>
            </w:r>
            <w:r>
              <w:rPr>
                <w:rFonts w:hint="eastAsia" w:ascii="Times New Roman" w:hAnsi="Times New Roman" w:cs="Times New Roman"/>
                <w:b/>
                <w:bCs/>
                <w:color w:val="auto"/>
                <w:spacing w:val="-3"/>
                <w:lang w:eastAsia="zh-CN"/>
              </w:rPr>
              <w:t>8</w:t>
            </w:r>
            <w:r>
              <w:rPr>
                <w:b/>
                <w:bCs/>
                <w:color w:val="auto"/>
                <w:spacing w:val="-3"/>
                <w:lang w:eastAsia="zh-CN"/>
              </w:rPr>
              <w:t>固体废物利用处置去向一览表</w:t>
            </w:r>
          </w:p>
          <w:tbl>
            <w:tblPr>
              <w:tblStyle w:val="17"/>
              <w:tblW w:w="4996"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62"/>
              <w:gridCol w:w="1098"/>
              <w:gridCol w:w="733"/>
              <w:gridCol w:w="1610"/>
              <w:gridCol w:w="708"/>
              <w:gridCol w:w="708"/>
              <w:gridCol w:w="1084"/>
              <w:gridCol w:w="1084"/>
              <w:gridCol w:w="1115"/>
            </w:tblGrid>
            <w:tr w14:paraId="45E65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213" w:type="pct"/>
                  <w:tcBorders>
                    <w:top w:val="single" w:color="000000" w:sz="12" w:space="0"/>
                    <w:left w:val="nil"/>
                    <w:bottom w:val="single" w:color="auto" w:sz="4" w:space="0"/>
                    <w:right w:val="single" w:color="auto" w:sz="4" w:space="0"/>
                  </w:tcBorders>
                  <w:shd w:val="clear" w:color="auto" w:fill="FFFFFF"/>
                  <w:noWrap w:val="0"/>
                  <w:vAlign w:val="center"/>
                </w:tcPr>
                <w:p w14:paraId="324CFC8F">
                  <w:pPr>
                    <w:pStyle w:val="30"/>
                    <w:spacing w:line="340" w:lineRule="exact"/>
                    <w:jc w:val="center"/>
                    <w:rPr>
                      <w:color w:val="auto"/>
                      <w:sz w:val="21"/>
                      <w:szCs w:val="21"/>
                    </w:rPr>
                  </w:pPr>
                  <w:r>
                    <w:rPr>
                      <w:color w:val="auto"/>
                      <w:spacing w:val="-7"/>
                      <w:sz w:val="21"/>
                      <w:szCs w:val="21"/>
                    </w:rPr>
                    <w:t>序</w:t>
                  </w:r>
                  <w:r>
                    <w:rPr>
                      <w:color w:val="auto"/>
                      <w:spacing w:val="-13"/>
                      <w:sz w:val="21"/>
                      <w:szCs w:val="21"/>
                    </w:rPr>
                    <w:t>号</w:t>
                  </w:r>
                </w:p>
              </w:tc>
              <w:tc>
                <w:tcPr>
                  <w:tcW w:w="645"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74D28097">
                  <w:pPr>
                    <w:pStyle w:val="30"/>
                    <w:spacing w:line="340" w:lineRule="exact"/>
                    <w:jc w:val="center"/>
                    <w:rPr>
                      <w:color w:val="auto"/>
                      <w:sz w:val="21"/>
                      <w:szCs w:val="21"/>
                    </w:rPr>
                  </w:pPr>
                  <w:r>
                    <w:rPr>
                      <w:color w:val="auto"/>
                      <w:spacing w:val="-6"/>
                      <w:sz w:val="21"/>
                      <w:szCs w:val="21"/>
                    </w:rPr>
                    <w:t>固废名称</w:t>
                  </w:r>
                </w:p>
              </w:tc>
              <w:tc>
                <w:tcPr>
                  <w:tcW w:w="431"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2F57BF16">
                  <w:pPr>
                    <w:pStyle w:val="30"/>
                    <w:spacing w:line="340" w:lineRule="exact"/>
                    <w:jc w:val="center"/>
                    <w:rPr>
                      <w:color w:val="auto"/>
                      <w:sz w:val="21"/>
                      <w:szCs w:val="21"/>
                    </w:rPr>
                  </w:pPr>
                  <w:r>
                    <w:rPr>
                      <w:color w:val="auto"/>
                      <w:spacing w:val="-2"/>
                      <w:sz w:val="21"/>
                      <w:szCs w:val="21"/>
                    </w:rPr>
                    <w:t>属性</w:t>
                  </w:r>
                </w:p>
              </w:tc>
              <w:tc>
                <w:tcPr>
                  <w:tcW w:w="946"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31B59CF2">
                  <w:pPr>
                    <w:pStyle w:val="30"/>
                    <w:spacing w:line="340" w:lineRule="exact"/>
                    <w:jc w:val="center"/>
                    <w:rPr>
                      <w:color w:val="auto"/>
                      <w:sz w:val="21"/>
                      <w:szCs w:val="21"/>
                    </w:rPr>
                  </w:pPr>
                  <w:r>
                    <w:rPr>
                      <w:color w:val="auto"/>
                      <w:spacing w:val="-1"/>
                      <w:sz w:val="21"/>
                      <w:szCs w:val="21"/>
                    </w:rPr>
                    <w:t>废物代码</w:t>
                  </w:r>
                </w:p>
              </w:tc>
              <w:tc>
                <w:tcPr>
                  <w:tcW w:w="416"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569B043C">
                  <w:pPr>
                    <w:pStyle w:val="30"/>
                    <w:spacing w:line="340" w:lineRule="exact"/>
                    <w:jc w:val="center"/>
                    <w:rPr>
                      <w:rFonts w:hint="default" w:eastAsia="宋体"/>
                      <w:color w:val="auto"/>
                      <w:spacing w:val="-3"/>
                      <w:sz w:val="21"/>
                      <w:szCs w:val="21"/>
                      <w:lang w:val="en-US" w:eastAsia="zh-CN"/>
                    </w:rPr>
                  </w:pPr>
                  <w:r>
                    <w:rPr>
                      <w:rFonts w:hint="eastAsia"/>
                      <w:color w:val="auto"/>
                      <w:spacing w:val="-3"/>
                      <w:sz w:val="21"/>
                      <w:szCs w:val="21"/>
                      <w:lang w:val="en-US" w:eastAsia="zh-CN"/>
                    </w:rPr>
                    <w:t>现有工程产生</w:t>
                  </w:r>
                  <w:r>
                    <w:rPr>
                      <w:color w:val="auto"/>
                      <w:spacing w:val="-3"/>
                      <w:sz w:val="21"/>
                      <w:szCs w:val="21"/>
                    </w:rPr>
                    <w:t>量</w:t>
                  </w:r>
                  <w:r>
                    <w:rPr>
                      <w:rFonts w:ascii="Times New Roman" w:hAnsi="Times New Roman" w:eastAsia="Times New Roman" w:cs="Times New Roman"/>
                      <w:color w:val="auto"/>
                      <w:spacing w:val="-3"/>
                      <w:sz w:val="21"/>
                      <w:szCs w:val="21"/>
                    </w:rPr>
                    <w:t>t/a</w:t>
                  </w:r>
                </w:p>
              </w:tc>
              <w:tc>
                <w:tcPr>
                  <w:tcW w:w="416"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6E08CBF5">
                  <w:pPr>
                    <w:pStyle w:val="30"/>
                    <w:spacing w:line="340" w:lineRule="exact"/>
                    <w:jc w:val="center"/>
                    <w:rPr>
                      <w:rFonts w:ascii="Times New Roman" w:hAnsi="Times New Roman" w:eastAsia="Times New Roman" w:cs="Times New Roman"/>
                      <w:color w:val="auto"/>
                      <w:sz w:val="21"/>
                      <w:szCs w:val="21"/>
                    </w:rPr>
                  </w:pPr>
                  <w:r>
                    <w:rPr>
                      <w:rFonts w:hint="eastAsia"/>
                      <w:color w:val="auto"/>
                      <w:spacing w:val="-3"/>
                      <w:sz w:val="21"/>
                      <w:szCs w:val="21"/>
                      <w:lang w:val="en-US" w:eastAsia="zh-CN"/>
                    </w:rPr>
                    <w:t>扩建工程</w:t>
                  </w:r>
                  <w:r>
                    <w:rPr>
                      <w:color w:val="auto"/>
                      <w:spacing w:val="-3"/>
                      <w:sz w:val="21"/>
                      <w:szCs w:val="21"/>
                    </w:rPr>
                    <w:t>产生量</w:t>
                  </w:r>
                  <w:r>
                    <w:rPr>
                      <w:rFonts w:ascii="Times New Roman" w:hAnsi="Times New Roman" w:eastAsia="Times New Roman" w:cs="Times New Roman"/>
                      <w:color w:val="auto"/>
                      <w:spacing w:val="-3"/>
                      <w:sz w:val="21"/>
                      <w:szCs w:val="21"/>
                    </w:rPr>
                    <w:t>t/a</w:t>
                  </w:r>
                </w:p>
              </w:tc>
              <w:tc>
                <w:tcPr>
                  <w:tcW w:w="637"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125F3F4B">
                  <w:pPr>
                    <w:pStyle w:val="30"/>
                    <w:spacing w:line="340" w:lineRule="exact"/>
                    <w:jc w:val="center"/>
                    <w:rPr>
                      <w:rFonts w:hint="default"/>
                      <w:color w:val="auto"/>
                      <w:spacing w:val="-3"/>
                      <w:sz w:val="21"/>
                      <w:szCs w:val="21"/>
                      <w:lang w:val="en-US" w:eastAsia="zh-CN"/>
                    </w:rPr>
                  </w:pPr>
                  <w:r>
                    <w:rPr>
                      <w:rFonts w:hint="eastAsia"/>
                      <w:color w:val="auto"/>
                      <w:spacing w:val="-3"/>
                      <w:sz w:val="21"/>
                      <w:szCs w:val="21"/>
                      <w:lang w:val="en-US" w:eastAsia="zh-CN"/>
                    </w:rPr>
                    <w:t>扩建后全院</w:t>
                  </w:r>
                </w:p>
              </w:tc>
              <w:tc>
                <w:tcPr>
                  <w:tcW w:w="637"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10466093">
                  <w:pPr>
                    <w:pStyle w:val="30"/>
                    <w:spacing w:line="340" w:lineRule="exact"/>
                    <w:jc w:val="center"/>
                    <w:rPr>
                      <w:color w:val="auto"/>
                      <w:sz w:val="21"/>
                      <w:szCs w:val="21"/>
                    </w:rPr>
                  </w:pPr>
                  <w:r>
                    <w:rPr>
                      <w:color w:val="auto"/>
                      <w:spacing w:val="-2"/>
                      <w:sz w:val="21"/>
                      <w:szCs w:val="21"/>
                    </w:rPr>
                    <w:t>利用处置方</w:t>
                  </w:r>
                  <w:r>
                    <w:rPr>
                      <w:color w:val="auto"/>
                      <w:sz w:val="21"/>
                      <w:szCs w:val="21"/>
                    </w:rPr>
                    <w:t>式</w:t>
                  </w:r>
                </w:p>
              </w:tc>
              <w:tc>
                <w:tcPr>
                  <w:tcW w:w="655" w:type="pct"/>
                  <w:tcBorders>
                    <w:top w:val="single" w:color="000000" w:sz="12" w:space="0"/>
                    <w:left w:val="single" w:color="auto" w:sz="4" w:space="0"/>
                    <w:bottom w:val="single" w:color="auto" w:sz="4" w:space="0"/>
                    <w:right w:val="nil"/>
                  </w:tcBorders>
                  <w:shd w:val="clear" w:color="auto" w:fill="FFFFFF"/>
                  <w:noWrap w:val="0"/>
                  <w:vAlign w:val="center"/>
                </w:tcPr>
                <w:p w14:paraId="16ECB38C">
                  <w:pPr>
                    <w:pStyle w:val="30"/>
                    <w:spacing w:line="340" w:lineRule="exact"/>
                    <w:jc w:val="center"/>
                    <w:rPr>
                      <w:color w:val="auto"/>
                      <w:sz w:val="21"/>
                      <w:szCs w:val="21"/>
                    </w:rPr>
                  </w:pPr>
                  <w:r>
                    <w:rPr>
                      <w:color w:val="auto"/>
                      <w:spacing w:val="-3"/>
                      <w:sz w:val="21"/>
                      <w:szCs w:val="21"/>
                    </w:rPr>
                    <w:t>是否符合</w:t>
                  </w:r>
                  <w:r>
                    <w:rPr>
                      <w:color w:val="auto"/>
                      <w:spacing w:val="-2"/>
                      <w:sz w:val="21"/>
                      <w:szCs w:val="21"/>
                    </w:rPr>
                    <w:t>环保要求</w:t>
                  </w:r>
                </w:p>
              </w:tc>
            </w:tr>
            <w:tr w14:paraId="0E79B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213" w:type="pct"/>
                  <w:tcBorders>
                    <w:top w:val="single" w:color="auto" w:sz="4" w:space="0"/>
                    <w:left w:val="nil"/>
                    <w:bottom w:val="single" w:color="auto" w:sz="4" w:space="0"/>
                    <w:right w:val="single" w:color="auto" w:sz="4" w:space="0"/>
                  </w:tcBorders>
                  <w:shd w:val="clear" w:color="auto" w:fill="FFFFFF"/>
                  <w:noWrap w:val="0"/>
                  <w:vAlign w:val="center"/>
                </w:tcPr>
                <w:p w14:paraId="4E08C136">
                  <w:pPr>
                    <w:spacing w:line="340" w:lineRule="exact"/>
                    <w:jc w:val="center"/>
                    <w:rPr>
                      <w:rFonts w:eastAsia="Times New Roman"/>
                      <w:color w:val="auto"/>
                      <w:szCs w:val="21"/>
                    </w:rPr>
                  </w:pPr>
                  <w:r>
                    <w:rPr>
                      <w:rFonts w:eastAsia="Times New Roman"/>
                      <w:color w:val="auto"/>
                      <w:szCs w:val="21"/>
                    </w:rPr>
                    <w:t>1</w:t>
                  </w:r>
                </w:p>
              </w:tc>
              <w:tc>
                <w:tcPr>
                  <w:tcW w:w="64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537E182">
                  <w:pPr>
                    <w:pStyle w:val="30"/>
                    <w:spacing w:line="340" w:lineRule="exact"/>
                    <w:jc w:val="center"/>
                    <w:rPr>
                      <w:color w:val="auto"/>
                      <w:sz w:val="21"/>
                      <w:szCs w:val="21"/>
                    </w:rPr>
                  </w:pPr>
                  <w:r>
                    <w:rPr>
                      <w:color w:val="auto"/>
                      <w:spacing w:val="-4"/>
                      <w:sz w:val="21"/>
                      <w:szCs w:val="21"/>
                    </w:rPr>
                    <w:t>医疗废物</w:t>
                  </w:r>
                </w:p>
              </w:tc>
              <w:tc>
                <w:tcPr>
                  <w:tcW w:w="43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27C075">
                  <w:pPr>
                    <w:pStyle w:val="30"/>
                    <w:spacing w:line="340" w:lineRule="exact"/>
                    <w:jc w:val="center"/>
                    <w:rPr>
                      <w:rFonts w:hint="eastAsia" w:eastAsia="宋体"/>
                      <w:color w:val="auto"/>
                      <w:sz w:val="21"/>
                      <w:szCs w:val="21"/>
                      <w:lang w:eastAsia="zh-CN"/>
                    </w:rPr>
                  </w:pPr>
                  <w:r>
                    <w:rPr>
                      <w:color w:val="auto"/>
                      <w:spacing w:val="-3"/>
                      <w:sz w:val="21"/>
                      <w:szCs w:val="21"/>
                    </w:rPr>
                    <w:t>危险</w:t>
                  </w:r>
                  <w:r>
                    <w:rPr>
                      <w:rFonts w:hint="eastAsia"/>
                      <w:color w:val="auto"/>
                      <w:spacing w:val="-3"/>
                      <w:sz w:val="21"/>
                      <w:szCs w:val="21"/>
                      <w:lang w:val="en-US" w:eastAsia="zh-CN"/>
                    </w:rPr>
                    <w:t>废物</w:t>
                  </w:r>
                </w:p>
              </w:tc>
              <w:tc>
                <w:tcPr>
                  <w:tcW w:w="94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7417A3">
                  <w:pPr>
                    <w:spacing w:line="340" w:lineRule="exact"/>
                    <w:jc w:val="center"/>
                    <w:rPr>
                      <w:rFonts w:eastAsia="Times New Roman"/>
                      <w:color w:val="auto"/>
                      <w:szCs w:val="21"/>
                    </w:rPr>
                  </w:pPr>
                  <w:r>
                    <w:rPr>
                      <w:rFonts w:eastAsia="Times New Roman"/>
                      <w:color w:val="auto"/>
                      <w:spacing w:val="-1"/>
                      <w:szCs w:val="21"/>
                    </w:rPr>
                    <w:t>HW01</w:t>
                  </w:r>
                </w:p>
                <w:p w14:paraId="6B847A60">
                  <w:pPr>
                    <w:pStyle w:val="30"/>
                    <w:spacing w:line="340" w:lineRule="exact"/>
                    <w:jc w:val="center"/>
                    <w:rPr>
                      <w:color w:val="auto"/>
                      <w:sz w:val="21"/>
                      <w:szCs w:val="21"/>
                    </w:rPr>
                  </w:pPr>
                  <w:r>
                    <w:rPr>
                      <w:color w:val="auto"/>
                      <w:spacing w:val="-4"/>
                      <w:sz w:val="21"/>
                      <w:szCs w:val="21"/>
                    </w:rPr>
                    <w:t>（</w:t>
                  </w:r>
                  <w:r>
                    <w:rPr>
                      <w:rFonts w:ascii="Times New Roman" w:hAnsi="Times New Roman" w:eastAsia="Times New Roman" w:cs="Times New Roman"/>
                      <w:color w:val="auto"/>
                      <w:spacing w:val="-4"/>
                      <w:sz w:val="21"/>
                      <w:szCs w:val="21"/>
                    </w:rPr>
                    <w:t>841-001-01</w:t>
                  </w:r>
                  <w:r>
                    <w:rPr>
                      <w:color w:val="auto"/>
                      <w:spacing w:val="-4"/>
                      <w:sz w:val="21"/>
                      <w:szCs w:val="21"/>
                    </w:rPr>
                    <w:t>）、（</w:t>
                  </w:r>
                  <w:r>
                    <w:rPr>
                      <w:rFonts w:ascii="Times New Roman" w:hAnsi="Times New Roman" w:eastAsia="Times New Roman" w:cs="Times New Roman"/>
                      <w:color w:val="auto"/>
                      <w:spacing w:val="-4"/>
                      <w:sz w:val="21"/>
                      <w:szCs w:val="21"/>
                    </w:rPr>
                    <w:t>841-002-01</w:t>
                  </w:r>
                  <w:r>
                    <w:rPr>
                      <w:color w:val="auto"/>
                      <w:spacing w:val="-4"/>
                      <w:sz w:val="21"/>
                      <w:szCs w:val="21"/>
                    </w:rPr>
                    <w:t>）、（</w:t>
                  </w:r>
                  <w:r>
                    <w:rPr>
                      <w:rFonts w:ascii="Times New Roman" w:hAnsi="Times New Roman" w:eastAsia="Times New Roman" w:cs="Times New Roman"/>
                      <w:color w:val="auto"/>
                      <w:spacing w:val="-4"/>
                      <w:sz w:val="21"/>
                      <w:szCs w:val="21"/>
                    </w:rPr>
                    <w:t>841-004-01</w:t>
                  </w:r>
                  <w:r>
                    <w:rPr>
                      <w:color w:val="auto"/>
                      <w:spacing w:val="-4"/>
                      <w:sz w:val="21"/>
                      <w:szCs w:val="21"/>
                    </w:rPr>
                    <w:t>）、</w:t>
                  </w:r>
                  <w:r>
                    <w:rPr>
                      <w:color w:val="auto"/>
                      <w:spacing w:val="7"/>
                      <w:sz w:val="21"/>
                      <w:szCs w:val="21"/>
                    </w:rPr>
                    <w:t>（</w:t>
                  </w:r>
                  <w:r>
                    <w:rPr>
                      <w:rFonts w:ascii="Times New Roman" w:hAnsi="Times New Roman" w:eastAsia="Times New Roman" w:cs="Times New Roman"/>
                      <w:color w:val="auto"/>
                      <w:spacing w:val="7"/>
                      <w:sz w:val="21"/>
                      <w:szCs w:val="21"/>
                    </w:rPr>
                    <w:t>841-005-01</w:t>
                  </w:r>
                  <w:r>
                    <w:rPr>
                      <w:color w:val="auto"/>
                      <w:spacing w:val="7"/>
                      <w:sz w:val="21"/>
                      <w:szCs w:val="21"/>
                    </w:rPr>
                    <w:t>）</w:t>
                  </w:r>
                </w:p>
              </w:tc>
              <w:tc>
                <w:tcPr>
                  <w:tcW w:w="41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43B19E">
                  <w:pPr>
                    <w:spacing w:line="340" w:lineRule="exact"/>
                    <w:jc w:val="center"/>
                    <w:rPr>
                      <w:rFonts w:hint="default" w:ascii="Times New Roman" w:hAnsi="Times New Roman" w:eastAsia="Times New Roman" w:cs="Times New Roman"/>
                      <w:color w:val="auto"/>
                      <w:spacing w:val="-2"/>
                      <w:lang w:val="en-US" w:eastAsia="zh-CN"/>
                    </w:rPr>
                  </w:pPr>
                  <w:r>
                    <w:rPr>
                      <w:rFonts w:hint="eastAsia" w:ascii="Times New Roman" w:hAnsi="Times New Roman" w:eastAsia="Times New Roman" w:cs="Times New Roman"/>
                      <w:color w:val="auto"/>
                      <w:spacing w:val="-2"/>
                      <w:lang w:val="en-US" w:eastAsia="zh-CN"/>
                    </w:rPr>
                    <w:t>21.06</w:t>
                  </w:r>
                </w:p>
              </w:tc>
              <w:tc>
                <w:tcPr>
                  <w:tcW w:w="41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F6A813">
                  <w:pPr>
                    <w:spacing w:line="340" w:lineRule="exact"/>
                    <w:jc w:val="center"/>
                    <w:rPr>
                      <w:rFonts w:eastAsia="Times New Roman"/>
                      <w:color w:val="auto"/>
                      <w:szCs w:val="21"/>
                    </w:rPr>
                  </w:pPr>
                  <w:r>
                    <w:rPr>
                      <w:rFonts w:ascii="Times New Roman" w:hAnsi="Times New Roman" w:eastAsia="Times New Roman" w:cs="Times New Roman"/>
                      <w:color w:val="auto"/>
                      <w:spacing w:val="-2"/>
                      <w:lang w:eastAsia="zh-CN"/>
                    </w:rPr>
                    <w:t>26.06</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4CB4D6">
                  <w:pPr>
                    <w:spacing w:line="340" w:lineRule="exact"/>
                    <w:jc w:val="center"/>
                    <w:rPr>
                      <w:rFonts w:ascii="Times New Roman" w:hAnsi="Times New Roman" w:eastAsia="Times New Roman" w:cs="Times New Roman"/>
                      <w:color w:val="auto"/>
                      <w:spacing w:val="-2"/>
                      <w:lang w:eastAsia="zh-CN"/>
                    </w:rPr>
                  </w:pPr>
                  <w:r>
                    <w:rPr>
                      <w:rFonts w:hint="eastAsia" w:ascii="Times New Roman" w:hAnsi="Times New Roman" w:eastAsia="Times New Roman" w:cs="Times New Roman"/>
                      <w:color w:val="auto"/>
                      <w:spacing w:val="-2"/>
                      <w:lang w:val="en-US" w:eastAsia="zh-CN"/>
                    </w:rPr>
                    <w:t>47.12</w:t>
                  </w:r>
                </w:p>
              </w:tc>
              <w:tc>
                <w:tcPr>
                  <w:tcW w:w="63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71D186E">
                  <w:pPr>
                    <w:pStyle w:val="30"/>
                    <w:spacing w:line="340" w:lineRule="exact"/>
                    <w:jc w:val="center"/>
                    <w:rPr>
                      <w:color w:val="auto"/>
                      <w:sz w:val="21"/>
                      <w:szCs w:val="21"/>
                      <w:lang w:eastAsia="zh-CN"/>
                    </w:rPr>
                  </w:pPr>
                  <w:r>
                    <w:rPr>
                      <w:color w:val="auto"/>
                      <w:spacing w:val="-1"/>
                      <w:sz w:val="21"/>
                      <w:szCs w:val="21"/>
                      <w:lang w:eastAsia="zh-CN"/>
                    </w:rPr>
                    <w:t>委托有资质</w:t>
                  </w:r>
                  <w:r>
                    <w:rPr>
                      <w:color w:val="auto"/>
                      <w:spacing w:val="-2"/>
                      <w:sz w:val="21"/>
                      <w:szCs w:val="21"/>
                      <w:lang w:eastAsia="zh-CN"/>
                    </w:rPr>
                    <w:t>单位处置</w:t>
                  </w:r>
                </w:p>
              </w:tc>
              <w:tc>
                <w:tcPr>
                  <w:tcW w:w="655" w:type="pct"/>
                  <w:tcBorders>
                    <w:top w:val="single" w:color="auto" w:sz="4" w:space="0"/>
                    <w:left w:val="single" w:color="auto" w:sz="4" w:space="0"/>
                    <w:bottom w:val="single" w:color="auto" w:sz="4" w:space="0"/>
                    <w:right w:val="nil"/>
                  </w:tcBorders>
                  <w:shd w:val="clear" w:color="auto" w:fill="FFFFFF"/>
                  <w:noWrap w:val="0"/>
                  <w:vAlign w:val="center"/>
                </w:tcPr>
                <w:p w14:paraId="7831F9AA">
                  <w:pPr>
                    <w:pStyle w:val="30"/>
                    <w:spacing w:line="340" w:lineRule="exact"/>
                    <w:jc w:val="center"/>
                    <w:rPr>
                      <w:color w:val="auto"/>
                      <w:sz w:val="21"/>
                      <w:szCs w:val="21"/>
                      <w:lang w:eastAsia="zh-CN"/>
                    </w:rPr>
                  </w:pPr>
                  <w:r>
                    <w:rPr>
                      <w:color w:val="auto"/>
                      <w:spacing w:val="-2"/>
                      <w:sz w:val="21"/>
                      <w:szCs w:val="21"/>
                      <w:lang w:eastAsia="zh-CN"/>
                    </w:rPr>
                    <w:t>符合</w:t>
                  </w:r>
                </w:p>
              </w:tc>
            </w:tr>
            <w:tr w14:paraId="5FC33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213" w:type="pct"/>
                  <w:tcBorders>
                    <w:top w:val="single" w:color="auto" w:sz="4" w:space="0"/>
                    <w:left w:val="nil"/>
                    <w:bottom w:val="single" w:color="auto" w:sz="4" w:space="0"/>
                    <w:right w:val="single" w:color="auto" w:sz="4" w:space="0"/>
                  </w:tcBorders>
                  <w:shd w:val="clear" w:color="auto" w:fill="FFFFFF"/>
                  <w:noWrap w:val="0"/>
                  <w:vAlign w:val="center"/>
                </w:tcPr>
                <w:p w14:paraId="6F643508">
                  <w:pPr>
                    <w:spacing w:line="340" w:lineRule="exact"/>
                    <w:jc w:val="center"/>
                    <w:rPr>
                      <w:rFonts w:eastAsia="Times New Roman"/>
                      <w:color w:val="auto"/>
                      <w:szCs w:val="21"/>
                    </w:rPr>
                  </w:pPr>
                  <w:r>
                    <w:rPr>
                      <w:rFonts w:eastAsia="Times New Roman"/>
                      <w:color w:val="auto"/>
                      <w:szCs w:val="21"/>
                    </w:rPr>
                    <w:t>2</w:t>
                  </w:r>
                </w:p>
              </w:tc>
              <w:tc>
                <w:tcPr>
                  <w:tcW w:w="64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625E23">
                  <w:pPr>
                    <w:pStyle w:val="30"/>
                    <w:spacing w:line="340" w:lineRule="exact"/>
                    <w:jc w:val="center"/>
                    <w:rPr>
                      <w:color w:val="auto"/>
                      <w:sz w:val="21"/>
                      <w:szCs w:val="21"/>
                      <w:lang w:eastAsia="zh-CN"/>
                    </w:rPr>
                  </w:pPr>
                  <w:r>
                    <w:rPr>
                      <w:color w:val="auto"/>
                      <w:spacing w:val="-2"/>
                      <w:sz w:val="21"/>
                      <w:szCs w:val="21"/>
                      <w:lang w:eastAsia="zh-CN"/>
                    </w:rPr>
                    <w:t>污水处理设施污泥</w:t>
                  </w:r>
                </w:p>
              </w:tc>
              <w:tc>
                <w:tcPr>
                  <w:tcW w:w="43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2766F9">
                  <w:pPr>
                    <w:pStyle w:val="30"/>
                    <w:spacing w:line="340" w:lineRule="exact"/>
                    <w:jc w:val="center"/>
                    <w:rPr>
                      <w:color w:val="auto"/>
                      <w:sz w:val="21"/>
                      <w:szCs w:val="21"/>
                      <w:lang w:eastAsia="zh-CN"/>
                    </w:rPr>
                  </w:pPr>
                  <w:r>
                    <w:rPr>
                      <w:color w:val="auto"/>
                      <w:spacing w:val="-3"/>
                      <w:sz w:val="21"/>
                      <w:szCs w:val="21"/>
                      <w:lang w:eastAsia="zh-CN"/>
                    </w:rPr>
                    <w:t>危险</w:t>
                  </w:r>
                  <w:r>
                    <w:rPr>
                      <w:rFonts w:hint="eastAsia"/>
                      <w:color w:val="auto"/>
                      <w:spacing w:val="-3"/>
                      <w:sz w:val="21"/>
                      <w:szCs w:val="21"/>
                      <w:lang w:val="en-US" w:eastAsia="zh-CN"/>
                    </w:rPr>
                    <w:t>废物</w:t>
                  </w:r>
                </w:p>
              </w:tc>
              <w:tc>
                <w:tcPr>
                  <w:tcW w:w="94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FFDA7F">
                  <w:pPr>
                    <w:spacing w:line="340" w:lineRule="exact"/>
                    <w:jc w:val="center"/>
                    <w:rPr>
                      <w:rFonts w:eastAsia="Times New Roman"/>
                      <w:color w:val="auto"/>
                      <w:szCs w:val="21"/>
                    </w:rPr>
                  </w:pPr>
                  <w:r>
                    <w:rPr>
                      <w:rFonts w:eastAsia="Times New Roman"/>
                      <w:color w:val="auto"/>
                      <w:spacing w:val="-1"/>
                      <w:szCs w:val="21"/>
                    </w:rPr>
                    <w:t>HW49</w:t>
                  </w:r>
                </w:p>
                <w:p w14:paraId="6283D6B4">
                  <w:pPr>
                    <w:pStyle w:val="30"/>
                    <w:spacing w:line="340" w:lineRule="exact"/>
                    <w:jc w:val="center"/>
                    <w:rPr>
                      <w:color w:val="auto"/>
                      <w:sz w:val="21"/>
                      <w:szCs w:val="21"/>
                      <w:lang w:eastAsia="zh-CN"/>
                    </w:rPr>
                  </w:pPr>
                  <w:r>
                    <w:rPr>
                      <w:color w:val="auto"/>
                      <w:spacing w:val="-2"/>
                      <w:sz w:val="21"/>
                      <w:szCs w:val="21"/>
                      <w:lang w:eastAsia="zh-CN"/>
                    </w:rPr>
                    <w:t>（</w:t>
                  </w:r>
                  <w:r>
                    <w:rPr>
                      <w:rFonts w:ascii="Times New Roman" w:hAnsi="Times New Roman" w:eastAsia="Times New Roman" w:cs="Times New Roman"/>
                      <w:color w:val="auto"/>
                      <w:spacing w:val="-2"/>
                      <w:sz w:val="21"/>
                      <w:szCs w:val="21"/>
                      <w:lang w:eastAsia="zh-CN"/>
                    </w:rPr>
                    <w:t>772-006-49</w:t>
                  </w:r>
                  <w:r>
                    <w:rPr>
                      <w:color w:val="auto"/>
                      <w:spacing w:val="-2"/>
                      <w:sz w:val="21"/>
                      <w:szCs w:val="21"/>
                      <w:lang w:eastAsia="zh-CN"/>
                    </w:rPr>
                    <w:t>）</w:t>
                  </w:r>
                </w:p>
              </w:tc>
              <w:tc>
                <w:tcPr>
                  <w:tcW w:w="41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03F53E">
                  <w:pPr>
                    <w:spacing w:line="340" w:lineRule="exact"/>
                    <w:jc w:val="center"/>
                    <w:rPr>
                      <w:rFonts w:hint="eastAsia" w:eastAsia="宋体"/>
                      <w:color w:val="auto"/>
                      <w:szCs w:val="21"/>
                      <w:lang w:val="en-US" w:eastAsia="zh-CN"/>
                    </w:rPr>
                  </w:pPr>
                  <w:r>
                    <w:rPr>
                      <w:rFonts w:hint="eastAsia"/>
                      <w:color w:val="auto"/>
                      <w:szCs w:val="21"/>
                      <w:lang w:val="en-US" w:eastAsia="zh-CN"/>
                    </w:rPr>
                    <w:t>6</w:t>
                  </w:r>
                </w:p>
              </w:tc>
              <w:tc>
                <w:tcPr>
                  <w:tcW w:w="41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F597E3">
                  <w:pPr>
                    <w:spacing w:line="340" w:lineRule="exact"/>
                    <w:jc w:val="center"/>
                    <w:rPr>
                      <w:rFonts w:hint="default" w:eastAsia="宋体"/>
                      <w:color w:val="auto"/>
                      <w:szCs w:val="21"/>
                      <w:lang w:val="en-US" w:eastAsia="zh-CN"/>
                    </w:rPr>
                  </w:pPr>
                  <w:r>
                    <w:rPr>
                      <w:rFonts w:hint="eastAsia" w:eastAsia="宋体"/>
                      <w:color w:val="auto"/>
                      <w:szCs w:val="21"/>
                      <w:lang w:val="en-US" w:eastAsia="zh-CN"/>
                    </w:rPr>
                    <w:t>23.24</w:t>
                  </w: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76531F">
                  <w:pPr>
                    <w:spacing w:line="340" w:lineRule="exact"/>
                    <w:jc w:val="center"/>
                    <w:rPr>
                      <w:rFonts w:hint="eastAsia" w:ascii="Times New Roman" w:hAnsi="Times New Roman" w:eastAsia="Times New Roman" w:cs="Times New Roman"/>
                      <w:color w:val="auto"/>
                      <w:spacing w:val="-2"/>
                      <w:lang w:eastAsia="zh-CN"/>
                    </w:rPr>
                  </w:pPr>
                  <w:r>
                    <w:rPr>
                      <w:rFonts w:hint="eastAsia" w:ascii="Times New Roman" w:hAnsi="Times New Roman" w:eastAsia="Times New Roman" w:cs="Times New Roman"/>
                      <w:color w:val="auto"/>
                      <w:spacing w:val="-2"/>
                      <w:lang w:val="en-US" w:eastAsia="zh-CN"/>
                    </w:rPr>
                    <w:t>29.24</w:t>
                  </w:r>
                </w:p>
              </w:tc>
              <w:tc>
                <w:tcPr>
                  <w:tcW w:w="63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3B3F38">
                  <w:pPr>
                    <w:pStyle w:val="30"/>
                    <w:spacing w:line="340" w:lineRule="exact"/>
                    <w:jc w:val="center"/>
                    <w:rPr>
                      <w:color w:val="auto"/>
                      <w:sz w:val="21"/>
                      <w:szCs w:val="21"/>
                      <w:lang w:eastAsia="zh-CN"/>
                    </w:rPr>
                  </w:pPr>
                  <w:r>
                    <w:rPr>
                      <w:color w:val="auto"/>
                      <w:spacing w:val="-1"/>
                      <w:sz w:val="21"/>
                      <w:szCs w:val="21"/>
                      <w:lang w:eastAsia="zh-CN"/>
                    </w:rPr>
                    <w:t>委托有资质</w:t>
                  </w:r>
                  <w:r>
                    <w:rPr>
                      <w:color w:val="auto"/>
                      <w:spacing w:val="-2"/>
                      <w:sz w:val="21"/>
                      <w:szCs w:val="21"/>
                      <w:lang w:eastAsia="zh-CN"/>
                    </w:rPr>
                    <w:t>单位处置</w:t>
                  </w:r>
                </w:p>
              </w:tc>
              <w:tc>
                <w:tcPr>
                  <w:tcW w:w="655" w:type="pct"/>
                  <w:tcBorders>
                    <w:top w:val="single" w:color="auto" w:sz="4" w:space="0"/>
                    <w:left w:val="single" w:color="auto" w:sz="4" w:space="0"/>
                    <w:bottom w:val="single" w:color="auto" w:sz="4" w:space="0"/>
                    <w:right w:val="nil"/>
                  </w:tcBorders>
                  <w:shd w:val="clear" w:color="auto" w:fill="FFFFFF"/>
                  <w:noWrap w:val="0"/>
                  <w:vAlign w:val="center"/>
                </w:tcPr>
                <w:p w14:paraId="095354F4">
                  <w:pPr>
                    <w:pStyle w:val="30"/>
                    <w:spacing w:line="340" w:lineRule="exact"/>
                    <w:jc w:val="center"/>
                    <w:rPr>
                      <w:color w:val="auto"/>
                      <w:sz w:val="21"/>
                      <w:szCs w:val="21"/>
                      <w:lang w:eastAsia="zh-CN"/>
                    </w:rPr>
                  </w:pPr>
                  <w:r>
                    <w:rPr>
                      <w:color w:val="auto"/>
                      <w:spacing w:val="-2"/>
                      <w:sz w:val="21"/>
                      <w:szCs w:val="21"/>
                      <w:lang w:eastAsia="zh-CN"/>
                    </w:rPr>
                    <w:t>符合</w:t>
                  </w:r>
                </w:p>
              </w:tc>
            </w:tr>
            <w:tr w14:paraId="55141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213" w:type="pct"/>
                  <w:tcBorders>
                    <w:top w:val="single" w:color="auto" w:sz="4" w:space="0"/>
                    <w:left w:val="nil"/>
                    <w:bottom w:val="single" w:color="auto" w:sz="4" w:space="0"/>
                    <w:right w:val="single" w:color="auto" w:sz="4" w:space="0"/>
                  </w:tcBorders>
                  <w:shd w:val="clear" w:color="auto" w:fill="FFFFFF"/>
                  <w:noWrap w:val="0"/>
                  <w:vAlign w:val="center"/>
                </w:tcPr>
                <w:p w14:paraId="76FB60BD">
                  <w:pPr>
                    <w:spacing w:line="340" w:lineRule="exact"/>
                    <w:jc w:val="center"/>
                    <w:rPr>
                      <w:rFonts w:hint="eastAsia" w:eastAsia="宋体"/>
                      <w:color w:val="auto"/>
                      <w:szCs w:val="21"/>
                      <w:lang w:val="en-US" w:eastAsia="zh-CN"/>
                    </w:rPr>
                  </w:pPr>
                  <w:r>
                    <w:rPr>
                      <w:rFonts w:hint="eastAsia" w:eastAsia="宋体"/>
                      <w:color w:val="auto"/>
                      <w:szCs w:val="21"/>
                      <w:lang w:val="en-US" w:eastAsia="zh-CN"/>
                    </w:rPr>
                    <w:t>3</w:t>
                  </w:r>
                </w:p>
              </w:tc>
              <w:tc>
                <w:tcPr>
                  <w:tcW w:w="64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CEE4A63">
                  <w:pPr>
                    <w:pStyle w:val="30"/>
                    <w:spacing w:line="340" w:lineRule="exact"/>
                    <w:jc w:val="center"/>
                    <w:rPr>
                      <w:rFonts w:hint="default" w:ascii="宋体" w:hAnsi="宋体" w:eastAsia="宋体" w:cs="宋体"/>
                      <w:color w:val="auto"/>
                      <w:kern w:val="2"/>
                      <w:sz w:val="21"/>
                      <w:szCs w:val="21"/>
                      <w:lang w:val="en-US" w:eastAsia="zh-CN" w:bidi="ar-SA"/>
                    </w:rPr>
                  </w:pPr>
                  <w:r>
                    <w:rPr>
                      <w:rFonts w:hint="eastAsia" w:cs="宋体"/>
                      <w:color w:val="auto"/>
                      <w:kern w:val="2"/>
                      <w:sz w:val="21"/>
                      <w:szCs w:val="21"/>
                      <w:lang w:val="en-US" w:eastAsia="zh-CN" w:bidi="ar-SA"/>
                    </w:rPr>
                    <w:t>废弃灯管</w:t>
                  </w:r>
                </w:p>
              </w:tc>
              <w:tc>
                <w:tcPr>
                  <w:tcW w:w="43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772625">
                  <w:pPr>
                    <w:pStyle w:val="30"/>
                    <w:spacing w:line="340" w:lineRule="exact"/>
                    <w:jc w:val="center"/>
                    <w:rPr>
                      <w:rFonts w:ascii="宋体" w:hAnsi="宋体" w:eastAsia="宋体" w:cs="宋体"/>
                      <w:color w:val="auto"/>
                      <w:kern w:val="2"/>
                      <w:sz w:val="21"/>
                      <w:szCs w:val="21"/>
                      <w:lang w:val="en-US" w:eastAsia="zh-CN" w:bidi="ar-SA"/>
                    </w:rPr>
                  </w:pPr>
                  <w:r>
                    <w:rPr>
                      <w:color w:val="auto"/>
                      <w:spacing w:val="-3"/>
                      <w:sz w:val="21"/>
                      <w:szCs w:val="21"/>
                    </w:rPr>
                    <w:t>危险</w:t>
                  </w:r>
                  <w:r>
                    <w:rPr>
                      <w:rFonts w:hint="eastAsia"/>
                      <w:color w:val="auto"/>
                      <w:spacing w:val="-3"/>
                      <w:sz w:val="21"/>
                      <w:szCs w:val="21"/>
                      <w:lang w:val="en-US" w:eastAsia="zh-CN"/>
                    </w:rPr>
                    <w:t>废物</w:t>
                  </w:r>
                </w:p>
              </w:tc>
              <w:tc>
                <w:tcPr>
                  <w:tcW w:w="94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01CAC3">
                  <w:pPr>
                    <w:spacing w:line="340" w:lineRule="exact"/>
                    <w:jc w:val="center"/>
                    <w:rPr>
                      <w:rFonts w:hint="default" w:eastAsia="宋体"/>
                      <w:color w:val="auto"/>
                      <w:sz w:val="20"/>
                      <w:szCs w:val="20"/>
                      <w:lang w:val="en-US" w:eastAsia="zh-CN"/>
                    </w:rPr>
                  </w:pPr>
                  <w:r>
                    <w:rPr>
                      <w:rFonts w:eastAsia="Times New Roman"/>
                      <w:color w:val="auto"/>
                      <w:spacing w:val="-1"/>
                      <w:sz w:val="20"/>
                      <w:szCs w:val="20"/>
                    </w:rPr>
                    <w:t>HW</w:t>
                  </w:r>
                  <w:r>
                    <w:rPr>
                      <w:rFonts w:hint="eastAsia" w:eastAsia="宋体"/>
                      <w:color w:val="auto"/>
                      <w:spacing w:val="-1"/>
                      <w:sz w:val="20"/>
                      <w:szCs w:val="20"/>
                      <w:lang w:val="en-US" w:eastAsia="zh-CN"/>
                    </w:rPr>
                    <w:t>29</w:t>
                  </w:r>
                </w:p>
                <w:p w14:paraId="607C09D6">
                  <w:pPr>
                    <w:pStyle w:val="30"/>
                    <w:spacing w:line="340" w:lineRule="exact"/>
                    <w:jc w:val="center"/>
                    <w:rPr>
                      <w:color w:val="auto"/>
                      <w:spacing w:val="-2"/>
                      <w:sz w:val="21"/>
                      <w:szCs w:val="21"/>
                      <w:lang w:eastAsia="zh-CN"/>
                    </w:rPr>
                  </w:pPr>
                  <w:r>
                    <w:rPr>
                      <w:color w:val="auto"/>
                      <w:spacing w:val="-2"/>
                      <w:sz w:val="20"/>
                      <w:szCs w:val="20"/>
                      <w:lang w:eastAsia="zh-CN"/>
                    </w:rPr>
                    <w:t>（</w:t>
                  </w:r>
                  <w:r>
                    <w:rPr>
                      <w:rFonts w:hint="eastAsia" w:ascii="Times New Roman" w:hAnsi="Times New Roman" w:eastAsia="Times New Roman" w:cs="Times New Roman"/>
                      <w:color w:val="auto"/>
                      <w:spacing w:val="-1"/>
                      <w:sz w:val="22"/>
                      <w:szCs w:val="22"/>
                      <w:lang w:eastAsia="zh-CN"/>
                    </w:rPr>
                    <w:t>900-023-29</w:t>
                  </w:r>
                  <w:r>
                    <w:rPr>
                      <w:color w:val="auto"/>
                      <w:spacing w:val="-2"/>
                      <w:sz w:val="20"/>
                      <w:szCs w:val="20"/>
                      <w:lang w:eastAsia="zh-CN"/>
                    </w:rPr>
                    <w:t>）</w:t>
                  </w:r>
                </w:p>
              </w:tc>
              <w:tc>
                <w:tcPr>
                  <w:tcW w:w="41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8D06D6F">
                  <w:pPr>
                    <w:spacing w:line="340" w:lineRule="exact"/>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41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944556">
                  <w:pPr>
                    <w:spacing w:line="340" w:lineRule="exact"/>
                    <w:jc w:val="center"/>
                    <w:rPr>
                      <w:rFonts w:hint="default" w:eastAsia="宋体"/>
                      <w:color w:val="auto"/>
                      <w:szCs w:val="21"/>
                      <w:lang w:val="en-US" w:eastAsia="zh-CN"/>
                    </w:rPr>
                  </w:pPr>
                  <w:r>
                    <w:rPr>
                      <w:rFonts w:hint="eastAsia" w:ascii="Times New Roman" w:hAnsi="Times New Roman" w:eastAsia="宋体" w:cs="Times New Roman"/>
                      <w:color w:val="auto"/>
                      <w:szCs w:val="21"/>
                      <w:lang w:val="en-US" w:eastAsia="zh-CN"/>
                    </w:rPr>
                    <w:t>0.4712</w:t>
                  </w:r>
                </w:p>
              </w:tc>
              <w:tc>
                <w:tcPr>
                  <w:tcW w:w="63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535291">
                  <w:pPr>
                    <w:spacing w:line="340" w:lineRule="exact"/>
                    <w:jc w:val="center"/>
                    <w:rPr>
                      <w:rFonts w:hint="eastAsia" w:ascii="Times New Roman" w:hAnsi="Times New Roman" w:eastAsia="Times New Roman" w:cs="Times New Roman"/>
                      <w:color w:val="auto"/>
                      <w:spacing w:val="-2"/>
                      <w:lang w:val="en-US" w:eastAsia="zh-CN"/>
                    </w:rPr>
                  </w:pPr>
                  <w:r>
                    <w:rPr>
                      <w:rFonts w:hint="eastAsia" w:ascii="Times New Roman" w:hAnsi="Times New Roman" w:eastAsia="Times New Roman" w:cs="Times New Roman"/>
                      <w:color w:val="auto"/>
                      <w:spacing w:val="-2"/>
                      <w:lang w:val="en-US" w:eastAsia="zh-CN"/>
                    </w:rPr>
                    <w:t>0.4712</w:t>
                  </w:r>
                </w:p>
              </w:tc>
              <w:tc>
                <w:tcPr>
                  <w:tcW w:w="63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B051A7">
                  <w:pPr>
                    <w:pStyle w:val="30"/>
                    <w:spacing w:line="340" w:lineRule="exact"/>
                    <w:jc w:val="center"/>
                    <w:rPr>
                      <w:rFonts w:ascii="宋体" w:hAnsi="宋体" w:eastAsia="宋体" w:cs="宋体"/>
                      <w:color w:val="auto"/>
                      <w:kern w:val="2"/>
                      <w:sz w:val="21"/>
                      <w:szCs w:val="21"/>
                      <w:lang w:val="en-US" w:eastAsia="zh-CN" w:bidi="ar-SA"/>
                    </w:rPr>
                  </w:pPr>
                  <w:r>
                    <w:rPr>
                      <w:color w:val="auto"/>
                      <w:spacing w:val="-1"/>
                      <w:sz w:val="21"/>
                      <w:szCs w:val="21"/>
                      <w:lang w:eastAsia="zh-CN"/>
                    </w:rPr>
                    <w:t>委托有资质</w:t>
                  </w:r>
                  <w:r>
                    <w:rPr>
                      <w:color w:val="auto"/>
                      <w:spacing w:val="-2"/>
                      <w:sz w:val="21"/>
                      <w:szCs w:val="21"/>
                      <w:lang w:eastAsia="zh-CN"/>
                    </w:rPr>
                    <w:t>单位处置</w:t>
                  </w:r>
                </w:p>
              </w:tc>
              <w:tc>
                <w:tcPr>
                  <w:tcW w:w="655" w:type="pct"/>
                  <w:tcBorders>
                    <w:top w:val="single" w:color="auto" w:sz="4" w:space="0"/>
                    <w:left w:val="single" w:color="auto" w:sz="4" w:space="0"/>
                    <w:bottom w:val="single" w:color="auto" w:sz="4" w:space="0"/>
                    <w:right w:val="nil"/>
                  </w:tcBorders>
                  <w:shd w:val="clear" w:color="auto" w:fill="FFFFFF"/>
                  <w:noWrap w:val="0"/>
                  <w:vAlign w:val="center"/>
                </w:tcPr>
                <w:p w14:paraId="7D245177">
                  <w:pPr>
                    <w:pStyle w:val="30"/>
                    <w:spacing w:line="340" w:lineRule="exact"/>
                    <w:jc w:val="center"/>
                    <w:rPr>
                      <w:rFonts w:ascii="宋体" w:hAnsi="宋体" w:eastAsia="宋体" w:cs="宋体"/>
                      <w:color w:val="auto"/>
                      <w:kern w:val="2"/>
                      <w:sz w:val="21"/>
                      <w:szCs w:val="21"/>
                      <w:lang w:val="en-US" w:eastAsia="zh-CN" w:bidi="ar-SA"/>
                    </w:rPr>
                  </w:pPr>
                  <w:r>
                    <w:rPr>
                      <w:color w:val="auto"/>
                      <w:spacing w:val="-2"/>
                      <w:sz w:val="21"/>
                      <w:szCs w:val="21"/>
                      <w:lang w:eastAsia="zh-CN"/>
                    </w:rPr>
                    <w:t>符合</w:t>
                  </w:r>
                </w:p>
              </w:tc>
            </w:tr>
            <w:tr w14:paraId="63F3C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213" w:type="pct"/>
                  <w:tcBorders>
                    <w:top w:val="single" w:color="auto" w:sz="4" w:space="0"/>
                    <w:left w:val="nil"/>
                    <w:bottom w:val="single" w:color="auto" w:sz="4" w:space="0"/>
                    <w:right w:val="single" w:color="auto" w:sz="4" w:space="0"/>
                  </w:tcBorders>
                  <w:shd w:val="clear" w:color="auto" w:fill="FFFFFF"/>
                  <w:noWrap w:val="0"/>
                  <w:vAlign w:val="center"/>
                </w:tcPr>
                <w:p w14:paraId="28DFC19B">
                  <w:pPr>
                    <w:spacing w:line="340" w:lineRule="exact"/>
                    <w:jc w:val="center"/>
                    <w:rPr>
                      <w:rFonts w:hint="default" w:eastAsia="宋体"/>
                      <w:color w:val="auto"/>
                      <w:szCs w:val="21"/>
                      <w:lang w:val="en-US" w:eastAsia="zh-CN"/>
                    </w:rPr>
                  </w:pPr>
                  <w:r>
                    <w:rPr>
                      <w:rFonts w:hint="eastAsia" w:eastAsia="宋体"/>
                      <w:color w:val="auto"/>
                      <w:szCs w:val="21"/>
                      <w:lang w:val="en-US" w:eastAsia="zh-CN"/>
                    </w:rPr>
                    <w:t>4</w:t>
                  </w:r>
                </w:p>
              </w:tc>
              <w:tc>
                <w:tcPr>
                  <w:tcW w:w="64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84E5D3">
                  <w:pPr>
                    <w:pStyle w:val="30"/>
                    <w:spacing w:line="340" w:lineRule="exact"/>
                    <w:jc w:val="center"/>
                    <w:rPr>
                      <w:rFonts w:hint="eastAsia" w:cs="宋体"/>
                      <w:color w:val="auto"/>
                      <w:kern w:val="2"/>
                      <w:sz w:val="21"/>
                      <w:szCs w:val="21"/>
                      <w:lang w:val="en-US" w:eastAsia="zh-CN" w:bidi="ar-SA"/>
                    </w:rPr>
                  </w:pPr>
                  <w:r>
                    <w:rPr>
                      <w:color w:val="auto"/>
                      <w:spacing w:val="7"/>
                    </w:rPr>
                    <w:t>废活性</w:t>
                  </w:r>
                  <w:r>
                    <w:rPr>
                      <w:color w:val="auto"/>
                    </w:rPr>
                    <w:t>炭</w:t>
                  </w:r>
                </w:p>
              </w:tc>
              <w:tc>
                <w:tcPr>
                  <w:tcW w:w="43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ABA120">
                  <w:pPr>
                    <w:pStyle w:val="30"/>
                    <w:spacing w:line="340" w:lineRule="exact"/>
                    <w:jc w:val="center"/>
                    <w:rPr>
                      <w:color w:val="auto"/>
                      <w:spacing w:val="-3"/>
                      <w:sz w:val="21"/>
                      <w:szCs w:val="21"/>
                    </w:rPr>
                  </w:pPr>
                  <w:r>
                    <w:rPr>
                      <w:color w:val="auto"/>
                      <w:spacing w:val="-3"/>
                      <w:sz w:val="21"/>
                      <w:szCs w:val="21"/>
                    </w:rPr>
                    <w:t>危险</w:t>
                  </w:r>
                  <w:r>
                    <w:rPr>
                      <w:rFonts w:hint="eastAsia"/>
                      <w:color w:val="auto"/>
                      <w:spacing w:val="-3"/>
                      <w:sz w:val="21"/>
                      <w:szCs w:val="21"/>
                      <w:lang w:val="en-US" w:eastAsia="zh-CN"/>
                    </w:rPr>
                    <w:t>废物</w:t>
                  </w:r>
                </w:p>
              </w:tc>
              <w:tc>
                <w:tcPr>
                  <w:tcW w:w="94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02A615">
                  <w:pPr>
                    <w:pStyle w:val="30"/>
                    <w:spacing w:line="340" w:lineRule="exact"/>
                    <w:jc w:val="center"/>
                    <w:rPr>
                      <w:rFonts w:ascii="Times New Roman" w:hAnsi="Times New Roman" w:eastAsia="Times New Roman" w:cs="Times New Roman"/>
                      <w:color w:val="auto"/>
                      <w:spacing w:val="10"/>
                      <w:sz w:val="20"/>
                      <w:szCs w:val="20"/>
                    </w:rPr>
                  </w:pPr>
                  <w:r>
                    <w:rPr>
                      <w:rFonts w:ascii="Times New Roman" w:hAnsi="Times New Roman" w:eastAsia="Times New Roman" w:cs="Times New Roman"/>
                      <w:color w:val="auto"/>
                      <w:sz w:val="20"/>
                      <w:szCs w:val="20"/>
                    </w:rPr>
                    <w:t>HW</w:t>
                  </w:r>
                  <w:r>
                    <w:rPr>
                      <w:rFonts w:ascii="Times New Roman" w:hAnsi="Times New Roman" w:eastAsia="Times New Roman" w:cs="Times New Roman"/>
                      <w:color w:val="auto"/>
                      <w:spacing w:val="10"/>
                      <w:sz w:val="20"/>
                      <w:szCs w:val="20"/>
                    </w:rPr>
                    <w:t>49</w:t>
                  </w:r>
                </w:p>
                <w:p w14:paraId="7E9A9922">
                  <w:pPr>
                    <w:pStyle w:val="30"/>
                    <w:spacing w:line="340" w:lineRule="exact"/>
                    <w:jc w:val="center"/>
                    <w:rPr>
                      <w:rFonts w:hint="eastAsia" w:ascii="Times New Roman" w:hAnsi="Times New Roman" w:eastAsia="宋体" w:cs="Times New Roman"/>
                      <w:color w:val="auto"/>
                      <w:spacing w:val="10"/>
                      <w:sz w:val="20"/>
                      <w:szCs w:val="20"/>
                      <w:lang w:val="en-US" w:eastAsia="zh-CN"/>
                    </w:rPr>
                  </w:pPr>
                  <w:r>
                    <w:rPr>
                      <w:rFonts w:hint="eastAsia" w:ascii="Times New Roman" w:hAnsi="Times New Roman" w:cs="Times New Roman"/>
                      <w:color w:val="auto"/>
                      <w:spacing w:val="3"/>
                      <w:sz w:val="20"/>
                      <w:szCs w:val="20"/>
                      <w:lang w:val="en-US" w:eastAsia="zh-CN"/>
                    </w:rPr>
                    <w:t>(</w:t>
                  </w:r>
                  <w:r>
                    <w:rPr>
                      <w:rFonts w:ascii="Times New Roman" w:hAnsi="Times New Roman" w:eastAsia="Times New Roman" w:cs="Times New Roman"/>
                      <w:color w:val="auto"/>
                      <w:spacing w:val="3"/>
                      <w:sz w:val="20"/>
                      <w:szCs w:val="20"/>
                    </w:rPr>
                    <w:t>900-041-49</w:t>
                  </w:r>
                  <w:r>
                    <w:rPr>
                      <w:rFonts w:hint="eastAsia" w:ascii="Times New Roman" w:hAnsi="Times New Roman" w:cs="Times New Roman"/>
                      <w:color w:val="auto"/>
                      <w:spacing w:val="3"/>
                      <w:sz w:val="20"/>
                      <w:szCs w:val="20"/>
                      <w:lang w:val="en-US" w:eastAsia="zh-CN"/>
                    </w:rPr>
                    <w:t>)</w:t>
                  </w:r>
                </w:p>
              </w:tc>
              <w:tc>
                <w:tcPr>
                  <w:tcW w:w="41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9BE571">
                  <w:pPr>
                    <w:spacing w:line="340" w:lineRule="exact"/>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41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2F4696">
                  <w:pPr>
                    <w:spacing w:line="340" w:lineRule="exact"/>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w:t>
                  </w:r>
                </w:p>
              </w:tc>
              <w:tc>
                <w:tcPr>
                  <w:tcW w:w="63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E3C9A6">
                  <w:pPr>
                    <w:spacing w:line="340" w:lineRule="exact"/>
                    <w:jc w:val="center"/>
                    <w:rPr>
                      <w:rFonts w:hint="eastAsia" w:ascii="Times New Roman" w:hAnsi="Times New Roman" w:eastAsia="Times New Roman" w:cs="Times New Roman"/>
                      <w:color w:val="auto"/>
                      <w:spacing w:val="-2"/>
                      <w:lang w:val="en-US" w:eastAsia="zh-CN"/>
                    </w:rPr>
                  </w:pPr>
                  <w:r>
                    <w:rPr>
                      <w:rFonts w:hint="eastAsia" w:ascii="Times New Roman" w:hAnsi="Times New Roman" w:eastAsia="Times New Roman" w:cs="Times New Roman"/>
                      <w:color w:val="auto"/>
                      <w:spacing w:val="-3"/>
                      <w:sz w:val="24"/>
                      <w:szCs w:val="24"/>
                      <w:lang w:val="en-US" w:eastAsia="zh-CN"/>
                    </w:rPr>
                    <w:t>1</w:t>
                  </w:r>
                </w:p>
              </w:tc>
              <w:tc>
                <w:tcPr>
                  <w:tcW w:w="63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BCD1E8">
                  <w:pPr>
                    <w:pStyle w:val="30"/>
                    <w:spacing w:line="340" w:lineRule="exact"/>
                    <w:jc w:val="center"/>
                    <w:rPr>
                      <w:color w:val="auto"/>
                      <w:spacing w:val="-1"/>
                      <w:sz w:val="21"/>
                      <w:szCs w:val="21"/>
                      <w:lang w:eastAsia="zh-CN"/>
                    </w:rPr>
                  </w:pPr>
                  <w:r>
                    <w:rPr>
                      <w:color w:val="auto"/>
                      <w:spacing w:val="-1"/>
                      <w:sz w:val="21"/>
                      <w:szCs w:val="21"/>
                      <w:lang w:eastAsia="zh-CN"/>
                    </w:rPr>
                    <w:t>委托有资质</w:t>
                  </w:r>
                  <w:r>
                    <w:rPr>
                      <w:color w:val="auto"/>
                      <w:spacing w:val="-2"/>
                      <w:sz w:val="21"/>
                      <w:szCs w:val="21"/>
                      <w:lang w:eastAsia="zh-CN"/>
                    </w:rPr>
                    <w:t>单位处置</w:t>
                  </w:r>
                </w:p>
              </w:tc>
              <w:tc>
                <w:tcPr>
                  <w:tcW w:w="655" w:type="pct"/>
                  <w:tcBorders>
                    <w:top w:val="single" w:color="auto" w:sz="4" w:space="0"/>
                    <w:left w:val="single" w:color="auto" w:sz="4" w:space="0"/>
                    <w:bottom w:val="single" w:color="auto" w:sz="4" w:space="0"/>
                    <w:right w:val="nil"/>
                  </w:tcBorders>
                  <w:shd w:val="clear" w:color="auto" w:fill="FFFFFF"/>
                  <w:noWrap w:val="0"/>
                  <w:vAlign w:val="center"/>
                </w:tcPr>
                <w:p w14:paraId="1108DF4A">
                  <w:pPr>
                    <w:pStyle w:val="30"/>
                    <w:spacing w:line="340" w:lineRule="exact"/>
                    <w:jc w:val="center"/>
                    <w:rPr>
                      <w:color w:val="auto"/>
                      <w:spacing w:val="-2"/>
                      <w:sz w:val="21"/>
                      <w:szCs w:val="21"/>
                      <w:lang w:eastAsia="zh-CN"/>
                    </w:rPr>
                  </w:pPr>
                  <w:r>
                    <w:rPr>
                      <w:color w:val="auto"/>
                      <w:spacing w:val="-2"/>
                      <w:sz w:val="21"/>
                      <w:szCs w:val="21"/>
                      <w:lang w:eastAsia="zh-CN"/>
                    </w:rPr>
                    <w:t>符合</w:t>
                  </w:r>
                </w:p>
              </w:tc>
            </w:tr>
            <w:tr w14:paraId="1DBD4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213" w:type="pct"/>
                  <w:tcBorders>
                    <w:top w:val="single" w:color="auto" w:sz="4" w:space="0"/>
                    <w:left w:val="nil"/>
                    <w:bottom w:val="single" w:color="000000" w:sz="12" w:space="0"/>
                    <w:right w:val="single" w:color="auto" w:sz="4" w:space="0"/>
                  </w:tcBorders>
                  <w:shd w:val="clear" w:color="auto" w:fill="FFFFFF"/>
                  <w:noWrap w:val="0"/>
                  <w:vAlign w:val="center"/>
                </w:tcPr>
                <w:p w14:paraId="7B6B71F8">
                  <w:pPr>
                    <w:spacing w:line="340" w:lineRule="exact"/>
                    <w:jc w:val="center"/>
                    <w:rPr>
                      <w:rFonts w:hint="eastAsia" w:eastAsia="宋体"/>
                      <w:color w:val="auto"/>
                      <w:szCs w:val="21"/>
                      <w:lang w:eastAsia="zh-CN"/>
                    </w:rPr>
                  </w:pPr>
                  <w:r>
                    <w:rPr>
                      <w:rFonts w:hint="eastAsia"/>
                      <w:color w:val="auto"/>
                      <w:szCs w:val="21"/>
                      <w:lang w:val="en-US" w:eastAsia="zh-CN"/>
                    </w:rPr>
                    <w:t>4</w:t>
                  </w:r>
                </w:p>
              </w:tc>
              <w:tc>
                <w:tcPr>
                  <w:tcW w:w="645"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7551679C">
                  <w:pPr>
                    <w:pStyle w:val="30"/>
                    <w:spacing w:line="340" w:lineRule="exact"/>
                    <w:jc w:val="center"/>
                    <w:rPr>
                      <w:color w:val="auto"/>
                      <w:sz w:val="21"/>
                      <w:szCs w:val="21"/>
                      <w:lang w:eastAsia="zh-CN"/>
                    </w:rPr>
                  </w:pPr>
                  <w:r>
                    <w:rPr>
                      <w:color w:val="auto"/>
                      <w:spacing w:val="-2"/>
                      <w:sz w:val="21"/>
                      <w:szCs w:val="21"/>
                      <w:lang w:eastAsia="zh-CN"/>
                    </w:rPr>
                    <w:t>生活垃圾</w:t>
                  </w:r>
                </w:p>
              </w:tc>
              <w:tc>
                <w:tcPr>
                  <w:tcW w:w="431"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7C13CF12">
                  <w:pPr>
                    <w:pStyle w:val="30"/>
                    <w:spacing w:line="340" w:lineRule="exact"/>
                    <w:jc w:val="center"/>
                    <w:rPr>
                      <w:color w:val="auto"/>
                      <w:sz w:val="21"/>
                      <w:szCs w:val="21"/>
                      <w:lang w:eastAsia="zh-CN"/>
                    </w:rPr>
                  </w:pPr>
                  <w:r>
                    <w:rPr>
                      <w:color w:val="auto"/>
                      <w:spacing w:val="-3"/>
                      <w:sz w:val="21"/>
                      <w:szCs w:val="21"/>
                      <w:lang w:eastAsia="zh-CN"/>
                    </w:rPr>
                    <w:t>一般固</w:t>
                  </w:r>
                  <w:r>
                    <w:rPr>
                      <w:color w:val="auto"/>
                      <w:sz w:val="21"/>
                      <w:szCs w:val="21"/>
                      <w:lang w:eastAsia="zh-CN"/>
                    </w:rPr>
                    <w:t>废</w:t>
                  </w:r>
                </w:p>
              </w:tc>
              <w:tc>
                <w:tcPr>
                  <w:tcW w:w="946"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3C8F9445">
                  <w:pPr>
                    <w:spacing w:line="340" w:lineRule="exact"/>
                    <w:jc w:val="center"/>
                    <w:rPr>
                      <w:rFonts w:eastAsia="Times New Roman"/>
                      <w:color w:val="auto"/>
                      <w:szCs w:val="21"/>
                    </w:rPr>
                  </w:pPr>
                  <w:r>
                    <w:rPr>
                      <w:rFonts w:eastAsia="Times New Roman"/>
                      <w:color w:val="auto"/>
                      <w:szCs w:val="21"/>
                    </w:rPr>
                    <w:t>/</w:t>
                  </w:r>
                </w:p>
              </w:tc>
              <w:tc>
                <w:tcPr>
                  <w:tcW w:w="416"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6E3D3AE5">
                  <w:pPr>
                    <w:spacing w:line="340" w:lineRule="exact"/>
                    <w:jc w:val="center"/>
                    <w:rPr>
                      <w:rFonts w:hint="default"/>
                      <w:color w:val="auto"/>
                      <w:spacing w:val="-2"/>
                      <w:szCs w:val="21"/>
                      <w:lang w:val="en-US" w:eastAsia="zh-CN"/>
                    </w:rPr>
                  </w:pPr>
                  <w:r>
                    <w:rPr>
                      <w:rFonts w:hint="eastAsia"/>
                      <w:color w:val="auto"/>
                      <w:spacing w:val="-2"/>
                      <w:szCs w:val="21"/>
                      <w:lang w:val="en-US" w:eastAsia="zh-CN"/>
                    </w:rPr>
                    <w:t>200</w:t>
                  </w:r>
                </w:p>
              </w:tc>
              <w:tc>
                <w:tcPr>
                  <w:tcW w:w="416"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387C7ABB">
                  <w:pPr>
                    <w:spacing w:line="340" w:lineRule="exact"/>
                    <w:jc w:val="center"/>
                    <w:rPr>
                      <w:rFonts w:hint="default" w:eastAsia="宋体"/>
                      <w:color w:val="auto"/>
                      <w:szCs w:val="21"/>
                      <w:lang w:val="en-US" w:eastAsia="zh-CN"/>
                    </w:rPr>
                  </w:pPr>
                  <w:r>
                    <w:rPr>
                      <w:rFonts w:hint="eastAsia"/>
                      <w:color w:val="auto"/>
                      <w:spacing w:val="-2"/>
                      <w:szCs w:val="21"/>
                      <w:lang w:val="en-US" w:eastAsia="zh-CN"/>
                    </w:rPr>
                    <w:t>/</w:t>
                  </w:r>
                </w:p>
              </w:tc>
              <w:tc>
                <w:tcPr>
                  <w:tcW w:w="637"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7EB9A0C6">
                  <w:pPr>
                    <w:spacing w:line="340" w:lineRule="exact"/>
                    <w:jc w:val="center"/>
                    <w:rPr>
                      <w:rFonts w:hint="default" w:ascii="Times New Roman" w:hAnsi="Times New Roman" w:eastAsia="Times New Roman" w:cs="Times New Roman"/>
                      <w:color w:val="auto"/>
                      <w:spacing w:val="-2"/>
                      <w:lang w:val="en-US" w:eastAsia="zh-CN"/>
                    </w:rPr>
                  </w:pPr>
                  <w:r>
                    <w:rPr>
                      <w:rFonts w:hint="eastAsia" w:ascii="Times New Roman" w:hAnsi="Times New Roman" w:eastAsia="Times New Roman" w:cs="Times New Roman"/>
                      <w:color w:val="auto"/>
                      <w:spacing w:val="-2"/>
                      <w:lang w:val="en-US" w:eastAsia="zh-CN"/>
                    </w:rPr>
                    <w:t>200</w:t>
                  </w:r>
                </w:p>
              </w:tc>
              <w:tc>
                <w:tcPr>
                  <w:tcW w:w="637"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601E77B0">
                  <w:pPr>
                    <w:pStyle w:val="30"/>
                    <w:spacing w:line="340" w:lineRule="exact"/>
                    <w:jc w:val="center"/>
                    <w:rPr>
                      <w:color w:val="auto"/>
                      <w:sz w:val="21"/>
                      <w:szCs w:val="21"/>
                      <w:lang w:eastAsia="zh-CN"/>
                    </w:rPr>
                  </w:pPr>
                  <w:r>
                    <w:rPr>
                      <w:color w:val="auto"/>
                      <w:spacing w:val="-1"/>
                      <w:sz w:val="21"/>
                      <w:szCs w:val="21"/>
                      <w:lang w:eastAsia="zh-CN"/>
                    </w:rPr>
                    <w:t>环卫部门清</w:t>
                  </w:r>
                  <w:r>
                    <w:rPr>
                      <w:color w:val="auto"/>
                      <w:spacing w:val="-2"/>
                      <w:sz w:val="21"/>
                      <w:szCs w:val="21"/>
                      <w:lang w:eastAsia="zh-CN"/>
                    </w:rPr>
                    <w:t>运处理</w:t>
                  </w:r>
                </w:p>
              </w:tc>
              <w:tc>
                <w:tcPr>
                  <w:tcW w:w="655" w:type="pct"/>
                  <w:tcBorders>
                    <w:top w:val="single" w:color="auto" w:sz="4" w:space="0"/>
                    <w:left w:val="single" w:color="auto" w:sz="4" w:space="0"/>
                    <w:bottom w:val="single" w:color="000000" w:sz="12" w:space="0"/>
                    <w:right w:val="nil"/>
                  </w:tcBorders>
                  <w:shd w:val="clear" w:color="auto" w:fill="FFFFFF"/>
                  <w:noWrap w:val="0"/>
                  <w:vAlign w:val="center"/>
                </w:tcPr>
                <w:p w14:paraId="4F1DC21A">
                  <w:pPr>
                    <w:pStyle w:val="30"/>
                    <w:spacing w:line="340" w:lineRule="exact"/>
                    <w:jc w:val="center"/>
                    <w:rPr>
                      <w:color w:val="auto"/>
                      <w:sz w:val="21"/>
                      <w:szCs w:val="21"/>
                      <w:lang w:eastAsia="zh-CN"/>
                    </w:rPr>
                  </w:pPr>
                  <w:r>
                    <w:rPr>
                      <w:color w:val="auto"/>
                      <w:spacing w:val="-2"/>
                      <w:sz w:val="21"/>
                      <w:szCs w:val="21"/>
                      <w:lang w:eastAsia="zh-CN"/>
                    </w:rPr>
                    <w:t>符合</w:t>
                  </w:r>
                </w:p>
              </w:tc>
            </w:tr>
          </w:tbl>
          <w:p w14:paraId="530876A4">
            <w:pPr>
              <w:pStyle w:val="30"/>
              <w:spacing w:before="198" w:line="219" w:lineRule="auto"/>
              <w:ind w:left="586"/>
              <w:rPr>
                <w:color w:val="auto"/>
                <w:lang w:eastAsia="zh-CN"/>
              </w:rPr>
            </w:pPr>
            <w:r>
              <w:rPr>
                <w:color w:val="auto"/>
                <w:spacing w:val="-2"/>
                <w:lang w:eastAsia="zh-CN"/>
              </w:rPr>
              <w:t>本项目危险废物收集、贮存、运输、处置环节污染防治措施详见</w:t>
            </w:r>
            <w:r>
              <w:rPr>
                <w:color w:val="auto"/>
                <w:spacing w:val="-3"/>
                <w:lang w:eastAsia="zh-CN"/>
              </w:rPr>
              <w:t>下表：</w:t>
            </w:r>
          </w:p>
          <w:p w14:paraId="151C2762">
            <w:pPr>
              <w:pStyle w:val="30"/>
              <w:spacing w:before="278" w:line="214" w:lineRule="auto"/>
              <w:ind w:left="2012"/>
              <w:rPr>
                <w:color w:val="auto"/>
                <w:lang w:eastAsia="zh-CN"/>
              </w:rPr>
            </w:pPr>
            <w:r>
              <w:rPr>
                <w:b/>
                <w:bCs/>
                <w:color w:val="auto"/>
                <w:spacing w:val="-2"/>
                <w:lang w:eastAsia="zh-CN"/>
              </w:rPr>
              <w:t>表</w:t>
            </w:r>
            <w:r>
              <w:rPr>
                <w:rFonts w:ascii="Times New Roman" w:hAnsi="Times New Roman" w:eastAsia="Times New Roman" w:cs="Times New Roman"/>
                <w:b/>
                <w:bCs/>
                <w:color w:val="auto"/>
                <w:spacing w:val="-2"/>
                <w:lang w:eastAsia="zh-CN"/>
              </w:rPr>
              <w:t>4.</w:t>
            </w:r>
            <w:r>
              <w:rPr>
                <w:rFonts w:hint="eastAsia" w:ascii="Times New Roman" w:hAnsi="Times New Roman" w:cs="Times New Roman"/>
                <w:b/>
                <w:bCs/>
                <w:color w:val="auto"/>
                <w:spacing w:val="-2"/>
                <w:lang w:eastAsia="zh-CN"/>
              </w:rPr>
              <w:t>2</w:t>
            </w:r>
            <w:r>
              <w:rPr>
                <w:rFonts w:ascii="Times New Roman" w:hAnsi="Times New Roman" w:eastAsia="Times New Roman" w:cs="Times New Roman"/>
                <w:b/>
                <w:bCs/>
                <w:color w:val="auto"/>
                <w:spacing w:val="-2"/>
                <w:lang w:eastAsia="zh-CN"/>
              </w:rPr>
              <w:t>-</w:t>
            </w:r>
            <w:r>
              <w:rPr>
                <w:rFonts w:hint="eastAsia" w:ascii="Times New Roman" w:hAnsi="Times New Roman" w:cs="Times New Roman"/>
                <w:b/>
                <w:bCs/>
                <w:color w:val="auto"/>
                <w:spacing w:val="-2"/>
                <w:lang w:eastAsia="zh-CN"/>
              </w:rPr>
              <w:t>9</w:t>
            </w:r>
            <w:r>
              <w:rPr>
                <w:b/>
                <w:bCs/>
                <w:color w:val="auto"/>
                <w:spacing w:val="-2"/>
                <w:lang w:eastAsia="zh-CN"/>
              </w:rPr>
              <w:t>危险废物各环节污染防治措施汇总表</w:t>
            </w:r>
          </w:p>
          <w:tbl>
            <w:tblPr>
              <w:tblStyle w:val="17"/>
              <w:tblW w:w="4968"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96"/>
              <w:gridCol w:w="1190"/>
              <w:gridCol w:w="1583"/>
              <w:gridCol w:w="1274"/>
              <w:gridCol w:w="1477"/>
              <w:gridCol w:w="1039"/>
              <w:gridCol w:w="1296"/>
            </w:tblGrid>
            <w:tr w14:paraId="0ABA0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53" w:type="pct"/>
                  <w:vMerge w:val="restart"/>
                  <w:tcBorders>
                    <w:top w:val="single" w:color="000000" w:sz="12" w:space="0"/>
                    <w:left w:val="nil"/>
                    <w:bottom w:val="single" w:color="auto" w:sz="4" w:space="0"/>
                    <w:right w:val="single" w:color="auto" w:sz="4" w:space="0"/>
                  </w:tcBorders>
                  <w:shd w:val="clear" w:color="auto" w:fill="FFFFFF"/>
                  <w:noWrap w:val="0"/>
                  <w:textDirection w:val="tbRlV"/>
                  <w:vAlign w:val="top"/>
                </w:tcPr>
                <w:p w14:paraId="6E4B7D53">
                  <w:pPr>
                    <w:pStyle w:val="30"/>
                    <w:spacing w:line="340" w:lineRule="exact"/>
                    <w:jc w:val="center"/>
                    <w:rPr>
                      <w:color w:val="auto"/>
                      <w:sz w:val="21"/>
                      <w:szCs w:val="21"/>
                    </w:rPr>
                  </w:pPr>
                  <w:r>
                    <w:rPr>
                      <w:color w:val="auto"/>
                      <w:spacing w:val="1"/>
                      <w:sz w:val="21"/>
                      <w:szCs w:val="21"/>
                    </w:rPr>
                    <w:t>序号</w:t>
                  </w:r>
                </w:p>
              </w:tc>
              <w:tc>
                <w:tcPr>
                  <w:tcW w:w="704" w:type="pct"/>
                  <w:vMerge w:val="restart"/>
                  <w:tcBorders>
                    <w:top w:val="single" w:color="000000" w:sz="12" w:space="0"/>
                    <w:left w:val="single" w:color="auto" w:sz="4" w:space="0"/>
                    <w:bottom w:val="single" w:color="auto" w:sz="4" w:space="0"/>
                    <w:right w:val="single" w:color="auto" w:sz="4" w:space="0"/>
                  </w:tcBorders>
                  <w:shd w:val="clear" w:color="auto" w:fill="FFFFFF"/>
                  <w:noWrap w:val="0"/>
                  <w:vAlign w:val="top"/>
                </w:tcPr>
                <w:p w14:paraId="0C75F122">
                  <w:pPr>
                    <w:pStyle w:val="30"/>
                    <w:spacing w:line="340" w:lineRule="exact"/>
                    <w:jc w:val="center"/>
                    <w:rPr>
                      <w:color w:val="auto"/>
                      <w:sz w:val="21"/>
                      <w:szCs w:val="21"/>
                    </w:rPr>
                  </w:pPr>
                  <w:r>
                    <w:rPr>
                      <w:color w:val="auto"/>
                      <w:spacing w:val="-3"/>
                      <w:sz w:val="21"/>
                      <w:szCs w:val="21"/>
                    </w:rPr>
                    <w:t>危废名</w:t>
                  </w:r>
                  <w:r>
                    <w:rPr>
                      <w:color w:val="auto"/>
                      <w:sz w:val="21"/>
                      <w:szCs w:val="21"/>
                    </w:rPr>
                    <w:t>称</w:t>
                  </w:r>
                </w:p>
              </w:tc>
              <w:tc>
                <w:tcPr>
                  <w:tcW w:w="936" w:type="pct"/>
                  <w:vMerge w:val="restart"/>
                  <w:tcBorders>
                    <w:top w:val="single" w:color="000000" w:sz="12" w:space="0"/>
                    <w:left w:val="single" w:color="auto" w:sz="4" w:space="0"/>
                    <w:bottom w:val="single" w:color="auto" w:sz="4" w:space="0"/>
                    <w:right w:val="single" w:color="auto" w:sz="4" w:space="0"/>
                  </w:tcBorders>
                  <w:shd w:val="clear" w:color="auto" w:fill="FFFFFF"/>
                  <w:noWrap w:val="0"/>
                  <w:vAlign w:val="top"/>
                </w:tcPr>
                <w:p w14:paraId="5634B105">
                  <w:pPr>
                    <w:pStyle w:val="30"/>
                    <w:spacing w:line="340" w:lineRule="exact"/>
                    <w:jc w:val="center"/>
                    <w:rPr>
                      <w:color w:val="auto"/>
                      <w:sz w:val="21"/>
                      <w:szCs w:val="21"/>
                    </w:rPr>
                  </w:pPr>
                  <w:r>
                    <w:rPr>
                      <w:color w:val="auto"/>
                      <w:spacing w:val="-1"/>
                      <w:sz w:val="21"/>
                      <w:szCs w:val="21"/>
                    </w:rPr>
                    <w:t>废物代码</w:t>
                  </w:r>
                </w:p>
              </w:tc>
              <w:tc>
                <w:tcPr>
                  <w:tcW w:w="3006" w:type="pct"/>
                  <w:gridSpan w:val="4"/>
                  <w:tcBorders>
                    <w:top w:val="single" w:color="000000" w:sz="12" w:space="0"/>
                    <w:left w:val="single" w:color="auto" w:sz="4" w:space="0"/>
                    <w:bottom w:val="single" w:color="auto" w:sz="4" w:space="0"/>
                    <w:right w:val="nil"/>
                  </w:tcBorders>
                  <w:shd w:val="clear" w:color="auto" w:fill="FFFFFF"/>
                  <w:noWrap w:val="0"/>
                  <w:vAlign w:val="top"/>
                </w:tcPr>
                <w:p w14:paraId="6C6064CF">
                  <w:pPr>
                    <w:pStyle w:val="30"/>
                    <w:spacing w:line="340" w:lineRule="exact"/>
                    <w:jc w:val="center"/>
                    <w:rPr>
                      <w:color w:val="auto"/>
                      <w:sz w:val="21"/>
                      <w:szCs w:val="21"/>
                    </w:rPr>
                  </w:pPr>
                  <w:r>
                    <w:rPr>
                      <w:color w:val="auto"/>
                      <w:spacing w:val="-2"/>
                      <w:sz w:val="21"/>
                      <w:szCs w:val="21"/>
                    </w:rPr>
                    <w:t>污染防治措施</w:t>
                  </w:r>
                </w:p>
              </w:tc>
            </w:tr>
            <w:tr w14:paraId="77BA9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353" w:type="pct"/>
                  <w:vMerge w:val="continue"/>
                  <w:tcBorders>
                    <w:top w:val="single" w:color="auto" w:sz="4" w:space="0"/>
                    <w:left w:val="nil"/>
                    <w:bottom w:val="single" w:color="auto" w:sz="4" w:space="0"/>
                    <w:right w:val="single" w:color="auto" w:sz="4" w:space="0"/>
                  </w:tcBorders>
                  <w:shd w:val="clear" w:color="auto" w:fill="FFFFFF"/>
                  <w:noWrap w:val="0"/>
                  <w:textDirection w:val="tbRlV"/>
                  <w:vAlign w:val="top"/>
                </w:tcPr>
                <w:p w14:paraId="73765EED">
                  <w:pPr>
                    <w:spacing w:line="340" w:lineRule="exact"/>
                    <w:jc w:val="center"/>
                    <w:rPr>
                      <w:rFonts w:ascii="Arial"/>
                      <w:color w:val="auto"/>
                    </w:rPr>
                  </w:pPr>
                </w:p>
              </w:tc>
              <w:tc>
                <w:tcPr>
                  <w:tcW w:w="704"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top"/>
                </w:tcPr>
                <w:p w14:paraId="6A57C19F">
                  <w:pPr>
                    <w:spacing w:line="340" w:lineRule="exact"/>
                    <w:jc w:val="center"/>
                    <w:rPr>
                      <w:rFonts w:ascii="Arial"/>
                      <w:color w:val="auto"/>
                    </w:rPr>
                  </w:pPr>
                </w:p>
              </w:tc>
              <w:tc>
                <w:tcPr>
                  <w:tcW w:w="936" w:type="pct"/>
                  <w:vMerge w:val="continue"/>
                  <w:tcBorders>
                    <w:top w:val="single" w:color="auto" w:sz="4" w:space="0"/>
                    <w:left w:val="single" w:color="auto" w:sz="4" w:space="0"/>
                    <w:bottom w:val="single" w:color="auto" w:sz="4" w:space="0"/>
                    <w:right w:val="single" w:color="auto" w:sz="4" w:space="0"/>
                  </w:tcBorders>
                  <w:shd w:val="clear" w:color="auto" w:fill="FFFFFF"/>
                  <w:noWrap w:val="0"/>
                  <w:vAlign w:val="top"/>
                </w:tcPr>
                <w:p w14:paraId="5619889D">
                  <w:pPr>
                    <w:spacing w:line="340" w:lineRule="exact"/>
                    <w:jc w:val="center"/>
                    <w:rPr>
                      <w:rFonts w:ascii="Arial"/>
                      <w:color w:val="auto"/>
                    </w:rPr>
                  </w:pPr>
                </w:p>
              </w:tc>
              <w:tc>
                <w:tcPr>
                  <w:tcW w:w="753"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3037D55A">
                  <w:pPr>
                    <w:pStyle w:val="30"/>
                    <w:spacing w:line="340" w:lineRule="exact"/>
                    <w:jc w:val="center"/>
                    <w:rPr>
                      <w:color w:val="auto"/>
                      <w:sz w:val="21"/>
                      <w:szCs w:val="21"/>
                    </w:rPr>
                  </w:pPr>
                  <w:r>
                    <w:rPr>
                      <w:color w:val="auto"/>
                      <w:spacing w:val="-4"/>
                      <w:sz w:val="21"/>
                      <w:szCs w:val="21"/>
                    </w:rPr>
                    <w:t>收集</w:t>
                  </w:r>
                </w:p>
              </w:tc>
              <w:tc>
                <w:tcPr>
                  <w:tcW w:w="873"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71436FE3">
                  <w:pPr>
                    <w:pStyle w:val="30"/>
                    <w:spacing w:line="340" w:lineRule="exact"/>
                    <w:jc w:val="center"/>
                    <w:rPr>
                      <w:color w:val="auto"/>
                      <w:sz w:val="21"/>
                      <w:szCs w:val="21"/>
                    </w:rPr>
                  </w:pPr>
                  <w:r>
                    <w:rPr>
                      <w:color w:val="auto"/>
                      <w:spacing w:val="-2"/>
                      <w:sz w:val="21"/>
                      <w:szCs w:val="21"/>
                    </w:rPr>
                    <w:t>贮存</w:t>
                  </w:r>
                </w:p>
              </w:tc>
              <w:tc>
                <w:tcPr>
                  <w:tcW w:w="614"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4B9E8CAD">
                  <w:pPr>
                    <w:pStyle w:val="30"/>
                    <w:spacing w:line="340" w:lineRule="exact"/>
                    <w:jc w:val="center"/>
                    <w:rPr>
                      <w:color w:val="auto"/>
                      <w:sz w:val="21"/>
                      <w:szCs w:val="21"/>
                    </w:rPr>
                  </w:pPr>
                  <w:r>
                    <w:rPr>
                      <w:color w:val="auto"/>
                      <w:spacing w:val="-2"/>
                      <w:sz w:val="21"/>
                      <w:szCs w:val="21"/>
                    </w:rPr>
                    <w:t>运输</w:t>
                  </w:r>
                </w:p>
              </w:tc>
              <w:tc>
                <w:tcPr>
                  <w:tcW w:w="765" w:type="pct"/>
                  <w:tcBorders>
                    <w:top w:val="single" w:color="auto" w:sz="4" w:space="0"/>
                    <w:left w:val="single" w:color="auto" w:sz="4" w:space="0"/>
                    <w:bottom w:val="single" w:color="auto" w:sz="4" w:space="0"/>
                    <w:right w:val="nil"/>
                  </w:tcBorders>
                  <w:shd w:val="clear" w:color="auto" w:fill="FFFFFF"/>
                  <w:noWrap w:val="0"/>
                  <w:vAlign w:val="top"/>
                </w:tcPr>
                <w:p w14:paraId="498A424D">
                  <w:pPr>
                    <w:pStyle w:val="30"/>
                    <w:spacing w:line="340" w:lineRule="exact"/>
                    <w:jc w:val="center"/>
                    <w:rPr>
                      <w:color w:val="auto"/>
                      <w:sz w:val="21"/>
                      <w:szCs w:val="21"/>
                    </w:rPr>
                  </w:pPr>
                  <w:r>
                    <w:rPr>
                      <w:color w:val="auto"/>
                      <w:spacing w:val="-3"/>
                      <w:sz w:val="21"/>
                      <w:szCs w:val="21"/>
                    </w:rPr>
                    <w:t>处置</w:t>
                  </w:r>
                </w:p>
              </w:tc>
            </w:tr>
            <w:tr w14:paraId="6660B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2" w:hRule="atLeast"/>
              </w:trPr>
              <w:tc>
                <w:tcPr>
                  <w:tcW w:w="353" w:type="pct"/>
                  <w:tcBorders>
                    <w:top w:val="single" w:color="auto" w:sz="4" w:space="0"/>
                    <w:left w:val="nil"/>
                    <w:bottom w:val="single" w:color="auto" w:sz="4" w:space="0"/>
                    <w:right w:val="single" w:color="auto" w:sz="4" w:space="0"/>
                  </w:tcBorders>
                  <w:shd w:val="clear" w:color="auto" w:fill="FFFFFF"/>
                  <w:noWrap w:val="0"/>
                  <w:vAlign w:val="top"/>
                </w:tcPr>
                <w:p w14:paraId="50FA8DBA">
                  <w:pPr>
                    <w:spacing w:line="340" w:lineRule="exact"/>
                    <w:jc w:val="center"/>
                    <w:rPr>
                      <w:rFonts w:eastAsia="Times New Roman"/>
                      <w:color w:val="auto"/>
                      <w:szCs w:val="21"/>
                    </w:rPr>
                  </w:pPr>
                  <w:r>
                    <w:rPr>
                      <w:rFonts w:eastAsia="Times New Roman"/>
                      <w:color w:val="auto"/>
                      <w:szCs w:val="21"/>
                    </w:rPr>
                    <w:t>1</w:t>
                  </w:r>
                </w:p>
              </w:tc>
              <w:tc>
                <w:tcPr>
                  <w:tcW w:w="704"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79025A94">
                  <w:pPr>
                    <w:pStyle w:val="30"/>
                    <w:spacing w:line="340" w:lineRule="exact"/>
                    <w:jc w:val="center"/>
                    <w:rPr>
                      <w:color w:val="auto"/>
                      <w:sz w:val="21"/>
                      <w:szCs w:val="21"/>
                    </w:rPr>
                  </w:pPr>
                  <w:r>
                    <w:rPr>
                      <w:color w:val="auto"/>
                      <w:spacing w:val="-5"/>
                      <w:sz w:val="21"/>
                      <w:szCs w:val="21"/>
                    </w:rPr>
                    <w:t>医疗废</w:t>
                  </w:r>
                  <w:r>
                    <w:rPr>
                      <w:color w:val="auto"/>
                      <w:sz w:val="21"/>
                      <w:szCs w:val="21"/>
                    </w:rPr>
                    <w:t>物</w:t>
                  </w:r>
                </w:p>
              </w:tc>
              <w:tc>
                <w:tcPr>
                  <w:tcW w:w="936"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5B785C8B">
                  <w:pPr>
                    <w:spacing w:line="340" w:lineRule="exact"/>
                    <w:jc w:val="center"/>
                    <w:rPr>
                      <w:rFonts w:eastAsia="Times New Roman"/>
                      <w:color w:val="auto"/>
                      <w:szCs w:val="21"/>
                    </w:rPr>
                  </w:pPr>
                  <w:r>
                    <w:rPr>
                      <w:rFonts w:eastAsia="Times New Roman"/>
                      <w:color w:val="auto"/>
                      <w:spacing w:val="-1"/>
                      <w:szCs w:val="21"/>
                    </w:rPr>
                    <w:t>HW01</w:t>
                  </w:r>
                </w:p>
                <w:p w14:paraId="36FC6992">
                  <w:pPr>
                    <w:pStyle w:val="30"/>
                    <w:spacing w:line="340" w:lineRule="exact"/>
                    <w:jc w:val="center"/>
                    <w:rPr>
                      <w:color w:val="auto"/>
                      <w:sz w:val="21"/>
                      <w:szCs w:val="21"/>
                    </w:rPr>
                  </w:pPr>
                  <w:r>
                    <w:rPr>
                      <w:color w:val="auto"/>
                      <w:spacing w:val="-7"/>
                      <w:sz w:val="21"/>
                      <w:szCs w:val="21"/>
                    </w:rPr>
                    <w:t>（</w:t>
                  </w:r>
                  <w:r>
                    <w:rPr>
                      <w:rFonts w:ascii="Times New Roman" w:hAnsi="Times New Roman" w:eastAsia="Times New Roman" w:cs="Times New Roman"/>
                      <w:color w:val="auto"/>
                      <w:spacing w:val="-7"/>
                      <w:sz w:val="21"/>
                      <w:szCs w:val="21"/>
                    </w:rPr>
                    <w:t>841-001-01</w:t>
                  </w:r>
                  <w:r>
                    <w:rPr>
                      <w:color w:val="auto"/>
                      <w:spacing w:val="-7"/>
                      <w:sz w:val="21"/>
                      <w:szCs w:val="21"/>
                    </w:rPr>
                    <w:t>）、（</w:t>
                  </w:r>
                  <w:r>
                    <w:rPr>
                      <w:rFonts w:ascii="Times New Roman" w:hAnsi="Times New Roman" w:eastAsia="Times New Roman" w:cs="Times New Roman"/>
                      <w:color w:val="auto"/>
                      <w:spacing w:val="-7"/>
                      <w:sz w:val="21"/>
                      <w:szCs w:val="21"/>
                    </w:rPr>
                    <w:t>841-002-01</w:t>
                  </w:r>
                  <w:r>
                    <w:rPr>
                      <w:color w:val="auto"/>
                      <w:spacing w:val="-7"/>
                      <w:sz w:val="21"/>
                      <w:szCs w:val="21"/>
                    </w:rPr>
                    <w:t>）、（</w:t>
                  </w:r>
                  <w:r>
                    <w:rPr>
                      <w:rFonts w:ascii="Times New Roman" w:hAnsi="Times New Roman" w:eastAsia="Times New Roman" w:cs="Times New Roman"/>
                      <w:color w:val="auto"/>
                      <w:spacing w:val="-7"/>
                      <w:sz w:val="21"/>
                      <w:szCs w:val="21"/>
                    </w:rPr>
                    <w:t>841-004-01</w:t>
                  </w:r>
                  <w:r>
                    <w:rPr>
                      <w:color w:val="auto"/>
                      <w:spacing w:val="-7"/>
                      <w:sz w:val="21"/>
                      <w:szCs w:val="21"/>
                    </w:rPr>
                    <w:t>）、</w:t>
                  </w:r>
                  <w:r>
                    <w:rPr>
                      <w:color w:val="auto"/>
                      <w:spacing w:val="1"/>
                      <w:sz w:val="21"/>
                      <w:szCs w:val="21"/>
                    </w:rPr>
                    <w:t>（</w:t>
                  </w:r>
                  <w:r>
                    <w:rPr>
                      <w:rFonts w:ascii="Times New Roman" w:hAnsi="Times New Roman" w:eastAsia="Times New Roman" w:cs="Times New Roman"/>
                      <w:color w:val="auto"/>
                      <w:spacing w:val="1"/>
                      <w:sz w:val="21"/>
                      <w:szCs w:val="21"/>
                    </w:rPr>
                    <w:t>841-005-01</w:t>
                  </w:r>
                  <w:r>
                    <w:rPr>
                      <w:color w:val="auto"/>
                      <w:spacing w:val="1"/>
                      <w:sz w:val="21"/>
                      <w:szCs w:val="21"/>
                    </w:rPr>
                    <w:t>）</w:t>
                  </w:r>
                </w:p>
              </w:tc>
              <w:tc>
                <w:tcPr>
                  <w:tcW w:w="753"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58D23178">
                  <w:pPr>
                    <w:pStyle w:val="30"/>
                    <w:spacing w:line="340" w:lineRule="exact"/>
                    <w:jc w:val="center"/>
                    <w:rPr>
                      <w:color w:val="auto"/>
                      <w:sz w:val="21"/>
                      <w:szCs w:val="21"/>
                      <w:lang w:eastAsia="zh-CN"/>
                    </w:rPr>
                  </w:pPr>
                  <w:r>
                    <w:rPr>
                      <w:color w:val="auto"/>
                      <w:spacing w:val="-2"/>
                      <w:sz w:val="21"/>
                      <w:szCs w:val="21"/>
                      <w:lang w:eastAsia="zh-CN"/>
                    </w:rPr>
                    <w:t>制定收集</w:t>
                  </w:r>
                  <w:r>
                    <w:rPr>
                      <w:color w:val="auto"/>
                      <w:spacing w:val="-11"/>
                      <w:sz w:val="21"/>
                      <w:szCs w:val="21"/>
                      <w:lang w:eastAsia="zh-CN"/>
                    </w:rPr>
                    <w:t>计划，做好</w:t>
                  </w:r>
                  <w:r>
                    <w:rPr>
                      <w:color w:val="auto"/>
                      <w:spacing w:val="-6"/>
                      <w:sz w:val="21"/>
                      <w:szCs w:val="21"/>
                      <w:lang w:eastAsia="zh-CN"/>
                    </w:rPr>
                    <w:t>台账和安</w:t>
                  </w:r>
                  <w:r>
                    <w:rPr>
                      <w:color w:val="auto"/>
                      <w:spacing w:val="-2"/>
                      <w:sz w:val="21"/>
                      <w:szCs w:val="21"/>
                      <w:lang w:eastAsia="zh-CN"/>
                    </w:rPr>
                    <w:t>全防护</w:t>
                  </w:r>
                </w:p>
              </w:tc>
              <w:tc>
                <w:tcPr>
                  <w:tcW w:w="873"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7B4CB868">
                  <w:pPr>
                    <w:pStyle w:val="30"/>
                    <w:spacing w:line="340" w:lineRule="exact"/>
                    <w:jc w:val="center"/>
                    <w:rPr>
                      <w:color w:val="auto"/>
                      <w:sz w:val="21"/>
                      <w:szCs w:val="21"/>
                      <w:lang w:eastAsia="zh-CN"/>
                    </w:rPr>
                  </w:pPr>
                  <w:r>
                    <w:rPr>
                      <w:color w:val="auto"/>
                      <w:spacing w:val="-7"/>
                      <w:sz w:val="21"/>
                      <w:szCs w:val="21"/>
                      <w:lang w:eastAsia="zh-CN"/>
                    </w:rPr>
                    <w:t>分类收集，</w:t>
                  </w:r>
                  <w:r>
                    <w:rPr>
                      <w:color w:val="auto"/>
                      <w:spacing w:val="-2"/>
                      <w:sz w:val="21"/>
                      <w:szCs w:val="21"/>
                      <w:lang w:eastAsia="zh-CN"/>
                    </w:rPr>
                    <w:t>使用相容</w:t>
                  </w:r>
                  <w:r>
                    <w:rPr>
                      <w:color w:val="auto"/>
                      <w:spacing w:val="-18"/>
                      <w:sz w:val="21"/>
                      <w:szCs w:val="21"/>
                      <w:lang w:eastAsia="zh-CN"/>
                    </w:rPr>
                    <w:t>的容器，暂</w:t>
                  </w:r>
                </w:p>
                <w:p w14:paraId="60BD9764">
                  <w:pPr>
                    <w:pStyle w:val="30"/>
                    <w:spacing w:line="340" w:lineRule="exact"/>
                    <w:jc w:val="center"/>
                    <w:rPr>
                      <w:color w:val="auto"/>
                      <w:sz w:val="21"/>
                      <w:szCs w:val="21"/>
                      <w:lang w:eastAsia="zh-CN"/>
                    </w:rPr>
                  </w:pPr>
                  <w:r>
                    <w:rPr>
                      <w:color w:val="auto"/>
                      <w:spacing w:val="-1"/>
                      <w:sz w:val="21"/>
                      <w:szCs w:val="21"/>
                      <w:lang w:eastAsia="zh-CN"/>
                    </w:rPr>
                    <w:t>存在危废</w:t>
                  </w:r>
                  <w:r>
                    <w:rPr>
                      <w:color w:val="auto"/>
                      <w:spacing w:val="-16"/>
                      <w:sz w:val="21"/>
                      <w:szCs w:val="21"/>
                      <w:lang w:eastAsia="zh-CN"/>
                    </w:rPr>
                    <w:t>仓库，做好</w:t>
                  </w:r>
                  <w:r>
                    <w:rPr>
                      <w:color w:val="auto"/>
                      <w:spacing w:val="2"/>
                      <w:sz w:val="21"/>
                      <w:szCs w:val="21"/>
                      <w:lang w:eastAsia="zh-CN"/>
                    </w:rPr>
                    <w:t>“四防”措</w:t>
                  </w:r>
                  <w:r>
                    <w:rPr>
                      <w:color w:val="auto"/>
                      <w:sz w:val="21"/>
                      <w:szCs w:val="21"/>
                      <w:lang w:eastAsia="zh-CN"/>
                    </w:rPr>
                    <w:t>施</w:t>
                  </w:r>
                </w:p>
              </w:tc>
              <w:tc>
                <w:tcPr>
                  <w:tcW w:w="1379" w:type="pct"/>
                  <w:gridSpan w:val="2"/>
                  <w:tcBorders>
                    <w:top w:val="single" w:color="auto" w:sz="4" w:space="0"/>
                    <w:left w:val="single" w:color="auto" w:sz="4" w:space="0"/>
                    <w:bottom w:val="single" w:color="auto" w:sz="4" w:space="0"/>
                    <w:right w:val="nil"/>
                  </w:tcBorders>
                  <w:shd w:val="clear" w:color="auto" w:fill="FFFFFF"/>
                  <w:noWrap w:val="0"/>
                  <w:vAlign w:val="top"/>
                </w:tcPr>
                <w:p w14:paraId="7A035359">
                  <w:pPr>
                    <w:pStyle w:val="30"/>
                    <w:spacing w:line="340" w:lineRule="exact"/>
                    <w:jc w:val="center"/>
                    <w:rPr>
                      <w:color w:val="auto"/>
                      <w:sz w:val="21"/>
                      <w:szCs w:val="21"/>
                      <w:lang w:eastAsia="zh-CN"/>
                    </w:rPr>
                  </w:pPr>
                  <w:r>
                    <w:rPr>
                      <w:color w:val="auto"/>
                      <w:spacing w:val="-1"/>
                      <w:sz w:val="21"/>
                      <w:szCs w:val="21"/>
                      <w:lang w:eastAsia="zh-CN"/>
                    </w:rPr>
                    <w:t>委托有资质的单位定</w:t>
                  </w:r>
                  <w:r>
                    <w:rPr>
                      <w:color w:val="auto"/>
                      <w:spacing w:val="-2"/>
                      <w:sz w:val="21"/>
                      <w:szCs w:val="21"/>
                      <w:lang w:eastAsia="zh-CN"/>
                    </w:rPr>
                    <w:t>期进行安全运输、处</w:t>
                  </w:r>
                  <w:r>
                    <w:rPr>
                      <w:color w:val="auto"/>
                      <w:sz w:val="21"/>
                      <w:szCs w:val="21"/>
                      <w:lang w:eastAsia="zh-CN"/>
                    </w:rPr>
                    <w:t>置</w:t>
                  </w:r>
                </w:p>
              </w:tc>
            </w:tr>
            <w:tr w14:paraId="15EF1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2" w:hRule="atLeast"/>
              </w:trPr>
              <w:tc>
                <w:tcPr>
                  <w:tcW w:w="353" w:type="pct"/>
                  <w:tcBorders>
                    <w:top w:val="single" w:color="auto" w:sz="4" w:space="0"/>
                    <w:left w:val="nil"/>
                    <w:bottom w:val="single" w:color="auto" w:sz="4" w:space="0"/>
                    <w:right w:val="single" w:color="auto" w:sz="4" w:space="0"/>
                  </w:tcBorders>
                  <w:shd w:val="clear" w:color="auto" w:fill="FFFFFF"/>
                  <w:noWrap w:val="0"/>
                  <w:vAlign w:val="top"/>
                </w:tcPr>
                <w:p w14:paraId="39DF8CC8">
                  <w:pPr>
                    <w:spacing w:line="340" w:lineRule="exact"/>
                    <w:jc w:val="center"/>
                    <w:rPr>
                      <w:rFonts w:hint="eastAsia" w:eastAsia="宋体"/>
                      <w:color w:val="auto"/>
                      <w:szCs w:val="21"/>
                      <w:lang w:val="en-US" w:eastAsia="zh-CN"/>
                    </w:rPr>
                  </w:pPr>
                  <w:r>
                    <w:rPr>
                      <w:rFonts w:hint="eastAsia" w:eastAsia="宋体"/>
                      <w:color w:val="auto"/>
                      <w:szCs w:val="21"/>
                      <w:lang w:val="en-US" w:eastAsia="zh-CN"/>
                    </w:rPr>
                    <w:t>2</w:t>
                  </w:r>
                </w:p>
              </w:tc>
              <w:tc>
                <w:tcPr>
                  <w:tcW w:w="704"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0EB7C75F">
                  <w:pPr>
                    <w:pStyle w:val="30"/>
                    <w:spacing w:line="340" w:lineRule="exact"/>
                    <w:jc w:val="center"/>
                    <w:rPr>
                      <w:color w:val="auto"/>
                      <w:spacing w:val="-5"/>
                      <w:sz w:val="21"/>
                      <w:szCs w:val="21"/>
                    </w:rPr>
                  </w:pPr>
                  <w:r>
                    <w:rPr>
                      <w:rFonts w:hint="eastAsia" w:cs="宋体"/>
                      <w:color w:val="auto"/>
                      <w:kern w:val="2"/>
                      <w:sz w:val="21"/>
                      <w:szCs w:val="21"/>
                      <w:lang w:val="en-US" w:eastAsia="zh-CN" w:bidi="ar-SA"/>
                    </w:rPr>
                    <w:t>废弃灯管</w:t>
                  </w:r>
                </w:p>
              </w:tc>
              <w:tc>
                <w:tcPr>
                  <w:tcW w:w="936"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526B6BB3">
                  <w:pPr>
                    <w:spacing w:line="340" w:lineRule="exact"/>
                    <w:jc w:val="center"/>
                    <w:rPr>
                      <w:rFonts w:hint="default" w:eastAsia="宋体"/>
                      <w:color w:val="auto"/>
                      <w:szCs w:val="21"/>
                      <w:lang w:val="en-US" w:eastAsia="zh-CN"/>
                    </w:rPr>
                  </w:pPr>
                  <w:r>
                    <w:rPr>
                      <w:rFonts w:eastAsia="Times New Roman"/>
                      <w:color w:val="auto"/>
                      <w:spacing w:val="-1"/>
                      <w:szCs w:val="21"/>
                    </w:rPr>
                    <w:t>HW</w:t>
                  </w:r>
                  <w:r>
                    <w:rPr>
                      <w:rFonts w:hint="eastAsia" w:eastAsia="宋体"/>
                      <w:color w:val="auto"/>
                      <w:spacing w:val="-1"/>
                      <w:szCs w:val="21"/>
                      <w:lang w:val="en-US" w:eastAsia="zh-CN"/>
                    </w:rPr>
                    <w:t>29</w:t>
                  </w:r>
                </w:p>
                <w:p w14:paraId="4C6CBB34">
                  <w:pPr>
                    <w:pStyle w:val="30"/>
                    <w:spacing w:line="340" w:lineRule="exact"/>
                    <w:jc w:val="center"/>
                    <w:rPr>
                      <w:color w:val="auto"/>
                      <w:spacing w:val="-7"/>
                      <w:sz w:val="21"/>
                      <w:szCs w:val="21"/>
                    </w:rPr>
                  </w:pPr>
                  <w:r>
                    <w:rPr>
                      <w:color w:val="auto"/>
                      <w:spacing w:val="-2"/>
                      <w:sz w:val="21"/>
                      <w:szCs w:val="21"/>
                      <w:lang w:eastAsia="zh-CN"/>
                    </w:rPr>
                    <w:t>（</w:t>
                  </w:r>
                  <w:r>
                    <w:rPr>
                      <w:rFonts w:hint="eastAsia" w:ascii="Times New Roman" w:hAnsi="Times New Roman" w:eastAsia="Times New Roman" w:cs="Times New Roman"/>
                      <w:color w:val="auto"/>
                      <w:spacing w:val="-1"/>
                      <w:lang w:eastAsia="zh-CN"/>
                    </w:rPr>
                    <w:t>900-023-29</w:t>
                  </w:r>
                  <w:r>
                    <w:rPr>
                      <w:color w:val="auto"/>
                      <w:spacing w:val="-2"/>
                      <w:sz w:val="21"/>
                      <w:szCs w:val="21"/>
                      <w:lang w:eastAsia="zh-CN"/>
                    </w:rPr>
                    <w:t>）</w:t>
                  </w:r>
                </w:p>
              </w:tc>
              <w:tc>
                <w:tcPr>
                  <w:tcW w:w="753"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046E4910">
                  <w:pPr>
                    <w:pStyle w:val="30"/>
                    <w:spacing w:line="340" w:lineRule="exact"/>
                    <w:jc w:val="center"/>
                    <w:rPr>
                      <w:color w:val="auto"/>
                      <w:spacing w:val="-2"/>
                      <w:sz w:val="21"/>
                      <w:szCs w:val="21"/>
                      <w:lang w:eastAsia="zh-CN"/>
                    </w:rPr>
                  </w:pPr>
                  <w:r>
                    <w:rPr>
                      <w:color w:val="auto"/>
                      <w:spacing w:val="-2"/>
                      <w:sz w:val="21"/>
                      <w:szCs w:val="21"/>
                      <w:lang w:eastAsia="zh-CN"/>
                    </w:rPr>
                    <w:t>制定收集</w:t>
                  </w:r>
                  <w:r>
                    <w:rPr>
                      <w:color w:val="auto"/>
                      <w:spacing w:val="-11"/>
                      <w:sz w:val="21"/>
                      <w:szCs w:val="21"/>
                      <w:lang w:eastAsia="zh-CN"/>
                    </w:rPr>
                    <w:t>计划，做好</w:t>
                  </w:r>
                  <w:r>
                    <w:rPr>
                      <w:color w:val="auto"/>
                      <w:spacing w:val="-6"/>
                      <w:sz w:val="21"/>
                      <w:szCs w:val="21"/>
                      <w:lang w:eastAsia="zh-CN"/>
                    </w:rPr>
                    <w:t>台账和安</w:t>
                  </w:r>
                  <w:r>
                    <w:rPr>
                      <w:color w:val="auto"/>
                      <w:spacing w:val="-2"/>
                      <w:sz w:val="21"/>
                      <w:szCs w:val="21"/>
                      <w:lang w:eastAsia="zh-CN"/>
                    </w:rPr>
                    <w:t>全防护</w:t>
                  </w:r>
                </w:p>
              </w:tc>
              <w:tc>
                <w:tcPr>
                  <w:tcW w:w="873"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25B7EAB8">
                  <w:pPr>
                    <w:pStyle w:val="30"/>
                    <w:spacing w:line="340" w:lineRule="exact"/>
                    <w:jc w:val="center"/>
                    <w:rPr>
                      <w:color w:val="auto"/>
                      <w:spacing w:val="-1"/>
                      <w:sz w:val="21"/>
                      <w:szCs w:val="21"/>
                      <w:lang w:eastAsia="zh-CN"/>
                    </w:rPr>
                  </w:pPr>
                  <w:r>
                    <w:rPr>
                      <w:rFonts w:hint="eastAsia"/>
                      <w:color w:val="auto"/>
                      <w:spacing w:val="-18"/>
                      <w:sz w:val="21"/>
                      <w:szCs w:val="21"/>
                      <w:lang w:eastAsia="zh-CN"/>
                    </w:rPr>
                    <w:t>单独收集，避免与生活垃圾或其他医疗废物混合</w:t>
                  </w:r>
                  <w:r>
                    <w:rPr>
                      <w:color w:val="auto"/>
                      <w:spacing w:val="-18"/>
                      <w:sz w:val="21"/>
                      <w:szCs w:val="21"/>
                      <w:lang w:eastAsia="zh-CN"/>
                    </w:rPr>
                    <w:t>，暂</w:t>
                  </w:r>
                  <w:r>
                    <w:rPr>
                      <w:color w:val="auto"/>
                      <w:spacing w:val="-1"/>
                      <w:sz w:val="21"/>
                      <w:szCs w:val="21"/>
                      <w:lang w:eastAsia="zh-CN"/>
                    </w:rPr>
                    <w:t>存在危废</w:t>
                  </w:r>
                  <w:r>
                    <w:rPr>
                      <w:color w:val="auto"/>
                      <w:spacing w:val="-16"/>
                      <w:sz w:val="21"/>
                      <w:szCs w:val="21"/>
                      <w:lang w:eastAsia="zh-CN"/>
                    </w:rPr>
                    <w:t>仓库</w:t>
                  </w:r>
                  <w:r>
                    <w:rPr>
                      <w:rFonts w:hint="eastAsia"/>
                      <w:color w:val="auto"/>
                      <w:spacing w:val="-16"/>
                      <w:sz w:val="21"/>
                      <w:szCs w:val="21"/>
                      <w:lang w:eastAsia="zh-CN"/>
                    </w:rPr>
                    <w:t>。</w:t>
                  </w:r>
                </w:p>
              </w:tc>
              <w:tc>
                <w:tcPr>
                  <w:tcW w:w="1379" w:type="pct"/>
                  <w:gridSpan w:val="2"/>
                  <w:tcBorders>
                    <w:top w:val="single" w:color="auto" w:sz="4" w:space="0"/>
                    <w:left w:val="single" w:color="auto" w:sz="4" w:space="0"/>
                    <w:bottom w:val="single" w:color="auto" w:sz="4" w:space="0"/>
                    <w:right w:val="nil"/>
                  </w:tcBorders>
                  <w:shd w:val="clear" w:color="auto" w:fill="FFFFFF"/>
                  <w:noWrap w:val="0"/>
                  <w:vAlign w:val="top"/>
                </w:tcPr>
                <w:p w14:paraId="04B326E3">
                  <w:pPr>
                    <w:pStyle w:val="30"/>
                    <w:spacing w:line="340" w:lineRule="exact"/>
                    <w:jc w:val="center"/>
                    <w:rPr>
                      <w:color w:val="auto"/>
                      <w:spacing w:val="-1"/>
                      <w:sz w:val="21"/>
                      <w:szCs w:val="21"/>
                      <w:lang w:eastAsia="zh-CN"/>
                    </w:rPr>
                  </w:pPr>
                  <w:r>
                    <w:rPr>
                      <w:color w:val="auto"/>
                      <w:spacing w:val="-1"/>
                      <w:sz w:val="21"/>
                      <w:szCs w:val="21"/>
                      <w:lang w:eastAsia="zh-CN"/>
                    </w:rPr>
                    <w:t>委托有资质的单位定</w:t>
                  </w:r>
                  <w:r>
                    <w:rPr>
                      <w:color w:val="auto"/>
                      <w:spacing w:val="-2"/>
                      <w:sz w:val="21"/>
                      <w:szCs w:val="21"/>
                      <w:lang w:eastAsia="zh-CN"/>
                    </w:rPr>
                    <w:t>期进行安全运输、处</w:t>
                  </w:r>
                  <w:r>
                    <w:rPr>
                      <w:color w:val="auto"/>
                      <w:sz w:val="21"/>
                      <w:szCs w:val="21"/>
                      <w:lang w:eastAsia="zh-CN"/>
                    </w:rPr>
                    <w:t>置</w:t>
                  </w:r>
                </w:p>
              </w:tc>
            </w:tr>
            <w:tr w14:paraId="44D42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2" w:hRule="atLeast"/>
              </w:trPr>
              <w:tc>
                <w:tcPr>
                  <w:tcW w:w="353" w:type="pct"/>
                  <w:tcBorders>
                    <w:top w:val="single" w:color="auto" w:sz="4" w:space="0"/>
                    <w:left w:val="nil"/>
                    <w:bottom w:val="single" w:color="auto" w:sz="4" w:space="0"/>
                    <w:right w:val="single" w:color="auto" w:sz="4" w:space="0"/>
                  </w:tcBorders>
                  <w:shd w:val="clear" w:color="auto" w:fill="FFFFFF"/>
                  <w:noWrap w:val="0"/>
                  <w:vAlign w:val="top"/>
                </w:tcPr>
                <w:p w14:paraId="317C5874">
                  <w:pPr>
                    <w:spacing w:line="340" w:lineRule="exact"/>
                    <w:jc w:val="center"/>
                    <w:rPr>
                      <w:rFonts w:hint="default" w:eastAsia="宋体"/>
                      <w:color w:val="auto"/>
                      <w:szCs w:val="21"/>
                      <w:lang w:val="en-US" w:eastAsia="zh-CN"/>
                    </w:rPr>
                  </w:pPr>
                  <w:r>
                    <w:rPr>
                      <w:rFonts w:hint="eastAsia" w:eastAsia="宋体"/>
                      <w:color w:val="auto"/>
                      <w:szCs w:val="21"/>
                      <w:lang w:val="en-US" w:eastAsia="zh-CN"/>
                    </w:rPr>
                    <w:t>3</w:t>
                  </w:r>
                </w:p>
              </w:tc>
              <w:tc>
                <w:tcPr>
                  <w:tcW w:w="704"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7E1B166A">
                  <w:pPr>
                    <w:pStyle w:val="30"/>
                    <w:spacing w:line="340" w:lineRule="exact"/>
                    <w:jc w:val="center"/>
                    <w:rPr>
                      <w:rFonts w:hint="default" w:cs="宋体"/>
                      <w:color w:val="auto"/>
                      <w:kern w:val="2"/>
                      <w:sz w:val="21"/>
                      <w:szCs w:val="21"/>
                      <w:lang w:val="en-US" w:eastAsia="zh-CN" w:bidi="ar-SA"/>
                    </w:rPr>
                  </w:pPr>
                  <w:r>
                    <w:rPr>
                      <w:rFonts w:hint="eastAsia" w:cs="宋体"/>
                      <w:color w:val="auto"/>
                      <w:kern w:val="2"/>
                      <w:sz w:val="21"/>
                      <w:szCs w:val="21"/>
                      <w:lang w:val="en-US" w:eastAsia="zh-CN" w:bidi="ar-SA"/>
                    </w:rPr>
                    <w:t>废活性炭</w:t>
                  </w:r>
                </w:p>
              </w:tc>
              <w:tc>
                <w:tcPr>
                  <w:tcW w:w="936"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19D00687">
                  <w:pPr>
                    <w:pStyle w:val="30"/>
                    <w:spacing w:line="340" w:lineRule="exact"/>
                    <w:jc w:val="center"/>
                    <w:rPr>
                      <w:rFonts w:ascii="Times New Roman" w:hAnsi="Times New Roman" w:eastAsia="Times New Roman" w:cs="Times New Roman"/>
                      <w:color w:val="auto"/>
                      <w:spacing w:val="-2"/>
                      <w:sz w:val="21"/>
                      <w:szCs w:val="21"/>
                    </w:rPr>
                  </w:pPr>
                  <w:r>
                    <w:rPr>
                      <w:rFonts w:ascii="Times New Roman" w:hAnsi="Times New Roman" w:eastAsia="Times New Roman" w:cs="Times New Roman"/>
                      <w:color w:val="auto"/>
                      <w:spacing w:val="-2"/>
                      <w:sz w:val="21"/>
                      <w:szCs w:val="21"/>
                    </w:rPr>
                    <w:t>HW49</w:t>
                  </w:r>
                </w:p>
                <w:p w14:paraId="770BB279">
                  <w:pPr>
                    <w:pStyle w:val="30"/>
                    <w:spacing w:line="340" w:lineRule="exact"/>
                    <w:jc w:val="center"/>
                    <w:rPr>
                      <w:color w:val="auto"/>
                      <w:spacing w:val="-2"/>
                      <w:sz w:val="21"/>
                      <w:szCs w:val="21"/>
                      <w:lang w:eastAsia="zh-CN"/>
                    </w:rPr>
                  </w:pPr>
                  <w:r>
                    <w:rPr>
                      <w:rFonts w:hint="eastAsia" w:ascii="Times New Roman" w:hAnsi="Times New Roman" w:eastAsia="Times New Roman" w:cs="Times New Roman"/>
                      <w:color w:val="auto"/>
                      <w:spacing w:val="-2"/>
                      <w:sz w:val="21"/>
                      <w:szCs w:val="21"/>
                      <w:lang w:val="en-US" w:eastAsia="zh-CN"/>
                    </w:rPr>
                    <w:t>(</w:t>
                  </w:r>
                  <w:r>
                    <w:rPr>
                      <w:rFonts w:ascii="Times New Roman" w:hAnsi="Times New Roman" w:eastAsia="Times New Roman" w:cs="Times New Roman"/>
                      <w:color w:val="auto"/>
                      <w:spacing w:val="-2"/>
                      <w:sz w:val="21"/>
                      <w:szCs w:val="21"/>
                    </w:rPr>
                    <w:t>900-041-49</w:t>
                  </w:r>
                  <w:r>
                    <w:rPr>
                      <w:rFonts w:hint="eastAsia" w:ascii="Times New Roman" w:hAnsi="Times New Roman" w:eastAsia="Times New Roman" w:cs="Times New Roman"/>
                      <w:color w:val="auto"/>
                      <w:spacing w:val="-2"/>
                      <w:sz w:val="21"/>
                      <w:szCs w:val="21"/>
                      <w:lang w:val="en-US" w:eastAsia="zh-CN"/>
                    </w:rPr>
                    <w:t>)</w:t>
                  </w:r>
                </w:p>
              </w:tc>
              <w:tc>
                <w:tcPr>
                  <w:tcW w:w="753"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30F3FE37">
                  <w:pPr>
                    <w:pStyle w:val="30"/>
                    <w:spacing w:line="340" w:lineRule="exact"/>
                    <w:jc w:val="center"/>
                    <w:rPr>
                      <w:color w:val="auto"/>
                      <w:spacing w:val="-2"/>
                      <w:sz w:val="21"/>
                      <w:szCs w:val="21"/>
                      <w:lang w:eastAsia="zh-CN"/>
                    </w:rPr>
                  </w:pPr>
                  <w:r>
                    <w:rPr>
                      <w:color w:val="auto"/>
                      <w:spacing w:val="-2"/>
                      <w:sz w:val="21"/>
                      <w:szCs w:val="21"/>
                      <w:lang w:eastAsia="zh-CN"/>
                    </w:rPr>
                    <w:t>制定收集</w:t>
                  </w:r>
                  <w:r>
                    <w:rPr>
                      <w:color w:val="auto"/>
                      <w:spacing w:val="-11"/>
                      <w:sz w:val="21"/>
                      <w:szCs w:val="21"/>
                      <w:lang w:eastAsia="zh-CN"/>
                    </w:rPr>
                    <w:t>计划，做好</w:t>
                  </w:r>
                  <w:r>
                    <w:rPr>
                      <w:color w:val="auto"/>
                      <w:spacing w:val="-6"/>
                      <w:sz w:val="21"/>
                      <w:szCs w:val="21"/>
                      <w:lang w:eastAsia="zh-CN"/>
                    </w:rPr>
                    <w:t>台账和安</w:t>
                  </w:r>
                  <w:r>
                    <w:rPr>
                      <w:color w:val="auto"/>
                      <w:spacing w:val="-2"/>
                      <w:sz w:val="21"/>
                      <w:szCs w:val="21"/>
                      <w:lang w:eastAsia="zh-CN"/>
                    </w:rPr>
                    <w:t>全防护</w:t>
                  </w:r>
                </w:p>
              </w:tc>
              <w:tc>
                <w:tcPr>
                  <w:tcW w:w="873"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0B18326E">
                  <w:pPr>
                    <w:pStyle w:val="30"/>
                    <w:spacing w:line="340" w:lineRule="exact"/>
                    <w:jc w:val="center"/>
                    <w:rPr>
                      <w:rFonts w:hint="eastAsia"/>
                      <w:color w:val="auto"/>
                      <w:spacing w:val="-18"/>
                      <w:sz w:val="21"/>
                      <w:szCs w:val="21"/>
                      <w:lang w:eastAsia="zh-CN"/>
                    </w:rPr>
                  </w:pPr>
                  <w:r>
                    <w:rPr>
                      <w:color w:val="auto"/>
                      <w:spacing w:val="-2"/>
                    </w:rPr>
                    <w:t>废物贮存过程中均采用密闭容器包装</w:t>
                  </w:r>
                </w:p>
              </w:tc>
              <w:tc>
                <w:tcPr>
                  <w:tcW w:w="1379" w:type="pct"/>
                  <w:gridSpan w:val="2"/>
                  <w:tcBorders>
                    <w:top w:val="single" w:color="auto" w:sz="4" w:space="0"/>
                    <w:left w:val="single" w:color="auto" w:sz="4" w:space="0"/>
                    <w:bottom w:val="single" w:color="auto" w:sz="4" w:space="0"/>
                    <w:right w:val="nil"/>
                  </w:tcBorders>
                  <w:shd w:val="clear" w:color="auto" w:fill="FFFFFF"/>
                  <w:noWrap w:val="0"/>
                  <w:vAlign w:val="top"/>
                </w:tcPr>
                <w:p w14:paraId="44A91456">
                  <w:pPr>
                    <w:pStyle w:val="30"/>
                    <w:spacing w:line="340" w:lineRule="exact"/>
                    <w:jc w:val="center"/>
                    <w:rPr>
                      <w:color w:val="auto"/>
                      <w:spacing w:val="-1"/>
                      <w:sz w:val="21"/>
                      <w:szCs w:val="21"/>
                      <w:lang w:eastAsia="zh-CN"/>
                    </w:rPr>
                  </w:pPr>
                  <w:r>
                    <w:rPr>
                      <w:color w:val="auto"/>
                      <w:spacing w:val="-1"/>
                      <w:sz w:val="21"/>
                      <w:szCs w:val="21"/>
                      <w:lang w:eastAsia="zh-CN"/>
                    </w:rPr>
                    <w:t>委托有资质的单位定</w:t>
                  </w:r>
                  <w:r>
                    <w:rPr>
                      <w:color w:val="auto"/>
                      <w:spacing w:val="-2"/>
                      <w:sz w:val="21"/>
                      <w:szCs w:val="21"/>
                      <w:lang w:eastAsia="zh-CN"/>
                    </w:rPr>
                    <w:t>期进行安全运输、处</w:t>
                  </w:r>
                  <w:r>
                    <w:rPr>
                      <w:color w:val="auto"/>
                      <w:sz w:val="21"/>
                      <w:szCs w:val="21"/>
                      <w:lang w:eastAsia="zh-CN"/>
                    </w:rPr>
                    <w:t>置</w:t>
                  </w:r>
                </w:p>
              </w:tc>
            </w:tr>
            <w:tr w14:paraId="35E5E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7" w:hRule="atLeast"/>
              </w:trPr>
              <w:tc>
                <w:tcPr>
                  <w:tcW w:w="353" w:type="pct"/>
                  <w:tcBorders>
                    <w:top w:val="single" w:color="auto" w:sz="4" w:space="0"/>
                    <w:left w:val="nil"/>
                    <w:bottom w:val="single" w:color="000000" w:sz="12" w:space="0"/>
                    <w:right w:val="single" w:color="auto" w:sz="4" w:space="0"/>
                  </w:tcBorders>
                  <w:shd w:val="clear" w:color="auto" w:fill="FFFFFF"/>
                  <w:noWrap w:val="0"/>
                  <w:vAlign w:val="top"/>
                </w:tcPr>
                <w:p w14:paraId="474FB63A">
                  <w:pPr>
                    <w:spacing w:line="340" w:lineRule="exact"/>
                    <w:jc w:val="center"/>
                    <w:rPr>
                      <w:rFonts w:hint="eastAsia" w:eastAsia="宋体"/>
                      <w:color w:val="auto"/>
                      <w:szCs w:val="21"/>
                      <w:lang w:eastAsia="zh-CN"/>
                    </w:rPr>
                  </w:pPr>
                  <w:r>
                    <w:rPr>
                      <w:rFonts w:hint="eastAsia"/>
                      <w:color w:val="auto"/>
                      <w:szCs w:val="21"/>
                      <w:lang w:val="en-US" w:eastAsia="zh-CN"/>
                    </w:rPr>
                    <w:t>4</w:t>
                  </w:r>
                </w:p>
              </w:tc>
              <w:tc>
                <w:tcPr>
                  <w:tcW w:w="704" w:type="pct"/>
                  <w:tcBorders>
                    <w:top w:val="single" w:color="auto" w:sz="4" w:space="0"/>
                    <w:left w:val="single" w:color="auto" w:sz="4" w:space="0"/>
                    <w:bottom w:val="single" w:color="000000" w:sz="12" w:space="0"/>
                    <w:right w:val="single" w:color="auto" w:sz="4" w:space="0"/>
                  </w:tcBorders>
                  <w:shd w:val="clear" w:color="auto" w:fill="FFFFFF"/>
                  <w:noWrap w:val="0"/>
                  <w:vAlign w:val="top"/>
                </w:tcPr>
                <w:p w14:paraId="4188788B">
                  <w:pPr>
                    <w:pStyle w:val="30"/>
                    <w:spacing w:line="340" w:lineRule="exact"/>
                    <w:jc w:val="center"/>
                    <w:rPr>
                      <w:color w:val="auto"/>
                      <w:sz w:val="21"/>
                      <w:szCs w:val="21"/>
                    </w:rPr>
                  </w:pPr>
                  <w:r>
                    <w:rPr>
                      <w:color w:val="auto"/>
                      <w:spacing w:val="-3"/>
                      <w:sz w:val="21"/>
                      <w:szCs w:val="21"/>
                    </w:rPr>
                    <w:t>污水处理设施</w:t>
                  </w:r>
                  <w:r>
                    <w:rPr>
                      <w:rFonts w:hint="eastAsia"/>
                      <w:color w:val="auto"/>
                      <w:spacing w:val="-3"/>
                      <w:sz w:val="21"/>
                      <w:szCs w:val="21"/>
                      <w:lang w:val="en-US" w:eastAsia="zh-CN"/>
                    </w:rPr>
                    <w:t>污</w:t>
                  </w:r>
                  <w:r>
                    <w:rPr>
                      <w:color w:val="auto"/>
                      <w:spacing w:val="48"/>
                      <w:sz w:val="21"/>
                      <w:szCs w:val="21"/>
                    </w:rPr>
                    <w:t>泥</w:t>
                  </w:r>
                </w:p>
              </w:tc>
              <w:tc>
                <w:tcPr>
                  <w:tcW w:w="936" w:type="pct"/>
                  <w:tcBorders>
                    <w:top w:val="single" w:color="auto" w:sz="4" w:space="0"/>
                    <w:left w:val="single" w:color="auto" w:sz="4" w:space="0"/>
                    <w:bottom w:val="single" w:color="000000" w:sz="12" w:space="0"/>
                    <w:right w:val="single" w:color="auto" w:sz="4" w:space="0"/>
                  </w:tcBorders>
                  <w:shd w:val="clear" w:color="auto" w:fill="FFFFFF"/>
                  <w:noWrap w:val="0"/>
                  <w:vAlign w:val="top"/>
                </w:tcPr>
                <w:p w14:paraId="7AEEBF0C">
                  <w:pPr>
                    <w:spacing w:line="340" w:lineRule="exact"/>
                    <w:jc w:val="center"/>
                    <w:rPr>
                      <w:rFonts w:eastAsia="Times New Roman"/>
                      <w:color w:val="auto"/>
                      <w:szCs w:val="21"/>
                    </w:rPr>
                  </w:pPr>
                  <w:r>
                    <w:rPr>
                      <w:rFonts w:eastAsia="Times New Roman"/>
                      <w:color w:val="auto"/>
                      <w:spacing w:val="-1"/>
                      <w:szCs w:val="21"/>
                    </w:rPr>
                    <w:t>HW49</w:t>
                  </w:r>
                </w:p>
                <w:p w14:paraId="1BE636AE">
                  <w:pPr>
                    <w:pStyle w:val="30"/>
                    <w:spacing w:line="340" w:lineRule="exact"/>
                    <w:jc w:val="center"/>
                    <w:rPr>
                      <w:color w:val="auto"/>
                      <w:sz w:val="21"/>
                      <w:szCs w:val="21"/>
                    </w:rPr>
                  </w:pPr>
                  <w:r>
                    <w:rPr>
                      <w:color w:val="auto"/>
                      <w:spacing w:val="-2"/>
                      <w:sz w:val="21"/>
                      <w:szCs w:val="21"/>
                    </w:rPr>
                    <w:t>（</w:t>
                  </w:r>
                  <w:r>
                    <w:rPr>
                      <w:rFonts w:ascii="Times New Roman" w:hAnsi="Times New Roman" w:eastAsia="Times New Roman" w:cs="Times New Roman"/>
                      <w:color w:val="auto"/>
                      <w:spacing w:val="-2"/>
                      <w:sz w:val="21"/>
                      <w:szCs w:val="21"/>
                    </w:rPr>
                    <w:t>772-006-49</w:t>
                  </w:r>
                  <w:r>
                    <w:rPr>
                      <w:color w:val="auto"/>
                      <w:spacing w:val="-2"/>
                      <w:sz w:val="21"/>
                      <w:szCs w:val="21"/>
                    </w:rPr>
                    <w:t>）</w:t>
                  </w:r>
                </w:p>
              </w:tc>
              <w:tc>
                <w:tcPr>
                  <w:tcW w:w="753" w:type="pct"/>
                  <w:tcBorders>
                    <w:top w:val="single" w:color="auto" w:sz="4" w:space="0"/>
                    <w:left w:val="single" w:color="auto" w:sz="4" w:space="0"/>
                    <w:bottom w:val="single" w:color="000000" w:sz="12" w:space="0"/>
                    <w:right w:val="single" w:color="auto" w:sz="4" w:space="0"/>
                  </w:tcBorders>
                  <w:shd w:val="clear" w:color="auto" w:fill="FFFFFF"/>
                  <w:noWrap w:val="0"/>
                  <w:vAlign w:val="top"/>
                </w:tcPr>
                <w:p w14:paraId="2A6C292A">
                  <w:pPr>
                    <w:pStyle w:val="30"/>
                    <w:spacing w:line="340" w:lineRule="exact"/>
                    <w:jc w:val="center"/>
                    <w:rPr>
                      <w:color w:val="auto"/>
                      <w:sz w:val="21"/>
                      <w:szCs w:val="21"/>
                      <w:lang w:eastAsia="zh-CN"/>
                    </w:rPr>
                  </w:pPr>
                  <w:r>
                    <w:rPr>
                      <w:color w:val="auto"/>
                      <w:spacing w:val="-2"/>
                      <w:sz w:val="21"/>
                      <w:szCs w:val="21"/>
                      <w:lang w:eastAsia="zh-CN"/>
                    </w:rPr>
                    <w:t>制定收集</w:t>
                  </w:r>
                  <w:r>
                    <w:rPr>
                      <w:color w:val="auto"/>
                      <w:spacing w:val="-11"/>
                      <w:sz w:val="21"/>
                      <w:szCs w:val="21"/>
                      <w:lang w:eastAsia="zh-CN"/>
                    </w:rPr>
                    <w:t>计划，做好</w:t>
                  </w:r>
                  <w:r>
                    <w:rPr>
                      <w:color w:val="auto"/>
                      <w:spacing w:val="-6"/>
                      <w:sz w:val="21"/>
                      <w:szCs w:val="21"/>
                      <w:lang w:eastAsia="zh-CN"/>
                    </w:rPr>
                    <w:t>台账和安</w:t>
                  </w:r>
                  <w:r>
                    <w:rPr>
                      <w:color w:val="auto"/>
                      <w:spacing w:val="-2"/>
                      <w:sz w:val="21"/>
                      <w:szCs w:val="21"/>
                      <w:lang w:eastAsia="zh-CN"/>
                    </w:rPr>
                    <w:t>全防护</w:t>
                  </w:r>
                </w:p>
              </w:tc>
              <w:tc>
                <w:tcPr>
                  <w:tcW w:w="873" w:type="pct"/>
                  <w:tcBorders>
                    <w:top w:val="single" w:color="auto" w:sz="4" w:space="0"/>
                    <w:left w:val="single" w:color="auto" w:sz="4" w:space="0"/>
                    <w:bottom w:val="single" w:color="000000" w:sz="12" w:space="0"/>
                    <w:right w:val="single" w:color="auto" w:sz="4" w:space="0"/>
                  </w:tcBorders>
                  <w:shd w:val="clear" w:color="auto" w:fill="FFFFFF"/>
                  <w:noWrap w:val="0"/>
                  <w:vAlign w:val="top"/>
                </w:tcPr>
                <w:p w14:paraId="2B9E1EFD">
                  <w:pPr>
                    <w:pStyle w:val="30"/>
                    <w:spacing w:line="340" w:lineRule="exact"/>
                    <w:jc w:val="center"/>
                    <w:rPr>
                      <w:color w:val="auto"/>
                      <w:sz w:val="21"/>
                      <w:szCs w:val="21"/>
                      <w:lang w:eastAsia="zh-CN"/>
                    </w:rPr>
                  </w:pPr>
                  <w:r>
                    <w:rPr>
                      <w:color w:val="auto"/>
                      <w:spacing w:val="-3"/>
                      <w:sz w:val="21"/>
                      <w:szCs w:val="21"/>
                      <w:lang w:eastAsia="zh-CN"/>
                    </w:rPr>
                    <w:t>暂存于污</w:t>
                  </w:r>
                  <w:r>
                    <w:rPr>
                      <w:color w:val="auto"/>
                      <w:spacing w:val="-17"/>
                      <w:sz w:val="21"/>
                      <w:szCs w:val="21"/>
                      <w:lang w:eastAsia="zh-CN"/>
                    </w:rPr>
                    <w:t>泥池，做好</w:t>
                  </w:r>
                  <w:r>
                    <w:rPr>
                      <w:color w:val="auto"/>
                      <w:spacing w:val="-5"/>
                      <w:sz w:val="21"/>
                      <w:szCs w:val="21"/>
                      <w:lang w:eastAsia="zh-CN"/>
                    </w:rPr>
                    <w:t>防腐防渗</w:t>
                  </w:r>
                  <w:r>
                    <w:rPr>
                      <w:color w:val="auto"/>
                      <w:spacing w:val="-2"/>
                      <w:sz w:val="21"/>
                      <w:szCs w:val="21"/>
                      <w:lang w:eastAsia="zh-CN"/>
                    </w:rPr>
                    <w:t>措施</w:t>
                  </w:r>
                </w:p>
              </w:tc>
              <w:tc>
                <w:tcPr>
                  <w:tcW w:w="1379" w:type="pct"/>
                  <w:gridSpan w:val="2"/>
                  <w:tcBorders>
                    <w:top w:val="single" w:color="auto" w:sz="4" w:space="0"/>
                    <w:left w:val="single" w:color="auto" w:sz="4" w:space="0"/>
                    <w:bottom w:val="single" w:color="000000" w:sz="12" w:space="0"/>
                    <w:right w:val="nil"/>
                  </w:tcBorders>
                  <w:shd w:val="clear" w:color="auto" w:fill="FFFFFF"/>
                  <w:noWrap w:val="0"/>
                  <w:vAlign w:val="top"/>
                </w:tcPr>
                <w:p w14:paraId="54592E06">
                  <w:pPr>
                    <w:pStyle w:val="30"/>
                    <w:spacing w:line="340" w:lineRule="exact"/>
                    <w:jc w:val="center"/>
                    <w:rPr>
                      <w:color w:val="auto"/>
                      <w:sz w:val="21"/>
                      <w:szCs w:val="21"/>
                      <w:lang w:eastAsia="zh-CN"/>
                    </w:rPr>
                  </w:pPr>
                  <w:r>
                    <w:rPr>
                      <w:color w:val="auto"/>
                      <w:spacing w:val="-1"/>
                      <w:sz w:val="21"/>
                      <w:szCs w:val="21"/>
                      <w:lang w:eastAsia="zh-CN"/>
                    </w:rPr>
                    <w:t>消毒后委托有资质单</w:t>
                  </w:r>
                  <w:r>
                    <w:rPr>
                      <w:color w:val="auto"/>
                      <w:spacing w:val="-2"/>
                      <w:sz w:val="21"/>
                      <w:szCs w:val="21"/>
                      <w:lang w:eastAsia="zh-CN"/>
                    </w:rPr>
                    <w:t>位进行安全运输、处</w:t>
                  </w:r>
                  <w:r>
                    <w:rPr>
                      <w:color w:val="auto"/>
                      <w:spacing w:val="-1"/>
                      <w:sz w:val="21"/>
                      <w:szCs w:val="21"/>
                      <w:lang w:eastAsia="zh-CN"/>
                    </w:rPr>
                    <w:t>置，污泥清掏前应对粪大肠菌群数和蛔虫卵死亡率进行监测，需达到</w:t>
                  </w:r>
                  <w:r>
                    <w:rPr>
                      <w:rFonts w:ascii="Times New Roman" w:hAnsi="Times New Roman" w:eastAsia="Times New Roman" w:cs="Times New Roman"/>
                      <w:color w:val="auto"/>
                      <w:spacing w:val="-1"/>
                      <w:sz w:val="21"/>
                      <w:szCs w:val="21"/>
                      <w:lang w:eastAsia="zh-CN"/>
                    </w:rPr>
                    <w:t>GB18466-20</w:t>
                  </w:r>
                  <w:r>
                    <w:rPr>
                      <w:rFonts w:hint="eastAsia" w:ascii="Times New Roman" w:hAnsi="Times New Roman" w:cs="Times New Roman"/>
                      <w:color w:val="auto"/>
                      <w:spacing w:val="-1"/>
                      <w:sz w:val="21"/>
                      <w:szCs w:val="21"/>
                      <w:lang w:eastAsia="zh-CN"/>
                    </w:rPr>
                    <w:t>0</w:t>
                  </w:r>
                  <w:r>
                    <w:rPr>
                      <w:rFonts w:ascii="Times New Roman" w:hAnsi="Times New Roman" w:eastAsia="Times New Roman" w:cs="Times New Roman"/>
                      <w:color w:val="auto"/>
                      <w:spacing w:val="-4"/>
                      <w:sz w:val="21"/>
                      <w:szCs w:val="21"/>
                      <w:lang w:eastAsia="zh-CN"/>
                    </w:rPr>
                    <w:t>5</w:t>
                  </w:r>
                  <w:r>
                    <w:rPr>
                      <w:color w:val="auto"/>
                      <w:spacing w:val="-4"/>
                      <w:sz w:val="21"/>
                      <w:szCs w:val="21"/>
                      <w:lang w:eastAsia="zh-CN"/>
                    </w:rPr>
                    <w:t>相关要求</w:t>
                  </w:r>
                </w:p>
              </w:tc>
            </w:tr>
          </w:tbl>
          <w:p w14:paraId="50794B6F">
            <w:pPr>
              <w:pStyle w:val="30"/>
              <w:spacing w:before="194" w:line="219" w:lineRule="auto"/>
              <w:ind w:left="586"/>
              <w:rPr>
                <w:color w:val="auto"/>
                <w:lang w:eastAsia="zh-CN"/>
              </w:rPr>
            </w:pPr>
            <w:r>
              <w:rPr>
                <w:color w:val="auto"/>
                <w:spacing w:val="-2"/>
                <w:lang w:eastAsia="zh-CN"/>
              </w:rPr>
              <w:t>本项目危废仓库、污泥池，贮存场所基本情</w:t>
            </w:r>
            <w:r>
              <w:rPr>
                <w:color w:val="auto"/>
                <w:spacing w:val="-3"/>
                <w:lang w:eastAsia="zh-CN"/>
              </w:rPr>
              <w:t>况见下表：</w:t>
            </w:r>
          </w:p>
          <w:p w14:paraId="02215226">
            <w:pPr>
              <w:pStyle w:val="30"/>
              <w:spacing w:before="278" w:line="214" w:lineRule="auto"/>
              <w:ind w:left="2540"/>
              <w:rPr>
                <w:color w:val="auto"/>
                <w:lang w:eastAsia="zh-CN"/>
              </w:rPr>
            </w:pPr>
            <w:r>
              <w:rPr>
                <w:b/>
                <w:bCs/>
                <w:color w:val="auto"/>
                <w:spacing w:val="-2"/>
                <w:lang w:eastAsia="zh-CN"/>
              </w:rPr>
              <w:t>表</w:t>
            </w:r>
            <w:r>
              <w:rPr>
                <w:rFonts w:ascii="Times New Roman" w:hAnsi="Times New Roman" w:eastAsia="Times New Roman" w:cs="Times New Roman"/>
                <w:b/>
                <w:bCs/>
                <w:color w:val="auto"/>
                <w:spacing w:val="-2"/>
                <w:lang w:eastAsia="zh-CN"/>
              </w:rPr>
              <w:t>4.</w:t>
            </w:r>
            <w:r>
              <w:rPr>
                <w:rFonts w:hint="eastAsia" w:ascii="Times New Roman" w:hAnsi="Times New Roman" w:cs="Times New Roman"/>
                <w:b/>
                <w:bCs/>
                <w:color w:val="auto"/>
                <w:spacing w:val="-2"/>
                <w:lang w:eastAsia="zh-CN"/>
              </w:rPr>
              <w:t>2</w:t>
            </w:r>
            <w:r>
              <w:rPr>
                <w:rFonts w:ascii="Times New Roman" w:hAnsi="Times New Roman" w:eastAsia="Times New Roman" w:cs="Times New Roman"/>
                <w:b/>
                <w:bCs/>
                <w:color w:val="auto"/>
                <w:spacing w:val="-2"/>
                <w:lang w:eastAsia="zh-CN"/>
              </w:rPr>
              <w:t>-</w:t>
            </w:r>
            <w:r>
              <w:rPr>
                <w:rFonts w:hint="eastAsia" w:ascii="Times New Roman" w:hAnsi="Times New Roman" w:cs="Times New Roman"/>
                <w:b/>
                <w:bCs/>
                <w:color w:val="auto"/>
                <w:spacing w:val="-2"/>
                <w:lang w:eastAsia="zh-CN"/>
              </w:rPr>
              <w:t>10</w:t>
            </w:r>
            <w:r>
              <w:rPr>
                <w:b/>
                <w:bCs/>
                <w:color w:val="auto"/>
                <w:spacing w:val="-2"/>
                <w:lang w:eastAsia="zh-CN"/>
              </w:rPr>
              <w:t>贮存场所基本情况汇总表</w:t>
            </w:r>
          </w:p>
          <w:tbl>
            <w:tblPr>
              <w:tblStyle w:val="17"/>
              <w:tblW w:w="4998"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70"/>
              <w:gridCol w:w="1443"/>
              <w:gridCol w:w="881"/>
              <w:gridCol w:w="1395"/>
              <w:gridCol w:w="1630"/>
              <w:gridCol w:w="1243"/>
              <w:gridCol w:w="1049"/>
            </w:tblGrid>
            <w:tr w14:paraId="6B227D0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54" w:hRule="atLeast"/>
              </w:trPr>
              <w:tc>
                <w:tcPr>
                  <w:tcW w:w="511" w:type="pct"/>
                  <w:tcBorders>
                    <w:tl2br w:val="nil"/>
                    <w:tr2bl w:val="nil"/>
                  </w:tcBorders>
                  <w:shd w:val="clear" w:color="auto" w:fill="FFFFFF"/>
                  <w:noWrap w:val="0"/>
                  <w:vAlign w:val="center"/>
                </w:tcPr>
                <w:p w14:paraId="600F6DC2">
                  <w:pPr>
                    <w:pStyle w:val="30"/>
                    <w:spacing w:line="340" w:lineRule="exact"/>
                    <w:jc w:val="center"/>
                    <w:rPr>
                      <w:color w:val="auto"/>
                      <w:sz w:val="21"/>
                      <w:szCs w:val="21"/>
                    </w:rPr>
                  </w:pPr>
                  <w:r>
                    <w:rPr>
                      <w:color w:val="auto"/>
                      <w:spacing w:val="-4"/>
                      <w:sz w:val="21"/>
                      <w:szCs w:val="21"/>
                    </w:rPr>
                    <w:t>贮存</w:t>
                  </w:r>
                  <w:r>
                    <w:rPr>
                      <w:color w:val="auto"/>
                      <w:spacing w:val="-3"/>
                      <w:sz w:val="21"/>
                      <w:szCs w:val="21"/>
                    </w:rPr>
                    <w:t>场所名称</w:t>
                  </w:r>
                </w:p>
              </w:tc>
              <w:tc>
                <w:tcPr>
                  <w:tcW w:w="847" w:type="pct"/>
                  <w:tcBorders>
                    <w:tl2br w:val="nil"/>
                    <w:tr2bl w:val="nil"/>
                  </w:tcBorders>
                  <w:shd w:val="clear" w:color="auto" w:fill="FFFFFF"/>
                  <w:noWrap w:val="0"/>
                  <w:vAlign w:val="center"/>
                </w:tcPr>
                <w:p w14:paraId="7E8C94AC">
                  <w:pPr>
                    <w:pStyle w:val="30"/>
                    <w:spacing w:line="340" w:lineRule="exact"/>
                    <w:jc w:val="center"/>
                    <w:rPr>
                      <w:color w:val="auto"/>
                      <w:sz w:val="21"/>
                      <w:szCs w:val="21"/>
                    </w:rPr>
                  </w:pPr>
                  <w:r>
                    <w:rPr>
                      <w:color w:val="auto"/>
                      <w:spacing w:val="-2"/>
                      <w:sz w:val="21"/>
                      <w:szCs w:val="21"/>
                    </w:rPr>
                    <w:t>位置</w:t>
                  </w:r>
                </w:p>
              </w:tc>
              <w:tc>
                <w:tcPr>
                  <w:tcW w:w="517" w:type="pct"/>
                  <w:tcBorders>
                    <w:tl2br w:val="nil"/>
                    <w:tr2bl w:val="nil"/>
                  </w:tcBorders>
                  <w:shd w:val="clear" w:color="auto" w:fill="FFFFFF"/>
                  <w:noWrap w:val="0"/>
                  <w:vAlign w:val="center"/>
                </w:tcPr>
                <w:p w14:paraId="6FCAED67">
                  <w:pPr>
                    <w:pStyle w:val="30"/>
                    <w:spacing w:line="340" w:lineRule="exact"/>
                    <w:jc w:val="center"/>
                    <w:rPr>
                      <w:color w:val="auto"/>
                      <w:sz w:val="21"/>
                      <w:szCs w:val="21"/>
                    </w:rPr>
                  </w:pPr>
                  <w:r>
                    <w:rPr>
                      <w:color w:val="auto"/>
                      <w:spacing w:val="-21"/>
                      <w:sz w:val="21"/>
                      <w:szCs w:val="21"/>
                    </w:rPr>
                    <w:t>占地</w:t>
                  </w:r>
                  <w:r>
                    <w:rPr>
                      <w:color w:val="auto"/>
                      <w:spacing w:val="-4"/>
                      <w:sz w:val="21"/>
                      <w:szCs w:val="21"/>
                    </w:rPr>
                    <w:t>面积</w:t>
                  </w:r>
                </w:p>
              </w:tc>
              <w:tc>
                <w:tcPr>
                  <w:tcW w:w="819" w:type="pct"/>
                  <w:tcBorders>
                    <w:tl2br w:val="nil"/>
                    <w:tr2bl w:val="nil"/>
                  </w:tcBorders>
                  <w:shd w:val="clear" w:color="auto" w:fill="FFFFFF"/>
                  <w:noWrap w:val="0"/>
                  <w:vAlign w:val="center"/>
                </w:tcPr>
                <w:p w14:paraId="4E5AF346">
                  <w:pPr>
                    <w:pStyle w:val="30"/>
                    <w:spacing w:line="340" w:lineRule="exact"/>
                    <w:jc w:val="center"/>
                    <w:rPr>
                      <w:color w:val="auto"/>
                      <w:sz w:val="21"/>
                      <w:szCs w:val="21"/>
                    </w:rPr>
                  </w:pPr>
                  <w:r>
                    <w:rPr>
                      <w:color w:val="auto"/>
                      <w:spacing w:val="-3"/>
                      <w:sz w:val="21"/>
                      <w:szCs w:val="21"/>
                    </w:rPr>
                    <w:t>危废名</w:t>
                  </w:r>
                  <w:r>
                    <w:rPr>
                      <w:color w:val="auto"/>
                      <w:sz w:val="21"/>
                      <w:szCs w:val="21"/>
                    </w:rPr>
                    <w:t>称</w:t>
                  </w:r>
                </w:p>
              </w:tc>
              <w:tc>
                <w:tcPr>
                  <w:tcW w:w="957" w:type="pct"/>
                  <w:tcBorders>
                    <w:tl2br w:val="nil"/>
                    <w:tr2bl w:val="nil"/>
                  </w:tcBorders>
                  <w:shd w:val="clear" w:color="auto" w:fill="FFFFFF"/>
                  <w:noWrap w:val="0"/>
                  <w:vAlign w:val="center"/>
                </w:tcPr>
                <w:p w14:paraId="43420056">
                  <w:pPr>
                    <w:pStyle w:val="30"/>
                    <w:spacing w:line="340" w:lineRule="exact"/>
                    <w:jc w:val="center"/>
                    <w:rPr>
                      <w:color w:val="auto"/>
                      <w:sz w:val="21"/>
                      <w:szCs w:val="21"/>
                    </w:rPr>
                  </w:pPr>
                  <w:r>
                    <w:rPr>
                      <w:color w:val="auto"/>
                      <w:spacing w:val="-2"/>
                      <w:sz w:val="21"/>
                      <w:szCs w:val="21"/>
                    </w:rPr>
                    <w:t>本项目</w:t>
                  </w:r>
                  <w:r>
                    <w:rPr>
                      <w:rFonts w:hint="eastAsia"/>
                      <w:color w:val="auto"/>
                      <w:spacing w:val="-2"/>
                      <w:sz w:val="21"/>
                      <w:szCs w:val="21"/>
                      <w:lang w:val="en-US" w:eastAsia="zh-CN"/>
                    </w:rPr>
                    <w:t>扩建后全院</w:t>
                  </w:r>
                  <w:r>
                    <w:rPr>
                      <w:color w:val="auto"/>
                      <w:spacing w:val="-2"/>
                      <w:sz w:val="21"/>
                      <w:szCs w:val="21"/>
                    </w:rPr>
                    <w:t>产生量</w:t>
                  </w:r>
                </w:p>
              </w:tc>
              <w:tc>
                <w:tcPr>
                  <w:tcW w:w="730" w:type="pct"/>
                  <w:tcBorders>
                    <w:tl2br w:val="nil"/>
                    <w:tr2bl w:val="nil"/>
                  </w:tcBorders>
                  <w:shd w:val="clear" w:color="auto" w:fill="FFFFFF"/>
                  <w:noWrap w:val="0"/>
                  <w:vAlign w:val="center"/>
                </w:tcPr>
                <w:p w14:paraId="327C3988">
                  <w:pPr>
                    <w:pStyle w:val="30"/>
                    <w:spacing w:line="340" w:lineRule="exact"/>
                    <w:jc w:val="center"/>
                    <w:rPr>
                      <w:color w:val="auto"/>
                      <w:sz w:val="21"/>
                      <w:szCs w:val="21"/>
                    </w:rPr>
                  </w:pPr>
                  <w:r>
                    <w:rPr>
                      <w:color w:val="auto"/>
                      <w:spacing w:val="-4"/>
                      <w:sz w:val="21"/>
                      <w:szCs w:val="21"/>
                    </w:rPr>
                    <w:t>贮存方式</w:t>
                  </w:r>
                </w:p>
              </w:tc>
              <w:tc>
                <w:tcPr>
                  <w:tcW w:w="616" w:type="pct"/>
                  <w:tcBorders>
                    <w:tl2br w:val="nil"/>
                    <w:tr2bl w:val="nil"/>
                  </w:tcBorders>
                  <w:shd w:val="clear" w:color="auto" w:fill="FFFFFF"/>
                  <w:noWrap w:val="0"/>
                  <w:vAlign w:val="center"/>
                </w:tcPr>
                <w:p w14:paraId="66AB6439">
                  <w:pPr>
                    <w:pStyle w:val="30"/>
                    <w:spacing w:line="340" w:lineRule="exact"/>
                    <w:jc w:val="center"/>
                    <w:rPr>
                      <w:rFonts w:hint="eastAsia" w:eastAsia="宋体"/>
                      <w:color w:val="auto"/>
                      <w:sz w:val="21"/>
                      <w:szCs w:val="21"/>
                      <w:lang w:val="en-US" w:eastAsia="zh-CN"/>
                    </w:rPr>
                  </w:pPr>
                  <w:r>
                    <w:rPr>
                      <w:rFonts w:hint="eastAsia"/>
                      <w:color w:val="auto"/>
                      <w:spacing w:val="-4"/>
                      <w:sz w:val="21"/>
                      <w:szCs w:val="21"/>
                      <w:lang w:val="en-US" w:eastAsia="zh-CN"/>
                    </w:rPr>
                    <w:t>最大</w:t>
                  </w:r>
                  <w:r>
                    <w:rPr>
                      <w:color w:val="auto"/>
                      <w:spacing w:val="-4"/>
                      <w:sz w:val="21"/>
                      <w:szCs w:val="21"/>
                    </w:rPr>
                    <w:t>贮存</w:t>
                  </w:r>
                  <w:r>
                    <w:rPr>
                      <w:color w:val="auto"/>
                      <w:spacing w:val="-8"/>
                      <w:sz w:val="21"/>
                      <w:szCs w:val="21"/>
                    </w:rPr>
                    <w:t>能力</w:t>
                  </w:r>
                  <w:r>
                    <w:rPr>
                      <w:rFonts w:hint="eastAsia"/>
                      <w:color w:val="auto"/>
                      <w:lang w:val="en-US" w:eastAsia="zh-CN"/>
                    </w:rPr>
                    <w:t>t</w:t>
                  </w:r>
                </w:p>
              </w:tc>
            </w:tr>
            <w:tr w14:paraId="45A1CC9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25" w:hRule="atLeast"/>
              </w:trPr>
              <w:tc>
                <w:tcPr>
                  <w:tcW w:w="511" w:type="pct"/>
                  <w:tcBorders>
                    <w:tl2br w:val="nil"/>
                    <w:tr2bl w:val="nil"/>
                  </w:tcBorders>
                  <w:shd w:val="clear" w:color="auto" w:fill="FFFFFF"/>
                  <w:noWrap w:val="0"/>
                  <w:vAlign w:val="center"/>
                </w:tcPr>
                <w:p w14:paraId="1922BCA7">
                  <w:pPr>
                    <w:pStyle w:val="30"/>
                    <w:spacing w:line="340" w:lineRule="exact"/>
                    <w:jc w:val="center"/>
                    <w:rPr>
                      <w:color w:val="auto"/>
                      <w:sz w:val="21"/>
                      <w:szCs w:val="21"/>
                    </w:rPr>
                  </w:pPr>
                  <w:r>
                    <w:rPr>
                      <w:color w:val="auto"/>
                      <w:spacing w:val="-5"/>
                      <w:sz w:val="21"/>
                      <w:szCs w:val="21"/>
                    </w:rPr>
                    <w:t>危废</w:t>
                  </w:r>
                  <w:r>
                    <w:rPr>
                      <w:color w:val="auto"/>
                      <w:spacing w:val="-3"/>
                      <w:sz w:val="21"/>
                      <w:szCs w:val="21"/>
                    </w:rPr>
                    <w:t>仓库</w:t>
                  </w:r>
                </w:p>
              </w:tc>
              <w:tc>
                <w:tcPr>
                  <w:tcW w:w="847" w:type="pct"/>
                  <w:tcBorders>
                    <w:tl2br w:val="nil"/>
                    <w:tr2bl w:val="nil"/>
                  </w:tcBorders>
                  <w:shd w:val="clear" w:color="auto" w:fill="FFFFFF"/>
                  <w:noWrap w:val="0"/>
                  <w:vAlign w:val="center"/>
                </w:tcPr>
                <w:p w14:paraId="5F0F4C67">
                  <w:pPr>
                    <w:pStyle w:val="30"/>
                    <w:spacing w:line="340" w:lineRule="exact"/>
                    <w:jc w:val="center"/>
                    <w:rPr>
                      <w:color w:val="auto"/>
                      <w:sz w:val="21"/>
                      <w:szCs w:val="21"/>
                      <w:lang w:eastAsia="zh-CN"/>
                    </w:rPr>
                  </w:pPr>
                  <w:r>
                    <w:rPr>
                      <w:color w:val="auto"/>
                      <w:spacing w:val="-4"/>
                      <w:sz w:val="21"/>
                      <w:szCs w:val="21"/>
                      <w:lang w:eastAsia="zh-CN"/>
                    </w:rPr>
                    <w:t>医院</w:t>
                  </w:r>
                  <w:r>
                    <w:rPr>
                      <w:rFonts w:hint="eastAsia"/>
                      <w:color w:val="auto"/>
                      <w:spacing w:val="-4"/>
                      <w:sz w:val="21"/>
                      <w:szCs w:val="21"/>
                      <w:lang w:val="en-US" w:eastAsia="zh-CN"/>
                    </w:rPr>
                    <w:t>附属楼</w:t>
                  </w:r>
                  <w:r>
                    <w:rPr>
                      <w:color w:val="auto"/>
                      <w:spacing w:val="-3"/>
                      <w:sz w:val="21"/>
                      <w:szCs w:val="21"/>
                      <w:lang w:eastAsia="zh-CN"/>
                    </w:rPr>
                    <w:t>一层</w:t>
                  </w:r>
                </w:p>
              </w:tc>
              <w:tc>
                <w:tcPr>
                  <w:tcW w:w="517" w:type="pct"/>
                  <w:tcBorders>
                    <w:tl2br w:val="nil"/>
                    <w:tr2bl w:val="nil"/>
                  </w:tcBorders>
                  <w:shd w:val="clear" w:color="auto" w:fill="FFFFFF"/>
                  <w:noWrap w:val="0"/>
                  <w:vAlign w:val="center"/>
                </w:tcPr>
                <w:p w14:paraId="56160B72">
                  <w:pPr>
                    <w:spacing w:line="340" w:lineRule="exact"/>
                    <w:jc w:val="center"/>
                    <w:rPr>
                      <w:rFonts w:eastAsia="Times New Roman"/>
                      <w:color w:val="auto"/>
                      <w:sz w:val="13"/>
                      <w:szCs w:val="13"/>
                    </w:rPr>
                  </w:pPr>
                  <w:r>
                    <w:rPr>
                      <w:rFonts w:hint="eastAsia"/>
                      <w:color w:val="auto"/>
                      <w:spacing w:val="-2"/>
                      <w:position w:val="-1"/>
                      <w:szCs w:val="21"/>
                    </w:rPr>
                    <w:t>1</w:t>
                  </w:r>
                  <w:r>
                    <w:rPr>
                      <w:rFonts w:hint="eastAsia"/>
                      <w:color w:val="auto"/>
                      <w:spacing w:val="-2"/>
                      <w:position w:val="-1"/>
                      <w:szCs w:val="21"/>
                      <w:lang w:val="en-US" w:eastAsia="zh-CN"/>
                    </w:rPr>
                    <w:t>9</w:t>
                  </w:r>
                  <w:r>
                    <w:rPr>
                      <w:rFonts w:hint="eastAsia"/>
                      <w:color w:val="auto"/>
                      <w:spacing w:val="-2"/>
                      <w:position w:val="-1"/>
                      <w:szCs w:val="21"/>
                    </w:rPr>
                    <w:t>0</w:t>
                  </w:r>
                  <w:r>
                    <w:rPr>
                      <w:rFonts w:eastAsia="Times New Roman"/>
                      <w:color w:val="auto"/>
                      <w:spacing w:val="-2"/>
                      <w:position w:val="-1"/>
                      <w:szCs w:val="21"/>
                    </w:rPr>
                    <w:t>m</w:t>
                  </w:r>
                  <w:r>
                    <w:rPr>
                      <w:rFonts w:eastAsia="Times New Roman"/>
                      <w:color w:val="auto"/>
                      <w:spacing w:val="-2"/>
                      <w:position w:val="8"/>
                      <w:sz w:val="13"/>
                      <w:szCs w:val="13"/>
                    </w:rPr>
                    <w:t>2</w:t>
                  </w:r>
                </w:p>
              </w:tc>
              <w:tc>
                <w:tcPr>
                  <w:tcW w:w="819" w:type="pct"/>
                  <w:tcBorders>
                    <w:tl2br w:val="nil"/>
                    <w:tr2bl w:val="nil"/>
                  </w:tcBorders>
                  <w:shd w:val="clear" w:color="auto" w:fill="FFFFFF"/>
                  <w:noWrap w:val="0"/>
                  <w:vAlign w:val="center"/>
                </w:tcPr>
                <w:p w14:paraId="0853DE6F">
                  <w:pPr>
                    <w:pStyle w:val="30"/>
                    <w:spacing w:line="340" w:lineRule="exact"/>
                    <w:jc w:val="center"/>
                    <w:rPr>
                      <w:color w:val="auto"/>
                      <w:sz w:val="21"/>
                      <w:szCs w:val="21"/>
                    </w:rPr>
                  </w:pPr>
                  <w:r>
                    <w:rPr>
                      <w:color w:val="auto"/>
                      <w:spacing w:val="-5"/>
                      <w:sz w:val="21"/>
                      <w:szCs w:val="21"/>
                    </w:rPr>
                    <w:t>医疗废</w:t>
                  </w:r>
                  <w:r>
                    <w:rPr>
                      <w:color w:val="auto"/>
                      <w:sz w:val="21"/>
                      <w:szCs w:val="21"/>
                    </w:rPr>
                    <w:t>物</w:t>
                  </w:r>
                </w:p>
              </w:tc>
              <w:tc>
                <w:tcPr>
                  <w:tcW w:w="957" w:type="pct"/>
                  <w:tcBorders>
                    <w:tl2br w:val="nil"/>
                    <w:tr2bl w:val="nil"/>
                  </w:tcBorders>
                  <w:shd w:val="clear" w:color="auto" w:fill="FFFFFF"/>
                  <w:noWrap w:val="0"/>
                  <w:vAlign w:val="center"/>
                </w:tcPr>
                <w:p w14:paraId="5ED1667D">
                  <w:pPr>
                    <w:spacing w:line="340" w:lineRule="exact"/>
                    <w:jc w:val="center"/>
                    <w:rPr>
                      <w:color w:val="auto"/>
                      <w:szCs w:val="21"/>
                    </w:rPr>
                  </w:pPr>
                  <w:r>
                    <w:rPr>
                      <w:rFonts w:hint="eastAsia" w:ascii="Times New Roman" w:hAnsi="Times New Roman" w:eastAsia="Times New Roman" w:cs="Times New Roman"/>
                      <w:color w:val="auto"/>
                      <w:spacing w:val="-2"/>
                      <w:lang w:val="en-US" w:eastAsia="zh-CN"/>
                    </w:rPr>
                    <w:t>47.12</w:t>
                  </w:r>
                  <w:r>
                    <w:rPr>
                      <w:rFonts w:eastAsia="Times New Roman"/>
                      <w:color w:val="auto"/>
                      <w:spacing w:val="-2"/>
                      <w:szCs w:val="21"/>
                    </w:rPr>
                    <w:t>t/a</w:t>
                  </w:r>
                </w:p>
              </w:tc>
              <w:tc>
                <w:tcPr>
                  <w:tcW w:w="730" w:type="pct"/>
                  <w:tcBorders>
                    <w:tl2br w:val="nil"/>
                    <w:tr2bl w:val="nil"/>
                  </w:tcBorders>
                  <w:shd w:val="clear" w:color="auto" w:fill="FFFFFF"/>
                  <w:noWrap w:val="0"/>
                  <w:vAlign w:val="center"/>
                </w:tcPr>
                <w:p w14:paraId="7F68C9F5">
                  <w:pPr>
                    <w:pStyle w:val="30"/>
                    <w:spacing w:line="340" w:lineRule="exact"/>
                    <w:jc w:val="center"/>
                    <w:rPr>
                      <w:rFonts w:ascii="宋体" w:hAnsi="宋体" w:eastAsia="宋体" w:cs="宋体"/>
                      <w:color w:val="auto"/>
                      <w:spacing w:val="-8"/>
                      <w:sz w:val="21"/>
                      <w:szCs w:val="21"/>
                      <w:lang w:eastAsia="zh-CN"/>
                    </w:rPr>
                  </w:pPr>
                  <w:r>
                    <w:rPr>
                      <w:rFonts w:ascii="宋体" w:hAnsi="宋体" w:eastAsia="宋体" w:cs="宋体"/>
                      <w:color w:val="auto"/>
                      <w:spacing w:val="-8"/>
                      <w:sz w:val="21"/>
                      <w:szCs w:val="21"/>
                      <w:lang w:eastAsia="zh-CN"/>
                    </w:rPr>
                    <w:t>分类收集，</w:t>
                  </w:r>
                </w:p>
                <w:p w14:paraId="16B5E6DE">
                  <w:pPr>
                    <w:pStyle w:val="30"/>
                    <w:spacing w:line="340" w:lineRule="exact"/>
                    <w:jc w:val="center"/>
                    <w:rPr>
                      <w:rFonts w:ascii="宋体" w:hAnsi="宋体" w:eastAsia="宋体" w:cs="宋体"/>
                      <w:color w:val="auto"/>
                      <w:spacing w:val="-8"/>
                      <w:sz w:val="21"/>
                      <w:szCs w:val="21"/>
                      <w:lang w:eastAsia="zh-CN"/>
                    </w:rPr>
                  </w:pPr>
                  <w:r>
                    <w:rPr>
                      <w:rFonts w:ascii="宋体" w:hAnsi="宋体" w:eastAsia="宋体" w:cs="宋体"/>
                      <w:color w:val="auto"/>
                      <w:spacing w:val="-8"/>
                      <w:sz w:val="21"/>
                      <w:szCs w:val="21"/>
                      <w:lang w:eastAsia="zh-CN"/>
                    </w:rPr>
                    <w:t>由密封容器贮存</w:t>
                  </w:r>
                </w:p>
              </w:tc>
              <w:tc>
                <w:tcPr>
                  <w:tcW w:w="616" w:type="pct"/>
                  <w:tcBorders>
                    <w:tl2br w:val="nil"/>
                    <w:tr2bl w:val="nil"/>
                  </w:tcBorders>
                  <w:shd w:val="clear" w:color="auto" w:fill="FFFFFF"/>
                  <w:noWrap w:val="0"/>
                  <w:vAlign w:val="center"/>
                </w:tcPr>
                <w:p w14:paraId="69DBA885">
                  <w:pPr>
                    <w:spacing w:line="340" w:lineRule="exact"/>
                    <w:jc w:val="center"/>
                    <w:rPr>
                      <w:rFonts w:hint="default" w:ascii="宋体" w:hAnsi="宋体" w:eastAsia="宋体" w:cs="宋体"/>
                      <w:color w:val="auto"/>
                      <w:spacing w:val="-8"/>
                      <w:sz w:val="21"/>
                      <w:szCs w:val="21"/>
                      <w:lang w:val="en-US" w:eastAsia="zh-CN"/>
                    </w:rPr>
                  </w:pPr>
                  <w:r>
                    <w:rPr>
                      <w:rFonts w:hint="eastAsia" w:ascii="Times New Roman" w:hAnsi="Times New Roman" w:eastAsia="Times New Roman" w:cs="Times New Roman"/>
                      <w:color w:val="auto"/>
                      <w:spacing w:val="-2"/>
                      <w:lang w:val="en-US" w:eastAsia="zh-CN"/>
                    </w:rPr>
                    <w:t>200</w:t>
                  </w:r>
                </w:p>
              </w:tc>
            </w:tr>
            <w:tr w14:paraId="1C17BEB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25" w:hRule="atLeast"/>
              </w:trPr>
              <w:tc>
                <w:tcPr>
                  <w:tcW w:w="870" w:type="dxa"/>
                  <w:tcBorders>
                    <w:tl2br w:val="nil"/>
                    <w:tr2bl w:val="nil"/>
                  </w:tcBorders>
                  <w:shd w:val="clear" w:color="auto" w:fill="FFFFFF"/>
                  <w:noWrap w:val="0"/>
                  <w:vAlign w:val="center"/>
                </w:tcPr>
                <w:p w14:paraId="7F7289A1">
                  <w:pPr>
                    <w:pStyle w:val="30"/>
                    <w:spacing w:line="340" w:lineRule="exact"/>
                    <w:jc w:val="center"/>
                    <w:rPr>
                      <w:color w:val="auto"/>
                      <w:spacing w:val="-5"/>
                      <w:sz w:val="21"/>
                      <w:szCs w:val="21"/>
                    </w:rPr>
                  </w:pPr>
                  <w:r>
                    <w:rPr>
                      <w:color w:val="auto"/>
                      <w:spacing w:val="-4"/>
                      <w:sz w:val="21"/>
                      <w:szCs w:val="21"/>
                    </w:rPr>
                    <w:t>污泥</w:t>
                  </w:r>
                  <w:r>
                    <w:rPr>
                      <w:color w:val="auto"/>
                      <w:sz w:val="21"/>
                      <w:szCs w:val="21"/>
                    </w:rPr>
                    <w:t>池</w:t>
                  </w:r>
                </w:p>
              </w:tc>
              <w:tc>
                <w:tcPr>
                  <w:tcW w:w="1443" w:type="dxa"/>
                  <w:tcBorders>
                    <w:tl2br w:val="nil"/>
                    <w:tr2bl w:val="nil"/>
                  </w:tcBorders>
                  <w:shd w:val="clear" w:color="auto" w:fill="FFFFFF"/>
                  <w:noWrap w:val="0"/>
                  <w:vAlign w:val="center"/>
                </w:tcPr>
                <w:p w14:paraId="3DD37BF3">
                  <w:pPr>
                    <w:pStyle w:val="30"/>
                    <w:spacing w:line="340" w:lineRule="exact"/>
                    <w:jc w:val="center"/>
                    <w:rPr>
                      <w:color w:val="auto"/>
                      <w:spacing w:val="-4"/>
                      <w:sz w:val="21"/>
                      <w:szCs w:val="21"/>
                      <w:lang w:eastAsia="zh-CN"/>
                    </w:rPr>
                  </w:pPr>
                  <w:r>
                    <w:rPr>
                      <w:color w:val="auto"/>
                      <w:spacing w:val="-5"/>
                      <w:sz w:val="21"/>
                      <w:szCs w:val="21"/>
                      <w:lang w:eastAsia="zh-CN"/>
                    </w:rPr>
                    <w:t>医院大</w:t>
                  </w:r>
                  <w:r>
                    <w:rPr>
                      <w:color w:val="auto"/>
                      <w:spacing w:val="-2"/>
                      <w:sz w:val="21"/>
                      <w:szCs w:val="21"/>
                      <w:lang w:eastAsia="zh-CN"/>
                    </w:rPr>
                    <w:t>楼外西</w:t>
                  </w:r>
                  <w:r>
                    <w:rPr>
                      <w:color w:val="auto"/>
                      <w:spacing w:val="-5"/>
                      <w:sz w:val="21"/>
                      <w:szCs w:val="21"/>
                      <w:lang w:eastAsia="zh-CN"/>
                    </w:rPr>
                    <w:t>南侧</w:t>
                  </w:r>
                  <w:r>
                    <w:rPr>
                      <w:color w:val="auto"/>
                      <w:spacing w:val="-7"/>
                      <w:sz w:val="21"/>
                      <w:szCs w:val="21"/>
                      <w:lang w:eastAsia="zh-CN"/>
                    </w:rPr>
                    <w:t>（地埋</w:t>
                  </w:r>
                  <w:r>
                    <w:rPr>
                      <w:color w:val="auto"/>
                      <w:spacing w:val="39"/>
                      <w:sz w:val="21"/>
                      <w:szCs w:val="21"/>
                      <w:lang w:eastAsia="zh-CN"/>
                    </w:rPr>
                    <w:t>式）</w:t>
                  </w:r>
                </w:p>
              </w:tc>
              <w:tc>
                <w:tcPr>
                  <w:tcW w:w="881" w:type="dxa"/>
                  <w:tcBorders>
                    <w:tl2br w:val="nil"/>
                    <w:tr2bl w:val="nil"/>
                  </w:tcBorders>
                  <w:shd w:val="clear" w:color="auto" w:fill="FFFFFF"/>
                  <w:noWrap w:val="0"/>
                  <w:vAlign w:val="center"/>
                </w:tcPr>
                <w:p w14:paraId="5502D121">
                  <w:pPr>
                    <w:spacing w:line="340" w:lineRule="exact"/>
                    <w:jc w:val="center"/>
                    <w:rPr>
                      <w:rFonts w:hint="eastAsia"/>
                      <w:color w:val="auto"/>
                      <w:spacing w:val="-2"/>
                      <w:position w:val="-1"/>
                      <w:szCs w:val="21"/>
                    </w:rPr>
                  </w:pPr>
                  <w:r>
                    <w:rPr>
                      <w:rFonts w:eastAsia="Times New Roman"/>
                      <w:color w:val="auto"/>
                      <w:szCs w:val="21"/>
                    </w:rPr>
                    <w:t>/</w:t>
                  </w:r>
                </w:p>
              </w:tc>
              <w:tc>
                <w:tcPr>
                  <w:tcW w:w="1395" w:type="dxa"/>
                  <w:tcBorders>
                    <w:tl2br w:val="nil"/>
                    <w:tr2bl w:val="nil"/>
                  </w:tcBorders>
                  <w:shd w:val="clear" w:color="auto" w:fill="FFFFFF"/>
                  <w:noWrap w:val="0"/>
                  <w:vAlign w:val="center"/>
                </w:tcPr>
                <w:p w14:paraId="42E805DB">
                  <w:pPr>
                    <w:pStyle w:val="30"/>
                    <w:spacing w:line="340" w:lineRule="exact"/>
                    <w:jc w:val="center"/>
                    <w:rPr>
                      <w:color w:val="auto"/>
                      <w:spacing w:val="-5"/>
                      <w:sz w:val="21"/>
                      <w:szCs w:val="21"/>
                    </w:rPr>
                  </w:pPr>
                  <w:r>
                    <w:rPr>
                      <w:color w:val="auto"/>
                      <w:spacing w:val="-2"/>
                      <w:sz w:val="21"/>
                      <w:szCs w:val="21"/>
                      <w:lang w:eastAsia="zh-CN"/>
                    </w:rPr>
                    <w:t>污泥</w:t>
                  </w:r>
                </w:p>
              </w:tc>
              <w:tc>
                <w:tcPr>
                  <w:tcW w:w="1631" w:type="dxa"/>
                  <w:tcBorders>
                    <w:tl2br w:val="nil"/>
                    <w:tr2bl w:val="nil"/>
                  </w:tcBorders>
                  <w:shd w:val="clear" w:color="auto" w:fill="FFFFFF"/>
                  <w:noWrap w:val="0"/>
                  <w:vAlign w:val="center"/>
                </w:tcPr>
                <w:p w14:paraId="346D6559">
                  <w:pPr>
                    <w:spacing w:line="340" w:lineRule="exact"/>
                    <w:jc w:val="center"/>
                    <w:rPr>
                      <w:rFonts w:hint="eastAsia" w:ascii="Times New Roman" w:hAnsi="Times New Roman" w:eastAsia="Times New Roman" w:cs="Times New Roman"/>
                      <w:color w:val="auto"/>
                      <w:spacing w:val="-2"/>
                      <w:lang w:val="en-US" w:eastAsia="zh-CN"/>
                    </w:rPr>
                  </w:pPr>
                  <w:r>
                    <w:rPr>
                      <w:rFonts w:hint="eastAsia" w:ascii="Times New Roman" w:hAnsi="Times New Roman" w:eastAsia="Times New Roman" w:cs="Times New Roman"/>
                      <w:color w:val="auto"/>
                      <w:spacing w:val="-2"/>
                      <w:lang w:val="en-US" w:eastAsia="zh-CN"/>
                    </w:rPr>
                    <w:t>29.24</w:t>
                  </w:r>
                  <w:r>
                    <w:rPr>
                      <w:rFonts w:eastAsia="Times New Roman"/>
                      <w:color w:val="auto"/>
                      <w:spacing w:val="-3"/>
                      <w:szCs w:val="21"/>
                    </w:rPr>
                    <w:t>t/a</w:t>
                  </w:r>
                </w:p>
              </w:tc>
              <w:tc>
                <w:tcPr>
                  <w:tcW w:w="1244" w:type="dxa"/>
                  <w:tcBorders>
                    <w:tl2br w:val="nil"/>
                    <w:tr2bl w:val="nil"/>
                  </w:tcBorders>
                  <w:shd w:val="clear" w:color="auto" w:fill="FFFFFF"/>
                  <w:noWrap w:val="0"/>
                  <w:vAlign w:val="center"/>
                </w:tcPr>
                <w:p w14:paraId="7004835F">
                  <w:pPr>
                    <w:spacing w:line="340" w:lineRule="exact"/>
                    <w:jc w:val="center"/>
                    <w:rPr>
                      <w:rFonts w:ascii="宋体" w:hAnsi="宋体" w:eastAsia="宋体" w:cs="宋体"/>
                      <w:color w:val="auto"/>
                      <w:spacing w:val="-8"/>
                      <w:sz w:val="21"/>
                      <w:szCs w:val="21"/>
                      <w:lang w:eastAsia="zh-CN"/>
                    </w:rPr>
                  </w:pPr>
                  <w:r>
                    <w:rPr>
                      <w:rFonts w:eastAsia="Times New Roman"/>
                      <w:color w:val="auto"/>
                      <w:szCs w:val="21"/>
                    </w:rPr>
                    <w:t>/</w:t>
                  </w:r>
                </w:p>
              </w:tc>
              <w:tc>
                <w:tcPr>
                  <w:tcW w:w="1050" w:type="dxa"/>
                  <w:tcBorders>
                    <w:tl2br w:val="nil"/>
                    <w:tr2bl w:val="nil"/>
                  </w:tcBorders>
                  <w:shd w:val="clear" w:color="auto" w:fill="FFFFFF"/>
                  <w:noWrap w:val="0"/>
                  <w:vAlign w:val="center"/>
                </w:tcPr>
                <w:p w14:paraId="4386359A">
                  <w:pPr>
                    <w:spacing w:line="340" w:lineRule="exact"/>
                    <w:ind w:firstLine="416" w:firstLineChars="200"/>
                    <w:jc w:val="both"/>
                    <w:rPr>
                      <w:rFonts w:hint="default" w:ascii="Times New Roman" w:hAnsi="Times New Roman" w:eastAsia="宋体" w:cs="Times New Roman"/>
                      <w:color w:val="auto"/>
                      <w:spacing w:val="-2"/>
                      <w:lang w:val="en-US" w:eastAsia="zh-CN"/>
                    </w:rPr>
                  </w:pPr>
                  <w:r>
                    <w:rPr>
                      <w:rFonts w:hint="eastAsia" w:eastAsia="宋体"/>
                      <w:color w:val="auto"/>
                      <w:spacing w:val="-1"/>
                      <w:szCs w:val="21"/>
                      <w:lang w:val="en-US" w:eastAsia="zh-CN"/>
                    </w:rPr>
                    <w:t>30m</w:t>
                  </w:r>
                  <w:r>
                    <w:rPr>
                      <w:rFonts w:hint="eastAsia" w:eastAsia="宋体"/>
                      <w:color w:val="auto"/>
                      <w:spacing w:val="-1"/>
                      <w:szCs w:val="21"/>
                      <w:vertAlign w:val="superscript"/>
                      <w:lang w:val="en-US" w:eastAsia="zh-CN"/>
                    </w:rPr>
                    <w:t>3</w:t>
                  </w:r>
                </w:p>
              </w:tc>
            </w:tr>
          </w:tbl>
          <w:p w14:paraId="656838E1">
            <w:pPr>
              <w:spacing w:line="360" w:lineRule="auto"/>
              <w:ind w:firstLine="472" w:firstLineChars="200"/>
              <w:rPr>
                <w:rFonts w:hint="eastAsia"/>
                <w:b/>
                <w:color w:val="auto"/>
                <w:sz w:val="24"/>
              </w:rPr>
            </w:pPr>
            <w:r>
              <w:rPr>
                <w:color w:val="auto"/>
                <w:spacing w:val="-2"/>
                <w:sz w:val="24"/>
              </w:rPr>
              <w:t>由表可知，危废仓库、污泥池贮存能力能满足本项目</w:t>
            </w:r>
            <w:r>
              <w:rPr>
                <w:color w:val="auto"/>
                <w:spacing w:val="-3"/>
                <w:sz w:val="24"/>
              </w:rPr>
              <w:t>危废量</w:t>
            </w:r>
            <w:r>
              <w:rPr>
                <w:color w:val="auto"/>
                <w:spacing w:val="-2"/>
                <w:sz w:val="24"/>
              </w:rPr>
              <w:t>。</w:t>
            </w:r>
          </w:p>
          <w:p w14:paraId="70498FAF">
            <w:pPr>
              <w:pStyle w:val="14"/>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156" w:beforeAutospacing="0" w:after="120" w:afterAutospacing="0" w:line="360" w:lineRule="auto"/>
              <w:ind w:left="0" w:right="0" w:firstLine="420"/>
              <w:jc w:val="left"/>
              <w:rPr>
                <w:rFonts w:hint="eastAsia" w:ascii="宋体" w:hAnsi="宋体" w:eastAsia="宋体" w:cs="宋体"/>
                <w:color w:val="auto"/>
                <w:spacing w:val="-5"/>
                <w:kern w:val="2"/>
                <w:sz w:val="24"/>
                <w:szCs w:val="24"/>
                <w:lang w:val="en-US" w:eastAsia="zh-CN" w:bidi="ar-SA"/>
              </w:rPr>
            </w:pPr>
          </w:p>
          <w:p w14:paraId="2148B758">
            <w:pPr>
              <w:pStyle w:val="30"/>
              <w:spacing w:line="360" w:lineRule="auto"/>
              <w:ind w:firstLine="480" w:firstLineChars="200"/>
              <w:rPr>
                <w:color w:val="auto"/>
                <w:lang w:eastAsia="zh-CN"/>
              </w:rPr>
            </w:pPr>
            <w:r>
              <w:rPr>
                <w:rFonts w:ascii="Times New Roman" w:hAnsi="Times New Roman" w:eastAsia="Times New Roman" w:cs="Times New Roman"/>
                <w:color w:val="auto"/>
                <w:lang w:eastAsia="zh-CN"/>
              </w:rPr>
              <w:t>b</w:t>
            </w:r>
            <w:r>
              <w:rPr>
                <w:color w:val="auto"/>
                <w:lang w:eastAsia="zh-CN"/>
              </w:rPr>
              <w:t>）管理要求</w:t>
            </w:r>
          </w:p>
          <w:p w14:paraId="2B84A6DA">
            <w:pPr>
              <w:pStyle w:val="30"/>
              <w:spacing w:line="360" w:lineRule="auto"/>
              <w:ind w:firstLine="460" w:firstLineChars="200"/>
              <w:rPr>
                <w:color w:val="auto"/>
                <w:lang w:eastAsia="zh-CN"/>
              </w:rPr>
            </w:pPr>
            <w:r>
              <w:rPr>
                <w:rFonts w:hint="eastAsia"/>
                <w:color w:val="auto"/>
                <w:spacing w:val="-5"/>
                <w:lang w:val="en-US" w:eastAsia="zh-CN"/>
              </w:rPr>
              <w:t>现有医疗废物暂存间拟拆除，本次新建医疗废物暂存间。</w:t>
            </w:r>
            <w:r>
              <w:rPr>
                <w:color w:val="auto"/>
                <w:spacing w:val="-5"/>
                <w:lang w:eastAsia="zh-CN"/>
              </w:rPr>
              <w:t>本项目危险废物执行《危险废物贮存污染控制标准》（</w:t>
            </w:r>
            <w:r>
              <w:rPr>
                <w:rFonts w:ascii="Times New Roman" w:hAnsi="Times New Roman" w:eastAsia="Times New Roman" w:cs="Times New Roman"/>
                <w:color w:val="auto"/>
                <w:spacing w:val="-5"/>
                <w:lang w:eastAsia="zh-CN"/>
              </w:rPr>
              <w:t>GB18597-2023</w:t>
            </w:r>
            <w:r>
              <w:rPr>
                <w:color w:val="auto"/>
                <w:spacing w:val="-5"/>
                <w:lang w:eastAsia="zh-CN"/>
              </w:rPr>
              <w:t>）、</w:t>
            </w:r>
            <w:r>
              <w:rPr>
                <w:color w:val="auto"/>
                <w:spacing w:val="-2"/>
                <w:lang w:eastAsia="zh-CN"/>
              </w:rPr>
              <w:t>《危险废物识别标志设置技术规范》（</w:t>
            </w:r>
            <w:r>
              <w:rPr>
                <w:rFonts w:ascii="Times New Roman" w:hAnsi="Times New Roman" w:eastAsia="Times New Roman" w:cs="Times New Roman"/>
                <w:color w:val="auto"/>
                <w:spacing w:val="-2"/>
                <w:lang w:eastAsia="zh-CN"/>
              </w:rPr>
              <w:t>HJ1276-20</w:t>
            </w:r>
            <w:r>
              <w:rPr>
                <w:rFonts w:ascii="Times New Roman" w:hAnsi="Times New Roman" w:eastAsia="Times New Roman" w:cs="Times New Roman"/>
                <w:color w:val="auto"/>
                <w:spacing w:val="-3"/>
                <w:lang w:eastAsia="zh-CN"/>
              </w:rPr>
              <w:t>22</w:t>
            </w:r>
            <w:r>
              <w:rPr>
                <w:color w:val="auto"/>
                <w:spacing w:val="-3"/>
                <w:lang w:eastAsia="zh-CN"/>
              </w:rPr>
              <w:t>）、《危险废物管理计划</w:t>
            </w:r>
            <w:r>
              <w:rPr>
                <w:color w:val="auto"/>
                <w:spacing w:val="-2"/>
                <w:lang w:eastAsia="zh-CN"/>
              </w:rPr>
              <w:t>和管理台账制定技术导则》（</w:t>
            </w:r>
            <w:r>
              <w:rPr>
                <w:rFonts w:ascii="Times New Roman" w:hAnsi="Times New Roman" w:eastAsia="Times New Roman" w:cs="Times New Roman"/>
                <w:color w:val="auto"/>
                <w:spacing w:val="-2"/>
                <w:lang w:eastAsia="zh-CN"/>
              </w:rPr>
              <w:t>HJ1259-2022</w:t>
            </w:r>
            <w:r>
              <w:rPr>
                <w:color w:val="auto"/>
                <w:spacing w:val="-3"/>
                <w:lang w:eastAsia="zh-CN"/>
              </w:rPr>
              <w:t>）、《危险废物转移管理办法》等</w:t>
            </w:r>
            <w:r>
              <w:rPr>
                <w:color w:val="auto"/>
                <w:spacing w:val="-5"/>
                <w:lang w:eastAsia="zh-CN"/>
              </w:rPr>
              <w:t>文件的管理要求，具体如下：</w:t>
            </w:r>
          </w:p>
          <w:p w14:paraId="33A46E55">
            <w:pPr>
              <w:pStyle w:val="30"/>
              <w:spacing w:line="360" w:lineRule="auto"/>
              <w:ind w:firstLine="470" w:firstLineChars="200"/>
              <w:rPr>
                <w:color w:val="auto"/>
                <w:lang w:eastAsia="zh-CN"/>
              </w:rPr>
            </w:pPr>
            <w:r>
              <w:rPr>
                <w:b/>
                <w:bCs/>
                <w:color w:val="auto"/>
                <w:spacing w:val="-3"/>
                <w:lang w:eastAsia="zh-CN"/>
              </w:rPr>
              <w:t>贮存设施污染控制要求：</w:t>
            </w:r>
          </w:p>
          <w:p w14:paraId="10DE40C1">
            <w:pPr>
              <w:pStyle w:val="30"/>
              <w:spacing w:line="360" w:lineRule="auto"/>
              <w:ind w:firstLine="480" w:firstLineChars="200"/>
              <w:rPr>
                <w:color w:val="auto"/>
                <w:lang w:eastAsia="zh-CN"/>
              </w:rPr>
            </w:pPr>
            <w:r>
              <w:rPr>
                <w:color w:val="auto"/>
                <w:lang w:eastAsia="zh-CN"/>
              </w:rPr>
              <w:t>①贮存设施应根据危险废物的形态、物理化学性质、包装形式和污染物迁移途径，采取必要的防风、防晒、防雨、防漏、防渗、防腐以及其他环境</w:t>
            </w:r>
            <w:r>
              <w:rPr>
                <w:color w:val="auto"/>
                <w:spacing w:val="-3"/>
                <w:lang w:eastAsia="zh-CN"/>
              </w:rPr>
              <w:t>污染防治措施，不应露天堆放危险废物。</w:t>
            </w:r>
          </w:p>
          <w:p w14:paraId="4B7882CF">
            <w:pPr>
              <w:pStyle w:val="30"/>
              <w:spacing w:line="360" w:lineRule="auto"/>
              <w:ind w:firstLine="480" w:firstLineChars="200"/>
              <w:rPr>
                <w:color w:val="auto"/>
                <w:lang w:eastAsia="zh-CN"/>
              </w:rPr>
            </w:pPr>
            <w:r>
              <w:rPr>
                <w:color w:val="auto"/>
                <w:lang w:eastAsia="zh-CN"/>
              </w:rPr>
              <w:t>②贮存设施应根据危险废物的类别、数量、形态、物理化学性质和污染</w:t>
            </w:r>
            <w:r>
              <w:rPr>
                <w:color w:val="auto"/>
                <w:spacing w:val="-2"/>
                <w:lang w:eastAsia="zh-CN"/>
              </w:rPr>
              <w:t>防治等要求设置必要的贮存分区，避免不相容的危险废物接触、混合。</w:t>
            </w:r>
          </w:p>
          <w:p w14:paraId="0EF74B81">
            <w:pPr>
              <w:pStyle w:val="30"/>
              <w:spacing w:line="360" w:lineRule="auto"/>
              <w:ind w:firstLine="480" w:firstLineChars="200"/>
              <w:rPr>
                <w:color w:val="auto"/>
                <w:lang w:eastAsia="zh-CN"/>
              </w:rPr>
            </w:pPr>
            <w:r>
              <w:rPr>
                <w:color w:val="auto"/>
                <w:lang w:eastAsia="zh-CN"/>
              </w:rPr>
              <w:t>③贮存设施或贮存分区内地面、墙面裙脚、堵截泄漏的围堰、接触危险</w:t>
            </w:r>
            <w:r>
              <w:rPr>
                <w:color w:val="auto"/>
                <w:spacing w:val="-2"/>
                <w:lang w:eastAsia="zh-CN"/>
              </w:rPr>
              <w:t>废物的隔板和墙体等应采用坚固的材料建造，表面无裂缝。</w:t>
            </w:r>
          </w:p>
          <w:p w14:paraId="243622B4">
            <w:pPr>
              <w:pStyle w:val="30"/>
              <w:spacing w:line="360" w:lineRule="auto"/>
              <w:ind w:firstLine="480" w:firstLineChars="200"/>
              <w:rPr>
                <w:color w:val="auto"/>
                <w:lang w:eastAsia="zh-CN"/>
              </w:rPr>
            </w:pPr>
            <w:r>
              <w:rPr>
                <w:color w:val="auto"/>
                <w:lang w:eastAsia="zh-CN"/>
              </w:rPr>
              <w:t>④贮存设施地面与裙脚应采取表面防渗措施；表面防渗材料应与所接触的物料或污染物相容，可采用抗渗混凝土、高密度聚乙烯膜、钠基膨润土防水毯或其他防渗性能等效的材料。贮存的危险废物直接接触地面的，还应进</w:t>
            </w:r>
            <w:r>
              <w:rPr>
                <w:color w:val="auto"/>
                <w:spacing w:val="-5"/>
                <w:lang w:eastAsia="zh-CN"/>
              </w:rPr>
              <w:t>行基础防渗，防渗层为至少</w:t>
            </w:r>
            <w:r>
              <w:rPr>
                <w:rFonts w:ascii="Times New Roman" w:hAnsi="Times New Roman" w:eastAsia="Times New Roman" w:cs="Times New Roman"/>
                <w:color w:val="auto"/>
                <w:spacing w:val="-5"/>
                <w:lang w:eastAsia="zh-CN"/>
              </w:rPr>
              <w:t>1m</w:t>
            </w:r>
            <w:r>
              <w:rPr>
                <w:color w:val="auto"/>
                <w:spacing w:val="-5"/>
                <w:lang w:eastAsia="zh-CN"/>
              </w:rPr>
              <w:t>厚黏土层（渗透系数不大于</w:t>
            </w:r>
            <w:r>
              <w:rPr>
                <w:rFonts w:ascii="Times New Roman" w:hAnsi="Times New Roman" w:eastAsia="Times New Roman" w:cs="Times New Roman"/>
                <w:color w:val="auto"/>
                <w:spacing w:val="-5"/>
                <w:lang w:eastAsia="zh-CN"/>
              </w:rPr>
              <w:t>10</w:t>
            </w:r>
            <w:r>
              <w:rPr>
                <w:rFonts w:ascii="Times New Roman" w:hAnsi="Times New Roman" w:eastAsia="Times New Roman" w:cs="Times New Roman"/>
                <w:color w:val="auto"/>
                <w:spacing w:val="-5"/>
                <w:position w:val="10"/>
                <w:sz w:val="16"/>
                <w:szCs w:val="16"/>
                <w:lang w:eastAsia="zh-CN"/>
              </w:rPr>
              <w:t>-7</w:t>
            </w:r>
            <w:r>
              <w:rPr>
                <w:rFonts w:ascii="Times New Roman" w:hAnsi="Times New Roman" w:eastAsia="Times New Roman" w:cs="Times New Roman"/>
                <w:color w:val="auto"/>
                <w:spacing w:val="-5"/>
                <w:lang w:eastAsia="zh-CN"/>
              </w:rPr>
              <w:t>cm/s</w:t>
            </w:r>
            <w:r>
              <w:rPr>
                <w:color w:val="auto"/>
                <w:spacing w:val="-9"/>
                <w:lang w:eastAsia="zh-CN"/>
              </w:rPr>
              <w:t>），</w:t>
            </w:r>
            <w:r>
              <w:rPr>
                <w:color w:val="auto"/>
                <w:spacing w:val="-5"/>
                <w:lang w:eastAsia="zh-CN"/>
              </w:rPr>
              <w:t>或至</w:t>
            </w:r>
            <w:r>
              <w:rPr>
                <w:color w:val="auto"/>
                <w:spacing w:val="-4"/>
                <w:lang w:eastAsia="zh-CN"/>
              </w:rPr>
              <w:t>少</w:t>
            </w:r>
            <w:r>
              <w:rPr>
                <w:rFonts w:ascii="Times New Roman" w:hAnsi="Times New Roman" w:eastAsia="Times New Roman" w:cs="Times New Roman"/>
                <w:color w:val="auto"/>
                <w:spacing w:val="-4"/>
                <w:lang w:eastAsia="zh-CN"/>
              </w:rPr>
              <w:t>2mm</w:t>
            </w:r>
            <w:r>
              <w:rPr>
                <w:color w:val="auto"/>
                <w:spacing w:val="-4"/>
                <w:lang w:eastAsia="zh-CN"/>
              </w:rPr>
              <w:t>厚高密度聚乙烯膜等人工防渗材料（渗透系数不大于</w:t>
            </w:r>
            <w:r>
              <w:rPr>
                <w:rFonts w:ascii="Times New Roman" w:hAnsi="Times New Roman" w:eastAsia="Times New Roman" w:cs="Times New Roman"/>
                <w:color w:val="auto"/>
                <w:spacing w:val="-4"/>
                <w:lang w:eastAsia="zh-CN"/>
              </w:rPr>
              <w:t>10</w:t>
            </w:r>
            <w:r>
              <w:rPr>
                <w:rFonts w:ascii="Times New Roman" w:hAnsi="Times New Roman" w:eastAsia="Times New Roman" w:cs="Times New Roman"/>
                <w:color w:val="auto"/>
                <w:spacing w:val="-4"/>
                <w:position w:val="10"/>
                <w:sz w:val="16"/>
                <w:szCs w:val="16"/>
                <w:lang w:eastAsia="zh-CN"/>
              </w:rPr>
              <w:t>-1</w:t>
            </w:r>
            <w:r>
              <w:rPr>
                <w:rFonts w:ascii="Times New Roman" w:hAnsi="Times New Roman" w:eastAsia="Times New Roman" w:cs="Times New Roman"/>
                <w:color w:val="auto"/>
                <w:spacing w:val="-5"/>
                <w:position w:val="10"/>
                <w:sz w:val="16"/>
                <w:szCs w:val="16"/>
                <w:lang w:eastAsia="zh-CN"/>
              </w:rPr>
              <w:t>0</w:t>
            </w:r>
            <w:r>
              <w:rPr>
                <w:rFonts w:ascii="Times New Roman" w:hAnsi="Times New Roman" w:eastAsia="Times New Roman" w:cs="Times New Roman"/>
                <w:color w:val="auto"/>
                <w:spacing w:val="-5"/>
                <w:lang w:eastAsia="zh-CN"/>
              </w:rPr>
              <w:t>cm/s</w:t>
            </w:r>
            <w:r>
              <w:rPr>
                <w:color w:val="auto"/>
                <w:spacing w:val="-28"/>
                <w:lang w:eastAsia="zh-CN"/>
              </w:rPr>
              <w:t>），</w:t>
            </w:r>
            <w:r>
              <w:rPr>
                <w:color w:val="auto"/>
                <w:spacing w:val="-5"/>
                <w:lang w:eastAsia="zh-CN"/>
              </w:rPr>
              <w:t>或</w:t>
            </w:r>
            <w:r>
              <w:rPr>
                <w:color w:val="auto"/>
                <w:spacing w:val="-4"/>
                <w:lang w:eastAsia="zh-CN"/>
              </w:rPr>
              <w:t>其他防渗性能等效的材料。</w:t>
            </w:r>
          </w:p>
          <w:p w14:paraId="7938680F">
            <w:pPr>
              <w:pStyle w:val="30"/>
              <w:spacing w:line="360" w:lineRule="auto"/>
              <w:ind w:firstLine="468" w:firstLineChars="200"/>
              <w:rPr>
                <w:color w:val="auto"/>
                <w:lang w:eastAsia="zh-CN"/>
              </w:rPr>
            </w:pPr>
            <w:r>
              <w:rPr>
                <w:color w:val="auto"/>
                <w:spacing w:val="-3"/>
                <w:lang w:eastAsia="zh-CN"/>
              </w:rPr>
              <w:t>⑤同一贮存设施宜采用相同的防渗、防腐工艺(包括防</w:t>
            </w:r>
            <w:r>
              <w:rPr>
                <w:color w:val="auto"/>
                <w:spacing w:val="-4"/>
                <w:lang w:eastAsia="zh-CN"/>
              </w:rPr>
              <w:t>渗、防腐结构或材</w:t>
            </w:r>
            <w:r>
              <w:rPr>
                <w:color w:val="auto"/>
                <w:spacing w:val="-3"/>
                <w:lang w:eastAsia="zh-CN"/>
              </w:rPr>
              <w:t>料)，防渗、防腐材料应覆盖所有可能与废物及其渗滤液、渗漏液等</w:t>
            </w:r>
            <w:r>
              <w:rPr>
                <w:color w:val="auto"/>
                <w:spacing w:val="-4"/>
                <w:lang w:eastAsia="zh-CN"/>
              </w:rPr>
              <w:t>接触的构</w:t>
            </w:r>
            <w:r>
              <w:rPr>
                <w:color w:val="auto"/>
                <w:spacing w:val="-2"/>
                <w:lang w:eastAsia="zh-CN"/>
              </w:rPr>
              <w:t>筑物表面;采用不同防渗、防腐工艺应分别建设贮存分区。</w:t>
            </w:r>
          </w:p>
          <w:p w14:paraId="0FE56F0E">
            <w:pPr>
              <w:pStyle w:val="30"/>
              <w:spacing w:line="360" w:lineRule="auto"/>
              <w:ind w:firstLine="472" w:firstLineChars="200"/>
              <w:rPr>
                <w:color w:val="auto"/>
                <w:spacing w:val="-2"/>
                <w:lang w:eastAsia="zh-CN"/>
              </w:rPr>
            </w:pPr>
            <w:r>
              <w:rPr>
                <w:color w:val="auto"/>
                <w:spacing w:val="-2"/>
                <w:lang w:eastAsia="zh-CN"/>
              </w:rPr>
              <w:t>⑥贮存设施应采取技术和管理措施，防止无关人员进入。</w:t>
            </w:r>
          </w:p>
          <w:p w14:paraId="2CB5E9DA">
            <w:pPr>
              <w:pStyle w:val="7"/>
              <w:spacing w:before="180" w:line="361" w:lineRule="auto"/>
              <w:ind w:left="115" w:right="27" w:firstLine="493"/>
              <w:jc w:val="both"/>
              <w:rPr>
                <w:color w:val="auto"/>
                <w:spacing w:val="-2"/>
                <w:lang w:eastAsia="zh-CN"/>
              </w:rPr>
            </w:pPr>
            <w:r>
              <w:rPr>
                <w:rFonts w:hint="eastAsia" w:ascii="Times New Roman" w:hAnsi="Times New Roman" w:eastAsia="宋体" w:cs="Times New Roman"/>
                <w:color w:val="auto"/>
                <w:kern w:val="2"/>
                <w:sz w:val="24"/>
                <w:szCs w:val="24"/>
                <w:lang w:val="en-US" w:eastAsia="zh-CN" w:bidi="ar-SA"/>
              </w:rPr>
              <w:t>医疗废物暂存间采用密闭容器储存，日产日清，并定时消毒，减少恶臭产生。医疗废物暂存间应设置独立的排风系统，废气经紫外线消毒+活性炭处理后引至屋顶排放，排放浓度满足《恶臭污染物排放标准》（GB14554-93）表2标准。</w:t>
            </w:r>
          </w:p>
          <w:p w14:paraId="6F8E4E41">
            <w:pPr>
              <w:pStyle w:val="30"/>
              <w:spacing w:line="360" w:lineRule="auto"/>
              <w:ind w:firstLine="470" w:firstLineChars="200"/>
              <w:rPr>
                <w:color w:val="auto"/>
                <w:lang w:eastAsia="zh-CN"/>
              </w:rPr>
            </w:pPr>
            <w:r>
              <w:rPr>
                <w:b/>
                <w:bCs/>
                <w:color w:val="auto"/>
                <w:spacing w:val="-3"/>
                <w:lang w:eastAsia="zh-CN"/>
              </w:rPr>
              <w:t>容器和包装物污染控制要求：</w:t>
            </w:r>
          </w:p>
          <w:p w14:paraId="06384A1E">
            <w:pPr>
              <w:spacing w:line="360" w:lineRule="auto"/>
              <w:ind w:firstLine="476" w:firstLineChars="200"/>
              <w:rPr>
                <w:rFonts w:hint="eastAsia"/>
                <w:b/>
                <w:color w:val="auto"/>
                <w:sz w:val="24"/>
              </w:rPr>
            </w:pPr>
            <w:r>
              <w:rPr>
                <w:color w:val="auto"/>
                <w:spacing w:val="-1"/>
                <w:sz w:val="24"/>
              </w:rPr>
              <w:t>①容器和包装物材质、内衬应与盛装的危险废物相容。</w:t>
            </w:r>
          </w:p>
          <w:p w14:paraId="23C02153">
            <w:pPr>
              <w:pStyle w:val="30"/>
              <w:spacing w:line="360" w:lineRule="auto"/>
              <w:ind w:firstLine="480" w:firstLineChars="200"/>
              <w:rPr>
                <w:color w:val="auto"/>
                <w:lang w:eastAsia="zh-CN"/>
              </w:rPr>
            </w:pPr>
            <w:r>
              <w:rPr>
                <w:color w:val="auto"/>
                <w:lang w:eastAsia="zh-CN"/>
              </w:rPr>
              <w:t>②针对不同类别、形态、物理化学性质的危险废物，其容器和包装物应</w:t>
            </w:r>
            <w:r>
              <w:rPr>
                <w:color w:val="auto"/>
                <w:spacing w:val="-1"/>
                <w:lang w:eastAsia="zh-CN"/>
              </w:rPr>
              <w:t>满足相应的防渗、防漏、防腐和强度等要求。</w:t>
            </w:r>
          </w:p>
          <w:p w14:paraId="70E970F9">
            <w:pPr>
              <w:pStyle w:val="30"/>
              <w:spacing w:line="360" w:lineRule="auto"/>
              <w:ind w:firstLine="480" w:firstLineChars="200"/>
              <w:rPr>
                <w:color w:val="auto"/>
                <w:lang w:eastAsia="zh-CN"/>
              </w:rPr>
            </w:pPr>
            <w:r>
              <w:rPr>
                <w:color w:val="auto"/>
                <w:lang w:eastAsia="zh-CN"/>
              </w:rPr>
              <w:t>③硬质容器和包装物及其支护结构堆叠码放时不应有明显变形，无破损</w:t>
            </w:r>
            <w:r>
              <w:rPr>
                <w:color w:val="auto"/>
                <w:spacing w:val="-5"/>
                <w:lang w:eastAsia="zh-CN"/>
              </w:rPr>
              <w:t>泄漏。</w:t>
            </w:r>
          </w:p>
          <w:p w14:paraId="7784AC7C">
            <w:pPr>
              <w:pStyle w:val="30"/>
              <w:spacing w:line="360" w:lineRule="auto"/>
              <w:ind w:firstLine="476" w:firstLineChars="200"/>
              <w:rPr>
                <w:color w:val="auto"/>
                <w:lang w:eastAsia="zh-CN"/>
              </w:rPr>
            </w:pPr>
            <w:r>
              <w:rPr>
                <w:color w:val="auto"/>
                <w:spacing w:val="-1"/>
                <w:lang w:eastAsia="zh-CN"/>
              </w:rPr>
              <w:t>④柔性容器和包装物堆叠码放时应封口严密，无破损泄漏。</w:t>
            </w:r>
          </w:p>
          <w:p w14:paraId="45D14F86">
            <w:pPr>
              <w:pStyle w:val="30"/>
              <w:spacing w:line="360" w:lineRule="auto"/>
              <w:ind w:firstLine="452" w:firstLineChars="200"/>
              <w:rPr>
                <w:color w:val="auto"/>
                <w:lang w:eastAsia="zh-CN"/>
              </w:rPr>
            </w:pPr>
            <w:r>
              <w:rPr>
                <w:color w:val="auto"/>
                <w:spacing w:val="-7"/>
                <w:lang w:eastAsia="zh-CN"/>
              </w:rPr>
              <w:t>⑤使用容器盛装液态、半固态危险废物时，容器内部应留有适当</w:t>
            </w:r>
            <w:r>
              <w:rPr>
                <w:color w:val="auto"/>
                <w:spacing w:val="-8"/>
                <w:lang w:eastAsia="zh-CN"/>
              </w:rPr>
              <w:t>的空间，</w:t>
            </w:r>
            <w:r>
              <w:rPr>
                <w:color w:val="auto"/>
                <w:lang w:eastAsia="zh-CN"/>
              </w:rPr>
              <w:t>以适应因温度变化等可能引发的收缩和膨胀，防止其导致容器渗漏或永久变</w:t>
            </w:r>
            <w:r>
              <w:rPr>
                <w:color w:val="auto"/>
                <w:spacing w:val="-12"/>
                <w:lang w:eastAsia="zh-CN"/>
              </w:rPr>
              <w:t>形。</w:t>
            </w:r>
          </w:p>
          <w:p w14:paraId="1F5C3D7B">
            <w:pPr>
              <w:pStyle w:val="30"/>
              <w:spacing w:line="360" w:lineRule="auto"/>
              <w:ind w:firstLine="468" w:firstLineChars="200"/>
              <w:rPr>
                <w:color w:val="auto"/>
                <w:lang w:eastAsia="zh-CN"/>
              </w:rPr>
            </w:pPr>
            <w:r>
              <w:rPr>
                <w:color w:val="auto"/>
                <w:spacing w:val="-3"/>
                <w:lang w:eastAsia="zh-CN"/>
              </w:rPr>
              <w:t>⑥容器和包装物外表面应保持清洁。</w:t>
            </w:r>
          </w:p>
          <w:p w14:paraId="17C703E4">
            <w:pPr>
              <w:pStyle w:val="30"/>
              <w:spacing w:line="360" w:lineRule="auto"/>
              <w:ind w:firstLine="470" w:firstLineChars="200"/>
              <w:rPr>
                <w:color w:val="auto"/>
                <w:lang w:eastAsia="zh-CN"/>
              </w:rPr>
            </w:pPr>
            <w:r>
              <w:rPr>
                <w:b/>
                <w:bCs/>
                <w:color w:val="auto"/>
                <w:spacing w:val="-3"/>
                <w:lang w:eastAsia="zh-CN"/>
              </w:rPr>
              <w:t>贮存过程污染控制要求：</w:t>
            </w:r>
          </w:p>
          <w:p w14:paraId="2A23E32B">
            <w:pPr>
              <w:pStyle w:val="30"/>
              <w:spacing w:line="360" w:lineRule="auto"/>
              <w:ind w:firstLine="476" w:firstLineChars="200"/>
              <w:rPr>
                <w:color w:val="auto"/>
                <w:lang w:eastAsia="zh-CN"/>
              </w:rPr>
            </w:pPr>
            <w:r>
              <w:rPr>
                <w:color w:val="auto"/>
                <w:spacing w:val="-1"/>
                <w:lang w:eastAsia="zh-CN"/>
              </w:rPr>
              <w:t>①在常温常压下不易水解、不易挥发的固态危险废物可分类</w:t>
            </w:r>
            <w:r>
              <w:rPr>
                <w:color w:val="auto"/>
                <w:spacing w:val="-2"/>
                <w:lang w:eastAsia="zh-CN"/>
              </w:rPr>
              <w:t>堆放贮存，其他固态危险废物应装入容器或包装物内贮</w:t>
            </w:r>
            <w:r>
              <w:rPr>
                <w:color w:val="auto"/>
                <w:spacing w:val="-3"/>
                <w:lang w:eastAsia="zh-CN"/>
              </w:rPr>
              <w:t>存。</w:t>
            </w:r>
          </w:p>
          <w:p w14:paraId="155DB8BE">
            <w:pPr>
              <w:pStyle w:val="30"/>
              <w:spacing w:line="360" w:lineRule="auto"/>
              <w:jc w:val="center"/>
              <w:rPr>
                <w:color w:val="auto"/>
                <w:lang w:eastAsia="zh-CN"/>
              </w:rPr>
            </w:pPr>
            <w:r>
              <w:rPr>
                <w:color w:val="auto"/>
                <w:spacing w:val="-4"/>
                <w:lang w:eastAsia="zh-CN"/>
              </w:rPr>
              <w:t>②液态危险废物应装入容器内贮存，或直接采用</w:t>
            </w:r>
            <w:r>
              <w:rPr>
                <w:color w:val="auto"/>
                <w:spacing w:val="-5"/>
                <w:lang w:eastAsia="zh-CN"/>
              </w:rPr>
              <w:t>贮存池、贮存罐区贮存。</w:t>
            </w:r>
          </w:p>
          <w:p w14:paraId="018E465F">
            <w:pPr>
              <w:pStyle w:val="30"/>
              <w:spacing w:line="360" w:lineRule="auto"/>
              <w:jc w:val="center"/>
              <w:rPr>
                <w:color w:val="auto"/>
                <w:lang w:eastAsia="zh-CN"/>
              </w:rPr>
            </w:pPr>
            <w:r>
              <w:rPr>
                <w:color w:val="auto"/>
                <w:spacing w:val="-4"/>
                <w:lang w:eastAsia="zh-CN"/>
              </w:rPr>
              <w:t>③半固态危险废物应装入容器或包装袋内贮存，或直接采</w:t>
            </w:r>
            <w:r>
              <w:rPr>
                <w:color w:val="auto"/>
                <w:spacing w:val="-5"/>
                <w:lang w:eastAsia="zh-CN"/>
              </w:rPr>
              <w:t>用贮存池贮存。</w:t>
            </w:r>
          </w:p>
          <w:p w14:paraId="478B1AF7">
            <w:pPr>
              <w:pStyle w:val="30"/>
              <w:spacing w:line="360" w:lineRule="auto"/>
              <w:ind w:firstLine="476" w:firstLineChars="200"/>
              <w:rPr>
                <w:color w:val="auto"/>
                <w:lang w:eastAsia="zh-CN"/>
              </w:rPr>
            </w:pPr>
            <w:r>
              <w:rPr>
                <w:color w:val="auto"/>
                <w:spacing w:val="-1"/>
                <w:lang w:eastAsia="zh-CN"/>
              </w:rPr>
              <w:t>④具有热塑性的危险废物应装入容器或</w:t>
            </w:r>
            <w:r>
              <w:rPr>
                <w:rFonts w:hint="eastAsia"/>
                <w:color w:val="auto"/>
                <w:spacing w:val="-1"/>
                <w:lang w:eastAsia="zh-CN"/>
              </w:rPr>
              <w:t>包装袋</w:t>
            </w:r>
            <w:r>
              <w:rPr>
                <w:color w:val="auto"/>
                <w:spacing w:val="-1"/>
                <w:lang w:eastAsia="zh-CN"/>
              </w:rPr>
              <w:t>内进行贮存。</w:t>
            </w:r>
          </w:p>
          <w:p w14:paraId="6C2B887A">
            <w:pPr>
              <w:pStyle w:val="30"/>
              <w:spacing w:line="360" w:lineRule="auto"/>
              <w:ind w:firstLine="480" w:firstLineChars="200"/>
              <w:rPr>
                <w:color w:val="auto"/>
                <w:lang w:eastAsia="zh-CN"/>
              </w:rPr>
            </w:pPr>
            <w:r>
              <w:rPr>
                <w:color w:val="auto"/>
                <w:lang w:eastAsia="zh-CN"/>
              </w:rPr>
              <w:t>⑤易产生粉尘</w:t>
            </w:r>
            <w:r>
              <w:rPr>
                <w:rFonts w:hint="default" w:ascii="Times New Roman" w:hAnsi="Times New Roman" w:cs="Times New Roman"/>
                <w:color w:val="auto"/>
                <w:lang w:eastAsia="zh-CN"/>
              </w:rPr>
              <w:t>、VOCs、</w:t>
            </w:r>
            <w:r>
              <w:rPr>
                <w:color w:val="auto"/>
                <w:lang w:eastAsia="zh-CN"/>
              </w:rPr>
              <w:t>酸雾、有毒有害大气污染物和刺激性气味</w:t>
            </w:r>
            <w:r>
              <w:rPr>
                <w:color w:val="auto"/>
                <w:spacing w:val="-1"/>
                <w:lang w:eastAsia="zh-CN"/>
              </w:rPr>
              <w:t>气体的危险废物应装入闭口容器或包装物内贮存。</w:t>
            </w:r>
          </w:p>
          <w:p w14:paraId="2E0E8F10">
            <w:pPr>
              <w:pStyle w:val="30"/>
              <w:spacing w:line="360" w:lineRule="auto"/>
              <w:ind w:firstLine="480" w:firstLineChars="200"/>
              <w:rPr>
                <w:color w:val="auto"/>
                <w:lang w:eastAsia="zh-CN"/>
              </w:rPr>
            </w:pPr>
            <w:r>
              <w:rPr>
                <w:color w:val="auto"/>
                <w:lang w:eastAsia="zh-CN"/>
              </w:rPr>
              <w:t>⑥危险废物贮存过程中易产生粉尘等无组织排放的，应采取抑尘等有效</w:t>
            </w:r>
            <w:r>
              <w:rPr>
                <w:color w:val="auto"/>
                <w:spacing w:val="-4"/>
                <w:lang w:eastAsia="zh-CN"/>
              </w:rPr>
              <w:t>措施。</w:t>
            </w:r>
          </w:p>
          <w:p w14:paraId="273948B5">
            <w:pPr>
              <w:pStyle w:val="30"/>
              <w:keepNext w:val="0"/>
              <w:keepLines w:val="0"/>
              <w:pageBreakBefore w:val="0"/>
              <w:widowControl w:val="0"/>
              <w:kinsoku/>
              <w:wordWrap/>
              <w:overflowPunct/>
              <w:topLinePunct w:val="0"/>
              <w:autoSpaceDE/>
              <w:autoSpaceDN/>
              <w:bidi w:val="0"/>
              <w:adjustRightInd/>
              <w:snapToGrid/>
              <w:spacing w:line="360" w:lineRule="auto"/>
              <w:ind w:firstLine="470" w:firstLineChars="200"/>
              <w:textAlignment w:val="auto"/>
              <w:rPr>
                <w:color w:val="auto"/>
                <w:lang w:eastAsia="zh-CN"/>
              </w:rPr>
            </w:pPr>
            <w:r>
              <w:rPr>
                <w:b/>
                <w:bCs/>
                <w:color w:val="auto"/>
                <w:spacing w:val="-3"/>
                <w:lang w:eastAsia="zh-CN"/>
              </w:rPr>
              <w:t>危废贮存、处置场图形标准要求：</w:t>
            </w:r>
          </w:p>
          <w:p w14:paraId="00238A7D">
            <w:pPr>
              <w:pStyle w:val="30"/>
              <w:keepNext w:val="0"/>
              <w:keepLines w:val="0"/>
              <w:pageBreakBefore w:val="0"/>
              <w:widowControl w:val="0"/>
              <w:kinsoku/>
              <w:wordWrap/>
              <w:overflowPunct/>
              <w:topLinePunct w:val="0"/>
              <w:autoSpaceDE/>
              <w:autoSpaceDN/>
              <w:bidi w:val="0"/>
              <w:adjustRightInd/>
              <w:snapToGrid/>
              <w:spacing w:line="360" w:lineRule="auto"/>
              <w:ind w:firstLine="476" w:firstLineChars="200"/>
              <w:textAlignment w:val="auto"/>
              <w:rPr>
                <w:color w:val="auto"/>
                <w:lang w:eastAsia="zh-CN"/>
              </w:rPr>
            </w:pPr>
            <w:r>
              <w:rPr>
                <w:color w:val="auto"/>
                <w:spacing w:val="-1"/>
                <w:lang w:eastAsia="zh-CN"/>
              </w:rPr>
              <w:t>①危废贮存设施应按</w:t>
            </w:r>
            <w:r>
              <w:rPr>
                <w:rFonts w:ascii="Times New Roman" w:hAnsi="Times New Roman" w:eastAsia="Times New Roman" w:cs="Times New Roman"/>
                <w:color w:val="auto"/>
                <w:spacing w:val="-1"/>
                <w:lang w:eastAsia="zh-CN"/>
              </w:rPr>
              <w:t>HJ1276-2022</w:t>
            </w:r>
            <w:r>
              <w:rPr>
                <w:color w:val="auto"/>
                <w:spacing w:val="-2"/>
                <w:lang w:eastAsia="zh-CN"/>
              </w:rPr>
              <w:t>设置环保图形标志。</w:t>
            </w:r>
          </w:p>
          <w:p w14:paraId="4FE7785B">
            <w:pPr>
              <w:pStyle w:val="30"/>
              <w:keepNext w:val="0"/>
              <w:keepLines w:val="0"/>
              <w:pageBreakBefore w:val="0"/>
              <w:widowControl w:val="0"/>
              <w:kinsoku/>
              <w:wordWrap/>
              <w:overflowPunct/>
              <w:topLinePunct w:val="0"/>
              <w:autoSpaceDE/>
              <w:autoSpaceDN/>
              <w:bidi w:val="0"/>
              <w:adjustRightInd/>
              <w:snapToGrid/>
              <w:spacing w:line="360" w:lineRule="auto"/>
              <w:ind w:firstLine="468" w:firstLineChars="200"/>
              <w:textAlignment w:val="auto"/>
              <w:rPr>
                <w:color w:val="auto"/>
                <w:lang w:eastAsia="zh-CN"/>
              </w:rPr>
            </w:pPr>
            <w:r>
              <w:rPr>
                <w:color w:val="auto"/>
                <w:spacing w:val="-3"/>
                <w:lang w:eastAsia="zh-CN"/>
              </w:rPr>
              <w:t>②标志牌应设在与之功能相应的醒目处置。</w:t>
            </w:r>
          </w:p>
          <w:p w14:paraId="425B9F44">
            <w:pPr>
              <w:keepNext w:val="0"/>
              <w:keepLines w:val="0"/>
              <w:pageBreakBefore w:val="0"/>
              <w:widowControl w:val="0"/>
              <w:kinsoku/>
              <w:wordWrap/>
              <w:overflowPunct/>
              <w:topLinePunct w:val="0"/>
              <w:autoSpaceDE/>
              <w:autoSpaceDN/>
              <w:bidi w:val="0"/>
              <w:adjustRightInd/>
              <w:snapToGrid/>
              <w:spacing w:line="360" w:lineRule="auto"/>
              <w:ind w:firstLine="476" w:firstLineChars="200"/>
              <w:textAlignment w:val="auto"/>
              <w:rPr>
                <w:color w:val="auto"/>
                <w:spacing w:val="-1"/>
                <w:sz w:val="24"/>
              </w:rPr>
            </w:pPr>
            <w:r>
              <w:rPr>
                <w:color w:val="auto"/>
                <w:spacing w:val="-1"/>
                <w:sz w:val="24"/>
              </w:rPr>
              <w:t>③标志牌必须保持清晰、完整。当发现形象损坏、颜色污染或有变化、褪色等不符合本标准的情况，应及时修复或更换，检查时间至少每年一次。</w:t>
            </w:r>
          </w:p>
          <w:p w14:paraId="7C2C6D70">
            <w:pPr>
              <w:pStyle w:val="30"/>
              <w:keepNext w:val="0"/>
              <w:keepLines w:val="0"/>
              <w:pageBreakBefore w:val="0"/>
              <w:widowControl w:val="0"/>
              <w:kinsoku/>
              <w:wordWrap/>
              <w:overflowPunct/>
              <w:topLinePunct w:val="0"/>
              <w:autoSpaceDE/>
              <w:autoSpaceDN/>
              <w:bidi w:val="0"/>
              <w:adjustRightInd/>
              <w:snapToGrid/>
              <w:spacing w:line="360" w:lineRule="auto"/>
              <w:ind w:firstLine="470" w:firstLineChars="200"/>
              <w:textAlignment w:val="auto"/>
              <w:rPr>
                <w:color w:val="auto"/>
                <w:lang w:eastAsia="zh-CN"/>
              </w:rPr>
            </w:pPr>
            <w:r>
              <w:rPr>
                <w:b/>
                <w:bCs/>
                <w:color w:val="auto"/>
                <w:spacing w:val="-3"/>
                <w:lang w:eastAsia="zh-CN"/>
              </w:rPr>
              <w:t>危废台账和转移联单要求：</w:t>
            </w:r>
          </w:p>
          <w:p w14:paraId="33F8A293">
            <w:pPr>
              <w:pStyle w:val="3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lang w:eastAsia="zh-CN"/>
              </w:rPr>
            </w:pPr>
            <w:r>
              <w:rPr>
                <w:color w:val="auto"/>
                <w:lang w:eastAsia="zh-CN"/>
              </w:rPr>
              <w:t>①产生危险废物的单位应建立危险废物管理台账，落实危险废物管理台账记录的责任人，明确工作职责，并对危险废物管理台账的真实性、准确性</w:t>
            </w:r>
            <w:r>
              <w:rPr>
                <w:color w:val="auto"/>
                <w:spacing w:val="-4"/>
                <w:lang w:eastAsia="zh-CN"/>
              </w:rPr>
              <w:t>和完整性负法律责任。</w:t>
            </w:r>
          </w:p>
          <w:p w14:paraId="0F76C792">
            <w:pPr>
              <w:pStyle w:val="3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lang w:eastAsia="zh-CN"/>
              </w:rPr>
            </w:pPr>
            <w:r>
              <w:rPr>
                <w:color w:val="auto"/>
                <w:lang w:eastAsia="zh-CN"/>
              </w:rPr>
              <w:t>②产生危险废物的单位应根据危险废物产生、贮存、利用、处置等环节</w:t>
            </w:r>
            <w:r>
              <w:rPr>
                <w:color w:val="auto"/>
                <w:spacing w:val="29"/>
                <w:lang w:eastAsia="zh-CN"/>
              </w:rPr>
              <w:t>的动态流向，如实建立各环节的危险废物管理台账，记录内容参见</w:t>
            </w:r>
            <w:r>
              <w:rPr>
                <w:rFonts w:ascii="Times New Roman" w:hAnsi="Times New Roman" w:eastAsia="Times New Roman" w:cs="Times New Roman"/>
                <w:color w:val="auto"/>
                <w:spacing w:val="-3"/>
                <w:lang w:eastAsia="zh-CN"/>
              </w:rPr>
              <w:t>HJ1259-2022</w:t>
            </w:r>
            <w:r>
              <w:rPr>
                <w:color w:val="auto"/>
                <w:spacing w:val="-3"/>
                <w:lang w:eastAsia="zh-CN"/>
              </w:rPr>
              <w:t>附录</w:t>
            </w:r>
            <w:r>
              <w:rPr>
                <w:rFonts w:ascii="Times New Roman" w:hAnsi="Times New Roman" w:eastAsia="Times New Roman" w:cs="Times New Roman"/>
                <w:color w:val="auto"/>
                <w:spacing w:val="-3"/>
                <w:lang w:eastAsia="zh-CN"/>
              </w:rPr>
              <w:t>B</w:t>
            </w:r>
            <w:r>
              <w:rPr>
                <w:color w:val="auto"/>
                <w:spacing w:val="-3"/>
                <w:lang w:eastAsia="zh-CN"/>
              </w:rPr>
              <w:t>。</w:t>
            </w:r>
          </w:p>
          <w:p w14:paraId="7A6971D2">
            <w:pPr>
              <w:pStyle w:val="3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lang w:eastAsia="zh-CN"/>
              </w:rPr>
            </w:pPr>
            <w:r>
              <w:rPr>
                <w:color w:val="auto"/>
                <w:lang w:eastAsia="zh-CN"/>
              </w:rPr>
              <w:t>③危险废物管理台账分为电子管理台账和纸质管理台账两种形式。产生危险废物的单位可通过国家危险废物信息管理系统、企业自建信息管理系统</w:t>
            </w:r>
            <w:r>
              <w:rPr>
                <w:color w:val="auto"/>
                <w:spacing w:val="-3"/>
                <w:lang w:eastAsia="zh-CN"/>
              </w:rPr>
              <w:t>或第三方平台等方式记录电子管理台账。</w:t>
            </w:r>
          </w:p>
          <w:p w14:paraId="1705E361">
            <w:pPr>
              <w:pStyle w:val="30"/>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color w:val="auto"/>
                <w:lang w:eastAsia="zh-CN"/>
              </w:rPr>
            </w:pPr>
            <w:r>
              <w:rPr>
                <w:color w:val="auto"/>
                <w:spacing w:val="1"/>
                <w:lang w:eastAsia="zh-CN"/>
              </w:rPr>
              <w:t>④危险废物转移联单应当根据危险废物管理计</w:t>
            </w:r>
            <w:r>
              <w:rPr>
                <w:color w:val="auto"/>
                <w:lang w:eastAsia="zh-CN"/>
              </w:rPr>
              <w:t>划中填报的危险废物转移</w:t>
            </w:r>
            <w:r>
              <w:rPr>
                <w:color w:val="auto"/>
                <w:spacing w:val="-4"/>
                <w:lang w:eastAsia="zh-CN"/>
              </w:rPr>
              <w:t>等备案信息填写、运行。</w:t>
            </w:r>
          </w:p>
          <w:p w14:paraId="35D8BC40">
            <w:pPr>
              <w:pStyle w:val="30"/>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color w:val="auto"/>
                <w:lang w:eastAsia="zh-CN"/>
              </w:rPr>
            </w:pPr>
            <w:r>
              <w:rPr>
                <w:color w:val="auto"/>
                <w:spacing w:val="-4"/>
                <w:lang w:eastAsia="zh-CN"/>
              </w:rPr>
              <w:t>⑤危险废物转移联单实行全国统一编号，编号由十四位</w:t>
            </w:r>
            <w:r>
              <w:rPr>
                <w:color w:val="auto"/>
                <w:spacing w:val="-5"/>
                <w:lang w:eastAsia="zh-CN"/>
              </w:rPr>
              <w:t>阿拉伯数字组成。</w:t>
            </w:r>
            <w:r>
              <w:rPr>
                <w:color w:val="auto"/>
                <w:lang w:eastAsia="zh-CN"/>
              </w:rPr>
              <w:t>第一至四位数字为年份代码；第五、六位数字为移出地省级行政区划代码；第七、八位数字为移出地设区的市级行政区划代码；其余六位数字以移出地</w:t>
            </w:r>
            <w:r>
              <w:rPr>
                <w:color w:val="auto"/>
                <w:spacing w:val="-3"/>
                <w:lang w:eastAsia="zh-CN"/>
              </w:rPr>
              <w:t>设区的市级行政区域为单位进行流水编号。</w:t>
            </w:r>
          </w:p>
          <w:p w14:paraId="6EAA2420">
            <w:pPr>
              <w:pStyle w:val="30"/>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color w:val="auto"/>
                <w:lang w:eastAsia="zh-CN"/>
              </w:rPr>
            </w:pPr>
            <w:r>
              <w:rPr>
                <w:color w:val="auto"/>
                <w:spacing w:val="1"/>
                <w:lang w:eastAsia="zh-CN"/>
              </w:rPr>
              <w:t>⑥移出人每转移一车（船或者其他运输工具</w:t>
            </w:r>
            <w:r>
              <w:rPr>
                <w:color w:val="auto"/>
                <w:lang w:eastAsia="zh-CN"/>
              </w:rPr>
              <w:t>）次同类危险废物，应当填写、运行一份危险废物转移联单；每车（船或者其他运输工具）次转移多类危险废物的，可以填写、运行一份危险废物转移联单，也可以每一类危险废物填写、运行一份危险废物转移联单。使用同一车（船或者</w:t>
            </w:r>
            <w:r>
              <w:rPr>
                <w:color w:val="auto"/>
                <w:spacing w:val="-1"/>
                <w:lang w:eastAsia="zh-CN"/>
              </w:rPr>
              <w:t>其他运输工具）</w:t>
            </w:r>
            <w:r>
              <w:rPr>
                <w:color w:val="auto"/>
                <w:lang w:eastAsia="zh-CN"/>
              </w:rPr>
              <w:t>一次为多个移出人转移危险废物的，每个移出人应当分别填写、运行危险废</w:t>
            </w:r>
            <w:r>
              <w:rPr>
                <w:color w:val="auto"/>
                <w:spacing w:val="-6"/>
                <w:lang w:eastAsia="zh-CN"/>
              </w:rPr>
              <w:t>物转移联单。</w:t>
            </w:r>
          </w:p>
          <w:p w14:paraId="4C1D14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pacing w:val="-2"/>
                <w:sz w:val="24"/>
              </w:rPr>
            </w:pPr>
            <w:r>
              <w:rPr>
                <w:color w:val="auto"/>
                <w:sz w:val="24"/>
              </w:rPr>
              <w:t>⑦危险废物电子转移联单数据应当在信息系统中至少保存十年。因特殊原因无法运行危险废物电子转移联单的，可以先使用纸质转移联单，并于转</w:t>
            </w:r>
            <w:r>
              <w:rPr>
                <w:color w:val="auto"/>
                <w:spacing w:val="-2"/>
                <w:sz w:val="24"/>
              </w:rPr>
              <w:t>移活动完成后十个工作日内在信息系统中补录电子转移联单。</w:t>
            </w:r>
          </w:p>
          <w:p w14:paraId="0FB73935">
            <w:pPr>
              <w:pStyle w:val="30"/>
              <w:keepNext w:val="0"/>
              <w:keepLines w:val="0"/>
              <w:pageBreakBefore w:val="0"/>
              <w:widowControl w:val="0"/>
              <w:kinsoku/>
              <w:wordWrap/>
              <w:overflowPunct/>
              <w:topLinePunct w:val="0"/>
              <w:autoSpaceDE/>
              <w:autoSpaceDN/>
              <w:bidi w:val="0"/>
              <w:adjustRightInd/>
              <w:snapToGrid/>
              <w:spacing w:line="360" w:lineRule="auto"/>
              <w:ind w:left="106" w:right="14" w:firstLine="480"/>
              <w:textAlignment w:val="auto"/>
              <w:rPr>
                <w:color w:val="auto"/>
                <w:lang w:eastAsia="zh-CN"/>
              </w:rPr>
            </w:pPr>
            <w:r>
              <w:rPr>
                <w:color w:val="auto"/>
                <w:spacing w:val="1"/>
                <w:lang w:eastAsia="zh-CN"/>
              </w:rPr>
              <w:t>本项目医疗废物还应执行《医疗卫生机构医</w:t>
            </w:r>
            <w:r>
              <w:rPr>
                <w:color w:val="auto"/>
                <w:lang w:eastAsia="zh-CN"/>
              </w:rPr>
              <w:t>疗废物管理办法》（卫生部</w:t>
            </w:r>
            <w:r>
              <w:rPr>
                <w:color w:val="auto"/>
                <w:spacing w:val="-10"/>
                <w:lang w:eastAsia="zh-CN"/>
              </w:rPr>
              <w:t>令第</w:t>
            </w:r>
            <w:r>
              <w:rPr>
                <w:rFonts w:ascii="Times New Roman" w:hAnsi="Times New Roman" w:eastAsia="Times New Roman" w:cs="Times New Roman"/>
                <w:color w:val="auto"/>
                <w:spacing w:val="-10"/>
                <w:lang w:eastAsia="zh-CN"/>
              </w:rPr>
              <w:t>36</w:t>
            </w:r>
            <w:r>
              <w:rPr>
                <w:color w:val="auto"/>
                <w:spacing w:val="-10"/>
                <w:lang w:eastAsia="zh-CN"/>
              </w:rPr>
              <w:t>号）、《医疗废物集中处置技术规范（试行）》（环发</w:t>
            </w:r>
            <w:r>
              <w:rPr>
                <w:rFonts w:ascii="Times New Roman" w:hAnsi="Times New Roman" w:eastAsia="Times New Roman" w:cs="Times New Roman"/>
                <w:color w:val="auto"/>
                <w:spacing w:val="-10"/>
                <w:lang w:eastAsia="zh-CN"/>
              </w:rPr>
              <w:t>[2003]206</w:t>
            </w:r>
            <w:r>
              <w:rPr>
                <w:color w:val="auto"/>
                <w:spacing w:val="-10"/>
                <w:lang w:eastAsia="zh-CN"/>
              </w:rPr>
              <w:t>号）、</w:t>
            </w:r>
            <w:r>
              <w:rPr>
                <w:color w:val="auto"/>
                <w:spacing w:val="1"/>
                <w:lang w:eastAsia="zh-CN"/>
              </w:rPr>
              <w:t>《医疗废物专用包装袋、容器和警示标志标准》（</w:t>
            </w:r>
            <w:r>
              <w:rPr>
                <w:rFonts w:ascii="Times New Roman" w:hAnsi="Times New Roman" w:eastAsia="Times New Roman" w:cs="Times New Roman"/>
                <w:color w:val="auto"/>
                <w:lang w:eastAsia="zh-CN"/>
              </w:rPr>
              <w:t>HJ</w:t>
            </w:r>
            <w:r>
              <w:rPr>
                <w:rFonts w:ascii="Times New Roman" w:hAnsi="Times New Roman" w:eastAsia="Times New Roman" w:cs="Times New Roman"/>
                <w:color w:val="auto"/>
                <w:spacing w:val="1"/>
                <w:lang w:eastAsia="zh-CN"/>
              </w:rPr>
              <w:t>421-2008</w:t>
            </w:r>
            <w:r>
              <w:rPr>
                <w:color w:val="auto"/>
                <w:spacing w:val="1"/>
                <w:lang w:eastAsia="zh-CN"/>
              </w:rPr>
              <w:t>）</w:t>
            </w:r>
            <w:r>
              <w:rPr>
                <w:color w:val="auto"/>
                <w:lang w:eastAsia="zh-CN"/>
              </w:rPr>
              <w:t>等相关管理</w:t>
            </w:r>
            <w:r>
              <w:rPr>
                <w:color w:val="auto"/>
                <w:spacing w:val="-8"/>
                <w:lang w:eastAsia="zh-CN"/>
              </w:rPr>
              <w:t>要求，具体如下：</w:t>
            </w:r>
          </w:p>
          <w:p w14:paraId="41A18749">
            <w:pPr>
              <w:pStyle w:val="30"/>
              <w:keepNext w:val="0"/>
              <w:keepLines w:val="0"/>
              <w:pageBreakBefore w:val="0"/>
              <w:widowControl w:val="0"/>
              <w:kinsoku/>
              <w:wordWrap/>
              <w:overflowPunct/>
              <w:topLinePunct w:val="0"/>
              <w:autoSpaceDE/>
              <w:autoSpaceDN/>
              <w:bidi w:val="0"/>
              <w:adjustRightInd/>
              <w:snapToGrid/>
              <w:spacing w:line="360" w:lineRule="auto"/>
              <w:ind w:left="599"/>
              <w:textAlignment w:val="auto"/>
              <w:rPr>
                <w:color w:val="auto"/>
                <w:lang w:eastAsia="zh-CN"/>
              </w:rPr>
            </w:pPr>
            <w:r>
              <w:rPr>
                <w:b/>
                <w:bCs/>
                <w:color w:val="auto"/>
                <w:spacing w:val="-6"/>
                <w:lang w:eastAsia="zh-CN"/>
              </w:rPr>
              <w:t>医疗废物分类、收集过程管理要求：</w:t>
            </w:r>
          </w:p>
          <w:p w14:paraId="12F7DC77">
            <w:pPr>
              <w:pStyle w:val="30"/>
              <w:keepNext w:val="0"/>
              <w:keepLines w:val="0"/>
              <w:pageBreakBefore w:val="0"/>
              <w:widowControl w:val="0"/>
              <w:kinsoku/>
              <w:wordWrap/>
              <w:overflowPunct/>
              <w:topLinePunct w:val="0"/>
              <w:autoSpaceDE/>
              <w:autoSpaceDN/>
              <w:bidi w:val="0"/>
              <w:adjustRightInd/>
              <w:snapToGrid/>
              <w:spacing w:line="360" w:lineRule="auto"/>
              <w:ind w:left="110" w:right="104" w:firstLine="474"/>
              <w:textAlignment w:val="auto"/>
              <w:rPr>
                <w:color w:val="auto"/>
                <w:lang w:eastAsia="zh-CN"/>
              </w:rPr>
            </w:pPr>
            <w:r>
              <w:rPr>
                <w:color w:val="auto"/>
                <w:lang w:eastAsia="zh-CN"/>
              </w:rPr>
              <w:t>①医疗卫生机构应当根据《医疗废物分类目录》，对医疗废物实施分类</w:t>
            </w:r>
            <w:r>
              <w:rPr>
                <w:color w:val="auto"/>
                <w:spacing w:val="-11"/>
                <w:lang w:eastAsia="zh-CN"/>
              </w:rPr>
              <w:t>管理。</w:t>
            </w:r>
          </w:p>
          <w:p w14:paraId="6BA66412">
            <w:pPr>
              <w:pStyle w:val="30"/>
              <w:keepNext w:val="0"/>
              <w:keepLines w:val="0"/>
              <w:pageBreakBefore w:val="0"/>
              <w:widowControl w:val="0"/>
              <w:kinsoku/>
              <w:wordWrap/>
              <w:overflowPunct/>
              <w:topLinePunct w:val="0"/>
              <w:autoSpaceDE/>
              <w:autoSpaceDN/>
              <w:bidi w:val="0"/>
              <w:adjustRightInd/>
              <w:snapToGrid/>
              <w:spacing w:line="360" w:lineRule="auto"/>
              <w:ind w:left="108" w:right="21" w:firstLine="475"/>
              <w:textAlignment w:val="auto"/>
              <w:rPr>
                <w:color w:val="auto"/>
                <w:lang w:eastAsia="zh-CN"/>
              </w:rPr>
            </w:pPr>
            <w:r>
              <w:rPr>
                <w:color w:val="auto"/>
                <w:spacing w:val="-4"/>
                <w:lang w:eastAsia="zh-CN"/>
              </w:rPr>
              <w:t>②根据医疗废物的类别，将医疗废物分置于符</w:t>
            </w:r>
            <w:r>
              <w:rPr>
                <w:color w:val="auto"/>
                <w:spacing w:val="-5"/>
                <w:lang w:eastAsia="zh-CN"/>
              </w:rPr>
              <w:t>合《医疗废物专用包装物、</w:t>
            </w:r>
            <w:r>
              <w:rPr>
                <w:color w:val="auto"/>
                <w:spacing w:val="-2"/>
                <w:lang w:eastAsia="zh-CN"/>
              </w:rPr>
              <w:t>容器的标准和警示标识的规定》的包装物或者容器内。</w:t>
            </w:r>
          </w:p>
          <w:p w14:paraId="1CEFF5AF">
            <w:pPr>
              <w:pStyle w:val="30"/>
              <w:keepNext w:val="0"/>
              <w:keepLines w:val="0"/>
              <w:pageBreakBefore w:val="0"/>
              <w:widowControl w:val="0"/>
              <w:kinsoku/>
              <w:wordWrap/>
              <w:overflowPunct/>
              <w:topLinePunct w:val="0"/>
              <w:autoSpaceDE/>
              <w:autoSpaceDN/>
              <w:bidi w:val="0"/>
              <w:adjustRightInd/>
              <w:snapToGrid/>
              <w:spacing w:line="360" w:lineRule="auto"/>
              <w:ind w:left="105" w:right="156" w:firstLine="478"/>
              <w:textAlignment w:val="auto"/>
              <w:rPr>
                <w:color w:val="auto"/>
                <w:lang w:eastAsia="zh-CN"/>
              </w:rPr>
            </w:pPr>
            <w:r>
              <w:rPr>
                <w:color w:val="auto"/>
                <w:spacing w:val="-1"/>
                <w:lang w:eastAsia="zh-CN"/>
              </w:rPr>
              <w:t>③在盛装医疗废物前，应当对医疗废物包装物或者容器进行认</w:t>
            </w:r>
            <w:r>
              <w:rPr>
                <w:color w:val="auto"/>
                <w:spacing w:val="-2"/>
                <w:lang w:eastAsia="zh-CN"/>
              </w:rPr>
              <w:t>真检查，</w:t>
            </w:r>
            <w:r>
              <w:rPr>
                <w:color w:val="auto"/>
                <w:spacing w:val="-3"/>
                <w:lang w:eastAsia="zh-CN"/>
              </w:rPr>
              <w:t>确保无破损、渗漏和其他缺陷。</w:t>
            </w:r>
          </w:p>
          <w:p w14:paraId="41AE40D9">
            <w:pPr>
              <w:pStyle w:val="30"/>
              <w:keepNext w:val="0"/>
              <w:keepLines w:val="0"/>
              <w:pageBreakBefore w:val="0"/>
              <w:widowControl w:val="0"/>
              <w:kinsoku/>
              <w:wordWrap/>
              <w:overflowPunct/>
              <w:topLinePunct w:val="0"/>
              <w:autoSpaceDE/>
              <w:autoSpaceDN/>
              <w:bidi w:val="0"/>
              <w:adjustRightInd/>
              <w:snapToGrid/>
              <w:spacing w:line="360" w:lineRule="auto"/>
              <w:ind w:left="115" w:right="20" w:firstLine="468"/>
              <w:textAlignment w:val="auto"/>
              <w:rPr>
                <w:color w:val="auto"/>
                <w:lang w:eastAsia="zh-CN"/>
              </w:rPr>
            </w:pPr>
            <w:r>
              <w:rPr>
                <w:color w:val="auto"/>
                <w:lang w:eastAsia="zh-CN"/>
              </w:rPr>
              <w:t>④感染性废物、损伤性废物、药物性废物及化学性废物不</w:t>
            </w:r>
            <w:r>
              <w:rPr>
                <w:color w:val="auto"/>
                <w:spacing w:val="-6"/>
                <w:lang w:eastAsia="zh-CN"/>
              </w:rPr>
              <w:t>能混合收集。少量的药物性废物可以混入感染性废物</w:t>
            </w:r>
            <w:r>
              <w:rPr>
                <w:color w:val="auto"/>
                <w:spacing w:val="-7"/>
                <w:lang w:eastAsia="zh-CN"/>
              </w:rPr>
              <w:t>，但应当在标签上注明。</w:t>
            </w:r>
          </w:p>
          <w:p w14:paraId="4377C098">
            <w:pPr>
              <w:pStyle w:val="30"/>
              <w:keepNext w:val="0"/>
              <w:keepLines w:val="0"/>
              <w:pageBreakBefore w:val="0"/>
              <w:widowControl w:val="0"/>
              <w:kinsoku/>
              <w:wordWrap/>
              <w:overflowPunct/>
              <w:topLinePunct w:val="0"/>
              <w:autoSpaceDE/>
              <w:autoSpaceDN/>
              <w:bidi w:val="0"/>
              <w:adjustRightInd/>
              <w:snapToGrid/>
              <w:spacing w:line="360" w:lineRule="auto"/>
              <w:ind w:left="106" w:right="104" w:firstLine="477"/>
              <w:textAlignment w:val="auto"/>
              <w:rPr>
                <w:color w:val="auto"/>
                <w:lang w:eastAsia="zh-CN"/>
              </w:rPr>
            </w:pPr>
            <w:r>
              <w:rPr>
                <w:color w:val="auto"/>
                <w:lang w:eastAsia="zh-CN"/>
              </w:rPr>
              <w:t>⑤废弃的麻醉、精神、放射性、毒性等药品及其相关的废物的管理，依</w:t>
            </w:r>
            <w:r>
              <w:rPr>
                <w:color w:val="auto"/>
                <w:spacing w:val="-2"/>
                <w:lang w:eastAsia="zh-CN"/>
              </w:rPr>
              <w:t>照有关法律、行政法规和国家有关规定、标准执行。</w:t>
            </w:r>
          </w:p>
          <w:p w14:paraId="263AD90B">
            <w:pPr>
              <w:pStyle w:val="30"/>
              <w:keepNext w:val="0"/>
              <w:keepLines w:val="0"/>
              <w:pageBreakBefore w:val="0"/>
              <w:widowControl w:val="0"/>
              <w:kinsoku/>
              <w:wordWrap/>
              <w:overflowPunct/>
              <w:topLinePunct w:val="0"/>
              <w:autoSpaceDE/>
              <w:autoSpaceDN/>
              <w:bidi w:val="0"/>
              <w:adjustRightInd/>
              <w:snapToGrid/>
              <w:spacing w:line="360" w:lineRule="auto"/>
              <w:ind w:left="583"/>
              <w:textAlignment w:val="auto"/>
              <w:rPr>
                <w:color w:val="auto"/>
                <w:lang w:eastAsia="zh-CN"/>
              </w:rPr>
            </w:pPr>
            <w:r>
              <w:rPr>
                <w:color w:val="auto"/>
                <w:spacing w:val="-1"/>
                <w:lang w:eastAsia="zh-CN"/>
              </w:rPr>
              <w:t>⑥化学性废物中批量的废化学试剂、废消毒剂应</w:t>
            </w:r>
            <w:r>
              <w:rPr>
                <w:color w:val="auto"/>
                <w:spacing w:val="-2"/>
                <w:lang w:eastAsia="zh-CN"/>
              </w:rPr>
              <w:t>当交由专门机构处置。</w:t>
            </w:r>
          </w:p>
          <w:p w14:paraId="5D0EA7ED">
            <w:pPr>
              <w:pStyle w:val="30"/>
              <w:keepNext w:val="0"/>
              <w:keepLines w:val="0"/>
              <w:pageBreakBefore w:val="0"/>
              <w:widowControl w:val="0"/>
              <w:kinsoku/>
              <w:wordWrap/>
              <w:overflowPunct/>
              <w:topLinePunct w:val="0"/>
              <w:autoSpaceDE/>
              <w:autoSpaceDN/>
              <w:bidi w:val="0"/>
              <w:adjustRightInd/>
              <w:snapToGrid/>
              <w:spacing w:line="360" w:lineRule="auto"/>
              <w:ind w:left="108" w:right="104" w:firstLine="475"/>
              <w:textAlignment w:val="auto"/>
              <w:rPr>
                <w:color w:val="auto"/>
                <w:lang w:eastAsia="zh-CN"/>
              </w:rPr>
            </w:pPr>
            <w:r>
              <w:rPr>
                <w:color w:val="auto"/>
                <w:lang w:eastAsia="zh-CN"/>
              </w:rPr>
              <w:t>⑦批量的含有汞的体温计、血压计等医疗器具报废时，应当交由专门机</w:t>
            </w:r>
            <w:r>
              <w:rPr>
                <w:color w:val="auto"/>
                <w:spacing w:val="-9"/>
                <w:lang w:eastAsia="zh-CN"/>
              </w:rPr>
              <w:t>构处置。</w:t>
            </w:r>
          </w:p>
          <w:p w14:paraId="79372C4E">
            <w:pPr>
              <w:pStyle w:val="30"/>
              <w:keepNext w:val="0"/>
              <w:keepLines w:val="0"/>
              <w:pageBreakBefore w:val="0"/>
              <w:widowControl w:val="0"/>
              <w:kinsoku/>
              <w:wordWrap/>
              <w:overflowPunct/>
              <w:topLinePunct w:val="0"/>
              <w:autoSpaceDE/>
              <w:autoSpaceDN/>
              <w:bidi w:val="0"/>
              <w:adjustRightInd/>
              <w:snapToGrid/>
              <w:spacing w:line="360" w:lineRule="auto"/>
              <w:ind w:left="108" w:right="101" w:firstLine="475"/>
              <w:textAlignment w:val="auto"/>
              <w:rPr>
                <w:color w:val="auto"/>
                <w:lang w:eastAsia="zh-CN"/>
              </w:rPr>
            </w:pPr>
            <w:r>
              <w:rPr>
                <w:color w:val="auto"/>
                <w:spacing w:val="1"/>
                <w:lang w:eastAsia="zh-CN"/>
              </w:rPr>
              <w:t>⑧放入包装物或者容器内的感染性废物、病理</w:t>
            </w:r>
            <w:r>
              <w:rPr>
                <w:color w:val="auto"/>
                <w:lang w:eastAsia="zh-CN"/>
              </w:rPr>
              <w:t>性废物、损伤性废物不得</w:t>
            </w:r>
            <w:r>
              <w:rPr>
                <w:color w:val="auto"/>
                <w:spacing w:val="-11"/>
                <w:lang w:eastAsia="zh-CN"/>
              </w:rPr>
              <w:t>取出。</w:t>
            </w:r>
          </w:p>
          <w:p w14:paraId="5B68A154">
            <w:pPr>
              <w:pStyle w:val="30"/>
              <w:keepNext w:val="0"/>
              <w:keepLines w:val="0"/>
              <w:pageBreakBefore w:val="0"/>
              <w:widowControl w:val="0"/>
              <w:kinsoku/>
              <w:wordWrap/>
              <w:overflowPunct/>
              <w:topLinePunct w:val="0"/>
              <w:autoSpaceDE/>
              <w:autoSpaceDN/>
              <w:bidi w:val="0"/>
              <w:adjustRightInd/>
              <w:snapToGrid/>
              <w:spacing w:line="360" w:lineRule="auto"/>
              <w:ind w:left="599"/>
              <w:textAlignment w:val="auto"/>
              <w:rPr>
                <w:color w:val="auto"/>
                <w:lang w:eastAsia="zh-CN"/>
              </w:rPr>
            </w:pPr>
            <w:r>
              <w:rPr>
                <w:b/>
                <w:bCs/>
                <w:color w:val="auto"/>
                <w:spacing w:val="-6"/>
                <w:lang w:eastAsia="zh-CN"/>
              </w:rPr>
              <w:t>医疗废物贮存过程管理要求：</w:t>
            </w:r>
          </w:p>
          <w:p w14:paraId="3EA99356">
            <w:pPr>
              <w:pStyle w:val="30"/>
              <w:keepNext w:val="0"/>
              <w:keepLines w:val="0"/>
              <w:pageBreakBefore w:val="0"/>
              <w:widowControl w:val="0"/>
              <w:kinsoku/>
              <w:wordWrap/>
              <w:overflowPunct/>
              <w:topLinePunct w:val="0"/>
              <w:autoSpaceDE/>
              <w:autoSpaceDN/>
              <w:bidi w:val="0"/>
              <w:adjustRightInd/>
              <w:snapToGrid/>
              <w:spacing w:line="360" w:lineRule="auto"/>
              <w:ind w:left="106" w:right="103" w:firstLine="478"/>
              <w:textAlignment w:val="auto"/>
              <w:rPr>
                <w:color w:val="auto"/>
                <w:lang w:eastAsia="zh-CN"/>
              </w:rPr>
            </w:pPr>
            <w:r>
              <w:rPr>
                <w:color w:val="auto"/>
                <w:spacing w:val="-1"/>
                <w:lang w:eastAsia="zh-CN"/>
              </w:rPr>
              <w:t>①盛装的医疗废物达到包装物或者容器的</w:t>
            </w:r>
            <w:r>
              <w:rPr>
                <w:rFonts w:ascii="Times New Roman" w:hAnsi="Times New Roman" w:eastAsia="Times New Roman" w:cs="Times New Roman"/>
                <w:color w:val="auto"/>
                <w:spacing w:val="-1"/>
                <w:lang w:eastAsia="zh-CN"/>
              </w:rPr>
              <w:t>3/</w:t>
            </w:r>
            <w:r>
              <w:rPr>
                <w:rFonts w:ascii="Times New Roman" w:hAnsi="Times New Roman" w:eastAsia="Times New Roman" w:cs="Times New Roman"/>
                <w:color w:val="auto"/>
                <w:spacing w:val="-2"/>
                <w:lang w:eastAsia="zh-CN"/>
              </w:rPr>
              <w:t>4</w:t>
            </w:r>
            <w:r>
              <w:rPr>
                <w:color w:val="auto"/>
                <w:spacing w:val="-2"/>
                <w:lang w:eastAsia="zh-CN"/>
              </w:rPr>
              <w:t>时，应当使用有效的封口</w:t>
            </w:r>
            <w:r>
              <w:rPr>
                <w:color w:val="auto"/>
                <w:spacing w:val="-3"/>
                <w:lang w:eastAsia="zh-CN"/>
              </w:rPr>
              <w:t>方式，使包装物或者容器的封口紧实、严密。</w:t>
            </w:r>
          </w:p>
          <w:p w14:paraId="5EF48CCC">
            <w:pPr>
              <w:pStyle w:val="30"/>
              <w:keepNext w:val="0"/>
              <w:keepLines w:val="0"/>
              <w:pageBreakBefore w:val="0"/>
              <w:widowControl w:val="0"/>
              <w:kinsoku/>
              <w:wordWrap/>
              <w:overflowPunct/>
              <w:topLinePunct w:val="0"/>
              <w:autoSpaceDE/>
              <w:autoSpaceDN/>
              <w:bidi w:val="0"/>
              <w:adjustRightInd/>
              <w:snapToGrid/>
              <w:spacing w:line="360" w:lineRule="auto"/>
              <w:ind w:left="110" w:right="104" w:firstLine="473"/>
              <w:textAlignment w:val="auto"/>
              <w:rPr>
                <w:color w:val="auto"/>
                <w:lang w:eastAsia="zh-CN"/>
              </w:rPr>
            </w:pPr>
            <w:r>
              <w:rPr>
                <w:color w:val="auto"/>
                <w:lang w:eastAsia="zh-CN"/>
              </w:rPr>
              <w:t>②包装物或者容器的外表面被感染性废物污染时，应当对被污染处进行</w:t>
            </w:r>
            <w:r>
              <w:rPr>
                <w:color w:val="auto"/>
                <w:spacing w:val="-4"/>
                <w:lang w:eastAsia="zh-CN"/>
              </w:rPr>
              <w:t>消毒处理或者增加一层包装。</w:t>
            </w:r>
          </w:p>
          <w:p w14:paraId="73C07F82">
            <w:pPr>
              <w:pStyle w:val="30"/>
              <w:keepNext w:val="0"/>
              <w:keepLines w:val="0"/>
              <w:pageBreakBefore w:val="0"/>
              <w:widowControl w:val="0"/>
              <w:kinsoku/>
              <w:wordWrap/>
              <w:overflowPunct/>
              <w:topLinePunct w:val="0"/>
              <w:autoSpaceDE/>
              <w:autoSpaceDN/>
              <w:bidi w:val="0"/>
              <w:adjustRightInd/>
              <w:snapToGrid/>
              <w:spacing w:line="360" w:lineRule="auto"/>
              <w:ind w:left="105" w:right="111" w:firstLine="480" w:firstLineChars="200"/>
              <w:textAlignment w:val="auto"/>
              <w:rPr>
                <w:color w:val="auto"/>
                <w:lang w:eastAsia="zh-CN"/>
              </w:rPr>
            </w:pPr>
            <w:r>
              <w:rPr>
                <w:color w:val="auto"/>
                <w:lang w:eastAsia="zh-CN"/>
              </w:rPr>
              <w:t>③盛装医疗废物的每个包装物、容器外表面应当有警示标识，在每个包装物、容器上应当系中文标签，中文标签的内容应当包括：医疗废物产生单</w:t>
            </w:r>
            <w:r>
              <w:rPr>
                <w:color w:val="auto"/>
                <w:spacing w:val="-3"/>
                <w:lang w:eastAsia="zh-CN"/>
              </w:rPr>
              <w:t>位、产生日期、类别及需要的特别说明等。</w:t>
            </w:r>
          </w:p>
          <w:p w14:paraId="41D894F5">
            <w:pPr>
              <w:pStyle w:val="30"/>
              <w:keepNext w:val="0"/>
              <w:keepLines w:val="0"/>
              <w:pageBreakBefore w:val="0"/>
              <w:widowControl w:val="0"/>
              <w:kinsoku/>
              <w:wordWrap/>
              <w:overflowPunct/>
              <w:topLinePunct w:val="0"/>
              <w:autoSpaceDE/>
              <w:autoSpaceDN/>
              <w:bidi w:val="0"/>
              <w:adjustRightInd/>
              <w:snapToGrid/>
              <w:spacing w:line="360" w:lineRule="auto"/>
              <w:ind w:left="599"/>
              <w:textAlignment w:val="auto"/>
              <w:rPr>
                <w:color w:val="auto"/>
                <w:lang w:eastAsia="zh-CN"/>
              </w:rPr>
            </w:pPr>
            <w:r>
              <w:rPr>
                <w:b/>
                <w:bCs/>
                <w:color w:val="auto"/>
                <w:spacing w:val="-6"/>
                <w:lang w:eastAsia="zh-CN"/>
              </w:rPr>
              <w:t>医疗废物转移过程管理要求：</w:t>
            </w:r>
          </w:p>
          <w:p w14:paraId="49A5B664">
            <w:pPr>
              <w:pStyle w:val="30"/>
              <w:keepNext w:val="0"/>
              <w:keepLines w:val="0"/>
              <w:pageBreakBefore w:val="0"/>
              <w:widowControl w:val="0"/>
              <w:kinsoku/>
              <w:wordWrap/>
              <w:overflowPunct/>
              <w:topLinePunct w:val="0"/>
              <w:autoSpaceDE/>
              <w:autoSpaceDN/>
              <w:bidi w:val="0"/>
              <w:adjustRightInd/>
              <w:snapToGrid/>
              <w:spacing w:line="360" w:lineRule="auto"/>
              <w:ind w:left="117" w:right="104" w:firstLine="467"/>
              <w:textAlignment w:val="auto"/>
              <w:rPr>
                <w:color w:val="auto"/>
                <w:lang w:eastAsia="zh-CN"/>
              </w:rPr>
            </w:pPr>
            <w:r>
              <w:rPr>
                <w:color w:val="auto"/>
                <w:lang w:eastAsia="zh-CN"/>
              </w:rPr>
              <w:t>①运送人员每天从医疗废物产生地点将分类包装的医疗废物按照规定的</w:t>
            </w:r>
            <w:r>
              <w:rPr>
                <w:color w:val="auto"/>
                <w:spacing w:val="-3"/>
                <w:lang w:eastAsia="zh-CN"/>
              </w:rPr>
              <w:t>时间和路线运送至内部指定的暂时贮存地点。</w:t>
            </w:r>
          </w:p>
          <w:p w14:paraId="54533540">
            <w:pPr>
              <w:pStyle w:val="30"/>
              <w:keepNext w:val="0"/>
              <w:keepLines w:val="0"/>
              <w:pageBreakBefore w:val="0"/>
              <w:widowControl w:val="0"/>
              <w:kinsoku/>
              <w:wordWrap/>
              <w:overflowPunct/>
              <w:topLinePunct w:val="0"/>
              <w:autoSpaceDE/>
              <w:autoSpaceDN/>
              <w:bidi w:val="0"/>
              <w:adjustRightInd/>
              <w:snapToGrid/>
              <w:spacing w:line="360" w:lineRule="auto"/>
              <w:ind w:left="104" w:right="104" w:firstLine="479"/>
              <w:textAlignment w:val="auto"/>
              <w:rPr>
                <w:color w:val="auto"/>
                <w:lang w:eastAsia="zh-CN"/>
              </w:rPr>
            </w:pPr>
            <w:r>
              <w:rPr>
                <w:color w:val="auto"/>
                <w:lang w:eastAsia="zh-CN"/>
              </w:rPr>
              <w:t>②运送人员在运送医疗废物前，应当检查包装物或者容器的标识、标签</w:t>
            </w:r>
            <w:r>
              <w:rPr>
                <w:color w:val="auto"/>
                <w:spacing w:val="-1"/>
                <w:lang w:eastAsia="zh-CN"/>
              </w:rPr>
              <w:t>及封口是否符合要求，不得将不符合要求的医疗废物运</w:t>
            </w:r>
            <w:r>
              <w:rPr>
                <w:color w:val="auto"/>
                <w:spacing w:val="-2"/>
                <w:lang w:eastAsia="zh-CN"/>
              </w:rPr>
              <w:t>送至暂时贮存地点。</w:t>
            </w:r>
          </w:p>
          <w:p w14:paraId="37F1A1DE">
            <w:pPr>
              <w:pStyle w:val="30"/>
              <w:keepNext w:val="0"/>
              <w:keepLines w:val="0"/>
              <w:pageBreakBefore w:val="0"/>
              <w:widowControl w:val="0"/>
              <w:kinsoku/>
              <w:wordWrap/>
              <w:overflowPunct/>
              <w:topLinePunct w:val="0"/>
              <w:autoSpaceDE/>
              <w:autoSpaceDN/>
              <w:bidi w:val="0"/>
              <w:adjustRightInd/>
              <w:snapToGrid/>
              <w:spacing w:line="360" w:lineRule="auto"/>
              <w:ind w:left="104" w:right="104" w:firstLine="479"/>
              <w:textAlignment w:val="auto"/>
              <w:rPr>
                <w:color w:val="auto"/>
                <w:lang w:eastAsia="zh-CN"/>
              </w:rPr>
            </w:pPr>
            <w:r>
              <w:rPr>
                <w:color w:val="auto"/>
                <w:lang w:eastAsia="zh-CN"/>
              </w:rPr>
              <w:t>③运送人员在运送医疗废物时，应当防止造成包装物或容器破损和医疗</w:t>
            </w:r>
            <w:r>
              <w:rPr>
                <w:color w:val="auto"/>
                <w:spacing w:val="-2"/>
                <w:lang w:eastAsia="zh-CN"/>
              </w:rPr>
              <w:t>废物的流失、泄漏和扩散，并防止医疗废物直接接触身体。</w:t>
            </w:r>
          </w:p>
          <w:p w14:paraId="4ED49B97">
            <w:pPr>
              <w:pStyle w:val="30"/>
              <w:keepNext w:val="0"/>
              <w:keepLines w:val="0"/>
              <w:pageBreakBefore w:val="0"/>
              <w:widowControl w:val="0"/>
              <w:kinsoku/>
              <w:wordWrap/>
              <w:overflowPunct/>
              <w:topLinePunct w:val="0"/>
              <w:autoSpaceDE/>
              <w:autoSpaceDN/>
              <w:bidi w:val="0"/>
              <w:adjustRightInd/>
              <w:snapToGrid/>
              <w:spacing w:line="360" w:lineRule="auto"/>
              <w:ind w:left="109" w:right="104" w:firstLine="474"/>
              <w:textAlignment w:val="auto"/>
              <w:rPr>
                <w:color w:val="auto"/>
                <w:lang w:eastAsia="zh-CN"/>
              </w:rPr>
            </w:pPr>
            <w:r>
              <w:rPr>
                <w:color w:val="auto"/>
                <w:lang w:eastAsia="zh-CN"/>
              </w:rPr>
              <w:t>④运送医疗废物应当使用防渗漏、防遗撒、无锐利边角、易于装卸和清洁的专用运送工具。每天运送工作结束后，应当对运送工具及时进行清洁和</w:t>
            </w:r>
            <w:r>
              <w:rPr>
                <w:color w:val="auto"/>
                <w:spacing w:val="-11"/>
                <w:lang w:eastAsia="zh-CN"/>
              </w:rPr>
              <w:t>消毒。</w:t>
            </w:r>
          </w:p>
          <w:p w14:paraId="49C788FD">
            <w:pPr>
              <w:pStyle w:val="30"/>
              <w:keepNext w:val="0"/>
              <w:keepLines w:val="0"/>
              <w:pageBreakBefore w:val="0"/>
              <w:widowControl w:val="0"/>
              <w:kinsoku/>
              <w:wordWrap/>
              <w:overflowPunct/>
              <w:topLinePunct w:val="0"/>
              <w:autoSpaceDE/>
              <w:autoSpaceDN/>
              <w:bidi w:val="0"/>
              <w:adjustRightInd/>
              <w:snapToGrid/>
              <w:spacing w:line="360" w:lineRule="auto"/>
              <w:ind w:left="599"/>
              <w:textAlignment w:val="auto"/>
              <w:rPr>
                <w:color w:val="auto"/>
                <w:lang w:eastAsia="zh-CN"/>
              </w:rPr>
            </w:pPr>
            <w:r>
              <w:rPr>
                <w:b/>
                <w:bCs/>
                <w:color w:val="auto"/>
                <w:spacing w:val="-6"/>
                <w:lang w:eastAsia="zh-CN"/>
              </w:rPr>
              <w:t>医疗废物处置过程管理要求：</w:t>
            </w:r>
          </w:p>
          <w:p w14:paraId="4AF56CA1">
            <w:pPr>
              <w:pStyle w:val="30"/>
              <w:keepNext w:val="0"/>
              <w:keepLines w:val="0"/>
              <w:pageBreakBefore w:val="0"/>
              <w:widowControl w:val="0"/>
              <w:kinsoku/>
              <w:wordWrap/>
              <w:overflowPunct/>
              <w:topLinePunct w:val="0"/>
              <w:autoSpaceDE/>
              <w:autoSpaceDN/>
              <w:bidi w:val="0"/>
              <w:adjustRightInd/>
              <w:snapToGrid/>
              <w:spacing w:line="360" w:lineRule="auto"/>
              <w:ind w:left="104" w:right="104" w:firstLine="480"/>
              <w:textAlignment w:val="auto"/>
              <w:rPr>
                <w:color w:val="auto"/>
                <w:lang w:eastAsia="zh-CN"/>
              </w:rPr>
            </w:pPr>
            <w:r>
              <w:rPr>
                <w:color w:val="auto"/>
                <w:lang w:eastAsia="zh-CN"/>
              </w:rPr>
              <w:t>①医疗卫生机构应当将医疗废物交由取得县级以上人民政府环境保护行政主管部门许可的医疗废物集中处置单位处置，依照危险废物转移联单制度</w:t>
            </w:r>
            <w:r>
              <w:rPr>
                <w:color w:val="auto"/>
                <w:spacing w:val="-4"/>
                <w:lang w:eastAsia="zh-CN"/>
              </w:rPr>
              <w:t>填写和保存转移联单。</w:t>
            </w:r>
          </w:p>
          <w:p w14:paraId="38785867">
            <w:pPr>
              <w:pStyle w:val="30"/>
              <w:keepNext w:val="0"/>
              <w:keepLines w:val="0"/>
              <w:pageBreakBefore w:val="0"/>
              <w:widowControl w:val="0"/>
              <w:kinsoku/>
              <w:wordWrap/>
              <w:overflowPunct/>
              <w:topLinePunct w:val="0"/>
              <w:autoSpaceDE/>
              <w:autoSpaceDN/>
              <w:bidi w:val="0"/>
              <w:adjustRightInd/>
              <w:snapToGrid/>
              <w:spacing w:line="360" w:lineRule="auto"/>
              <w:ind w:left="110" w:right="19" w:firstLine="473"/>
              <w:textAlignment w:val="auto"/>
              <w:rPr>
                <w:color w:val="auto"/>
                <w:lang w:eastAsia="zh-CN"/>
              </w:rPr>
            </w:pPr>
            <w:r>
              <w:rPr>
                <w:color w:val="auto"/>
                <w:lang w:eastAsia="zh-CN"/>
              </w:rPr>
              <w:t>②医疗卫生机构应当对医疗废物进行登记，登记内容应当包括医疗废物</w:t>
            </w:r>
            <w:r>
              <w:rPr>
                <w:color w:val="auto"/>
                <w:spacing w:val="-4"/>
                <w:lang w:eastAsia="zh-CN"/>
              </w:rPr>
              <w:t>的来源、种类、重量或者数量、交接时间、最终去向以及经</w:t>
            </w:r>
            <w:r>
              <w:rPr>
                <w:color w:val="auto"/>
                <w:spacing w:val="-5"/>
                <w:lang w:eastAsia="zh-CN"/>
              </w:rPr>
              <w:t>办人签名等项目。</w:t>
            </w:r>
            <w:r>
              <w:rPr>
                <w:color w:val="auto"/>
                <w:spacing w:val="-3"/>
                <w:lang w:eastAsia="zh-CN"/>
              </w:rPr>
              <w:t>登记资料至少保存</w:t>
            </w:r>
            <w:r>
              <w:rPr>
                <w:rFonts w:ascii="Times New Roman" w:hAnsi="Times New Roman" w:eastAsia="Times New Roman" w:cs="Times New Roman"/>
                <w:color w:val="auto"/>
                <w:spacing w:val="-3"/>
                <w:lang w:eastAsia="zh-CN"/>
              </w:rPr>
              <w:t>3</w:t>
            </w:r>
            <w:r>
              <w:rPr>
                <w:color w:val="auto"/>
                <w:spacing w:val="-3"/>
                <w:lang w:eastAsia="zh-CN"/>
              </w:rPr>
              <w:t>年。</w:t>
            </w:r>
          </w:p>
          <w:p w14:paraId="7C6B5802">
            <w:pPr>
              <w:pStyle w:val="30"/>
              <w:keepNext w:val="0"/>
              <w:keepLines w:val="0"/>
              <w:pageBreakBefore w:val="0"/>
              <w:widowControl w:val="0"/>
              <w:kinsoku/>
              <w:wordWrap/>
              <w:overflowPunct/>
              <w:topLinePunct w:val="0"/>
              <w:autoSpaceDE/>
              <w:autoSpaceDN/>
              <w:bidi w:val="0"/>
              <w:adjustRightInd/>
              <w:snapToGrid/>
              <w:spacing w:line="360" w:lineRule="auto"/>
              <w:ind w:left="107" w:right="104" w:firstLine="476"/>
              <w:textAlignment w:val="auto"/>
              <w:rPr>
                <w:color w:val="auto"/>
                <w:lang w:eastAsia="zh-CN"/>
              </w:rPr>
            </w:pPr>
            <w:r>
              <w:rPr>
                <w:color w:val="auto"/>
                <w:lang w:eastAsia="zh-CN"/>
              </w:rPr>
              <w:t>③医疗废物转交出去后，应当对暂时贮存地点、设施及时进行清洁和消</w:t>
            </w:r>
            <w:r>
              <w:rPr>
                <w:color w:val="auto"/>
                <w:spacing w:val="-9"/>
                <w:lang w:eastAsia="zh-CN"/>
              </w:rPr>
              <w:t>毒处理。</w:t>
            </w:r>
          </w:p>
          <w:p w14:paraId="2ED99B82">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color w:val="auto"/>
                <w:spacing w:val="-11"/>
                <w:sz w:val="24"/>
              </w:rPr>
            </w:pPr>
            <w:r>
              <w:rPr>
                <w:color w:val="auto"/>
                <w:spacing w:val="-4"/>
                <w:sz w:val="24"/>
              </w:rPr>
              <w:t>④禁止医疗卫生机构及其工作人员转让、买卖</w:t>
            </w:r>
            <w:r>
              <w:rPr>
                <w:color w:val="auto"/>
                <w:spacing w:val="-5"/>
                <w:sz w:val="24"/>
              </w:rPr>
              <w:t>医疗废物。禁止在非收集、</w:t>
            </w:r>
            <w:r>
              <w:rPr>
                <w:color w:val="auto"/>
                <w:sz w:val="24"/>
              </w:rPr>
              <w:t>非暂时贮存地点倾倒、堆放医疗废物，禁止将医疗废物混入其它废物和生活</w:t>
            </w:r>
            <w:r>
              <w:rPr>
                <w:color w:val="auto"/>
                <w:spacing w:val="-11"/>
                <w:sz w:val="24"/>
              </w:rPr>
              <w:t>垃圾。</w:t>
            </w:r>
          </w:p>
          <w:p w14:paraId="68249D40">
            <w:pPr>
              <w:pStyle w:val="30"/>
              <w:keepNext w:val="0"/>
              <w:keepLines w:val="0"/>
              <w:pageBreakBefore w:val="0"/>
              <w:widowControl w:val="0"/>
              <w:kinsoku/>
              <w:wordWrap/>
              <w:overflowPunct/>
              <w:topLinePunct w:val="0"/>
              <w:autoSpaceDE/>
              <w:autoSpaceDN/>
              <w:bidi w:val="0"/>
              <w:adjustRightInd/>
              <w:snapToGrid/>
              <w:spacing w:line="360" w:lineRule="auto"/>
              <w:ind w:left="599"/>
              <w:textAlignment w:val="auto"/>
              <w:rPr>
                <w:color w:val="auto"/>
                <w:lang w:eastAsia="zh-CN"/>
              </w:rPr>
            </w:pPr>
            <w:r>
              <w:rPr>
                <w:b/>
                <w:bCs/>
                <w:color w:val="auto"/>
                <w:spacing w:val="-6"/>
                <w:lang w:eastAsia="zh-CN"/>
              </w:rPr>
              <w:t>医疗废物贮存场所管理要求：</w:t>
            </w:r>
          </w:p>
          <w:p w14:paraId="23A45CFA">
            <w:pPr>
              <w:pStyle w:val="30"/>
              <w:keepNext w:val="0"/>
              <w:keepLines w:val="0"/>
              <w:pageBreakBefore w:val="0"/>
              <w:widowControl w:val="0"/>
              <w:kinsoku/>
              <w:wordWrap/>
              <w:overflowPunct/>
              <w:topLinePunct w:val="0"/>
              <w:autoSpaceDE/>
              <w:autoSpaceDN/>
              <w:bidi w:val="0"/>
              <w:adjustRightInd/>
              <w:snapToGrid/>
              <w:spacing w:line="360" w:lineRule="auto"/>
              <w:ind w:left="104" w:right="104" w:firstLine="480"/>
              <w:textAlignment w:val="auto"/>
              <w:rPr>
                <w:color w:val="auto"/>
                <w:lang w:eastAsia="zh-CN"/>
              </w:rPr>
            </w:pPr>
            <w:r>
              <w:rPr>
                <w:color w:val="auto"/>
                <w:lang w:eastAsia="zh-CN"/>
              </w:rPr>
              <w:t>①远离医疗区、食品加工区、人员活动区和生活垃圾存放场所，方便医</w:t>
            </w:r>
            <w:r>
              <w:rPr>
                <w:color w:val="auto"/>
                <w:spacing w:val="-3"/>
                <w:lang w:eastAsia="zh-CN"/>
              </w:rPr>
              <w:t>疗废物运送人员及运送工具、车辆的出入。</w:t>
            </w:r>
          </w:p>
          <w:p w14:paraId="49A9FC90">
            <w:pPr>
              <w:pStyle w:val="30"/>
              <w:keepNext w:val="0"/>
              <w:keepLines w:val="0"/>
              <w:pageBreakBefore w:val="0"/>
              <w:widowControl w:val="0"/>
              <w:kinsoku/>
              <w:wordWrap/>
              <w:overflowPunct/>
              <w:topLinePunct w:val="0"/>
              <w:autoSpaceDE/>
              <w:autoSpaceDN/>
              <w:bidi w:val="0"/>
              <w:adjustRightInd/>
              <w:snapToGrid/>
              <w:spacing w:line="360" w:lineRule="auto"/>
              <w:ind w:left="104" w:right="109" w:firstLine="479"/>
              <w:textAlignment w:val="auto"/>
              <w:rPr>
                <w:color w:val="auto"/>
                <w:lang w:eastAsia="zh-CN"/>
              </w:rPr>
            </w:pPr>
            <w:r>
              <w:rPr>
                <w:color w:val="auto"/>
                <w:spacing w:val="3"/>
                <w:lang w:eastAsia="zh-CN"/>
              </w:rPr>
              <w:t>②有严密的封闭措施，设专</w:t>
            </w:r>
            <w:r>
              <w:rPr>
                <w:rFonts w:ascii="Times New Roman" w:hAnsi="Times New Roman" w:eastAsia="Times New Roman" w:cs="Times New Roman"/>
                <w:color w:val="auto"/>
                <w:spacing w:val="3"/>
                <w:lang w:eastAsia="zh-CN"/>
              </w:rPr>
              <w:t>(</w:t>
            </w:r>
            <w:r>
              <w:rPr>
                <w:color w:val="auto"/>
                <w:spacing w:val="3"/>
                <w:lang w:eastAsia="zh-CN"/>
              </w:rPr>
              <w:t>兼</w:t>
            </w:r>
            <w:r>
              <w:rPr>
                <w:rFonts w:ascii="Times New Roman" w:hAnsi="Times New Roman" w:eastAsia="Times New Roman" w:cs="Times New Roman"/>
                <w:color w:val="auto"/>
                <w:spacing w:val="3"/>
                <w:lang w:eastAsia="zh-CN"/>
              </w:rPr>
              <w:t>)</w:t>
            </w:r>
            <w:r>
              <w:rPr>
                <w:color w:val="auto"/>
                <w:spacing w:val="3"/>
                <w:lang w:eastAsia="zh-CN"/>
              </w:rPr>
              <w:t>职人员管理，防止非工作人员</w:t>
            </w:r>
            <w:r>
              <w:rPr>
                <w:color w:val="auto"/>
                <w:spacing w:val="2"/>
                <w:lang w:eastAsia="zh-CN"/>
              </w:rPr>
              <w:t>接触医疗</w:t>
            </w:r>
            <w:r>
              <w:rPr>
                <w:color w:val="auto"/>
                <w:spacing w:val="-3"/>
                <w:lang w:eastAsia="zh-CN"/>
              </w:rPr>
              <w:t>废物。有防鼠、防蚊蝇、防蟑螂的安全措施。</w:t>
            </w:r>
          </w:p>
          <w:p w14:paraId="476B61EA">
            <w:pPr>
              <w:pStyle w:val="30"/>
              <w:keepNext w:val="0"/>
              <w:keepLines w:val="0"/>
              <w:pageBreakBefore w:val="0"/>
              <w:widowControl w:val="0"/>
              <w:kinsoku/>
              <w:wordWrap/>
              <w:overflowPunct/>
              <w:topLinePunct w:val="0"/>
              <w:autoSpaceDE/>
              <w:autoSpaceDN/>
              <w:bidi w:val="0"/>
              <w:adjustRightInd/>
              <w:snapToGrid/>
              <w:spacing w:line="360" w:lineRule="auto"/>
              <w:ind w:left="583"/>
              <w:textAlignment w:val="auto"/>
              <w:rPr>
                <w:color w:val="auto"/>
                <w:lang w:eastAsia="zh-CN"/>
              </w:rPr>
            </w:pPr>
            <w:r>
              <w:rPr>
                <w:color w:val="auto"/>
                <w:spacing w:val="-4"/>
                <w:lang w:eastAsia="zh-CN"/>
              </w:rPr>
              <w:t>③防止渗漏和雨水冲刷。</w:t>
            </w:r>
          </w:p>
          <w:p w14:paraId="4E7261ED">
            <w:pPr>
              <w:pStyle w:val="30"/>
              <w:keepNext w:val="0"/>
              <w:keepLines w:val="0"/>
              <w:pageBreakBefore w:val="0"/>
              <w:widowControl w:val="0"/>
              <w:kinsoku/>
              <w:wordWrap/>
              <w:overflowPunct/>
              <w:topLinePunct w:val="0"/>
              <w:autoSpaceDE/>
              <w:autoSpaceDN/>
              <w:bidi w:val="0"/>
              <w:adjustRightInd/>
              <w:snapToGrid/>
              <w:spacing w:line="360" w:lineRule="auto"/>
              <w:ind w:left="583"/>
              <w:textAlignment w:val="auto"/>
              <w:rPr>
                <w:color w:val="auto"/>
                <w:lang w:eastAsia="zh-CN"/>
              </w:rPr>
            </w:pPr>
            <w:r>
              <w:rPr>
                <w:color w:val="auto"/>
                <w:spacing w:val="-5"/>
                <w:lang w:eastAsia="zh-CN"/>
              </w:rPr>
              <w:t>④易于清洁和消毒。</w:t>
            </w:r>
          </w:p>
          <w:p w14:paraId="00A7DADF">
            <w:pPr>
              <w:pStyle w:val="30"/>
              <w:keepNext w:val="0"/>
              <w:keepLines w:val="0"/>
              <w:pageBreakBefore w:val="0"/>
              <w:widowControl w:val="0"/>
              <w:kinsoku/>
              <w:wordWrap/>
              <w:overflowPunct/>
              <w:topLinePunct w:val="0"/>
              <w:autoSpaceDE/>
              <w:autoSpaceDN/>
              <w:bidi w:val="0"/>
              <w:adjustRightInd/>
              <w:snapToGrid/>
              <w:spacing w:line="360" w:lineRule="auto"/>
              <w:ind w:left="583"/>
              <w:textAlignment w:val="auto"/>
              <w:rPr>
                <w:color w:val="auto"/>
                <w:lang w:eastAsia="zh-CN"/>
              </w:rPr>
            </w:pPr>
            <w:r>
              <w:rPr>
                <w:color w:val="auto"/>
                <w:spacing w:val="-1"/>
                <w:lang w:eastAsia="zh-CN"/>
              </w:rPr>
              <w:t>⑤避免阳光直射</w:t>
            </w:r>
          </w:p>
          <w:p w14:paraId="18AC1734">
            <w:pPr>
              <w:pStyle w:val="30"/>
              <w:keepNext w:val="0"/>
              <w:keepLines w:val="0"/>
              <w:pageBreakBefore w:val="0"/>
              <w:widowControl w:val="0"/>
              <w:kinsoku/>
              <w:wordWrap/>
              <w:overflowPunct/>
              <w:topLinePunct w:val="0"/>
              <w:autoSpaceDE/>
              <w:autoSpaceDN/>
              <w:bidi w:val="0"/>
              <w:adjustRightInd/>
              <w:snapToGrid/>
              <w:spacing w:line="360" w:lineRule="auto"/>
              <w:ind w:left="583"/>
              <w:textAlignment w:val="auto"/>
              <w:rPr>
                <w:color w:val="auto"/>
                <w:lang w:eastAsia="zh-CN"/>
              </w:rPr>
            </w:pPr>
            <w:r>
              <w:rPr>
                <w:color w:val="auto"/>
                <w:spacing w:val="-1"/>
                <w:lang w:eastAsia="zh-CN"/>
              </w:rPr>
              <w:t>⑥设有明显的医疗废物警示标识和“禁止吸</w:t>
            </w:r>
            <w:r>
              <w:rPr>
                <w:color w:val="auto"/>
                <w:spacing w:val="-2"/>
                <w:lang w:eastAsia="zh-CN"/>
              </w:rPr>
              <w:t>烟、饮食”的警示标识。</w:t>
            </w:r>
          </w:p>
          <w:p w14:paraId="0BA10770">
            <w:pPr>
              <w:pStyle w:val="30"/>
              <w:keepNext w:val="0"/>
              <w:keepLines w:val="0"/>
              <w:pageBreakBefore w:val="0"/>
              <w:widowControl w:val="0"/>
              <w:kinsoku/>
              <w:wordWrap/>
              <w:overflowPunct/>
              <w:topLinePunct w:val="0"/>
              <w:autoSpaceDE/>
              <w:autoSpaceDN/>
              <w:bidi w:val="0"/>
              <w:adjustRightInd/>
              <w:snapToGrid/>
              <w:spacing w:line="360" w:lineRule="auto"/>
              <w:ind w:left="583"/>
              <w:textAlignment w:val="auto"/>
              <w:rPr>
                <w:color w:val="auto"/>
                <w:lang w:eastAsia="zh-CN"/>
              </w:rPr>
            </w:pPr>
            <w:r>
              <w:rPr>
                <w:color w:val="auto"/>
                <w:spacing w:val="-2"/>
                <w:lang w:eastAsia="zh-CN"/>
              </w:rPr>
              <w:t>⑦暂时贮存病理性废物，应当具备低温贮存或者防腐条件。</w:t>
            </w:r>
          </w:p>
          <w:p w14:paraId="7974FD46">
            <w:pPr>
              <w:pStyle w:val="30"/>
              <w:keepNext w:val="0"/>
              <w:keepLines w:val="0"/>
              <w:pageBreakBefore w:val="0"/>
              <w:widowControl w:val="0"/>
              <w:kinsoku/>
              <w:wordWrap/>
              <w:overflowPunct/>
              <w:topLinePunct w:val="0"/>
              <w:autoSpaceDE/>
              <w:autoSpaceDN/>
              <w:bidi w:val="0"/>
              <w:adjustRightInd/>
              <w:snapToGrid/>
              <w:spacing w:line="360" w:lineRule="auto"/>
              <w:ind w:left="583"/>
              <w:textAlignment w:val="auto"/>
              <w:rPr>
                <w:color w:val="auto"/>
                <w:lang w:eastAsia="zh-CN"/>
              </w:rPr>
            </w:pPr>
            <w:r>
              <w:rPr>
                <w:color w:val="auto"/>
                <w:spacing w:val="-1"/>
                <w:lang w:eastAsia="zh-CN"/>
              </w:rPr>
              <w:t>⑧在贮存设施外的明显处同时设置危险废物</w:t>
            </w:r>
            <w:r>
              <w:rPr>
                <w:color w:val="auto"/>
                <w:spacing w:val="-2"/>
                <w:lang w:eastAsia="zh-CN"/>
              </w:rPr>
              <w:t>和医疗废物的警示标识。</w:t>
            </w:r>
          </w:p>
          <w:p w14:paraId="4559AFBF">
            <w:pPr>
              <w:pStyle w:val="30"/>
              <w:keepNext w:val="0"/>
              <w:keepLines w:val="0"/>
              <w:pageBreakBefore w:val="0"/>
              <w:widowControl w:val="0"/>
              <w:kinsoku/>
              <w:wordWrap/>
              <w:overflowPunct/>
              <w:topLinePunct w:val="0"/>
              <w:autoSpaceDE/>
              <w:autoSpaceDN/>
              <w:bidi w:val="0"/>
              <w:adjustRightInd/>
              <w:snapToGrid/>
              <w:spacing w:line="360" w:lineRule="auto"/>
              <w:ind w:left="111" w:right="102" w:firstLine="472"/>
              <w:textAlignment w:val="auto"/>
              <w:rPr>
                <w:color w:val="auto"/>
                <w:lang w:eastAsia="zh-CN"/>
              </w:rPr>
            </w:pPr>
            <w:r>
              <w:rPr>
                <w:color w:val="auto"/>
                <w:spacing w:val="1"/>
                <w:lang w:eastAsia="zh-CN"/>
              </w:rPr>
              <w:t>⑨应防止医疗废物在暂存设施中腐败散发恶</w:t>
            </w:r>
            <w:r>
              <w:rPr>
                <w:color w:val="auto"/>
                <w:lang w:eastAsia="zh-CN"/>
              </w:rPr>
              <w:t>臭，尽量做到日产日清。确</w:t>
            </w:r>
            <w:r>
              <w:rPr>
                <w:color w:val="auto"/>
                <w:spacing w:val="-2"/>
                <w:lang w:eastAsia="zh-CN"/>
              </w:rPr>
              <w:t>实不能做到日产日清，应将医疗废物低温暂时贮存，暂时贮存温度应低于</w:t>
            </w:r>
            <w:r>
              <w:rPr>
                <w:rFonts w:ascii="Times New Roman" w:hAnsi="Times New Roman" w:eastAsia="Times New Roman" w:cs="Times New Roman"/>
                <w:color w:val="auto"/>
                <w:spacing w:val="-2"/>
                <w:lang w:eastAsia="zh-CN"/>
              </w:rPr>
              <w:t>20</w:t>
            </w:r>
            <w:r>
              <w:rPr>
                <w:color w:val="auto"/>
                <w:spacing w:val="4"/>
                <w:lang w:eastAsia="zh-CN"/>
              </w:rPr>
              <w:t>℃,时间最长不超过</w:t>
            </w:r>
            <w:r>
              <w:rPr>
                <w:rFonts w:ascii="Times New Roman" w:hAnsi="Times New Roman" w:eastAsia="Times New Roman" w:cs="Times New Roman"/>
                <w:color w:val="auto"/>
                <w:spacing w:val="4"/>
                <w:lang w:eastAsia="zh-CN"/>
              </w:rPr>
              <w:t>48</w:t>
            </w:r>
            <w:r>
              <w:rPr>
                <w:color w:val="auto"/>
                <w:spacing w:val="4"/>
                <w:lang w:eastAsia="zh-CN"/>
              </w:rPr>
              <w:t>小时。</w:t>
            </w:r>
          </w:p>
          <w:p w14:paraId="00EF5E9E">
            <w:pPr>
              <w:pStyle w:val="30"/>
              <w:spacing w:before="220" w:line="220" w:lineRule="auto"/>
              <w:ind w:left="590"/>
              <w:rPr>
                <w:color w:val="auto"/>
                <w:lang w:eastAsia="zh-CN"/>
              </w:rPr>
            </w:pPr>
            <w:r>
              <w:rPr>
                <w:b/>
                <w:bCs/>
                <w:color w:val="auto"/>
                <w:spacing w:val="-3"/>
                <w:lang w:eastAsia="zh-CN"/>
              </w:rPr>
              <w:t>污水处理设施污泥管理要求：</w:t>
            </w:r>
          </w:p>
          <w:p w14:paraId="3BFDEB4C">
            <w:pPr>
              <w:pStyle w:val="30"/>
              <w:spacing w:before="212" w:line="375" w:lineRule="auto"/>
              <w:ind w:left="103" w:right="16" w:firstLine="481"/>
              <w:rPr>
                <w:color w:val="auto"/>
                <w:lang w:eastAsia="zh-CN"/>
              </w:rPr>
            </w:pPr>
            <w:r>
              <w:rPr>
                <w:color w:val="auto"/>
                <w:spacing w:val="-2"/>
                <w:lang w:eastAsia="zh-CN"/>
              </w:rPr>
              <w:t>根据《医院废水处理工程技术规范》（</w:t>
            </w:r>
            <w:r>
              <w:rPr>
                <w:rFonts w:ascii="Times New Roman" w:hAnsi="Times New Roman" w:eastAsia="Times New Roman" w:cs="Times New Roman"/>
                <w:color w:val="auto"/>
                <w:spacing w:val="-2"/>
                <w:lang w:eastAsia="zh-CN"/>
              </w:rPr>
              <w:t>HJ2029-2013</w:t>
            </w:r>
            <w:r>
              <w:rPr>
                <w:color w:val="auto"/>
                <w:spacing w:val="-10"/>
                <w:lang w:eastAsia="zh-CN"/>
              </w:rPr>
              <w:t>），</w:t>
            </w:r>
            <w:r>
              <w:rPr>
                <w:color w:val="auto"/>
                <w:spacing w:val="-2"/>
                <w:lang w:eastAsia="zh-CN"/>
              </w:rPr>
              <w:t>污泥在贮泥池中</w:t>
            </w:r>
            <w:r>
              <w:rPr>
                <w:color w:val="auto"/>
                <w:spacing w:val="-4"/>
                <w:lang w:eastAsia="zh-CN"/>
              </w:rPr>
              <w:t>进行消毒，贮泥池有效容积应不小于处理系统的</w:t>
            </w:r>
            <w:r>
              <w:rPr>
                <w:rFonts w:hint="eastAsia" w:ascii="Times New Roman" w:hAnsi="Times New Roman" w:eastAsia="Times New Roman" w:cs="Times New Roman"/>
                <w:color w:val="auto"/>
                <w:spacing w:val="-4"/>
                <w:lang w:val="en-US" w:eastAsia="zh-CN"/>
              </w:rPr>
              <w:t>1年</w:t>
            </w:r>
            <w:r>
              <w:rPr>
                <w:color w:val="auto"/>
                <w:spacing w:val="-4"/>
                <w:lang w:eastAsia="zh-CN"/>
              </w:rPr>
              <w:t>产泥量。</w:t>
            </w:r>
            <w:r>
              <w:rPr>
                <w:color w:val="auto"/>
                <w:lang w:eastAsia="zh-CN"/>
              </w:rPr>
              <w:t>污泥清掏前应进行监测，监测因子为粪大肠菌群数和蛔虫卵死亡率，需达到</w:t>
            </w:r>
            <w:r>
              <w:rPr>
                <w:color w:val="auto"/>
                <w:spacing w:val="-1"/>
                <w:lang w:eastAsia="zh-CN"/>
              </w:rPr>
              <w:t>《医疗机构水污染物排放标准》（</w:t>
            </w:r>
            <w:r>
              <w:rPr>
                <w:rFonts w:ascii="Times New Roman" w:hAnsi="Times New Roman" w:eastAsia="Times New Roman" w:cs="Times New Roman"/>
                <w:color w:val="auto"/>
                <w:spacing w:val="-1"/>
                <w:lang w:eastAsia="zh-CN"/>
              </w:rPr>
              <w:t>GB18466-20</w:t>
            </w:r>
            <w:r>
              <w:rPr>
                <w:rFonts w:ascii="Times New Roman" w:hAnsi="Times New Roman" w:eastAsia="Times New Roman" w:cs="Times New Roman"/>
                <w:color w:val="auto"/>
                <w:spacing w:val="-2"/>
                <w:lang w:eastAsia="zh-CN"/>
              </w:rPr>
              <w:t>05</w:t>
            </w:r>
            <w:r>
              <w:rPr>
                <w:color w:val="auto"/>
                <w:spacing w:val="-2"/>
                <w:lang w:eastAsia="zh-CN"/>
              </w:rPr>
              <w:t>）表</w:t>
            </w:r>
            <w:r>
              <w:rPr>
                <w:rFonts w:ascii="Times New Roman" w:hAnsi="Times New Roman" w:eastAsia="Times New Roman" w:cs="Times New Roman"/>
                <w:color w:val="auto"/>
                <w:spacing w:val="-2"/>
                <w:lang w:eastAsia="zh-CN"/>
              </w:rPr>
              <w:t>4</w:t>
            </w:r>
            <w:r>
              <w:rPr>
                <w:color w:val="auto"/>
                <w:spacing w:val="-2"/>
                <w:lang w:eastAsia="zh-CN"/>
              </w:rPr>
              <w:t>要求。</w:t>
            </w:r>
          </w:p>
          <w:p w14:paraId="0F90B4E1">
            <w:pPr>
              <w:spacing w:line="360" w:lineRule="auto"/>
              <w:rPr>
                <w:b/>
                <w:color w:val="auto"/>
                <w:sz w:val="28"/>
                <w:szCs w:val="28"/>
              </w:rPr>
            </w:pPr>
            <w:r>
              <w:rPr>
                <w:b/>
                <w:bCs/>
                <w:color w:val="auto"/>
                <w:sz w:val="28"/>
                <w:szCs w:val="28"/>
              </w:rPr>
              <w:t>4.</w:t>
            </w:r>
            <w:r>
              <w:rPr>
                <w:rFonts w:hint="eastAsia"/>
                <w:b/>
                <w:bCs/>
                <w:color w:val="auto"/>
                <w:sz w:val="28"/>
                <w:szCs w:val="28"/>
              </w:rPr>
              <w:t>2</w:t>
            </w:r>
            <w:r>
              <w:rPr>
                <w:b/>
                <w:bCs/>
                <w:color w:val="auto"/>
                <w:sz w:val="28"/>
                <w:szCs w:val="28"/>
              </w:rPr>
              <w:t>.</w:t>
            </w:r>
            <w:r>
              <w:rPr>
                <w:rFonts w:hint="eastAsia"/>
                <w:b/>
                <w:bCs/>
                <w:color w:val="auto"/>
                <w:sz w:val="28"/>
                <w:szCs w:val="28"/>
              </w:rPr>
              <w:t>5</w:t>
            </w:r>
            <w:r>
              <w:rPr>
                <w:b/>
                <w:color w:val="auto"/>
                <w:sz w:val="28"/>
                <w:szCs w:val="28"/>
              </w:rPr>
              <w:t>地下水</w:t>
            </w:r>
            <w:r>
              <w:rPr>
                <w:rFonts w:hint="eastAsia"/>
                <w:b/>
                <w:color w:val="auto"/>
                <w:sz w:val="28"/>
                <w:szCs w:val="28"/>
                <w:lang w:eastAsia="zh-CN"/>
              </w:rPr>
              <w:t>、</w:t>
            </w:r>
            <w:r>
              <w:rPr>
                <w:rFonts w:hint="eastAsia"/>
                <w:b/>
                <w:color w:val="auto"/>
                <w:sz w:val="28"/>
                <w:szCs w:val="28"/>
                <w:lang w:val="en-US" w:eastAsia="zh-CN"/>
              </w:rPr>
              <w:t>土壤</w:t>
            </w:r>
            <w:r>
              <w:rPr>
                <w:b/>
                <w:color w:val="auto"/>
                <w:sz w:val="28"/>
                <w:szCs w:val="28"/>
              </w:rPr>
              <w:t>环境</w:t>
            </w:r>
            <w:r>
              <w:rPr>
                <w:rFonts w:hint="eastAsia"/>
                <w:b/>
                <w:color w:val="auto"/>
                <w:sz w:val="28"/>
                <w:szCs w:val="28"/>
              </w:rPr>
              <w:t>影响分析</w:t>
            </w:r>
          </w:p>
          <w:p w14:paraId="70E128EE">
            <w:pPr>
              <w:pStyle w:val="30"/>
              <w:spacing w:before="200" w:line="371" w:lineRule="auto"/>
              <w:ind w:left="106" w:right="109" w:firstLine="480" w:firstLineChars="200"/>
              <w:rPr>
                <w:color w:val="auto"/>
              </w:rPr>
            </w:pPr>
            <w:r>
              <w:rPr>
                <w:color w:val="auto"/>
              </w:rPr>
              <w:t>项目所在建筑及四周地面已经硬化，污水处理设施设有防渗措施。项目排放的废气、废水不涉及重金属及持久性污染物，危废废物按要求暂存、运输，</w:t>
            </w:r>
            <w:r>
              <w:rPr>
                <w:color w:val="auto"/>
                <w:spacing w:val="-1"/>
              </w:rPr>
              <w:t>不会</w:t>
            </w:r>
            <w:r>
              <w:rPr>
                <w:color w:val="auto"/>
                <w:spacing w:val="-7"/>
              </w:rPr>
              <w:t>发生泄漏的情况。建设单位只要落实好分区防控，</w:t>
            </w:r>
            <w:r>
              <w:rPr>
                <w:color w:val="auto"/>
                <w:spacing w:val="-8"/>
              </w:rPr>
              <w:t>危废仓库做好防风、防雨、</w:t>
            </w:r>
            <w:r>
              <w:rPr>
                <w:color w:val="auto"/>
              </w:rPr>
              <w:t>防渗、防盗以及环保设施的定期维护等措施，则项目实施后基本不存在地下水、土壤环境污染途径，不会对地下水、土壤环境造成污染，不需开展跟踪</w:t>
            </w:r>
            <w:r>
              <w:rPr>
                <w:color w:val="auto"/>
                <w:spacing w:val="-10"/>
              </w:rPr>
              <w:t>监测。</w:t>
            </w:r>
          </w:p>
          <w:p w14:paraId="61EBA4DD">
            <w:pPr>
              <w:spacing w:line="360" w:lineRule="auto"/>
              <w:ind w:firstLine="602" w:firstLineChars="200"/>
              <w:rPr>
                <w:b/>
                <w:bCs/>
                <w:color w:val="auto"/>
                <w:sz w:val="30"/>
                <w:szCs w:val="30"/>
              </w:rPr>
            </w:pPr>
            <w:r>
              <w:rPr>
                <w:rFonts w:hint="eastAsia"/>
                <w:b/>
                <w:bCs/>
                <w:color w:val="auto"/>
                <w:sz w:val="30"/>
                <w:szCs w:val="30"/>
              </w:rPr>
              <w:t>4.3</w:t>
            </w:r>
            <w:r>
              <w:rPr>
                <w:b/>
                <w:bCs/>
                <w:color w:val="auto"/>
                <w:sz w:val="30"/>
                <w:szCs w:val="30"/>
              </w:rPr>
              <w:t>风险分析</w:t>
            </w:r>
          </w:p>
          <w:p w14:paraId="29F498E1">
            <w:pPr>
              <w:spacing w:line="360" w:lineRule="auto"/>
              <w:ind w:firstLine="482" w:firstLineChars="200"/>
              <w:rPr>
                <w:b/>
                <w:bCs/>
                <w:color w:val="auto"/>
                <w:sz w:val="24"/>
              </w:rPr>
            </w:pPr>
            <w:r>
              <w:rPr>
                <w:b/>
                <w:bCs/>
                <w:color w:val="auto"/>
                <w:sz w:val="24"/>
              </w:rPr>
              <w:t>（1）风险调查及评价等级判定</w:t>
            </w:r>
          </w:p>
          <w:p w14:paraId="41D3B0B8">
            <w:pPr>
              <w:spacing w:line="360" w:lineRule="auto"/>
              <w:ind w:firstLine="480" w:firstLineChars="200"/>
              <w:rPr>
                <w:color w:val="auto"/>
                <w:sz w:val="24"/>
              </w:rPr>
            </w:pPr>
            <w:r>
              <w:rPr>
                <w:color w:val="auto"/>
                <w:sz w:val="24"/>
              </w:rPr>
              <w:t>根据《建设项目环境风险评价技术导则》（HJ169-2018）附录B，计算本项目所涉及的每种危险物质在厂界内的最大存在总量与其在附录B中对应临界量的比值Q。在不同厂区的同一种物质，按其在厂区内的最大存在总量计算。</w:t>
            </w:r>
          </w:p>
          <w:p w14:paraId="28492C94">
            <w:pPr>
              <w:spacing w:line="360" w:lineRule="auto"/>
              <w:ind w:firstLine="480" w:firstLineChars="200"/>
              <w:rPr>
                <w:color w:val="auto"/>
                <w:sz w:val="24"/>
              </w:rPr>
            </w:pPr>
            <w:r>
              <w:rPr>
                <w:color w:val="auto"/>
                <w:sz w:val="24"/>
              </w:rPr>
              <w:t>当只涉及一种危险物质时，计算该物质的总量与其临界量的比值，即为Q；</w:t>
            </w:r>
          </w:p>
          <w:p w14:paraId="137F4255">
            <w:pPr>
              <w:spacing w:line="360" w:lineRule="auto"/>
              <w:ind w:firstLine="480" w:firstLineChars="200"/>
              <w:rPr>
                <w:color w:val="auto"/>
                <w:sz w:val="24"/>
              </w:rPr>
            </w:pPr>
            <w:r>
              <w:rPr>
                <w:color w:val="auto"/>
                <w:sz w:val="24"/>
              </w:rPr>
              <w:t>当存在多种危险物质时，则按下式计算物质总量与其临界量比值Q：</w:t>
            </w:r>
          </w:p>
          <w:p w14:paraId="09A3E194">
            <w:pPr>
              <w:spacing w:line="360" w:lineRule="auto"/>
              <w:ind w:firstLine="480" w:firstLineChars="200"/>
              <w:jc w:val="center"/>
              <w:rPr>
                <w:color w:val="auto"/>
                <w:sz w:val="24"/>
              </w:rPr>
            </w:pPr>
            <w:r>
              <w:rPr>
                <w:color w:val="auto"/>
                <w:sz w:val="24"/>
              </w:rPr>
              <w:object>
                <v:shape id="_x0000_i1026" o:spt="75" type="#_x0000_t75" style="height:33.75pt;width:122.2pt;" o:ole="t" filled="f" o:preferrelative="t" stroked="f" coordsize="21600,21600">
                  <v:path/>
                  <v:fill on="f" focussize="0,0"/>
                  <v:stroke on="f"/>
                  <v:imagedata r:id="rId21" o:title=""/>
                  <o:lock v:ext="edit" aspectratio="t"/>
                  <w10:wrap type="none"/>
                  <w10:anchorlock/>
                </v:shape>
                <o:OLEObject Type="Embed" ProgID="Equation.KSEE3" ShapeID="_x0000_i1026" DrawAspect="Content" ObjectID="_1468075726" r:id="rId20">
                  <o:LockedField>false</o:LockedField>
                </o:OLEObject>
              </w:object>
            </w:r>
          </w:p>
          <w:p w14:paraId="38C3C5F5">
            <w:pPr>
              <w:spacing w:line="360" w:lineRule="auto"/>
              <w:ind w:firstLine="480" w:firstLineChars="200"/>
              <w:rPr>
                <w:color w:val="auto"/>
                <w:sz w:val="24"/>
              </w:rPr>
            </w:pPr>
            <w:r>
              <w:rPr>
                <w:color w:val="auto"/>
                <w:sz w:val="24"/>
              </w:rPr>
              <w:t>式中：q</w:t>
            </w:r>
            <w:r>
              <w:rPr>
                <w:color w:val="auto"/>
                <w:sz w:val="24"/>
                <w:vertAlign w:val="subscript"/>
              </w:rPr>
              <w:t>1</w:t>
            </w:r>
            <w:r>
              <w:rPr>
                <w:color w:val="auto"/>
                <w:sz w:val="24"/>
              </w:rPr>
              <w:t>、q</w:t>
            </w:r>
            <w:r>
              <w:rPr>
                <w:color w:val="auto"/>
                <w:sz w:val="24"/>
                <w:vertAlign w:val="subscript"/>
              </w:rPr>
              <w:t>2</w:t>
            </w:r>
            <w:r>
              <w:rPr>
                <w:color w:val="auto"/>
                <w:sz w:val="24"/>
              </w:rPr>
              <w:t>、……qn——每种危险物质的最大存在量；</w:t>
            </w:r>
          </w:p>
          <w:p w14:paraId="47A96704">
            <w:pPr>
              <w:spacing w:line="360" w:lineRule="auto"/>
              <w:ind w:firstLine="480" w:firstLineChars="200"/>
              <w:rPr>
                <w:color w:val="auto"/>
                <w:sz w:val="24"/>
              </w:rPr>
            </w:pPr>
            <w:r>
              <w:rPr>
                <w:color w:val="auto"/>
                <w:sz w:val="24"/>
              </w:rPr>
              <w:t>Q</w:t>
            </w:r>
            <w:r>
              <w:rPr>
                <w:color w:val="auto"/>
                <w:sz w:val="24"/>
                <w:vertAlign w:val="subscript"/>
              </w:rPr>
              <w:t>1</w:t>
            </w:r>
            <w:r>
              <w:rPr>
                <w:color w:val="auto"/>
                <w:sz w:val="24"/>
              </w:rPr>
              <w:t>、Q</w:t>
            </w:r>
            <w:r>
              <w:rPr>
                <w:color w:val="auto"/>
                <w:sz w:val="24"/>
                <w:vertAlign w:val="subscript"/>
              </w:rPr>
              <w:t>2</w:t>
            </w:r>
            <w:r>
              <w:rPr>
                <w:color w:val="auto"/>
                <w:sz w:val="24"/>
              </w:rPr>
              <w:t>、……Qn——每种危险物质的临界量；</w:t>
            </w:r>
          </w:p>
          <w:p w14:paraId="5E1B6741">
            <w:pPr>
              <w:spacing w:line="360" w:lineRule="auto"/>
              <w:ind w:firstLine="480" w:firstLineChars="200"/>
              <w:rPr>
                <w:color w:val="auto"/>
                <w:sz w:val="24"/>
              </w:rPr>
            </w:pPr>
            <w:r>
              <w:rPr>
                <w:color w:val="auto"/>
                <w:sz w:val="24"/>
              </w:rPr>
              <w:t>当Q&lt;1时，该项目环境风险潜势为</w:t>
            </w:r>
            <w:r>
              <w:rPr>
                <w:color w:val="auto"/>
                <w:sz w:val="24"/>
              </w:rPr>
              <w:fldChar w:fldCharType="begin"/>
            </w:r>
            <w:r>
              <w:rPr>
                <w:color w:val="auto"/>
                <w:sz w:val="24"/>
              </w:rPr>
              <w:instrText xml:space="preserve"> = 1 \* ROMAN \* MERGEFORMAT </w:instrText>
            </w:r>
            <w:r>
              <w:rPr>
                <w:color w:val="auto"/>
                <w:sz w:val="24"/>
              </w:rPr>
              <w:fldChar w:fldCharType="separate"/>
            </w:r>
            <w:r>
              <w:rPr>
                <w:color w:val="auto"/>
                <w:sz w:val="24"/>
              </w:rPr>
              <w:t>I</w:t>
            </w:r>
            <w:r>
              <w:rPr>
                <w:color w:val="auto"/>
                <w:sz w:val="24"/>
              </w:rPr>
              <w:fldChar w:fldCharType="end"/>
            </w:r>
            <w:r>
              <w:rPr>
                <w:color w:val="auto"/>
                <w:sz w:val="24"/>
              </w:rPr>
              <w:t>；</w:t>
            </w:r>
          </w:p>
          <w:p w14:paraId="5FB14B9B">
            <w:pPr>
              <w:spacing w:line="360" w:lineRule="auto"/>
              <w:ind w:firstLine="480" w:firstLineChars="200"/>
              <w:rPr>
                <w:color w:val="auto"/>
                <w:sz w:val="24"/>
              </w:rPr>
            </w:pPr>
            <w:r>
              <w:rPr>
                <w:color w:val="auto"/>
                <w:sz w:val="24"/>
              </w:rPr>
              <w:t>当Q≥1时，将Q值划分为：1≤Q&lt;10；10≤Q&lt;100；Q≥100。</w:t>
            </w:r>
          </w:p>
          <w:p w14:paraId="38C12F5B">
            <w:pPr>
              <w:pStyle w:val="24"/>
              <w:ind w:firstLine="470"/>
              <w:jc w:val="left"/>
              <w:rPr>
                <w:rFonts w:hAnsi="Times New Roman"/>
                <w:b/>
                <w:color w:val="auto"/>
                <w:sz w:val="24"/>
                <w:szCs w:val="24"/>
              </w:rPr>
            </w:pPr>
            <w:r>
              <w:rPr>
                <w:rFonts w:hAnsi="Times New Roman"/>
                <w:color w:val="auto"/>
                <w:sz w:val="24"/>
                <w:szCs w:val="24"/>
              </w:rPr>
              <w:t>本项目涉及到风险分析的危险物质为</w:t>
            </w:r>
            <w:r>
              <w:rPr>
                <w:rFonts w:hint="eastAsia" w:hAnsi="Times New Roman"/>
                <w:color w:val="auto"/>
                <w:sz w:val="24"/>
                <w:szCs w:val="24"/>
              </w:rPr>
              <w:t>酒精</w:t>
            </w:r>
            <w:r>
              <w:rPr>
                <w:rFonts w:hint="eastAsia" w:hAnsi="Times New Roman"/>
                <w:color w:val="auto"/>
                <w:sz w:val="24"/>
                <w:szCs w:val="24"/>
                <w:lang w:eastAsia="zh-CN"/>
              </w:rPr>
              <w:t>、</w:t>
            </w:r>
            <w:r>
              <w:rPr>
                <w:rFonts w:hint="eastAsia" w:hAnsi="Times New Roman"/>
                <w:color w:val="auto"/>
                <w:sz w:val="24"/>
                <w:szCs w:val="24"/>
                <w:lang w:val="en-US" w:eastAsia="zh-CN"/>
              </w:rPr>
              <w:t>次氯酸钠、柴油，以及危险废物（医疗废物、污泥）</w:t>
            </w:r>
            <w:r>
              <w:rPr>
                <w:rFonts w:hAnsi="Times New Roman"/>
                <w:color w:val="auto"/>
                <w:sz w:val="24"/>
                <w:szCs w:val="24"/>
              </w:rPr>
              <w:t>，结合HJ169-2018附录B，危险物质Q值如下：</w:t>
            </w:r>
          </w:p>
          <w:p w14:paraId="5C1E1E1E">
            <w:pPr>
              <w:adjustRightInd w:val="0"/>
              <w:snapToGrid w:val="0"/>
              <w:spacing w:before="120" w:beforeLines="50"/>
              <w:jc w:val="center"/>
              <w:rPr>
                <w:b/>
                <w:color w:val="auto"/>
                <w:sz w:val="24"/>
              </w:rPr>
            </w:pPr>
            <w:r>
              <w:rPr>
                <w:b/>
                <w:color w:val="auto"/>
                <w:sz w:val="24"/>
              </w:rPr>
              <w:t>表</w:t>
            </w:r>
            <w:r>
              <w:rPr>
                <w:rFonts w:hint="eastAsia"/>
                <w:b/>
                <w:color w:val="auto"/>
                <w:sz w:val="24"/>
              </w:rPr>
              <w:t>4.3-1</w:t>
            </w:r>
            <w:r>
              <w:rPr>
                <w:b/>
                <w:color w:val="auto"/>
                <w:sz w:val="24"/>
              </w:rPr>
              <w:t>建设项目Q值确定表</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551"/>
              <w:gridCol w:w="1644"/>
              <w:gridCol w:w="1804"/>
              <w:gridCol w:w="1418"/>
              <w:gridCol w:w="1417"/>
            </w:tblGrid>
            <w:tr w14:paraId="34C3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tcBorders>
                    <w:top w:val="single" w:color="000000" w:sz="12" w:space="0"/>
                    <w:left w:val="nil"/>
                    <w:bottom w:val="single" w:color="auto" w:sz="4" w:space="0"/>
                    <w:right w:val="single" w:color="auto" w:sz="4" w:space="0"/>
                  </w:tcBorders>
                  <w:shd w:val="clear" w:color="auto" w:fill="FFFFFF"/>
                  <w:noWrap w:val="0"/>
                  <w:vAlign w:val="center"/>
                </w:tcPr>
                <w:p w14:paraId="79657474">
                  <w:pPr>
                    <w:adjustRightInd w:val="0"/>
                    <w:snapToGrid w:val="0"/>
                    <w:spacing w:line="340" w:lineRule="exact"/>
                    <w:jc w:val="center"/>
                    <w:rPr>
                      <w:bCs/>
                      <w:color w:val="auto"/>
                      <w:szCs w:val="21"/>
                    </w:rPr>
                  </w:pPr>
                  <w:r>
                    <w:rPr>
                      <w:bCs/>
                      <w:color w:val="auto"/>
                      <w:szCs w:val="21"/>
                    </w:rPr>
                    <w:t>序号</w:t>
                  </w:r>
                </w:p>
              </w:tc>
              <w:tc>
                <w:tcPr>
                  <w:tcW w:w="912"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0CB99294">
                  <w:pPr>
                    <w:adjustRightInd w:val="0"/>
                    <w:snapToGrid w:val="0"/>
                    <w:spacing w:line="340" w:lineRule="exact"/>
                    <w:jc w:val="center"/>
                    <w:rPr>
                      <w:bCs/>
                      <w:color w:val="auto"/>
                      <w:szCs w:val="21"/>
                    </w:rPr>
                  </w:pPr>
                  <w:r>
                    <w:rPr>
                      <w:bCs/>
                      <w:color w:val="auto"/>
                      <w:szCs w:val="21"/>
                    </w:rPr>
                    <w:t>危险物质名称</w:t>
                  </w:r>
                </w:p>
              </w:tc>
              <w:tc>
                <w:tcPr>
                  <w:tcW w:w="967"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2F21C0B8">
                  <w:pPr>
                    <w:adjustRightInd w:val="0"/>
                    <w:snapToGrid w:val="0"/>
                    <w:spacing w:line="340" w:lineRule="exact"/>
                    <w:jc w:val="center"/>
                    <w:rPr>
                      <w:bCs/>
                      <w:color w:val="auto"/>
                      <w:szCs w:val="21"/>
                    </w:rPr>
                  </w:pPr>
                  <w:r>
                    <w:rPr>
                      <w:bCs/>
                      <w:color w:val="auto"/>
                      <w:szCs w:val="21"/>
                    </w:rPr>
                    <w:t>CAS号</w:t>
                  </w:r>
                </w:p>
              </w:tc>
              <w:tc>
                <w:tcPr>
                  <w:tcW w:w="1061"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663E8213">
                  <w:pPr>
                    <w:adjustRightInd w:val="0"/>
                    <w:snapToGrid w:val="0"/>
                    <w:spacing w:line="340" w:lineRule="exact"/>
                    <w:jc w:val="center"/>
                    <w:rPr>
                      <w:bCs/>
                      <w:color w:val="auto"/>
                      <w:szCs w:val="21"/>
                    </w:rPr>
                  </w:pPr>
                  <w:r>
                    <w:rPr>
                      <w:bCs/>
                      <w:color w:val="auto"/>
                      <w:szCs w:val="21"/>
                    </w:rPr>
                    <w:t>最大存在总量q</w:t>
                  </w:r>
                  <w:r>
                    <w:rPr>
                      <w:bCs/>
                      <w:color w:val="auto"/>
                      <w:szCs w:val="21"/>
                      <w:vertAlign w:val="subscript"/>
                    </w:rPr>
                    <w:t>n</w:t>
                  </w:r>
                  <w:r>
                    <w:rPr>
                      <w:bCs/>
                      <w:color w:val="auto"/>
                      <w:szCs w:val="21"/>
                    </w:rPr>
                    <w:t>/t</w:t>
                  </w:r>
                </w:p>
              </w:tc>
              <w:tc>
                <w:tcPr>
                  <w:tcW w:w="833"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1EC8BCEB">
                  <w:pPr>
                    <w:adjustRightInd w:val="0"/>
                    <w:snapToGrid w:val="0"/>
                    <w:spacing w:line="340" w:lineRule="exact"/>
                    <w:jc w:val="center"/>
                    <w:rPr>
                      <w:bCs/>
                      <w:color w:val="auto"/>
                      <w:szCs w:val="21"/>
                    </w:rPr>
                  </w:pPr>
                  <w:r>
                    <w:rPr>
                      <w:bCs/>
                      <w:color w:val="auto"/>
                      <w:szCs w:val="21"/>
                    </w:rPr>
                    <w:t>临界量Q</w:t>
                  </w:r>
                  <w:r>
                    <w:rPr>
                      <w:bCs/>
                      <w:color w:val="auto"/>
                      <w:szCs w:val="21"/>
                      <w:vertAlign w:val="subscript"/>
                    </w:rPr>
                    <w:t>n</w:t>
                  </w:r>
                  <w:r>
                    <w:rPr>
                      <w:bCs/>
                      <w:color w:val="auto"/>
                      <w:szCs w:val="21"/>
                    </w:rPr>
                    <w:t>/t</w:t>
                  </w:r>
                </w:p>
              </w:tc>
              <w:tc>
                <w:tcPr>
                  <w:tcW w:w="833" w:type="pct"/>
                  <w:tcBorders>
                    <w:top w:val="single" w:color="000000" w:sz="12" w:space="0"/>
                    <w:left w:val="single" w:color="auto" w:sz="4" w:space="0"/>
                    <w:bottom w:val="single" w:color="auto" w:sz="4" w:space="0"/>
                    <w:right w:val="nil"/>
                  </w:tcBorders>
                  <w:shd w:val="clear" w:color="auto" w:fill="FFFFFF"/>
                  <w:noWrap w:val="0"/>
                  <w:vAlign w:val="center"/>
                </w:tcPr>
                <w:p w14:paraId="7196C406">
                  <w:pPr>
                    <w:adjustRightInd w:val="0"/>
                    <w:snapToGrid w:val="0"/>
                    <w:spacing w:line="340" w:lineRule="exact"/>
                    <w:jc w:val="center"/>
                    <w:rPr>
                      <w:bCs/>
                      <w:color w:val="auto"/>
                      <w:szCs w:val="21"/>
                    </w:rPr>
                  </w:pPr>
                  <w:r>
                    <w:rPr>
                      <w:bCs/>
                      <w:color w:val="auto"/>
                      <w:szCs w:val="21"/>
                    </w:rPr>
                    <w:t>该种危险物质Q值</w:t>
                  </w:r>
                </w:p>
              </w:tc>
            </w:tr>
            <w:tr w14:paraId="0301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tcBorders>
                    <w:top w:val="single" w:color="auto" w:sz="4" w:space="0"/>
                    <w:left w:val="nil"/>
                    <w:bottom w:val="single" w:color="auto" w:sz="4" w:space="0"/>
                    <w:right w:val="single" w:color="auto" w:sz="4" w:space="0"/>
                  </w:tcBorders>
                  <w:shd w:val="clear" w:color="auto" w:fill="FFFFFF"/>
                  <w:noWrap w:val="0"/>
                  <w:vAlign w:val="center"/>
                </w:tcPr>
                <w:p w14:paraId="2751C046">
                  <w:pPr>
                    <w:adjustRightInd w:val="0"/>
                    <w:snapToGrid w:val="0"/>
                    <w:spacing w:line="340" w:lineRule="exact"/>
                    <w:jc w:val="center"/>
                    <w:rPr>
                      <w:color w:val="auto"/>
                      <w:szCs w:val="21"/>
                    </w:rPr>
                  </w:pPr>
                  <w:r>
                    <w:rPr>
                      <w:color w:val="auto"/>
                      <w:szCs w:val="21"/>
                    </w:rPr>
                    <w:t>1</w:t>
                  </w:r>
                </w:p>
              </w:tc>
              <w:tc>
                <w:tcPr>
                  <w:tcW w:w="91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59855A7">
                  <w:pPr>
                    <w:adjustRightInd w:val="0"/>
                    <w:snapToGrid w:val="0"/>
                    <w:spacing w:line="340" w:lineRule="exact"/>
                    <w:jc w:val="center"/>
                    <w:rPr>
                      <w:color w:val="auto"/>
                      <w:szCs w:val="21"/>
                    </w:rPr>
                  </w:pPr>
                  <w:r>
                    <w:rPr>
                      <w:color w:val="auto"/>
                      <w:szCs w:val="21"/>
                    </w:rPr>
                    <w:t>医疗废物</w:t>
                  </w:r>
                </w:p>
              </w:tc>
              <w:tc>
                <w:tcPr>
                  <w:tcW w:w="96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5787A26">
                  <w:pPr>
                    <w:adjustRightInd w:val="0"/>
                    <w:snapToGrid w:val="0"/>
                    <w:spacing w:line="340" w:lineRule="exact"/>
                    <w:jc w:val="center"/>
                    <w:rPr>
                      <w:color w:val="auto"/>
                      <w:szCs w:val="21"/>
                    </w:rPr>
                  </w:pPr>
                  <w:r>
                    <w:rPr>
                      <w:color w:val="auto"/>
                      <w:szCs w:val="21"/>
                    </w:rPr>
                    <w:t>/</w:t>
                  </w:r>
                </w:p>
              </w:tc>
              <w:tc>
                <w:tcPr>
                  <w:tcW w:w="106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C5CBBB">
                  <w:pPr>
                    <w:adjustRightInd w:val="0"/>
                    <w:snapToGrid w:val="0"/>
                    <w:spacing w:line="340" w:lineRule="exact"/>
                    <w:jc w:val="center"/>
                    <w:rPr>
                      <w:color w:val="auto"/>
                      <w:szCs w:val="21"/>
                    </w:rPr>
                  </w:pPr>
                  <w:r>
                    <w:rPr>
                      <w:rFonts w:hint="eastAsia"/>
                      <w:color w:val="auto"/>
                      <w:szCs w:val="21"/>
                    </w:rPr>
                    <w:t>2t</w:t>
                  </w:r>
                </w:p>
              </w:tc>
              <w:tc>
                <w:tcPr>
                  <w:tcW w:w="8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9DD040">
                  <w:pPr>
                    <w:adjustRightInd w:val="0"/>
                    <w:snapToGrid w:val="0"/>
                    <w:spacing w:line="340" w:lineRule="exact"/>
                    <w:jc w:val="center"/>
                    <w:rPr>
                      <w:color w:val="auto"/>
                      <w:szCs w:val="21"/>
                    </w:rPr>
                  </w:pPr>
                  <w:r>
                    <w:rPr>
                      <w:rFonts w:hint="eastAsia"/>
                      <w:color w:val="auto"/>
                      <w:szCs w:val="21"/>
                    </w:rPr>
                    <w:t>50t</w:t>
                  </w:r>
                </w:p>
              </w:tc>
              <w:tc>
                <w:tcPr>
                  <w:tcW w:w="833" w:type="pct"/>
                  <w:tcBorders>
                    <w:top w:val="single" w:color="auto" w:sz="4" w:space="0"/>
                    <w:left w:val="single" w:color="auto" w:sz="4" w:space="0"/>
                    <w:bottom w:val="single" w:color="auto" w:sz="4" w:space="0"/>
                    <w:right w:val="nil"/>
                  </w:tcBorders>
                  <w:shd w:val="clear" w:color="auto" w:fill="FFFFFF"/>
                  <w:noWrap w:val="0"/>
                  <w:vAlign w:val="center"/>
                </w:tcPr>
                <w:p w14:paraId="16E73398">
                  <w:pPr>
                    <w:adjustRightInd w:val="0"/>
                    <w:snapToGrid w:val="0"/>
                    <w:spacing w:line="340" w:lineRule="exact"/>
                    <w:jc w:val="center"/>
                    <w:rPr>
                      <w:color w:val="auto"/>
                      <w:szCs w:val="21"/>
                    </w:rPr>
                  </w:pPr>
                  <w:r>
                    <w:rPr>
                      <w:rFonts w:hint="eastAsia"/>
                      <w:color w:val="auto"/>
                      <w:szCs w:val="21"/>
                    </w:rPr>
                    <w:t>0.04</w:t>
                  </w:r>
                </w:p>
              </w:tc>
            </w:tr>
            <w:tr w14:paraId="49CD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tcBorders>
                    <w:top w:val="single" w:color="auto" w:sz="4" w:space="0"/>
                    <w:left w:val="nil"/>
                    <w:bottom w:val="single" w:color="auto" w:sz="4" w:space="0"/>
                    <w:right w:val="single" w:color="auto" w:sz="4" w:space="0"/>
                  </w:tcBorders>
                  <w:shd w:val="clear" w:color="auto" w:fill="FFFFFF"/>
                  <w:noWrap w:val="0"/>
                  <w:vAlign w:val="center"/>
                </w:tcPr>
                <w:p w14:paraId="7B9EE56C">
                  <w:pPr>
                    <w:adjustRightInd w:val="0"/>
                    <w:snapToGrid w:val="0"/>
                    <w:spacing w:line="340" w:lineRule="exact"/>
                    <w:jc w:val="center"/>
                    <w:rPr>
                      <w:rFonts w:hint="eastAsia" w:eastAsia="宋体"/>
                      <w:color w:val="auto"/>
                      <w:szCs w:val="21"/>
                      <w:lang w:val="en-US" w:eastAsia="zh-CN"/>
                    </w:rPr>
                  </w:pPr>
                  <w:r>
                    <w:rPr>
                      <w:rFonts w:hint="eastAsia"/>
                      <w:color w:val="auto"/>
                      <w:szCs w:val="21"/>
                      <w:lang w:val="en-US" w:eastAsia="zh-CN"/>
                    </w:rPr>
                    <w:t>2</w:t>
                  </w:r>
                </w:p>
              </w:tc>
              <w:tc>
                <w:tcPr>
                  <w:tcW w:w="91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4AAFD6">
                  <w:pPr>
                    <w:adjustRightInd w:val="0"/>
                    <w:snapToGrid w:val="0"/>
                    <w:spacing w:line="340" w:lineRule="exact"/>
                    <w:jc w:val="center"/>
                    <w:rPr>
                      <w:color w:val="auto"/>
                      <w:szCs w:val="21"/>
                    </w:rPr>
                  </w:pPr>
                  <w:r>
                    <w:rPr>
                      <w:rFonts w:hint="eastAsia"/>
                      <w:color w:val="auto"/>
                      <w:szCs w:val="21"/>
                    </w:rPr>
                    <w:t>污泥</w:t>
                  </w:r>
                </w:p>
              </w:tc>
              <w:tc>
                <w:tcPr>
                  <w:tcW w:w="96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C15016A">
                  <w:pPr>
                    <w:adjustRightInd w:val="0"/>
                    <w:snapToGrid w:val="0"/>
                    <w:spacing w:line="340" w:lineRule="exact"/>
                    <w:jc w:val="center"/>
                    <w:rPr>
                      <w:color w:val="auto"/>
                      <w:szCs w:val="21"/>
                    </w:rPr>
                  </w:pPr>
                  <w:r>
                    <w:rPr>
                      <w:color w:val="auto"/>
                      <w:szCs w:val="21"/>
                    </w:rPr>
                    <w:t>/</w:t>
                  </w:r>
                </w:p>
              </w:tc>
              <w:tc>
                <w:tcPr>
                  <w:tcW w:w="106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591081">
                  <w:pPr>
                    <w:adjustRightInd w:val="0"/>
                    <w:snapToGrid w:val="0"/>
                    <w:spacing w:line="340" w:lineRule="exact"/>
                    <w:jc w:val="center"/>
                    <w:rPr>
                      <w:rFonts w:hint="eastAsia"/>
                      <w:color w:val="auto"/>
                      <w:szCs w:val="21"/>
                    </w:rPr>
                  </w:pPr>
                  <w:r>
                    <w:rPr>
                      <w:rFonts w:hint="eastAsia"/>
                      <w:color w:val="auto"/>
                      <w:szCs w:val="21"/>
                    </w:rPr>
                    <w:t>2t</w:t>
                  </w:r>
                </w:p>
              </w:tc>
              <w:tc>
                <w:tcPr>
                  <w:tcW w:w="8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C6BF1F">
                  <w:pPr>
                    <w:adjustRightInd w:val="0"/>
                    <w:snapToGrid w:val="0"/>
                    <w:spacing w:line="340" w:lineRule="exact"/>
                    <w:jc w:val="center"/>
                    <w:rPr>
                      <w:rFonts w:hint="eastAsia"/>
                      <w:color w:val="auto"/>
                      <w:szCs w:val="21"/>
                    </w:rPr>
                  </w:pPr>
                  <w:r>
                    <w:rPr>
                      <w:rFonts w:hint="eastAsia"/>
                      <w:color w:val="auto"/>
                      <w:szCs w:val="21"/>
                    </w:rPr>
                    <w:t>50t</w:t>
                  </w:r>
                </w:p>
              </w:tc>
              <w:tc>
                <w:tcPr>
                  <w:tcW w:w="833" w:type="pct"/>
                  <w:tcBorders>
                    <w:top w:val="single" w:color="auto" w:sz="4" w:space="0"/>
                    <w:left w:val="single" w:color="auto" w:sz="4" w:space="0"/>
                    <w:bottom w:val="single" w:color="auto" w:sz="4" w:space="0"/>
                    <w:right w:val="nil"/>
                  </w:tcBorders>
                  <w:shd w:val="clear" w:color="auto" w:fill="FFFFFF"/>
                  <w:noWrap w:val="0"/>
                  <w:vAlign w:val="center"/>
                </w:tcPr>
                <w:p w14:paraId="4AFDB1D1">
                  <w:pPr>
                    <w:adjustRightInd w:val="0"/>
                    <w:snapToGrid w:val="0"/>
                    <w:spacing w:line="340" w:lineRule="exact"/>
                    <w:jc w:val="center"/>
                    <w:rPr>
                      <w:rFonts w:hint="eastAsia"/>
                      <w:color w:val="auto"/>
                      <w:szCs w:val="21"/>
                    </w:rPr>
                  </w:pPr>
                  <w:r>
                    <w:rPr>
                      <w:rFonts w:hint="eastAsia"/>
                      <w:color w:val="auto"/>
                      <w:szCs w:val="21"/>
                    </w:rPr>
                    <w:t>0.04</w:t>
                  </w:r>
                </w:p>
              </w:tc>
            </w:tr>
            <w:tr w14:paraId="6B13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tcBorders>
                    <w:top w:val="single" w:color="auto" w:sz="4" w:space="0"/>
                    <w:left w:val="nil"/>
                    <w:bottom w:val="single" w:color="auto" w:sz="4" w:space="0"/>
                    <w:right w:val="single" w:color="auto" w:sz="4" w:space="0"/>
                  </w:tcBorders>
                  <w:shd w:val="clear" w:color="auto" w:fill="FFFFFF"/>
                  <w:noWrap w:val="0"/>
                  <w:vAlign w:val="center"/>
                </w:tcPr>
                <w:p w14:paraId="458AE602">
                  <w:pPr>
                    <w:adjustRightInd w:val="0"/>
                    <w:snapToGrid w:val="0"/>
                    <w:spacing w:line="340" w:lineRule="exact"/>
                    <w:jc w:val="center"/>
                    <w:rPr>
                      <w:rFonts w:hint="eastAsia" w:eastAsia="宋体"/>
                      <w:color w:val="auto"/>
                      <w:szCs w:val="21"/>
                      <w:lang w:eastAsia="zh-CN"/>
                    </w:rPr>
                  </w:pPr>
                  <w:r>
                    <w:rPr>
                      <w:rFonts w:hint="eastAsia"/>
                      <w:color w:val="auto"/>
                      <w:szCs w:val="21"/>
                      <w:lang w:val="en-US" w:eastAsia="zh-CN"/>
                    </w:rPr>
                    <w:t>3</w:t>
                  </w:r>
                </w:p>
              </w:tc>
              <w:tc>
                <w:tcPr>
                  <w:tcW w:w="91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BBE630">
                  <w:pPr>
                    <w:adjustRightInd w:val="0"/>
                    <w:snapToGrid w:val="0"/>
                    <w:spacing w:line="340" w:lineRule="exact"/>
                    <w:jc w:val="center"/>
                    <w:rPr>
                      <w:color w:val="auto"/>
                      <w:szCs w:val="21"/>
                    </w:rPr>
                  </w:pPr>
                  <w:r>
                    <w:rPr>
                      <w:color w:val="auto"/>
                      <w:szCs w:val="21"/>
                    </w:rPr>
                    <w:t>酒精</w:t>
                  </w:r>
                </w:p>
              </w:tc>
              <w:tc>
                <w:tcPr>
                  <w:tcW w:w="96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971B6D">
                  <w:pPr>
                    <w:adjustRightInd w:val="0"/>
                    <w:snapToGrid w:val="0"/>
                    <w:spacing w:line="340" w:lineRule="exact"/>
                    <w:jc w:val="center"/>
                    <w:rPr>
                      <w:color w:val="auto"/>
                      <w:szCs w:val="21"/>
                    </w:rPr>
                  </w:pPr>
                  <w:r>
                    <w:rPr>
                      <w:color w:val="auto"/>
                      <w:szCs w:val="21"/>
                    </w:rPr>
                    <w:t>64-17-5</w:t>
                  </w:r>
                </w:p>
              </w:tc>
              <w:tc>
                <w:tcPr>
                  <w:tcW w:w="106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41579A">
                  <w:pPr>
                    <w:adjustRightInd w:val="0"/>
                    <w:snapToGrid w:val="0"/>
                    <w:spacing w:line="340" w:lineRule="exact"/>
                    <w:jc w:val="center"/>
                    <w:rPr>
                      <w:color w:val="auto"/>
                      <w:szCs w:val="21"/>
                    </w:rPr>
                  </w:pPr>
                  <w:r>
                    <w:rPr>
                      <w:color w:val="auto"/>
                      <w:szCs w:val="21"/>
                    </w:rPr>
                    <w:t>0.</w:t>
                  </w:r>
                  <w:r>
                    <w:rPr>
                      <w:rFonts w:hint="eastAsia"/>
                      <w:color w:val="auto"/>
                      <w:szCs w:val="21"/>
                    </w:rPr>
                    <w:t>1</w:t>
                  </w:r>
                </w:p>
              </w:tc>
              <w:tc>
                <w:tcPr>
                  <w:tcW w:w="8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8D4E29">
                  <w:pPr>
                    <w:adjustRightInd w:val="0"/>
                    <w:snapToGrid w:val="0"/>
                    <w:spacing w:line="340" w:lineRule="exact"/>
                    <w:jc w:val="center"/>
                    <w:rPr>
                      <w:color w:val="auto"/>
                      <w:szCs w:val="21"/>
                    </w:rPr>
                  </w:pPr>
                  <w:r>
                    <w:rPr>
                      <w:color w:val="auto"/>
                      <w:szCs w:val="21"/>
                    </w:rPr>
                    <w:t>500</w:t>
                  </w:r>
                </w:p>
              </w:tc>
              <w:tc>
                <w:tcPr>
                  <w:tcW w:w="833" w:type="pct"/>
                  <w:tcBorders>
                    <w:top w:val="single" w:color="auto" w:sz="4" w:space="0"/>
                    <w:left w:val="single" w:color="auto" w:sz="4" w:space="0"/>
                    <w:bottom w:val="single" w:color="auto" w:sz="4" w:space="0"/>
                    <w:right w:val="nil"/>
                  </w:tcBorders>
                  <w:shd w:val="clear" w:color="auto" w:fill="FFFFFF"/>
                  <w:noWrap w:val="0"/>
                  <w:vAlign w:val="center"/>
                </w:tcPr>
                <w:p w14:paraId="37134DE5">
                  <w:pPr>
                    <w:adjustRightInd w:val="0"/>
                    <w:snapToGrid w:val="0"/>
                    <w:spacing w:line="340" w:lineRule="exact"/>
                    <w:jc w:val="center"/>
                    <w:rPr>
                      <w:color w:val="auto"/>
                      <w:szCs w:val="21"/>
                    </w:rPr>
                  </w:pPr>
                  <w:r>
                    <w:rPr>
                      <w:color w:val="auto"/>
                      <w:szCs w:val="21"/>
                    </w:rPr>
                    <w:t>0.000</w:t>
                  </w:r>
                  <w:r>
                    <w:rPr>
                      <w:rFonts w:hint="eastAsia"/>
                      <w:color w:val="auto"/>
                      <w:szCs w:val="21"/>
                    </w:rPr>
                    <w:t>2</w:t>
                  </w:r>
                </w:p>
              </w:tc>
            </w:tr>
            <w:tr w14:paraId="7C32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tcBorders>
                    <w:top w:val="single" w:color="auto" w:sz="4" w:space="0"/>
                    <w:left w:val="nil"/>
                    <w:bottom w:val="single" w:color="auto" w:sz="4" w:space="0"/>
                    <w:right w:val="single" w:color="auto" w:sz="4" w:space="0"/>
                  </w:tcBorders>
                  <w:shd w:val="clear" w:color="auto" w:fill="FFFFFF"/>
                  <w:noWrap w:val="0"/>
                  <w:vAlign w:val="center"/>
                </w:tcPr>
                <w:p w14:paraId="20B52E7B">
                  <w:pPr>
                    <w:adjustRightInd w:val="0"/>
                    <w:snapToGrid w:val="0"/>
                    <w:spacing w:line="340" w:lineRule="exact"/>
                    <w:jc w:val="center"/>
                    <w:rPr>
                      <w:rFonts w:hint="eastAsia" w:eastAsia="宋体"/>
                      <w:color w:val="auto"/>
                      <w:szCs w:val="21"/>
                      <w:lang w:eastAsia="zh-CN"/>
                    </w:rPr>
                  </w:pPr>
                  <w:r>
                    <w:rPr>
                      <w:rFonts w:hint="eastAsia"/>
                      <w:color w:val="auto"/>
                      <w:szCs w:val="21"/>
                      <w:lang w:val="en-US" w:eastAsia="zh-CN"/>
                    </w:rPr>
                    <w:t>4</w:t>
                  </w:r>
                </w:p>
              </w:tc>
              <w:tc>
                <w:tcPr>
                  <w:tcW w:w="91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601177">
                  <w:pPr>
                    <w:adjustRightInd w:val="0"/>
                    <w:snapToGrid w:val="0"/>
                    <w:spacing w:line="340" w:lineRule="exact"/>
                    <w:jc w:val="center"/>
                    <w:rPr>
                      <w:color w:val="auto"/>
                      <w:szCs w:val="21"/>
                    </w:rPr>
                  </w:pPr>
                  <w:r>
                    <w:rPr>
                      <w:rFonts w:hint="eastAsia"/>
                      <w:color w:val="auto"/>
                      <w:szCs w:val="21"/>
                    </w:rPr>
                    <w:t>次氯酸钠</w:t>
                  </w:r>
                </w:p>
              </w:tc>
              <w:tc>
                <w:tcPr>
                  <w:tcW w:w="96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38BC09">
                  <w:pPr>
                    <w:adjustRightInd w:val="0"/>
                    <w:snapToGrid w:val="0"/>
                    <w:spacing w:line="340" w:lineRule="exact"/>
                    <w:jc w:val="center"/>
                    <w:rPr>
                      <w:color w:val="auto"/>
                      <w:szCs w:val="21"/>
                    </w:rPr>
                  </w:pPr>
                  <w:r>
                    <w:rPr>
                      <w:rFonts w:hint="eastAsia"/>
                      <w:color w:val="auto"/>
                      <w:szCs w:val="21"/>
                    </w:rPr>
                    <w:t>7681-52-9</w:t>
                  </w:r>
                </w:p>
              </w:tc>
              <w:tc>
                <w:tcPr>
                  <w:tcW w:w="106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AC1B3E">
                  <w:pPr>
                    <w:adjustRightInd w:val="0"/>
                    <w:snapToGrid w:val="0"/>
                    <w:spacing w:line="340" w:lineRule="exact"/>
                    <w:jc w:val="center"/>
                    <w:rPr>
                      <w:color w:val="auto"/>
                      <w:szCs w:val="21"/>
                    </w:rPr>
                  </w:pPr>
                  <w:r>
                    <w:rPr>
                      <w:rFonts w:hint="eastAsia"/>
                      <w:color w:val="auto"/>
                      <w:szCs w:val="21"/>
                    </w:rPr>
                    <w:t>0.8</w:t>
                  </w:r>
                </w:p>
              </w:tc>
              <w:tc>
                <w:tcPr>
                  <w:tcW w:w="8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B39829">
                  <w:pPr>
                    <w:adjustRightInd w:val="0"/>
                    <w:snapToGrid w:val="0"/>
                    <w:spacing w:line="340" w:lineRule="exact"/>
                    <w:jc w:val="center"/>
                    <w:rPr>
                      <w:color w:val="auto"/>
                      <w:szCs w:val="21"/>
                    </w:rPr>
                  </w:pPr>
                  <w:r>
                    <w:rPr>
                      <w:rFonts w:hint="eastAsia"/>
                      <w:color w:val="auto"/>
                      <w:szCs w:val="21"/>
                    </w:rPr>
                    <w:t>5</w:t>
                  </w:r>
                </w:p>
              </w:tc>
              <w:tc>
                <w:tcPr>
                  <w:tcW w:w="833" w:type="pct"/>
                  <w:tcBorders>
                    <w:top w:val="single" w:color="auto" w:sz="4" w:space="0"/>
                    <w:left w:val="single" w:color="auto" w:sz="4" w:space="0"/>
                    <w:bottom w:val="single" w:color="auto" w:sz="4" w:space="0"/>
                    <w:right w:val="nil"/>
                  </w:tcBorders>
                  <w:shd w:val="clear" w:color="auto" w:fill="FFFFFF"/>
                  <w:noWrap w:val="0"/>
                  <w:vAlign w:val="center"/>
                </w:tcPr>
                <w:p w14:paraId="2C8CC3AD">
                  <w:pPr>
                    <w:adjustRightInd w:val="0"/>
                    <w:snapToGrid w:val="0"/>
                    <w:spacing w:line="340" w:lineRule="exact"/>
                    <w:jc w:val="center"/>
                    <w:rPr>
                      <w:color w:val="auto"/>
                      <w:szCs w:val="21"/>
                    </w:rPr>
                  </w:pPr>
                  <w:r>
                    <w:rPr>
                      <w:rFonts w:hint="eastAsia"/>
                      <w:color w:val="auto"/>
                      <w:szCs w:val="21"/>
                    </w:rPr>
                    <w:t>0.16</w:t>
                  </w:r>
                </w:p>
              </w:tc>
            </w:tr>
            <w:tr w14:paraId="7B82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tcBorders>
                    <w:top w:val="single" w:color="auto" w:sz="4" w:space="0"/>
                    <w:left w:val="nil"/>
                    <w:bottom w:val="single" w:color="auto" w:sz="4" w:space="0"/>
                    <w:right w:val="single" w:color="auto" w:sz="4" w:space="0"/>
                  </w:tcBorders>
                  <w:shd w:val="clear" w:color="auto" w:fill="FFFFFF"/>
                  <w:noWrap w:val="0"/>
                  <w:vAlign w:val="center"/>
                </w:tcPr>
                <w:p w14:paraId="55094A68">
                  <w:pPr>
                    <w:adjustRightInd w:val="0"/>
                    <w:snapToGrid w:val="0"/>
                    <w:spacing w:line="340" w:lineRule="exact"/>
                    <w:jc w:val="center"/>
                    <w:rPr>
                      <w:rFonts w:hint="default"/>
                      <w:color w:val="auto"/>
                      <w:szCs w:val="21"/>
                      <w:lang w:val="en-US" w:eastAsia="zh-CN"/>
                    </w:rPr>
                  </w:pPr>
                  <w:r>
                    <w:rPr>
                      <w:rFonts w:hint="eastAsia"/>
                      <w:color w:val="auto"/>
                      <w:szCs w:val="21"/>
                      <w:lang w:val="en-US" w:eastAsia="zh-CN"/>
                    </w:rPr>
                    <w:t>5</w:t>
                  </w:r>
                </w:p>
              </w:tc>
              <w:tc>
                <w:tcPr>
                  <w:tcW w:w="91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0817EF">
                  <w:pPr>
                    <w:adjustRightInd w:val="0"/>
                    <w:snapToGrid w:val="0"/>
                    <w:spacing w:line="340" w:lineRule="exact"/>
                    <w:jc w:val="center"/>
                    <w:rPr>
                      <w:rFonts w:hint="eastAsia" w:eastAsia="宋体"/>
                      <w:color w:val="auto"/>
                      <w:szCs w:val="21"/>
                      <w:lang w:val="en-US" w:eastAsia="zh-CN"/>
                    </w:rPr>
                  </w:pPr>
                  <w:r>
                    <w:rPr>
                      <w:rFonts w:hint="eastAsia"/>
                      <w:color w:val="auto"/>
                      <w:szCs w:val="21"/>
                      <w:lang w:val="en-US" w:eastAsia="zh-CN"/>
                    </w:rPr>
                    <w:t>柴油</w:t>
                  </w:r>
                </w:p>
              </w:tc>
              <w:tc>
                <w:tcPr>
                  <w:tcW w:w="96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A421BD">
                  <w:pPr>
                    <w:adjustRightInd w:val="0"/>
                    <w:snapToGrid w:val="0"/>
                    <w:spacing w:line="340" w:lineRule="exact"/>
                    <w:jc w:val="center"/>
                    <w:rPr>
                      <w:rFonts w:hint="eastAsia"/>
                      <w:color w:val="auto"/>
                      <w:szCs w:val="21"/>
                    </w:rPr>
                  </w:pPr>
                  <w:r>
                    <w:rPr>
                      <w:rFonts w:hint="eastAsia" w:ascii="Times New Roman" w:hAnsi="Times New Roman" w:eastAsia="宋体" w:cs="Times New Roman"/>
                      <w:color w:val="auto"/>
                      <w:szCs w:val="21"/>
                    </w:rPr>
                    <w:t>68334-30-5</w:t>
                  </w:r>
                </w:p>
              </w:tc>
              <w:tc>
                <w:tcPr>
                  <w:tcW w:w="106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5DE968">
                  <w:pPr>
                    <w:adjustRightInd w:val="0"/>
                    <w:snapToGrid w:val="0"/>
                    <w:spacing w:line="340" w:lineRule="exact"/>
                    <w:jc w:val="center"/>
                    <w:rPr>
                      <w:rFonts w:hint="default" w:eastAsia="宋体"/>
                      <w:color w:val="auto"/>
                      <w:szCs w:val="21"/>
                      <w:lang w:val="en-US" w:eastAsia="zh-CN"/>
                    </w:rPr>
                  </w:pPr>
                  <w:r>
                    <w:rPr>
                      <w:rFonts w:hint="eastAsia"/>
                      <w:color w:val="auto"/>
                      <w:szCs w:val="21"/>
                      <w:lang w:val="en-US" w:eastAsia="zh-CN"/>
                    </w:rPr>
                    <w:t>10</w:t>
                  </w:r>
                </w:p>
              </w:tc>
              <w:tc>
                <w:tcPr>
                  <w:tcW w:w="83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96F579">
                  <w:pPr>
                    <w:adjustRightInd w:val="0"/>
                    <w:snapToGrid w:val="0"/>
                    <w:spacing w:line="340" w:lineRule="exact"/>
                    <w:jc w:val="center"/>
                    <w:rPr>
                      <w:rFonts w:hint="default" w:eastAsia="宋体"/>
                      <w:color w:val="auto"/>
                      <w:szCs w:val="21"/>
                      <w:lang w:val="en-US" w:eastAsia="zh-CN"/>
                    </w:rPr>
                  </w:pPr>
                  <w:r>
                    <w:rPr>
                      <w:rFonts w:hint="eastAsia"/>
                      <w:color w:val="auto"/>
                      <w:szCs w:val="21"/>
                      <w:lang w:val="en-US" w:eastAsia="zh-CN"/>
                    </w:rPr>
                    <w:t>2500</w:t>
                  </w:r>
                </w:p>
              </w:tc>
              <w:tc>
                <w:tcPr>
                  <w:tcW w:w="833" w:type="pct"/>
                  <w:tcBorders>
                    <w:top w:val="single" w:color="auto" w:sz="4" w:space="0"/>
                    <w:left w:val="single" w:color="auto" w:sz="4" w:space="0"/>
                    <w:bottom w:val="single" w:color="auto" w:sz="4" w:space="0"/>
                    <w:right w:val="nil"/>
                  </w:tcBorders>
                  <w:shd w:val="clear" w:color="auto" w:fill="FFFFFF"/>
                  <w:noWrap w:val="0"/>
                  <w:vAlign w:val="center"/>
                </w:tcPr>
                <w:p w14:paraId="36A7EB6D">
                  <w:pPr>
                    <w:adjustRightInd w:val="0"/>
                    <w:snapToGrid w:val="0"/>
                    <w:spacing w:line="340" w:lineRule="exact"/>
                    <w:jc w:val="center"/>
                    <w:rPr>
                      <w:rFonts w:hint="default" w:eastAsia="宋体"/>
                      <w:color w:val="auto"/>
                      <w:szCs w:val="21"/>
                      <w:lang w:val="en-US" w:eastAsia="zh-CN"/>
                    </w:rPr>
                  </w:pPr>
                  <w:r>
                    <w:rPr>
                      <w:rFonts w:hint="eastAsia"/>
                      <w:color w:val="auto"/>
                      <w:szCs w:val="21"/>
                      <w:lang w:val="en-US" w:eastAsia="zh-CN"/>
                    </w:rPr>
                    <w:t>0.004</w:t>
                  </w:r>
                </w:p>
              </w:tc>
            </w:tr>
            <w:tr w14:paraId="27A6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66" w:type="pct"/>
                  <w:gridSpan w:val="5"/>
                  <w:tcBorders>
                    <w:top w:val="single" w:color="auto" w:sz="4" w:space="0"/>
                    <w:left w:val="nil"/>
                    <w:bottom w:val="single" w:color="000000" w:sz="12" w:space="0"/>
                    <w:right w:val="single" w:color="auto" w:sz="4" w:space="0"/>
                  </w:tcBorders>
                  <w:shd w:val="clear" w:color="auto" w:fill="FFFFFF"/>
                  <w:noWrap w:val="0"/>
                  <w:vAlign w:val="center"/>
                </w:tcPr>
                <w:p w14:paraId="400F05F6">
                  <w:pPr>
                    <w:adjustRightInd w:val="0"/>
                    <w:snapToGrid w:val="0"/>
                    <w:spacing w:line="340" w:lineRule="exact"/>
                    <w:jc w:val="center"/>
                    <w:rPr>
                      <w:color w:val="auto"/>
                      <w:szCs w:val="21"/>
                    </w:rPr>
                  </w:pPr>
                  <w:r>
                    <w:rPr>
                      <w:bCs/>
                      <w:color w:val="auto"/>
                      <w:szCs w:val="21"/>
                    </w:rPr>
                    <w:t>项目Q值∑</w:t>
                  </w:r>
                </w:p>
              </w:tc>
              <w:tc>
                <w:tcPr>
                  <w:tcW w:w="833" w:type="pct"/>
                  <w:tcBorders>
                    <w:top w:val="single" w:color="auto" w:sz="4" w:space="0"/>
                    <w:left w:val="single" w:color="auto" w:sz="4" w:space="0"/>
                    <w:bottom w:val="single" w:color="000000" w:sz="12" w:space="0"/>
                    <w:right w:val="nil"/>
                  </w:tcBorders>
                  <w:shd w:val="clear" w:color="auto" w:fill="FFFFFF"/>
                  <w:noWrap w:val="0"/>
                  <w:vAlign w:val="center"/>
                </w:tcPr>
                <w:p w14:paraId="560EA119">
                  <w:pPr>
                    <w:adjustRightInd w:val="0"/>
                    <w:snapToGrid w:val="0"/>
                    <w:spacing w:line="340" w:lineRule="exact"/>
                    <w:jc w:val="center"/>
                    <w:rPr>
                      <w:color w:val="auto"/>
                      <w:szCs w:val="21"/>
                    </w:rPr>
                  </w:pPr>
                  <w:r>
                    <w:rPr>
                      <w:rFonts w:hint="eastAsia"/>
                      <w:color w:val="auto"/>
                      <w:szCs w:val="21"/>
                    </w:rPr>
                    <w:t>0.2</w:t>
                  </w:r>
                  <w:r>
                    <w:rPr>
                      <w:rFonts w:hint="eastAsia"/>
                      <w:color w:val="auto"/>
                      <w:szCs w:val="21"/>
                      <w:lang w:val="en-US" w:eastAsia="zh-CN"/>
                    </w:rPr>
                    <w:t>44</w:t>
                  </w:r>
                  <w:r>
                    <w:rPr>
                      <w:rFonts w:hint="eastAsia"/>
                      <w:color w:val="auto"/>
                      <w:szCs w:val="21"/>
                    </w:rPr>
                    <w:t>2</w:t>
                  </w:r>
                </w:p>
              </w:tc>
            </w:tr>
          </w:tbl>
          <w:p w14:paraId="0D62A651">
            <w:pPr>
              <w:spacing w:line="360" w:lineRule="auto"/>
              <w:ind w:firstLine="480" w:firstLineChars="200"/>
              <w:rPr>
                <w:color w:val="auto"/>
                <w:sz w:val="24"/>
              </w:rPr>
            </w:pPr>
            <w:r>
              <w:rPr>
                <w:color w:val="auto"/>
                <w:sz w:val="24"/>
              </w:rPr>
              <w:t>根据上表，项目Q值小于1，环境风险潜势为I。</w:t>
            </w:r>
          </w:p>
          <w:p w14:paraId="5A95A63D">
            <w:pPr>
              <w:adjustRightInd w:val="0"/>
              <w:snapToGrid w:val="0"/>
              <w:spacing w:line="360" w:lineRule="auto"/>
              <w:ind w:firstLine="480" w:firstLineChars="200"/>
              <w:rPr>
                <w:b/>
                <w:color w:val="auto"/>
                <w:sz w:val="24"/>
              </w:rPr>
            </w:pPr>
            <w:r>
              <w:rPr>
                <w:color w:val="auto"/>
                <w:sz w:val="24"/>
              </w:rPr>
              <w:t>根据《建设项目环境风险评价技术导则》（HJ169-2018），环境风险评价工作等级根据项目涉及的物质及工艺系统危害性和所在地的环境敏感性确定环境风险潜势，按下表确定评价工作等级。</w:t>
            </w:r>
          </w:p>
          <w:p w14:paraId="4E3027BE">
            <w:pPr>
              <w:adjustRightInd w:val="0"/>
              <w:snapToGrid w:val="0"/>
              <w:spacing w:before="120" w:beforeLines="50"/>
              <w:jc w:val="center"/>
              <w:rPr>
                <w:b/>
                <w:color w:val="auto"/>
                <w:sz w:val="24"/>
              </w:rPr>
            </w:pPr>
            <w:r>
              <w:rPr>
                <w:b/>
                <w:color w:val="auto"/>
                <w:sz w:val="24"/>
              </w:rPr>
              <w:t>表</w:t>
            </w:r>
            <w:r>
              <w:rPr>
                <w:rFonts w:hint="eastAsia"/>
                <w:b/>
                <w:color w:val="auto"/>
                <w:sz w:val="24"/>
              </w:rPr>
              <w:t>4.3-2</w:t>
            </w:r>
            <w:r>
              <w:rPr>
                <w:b/>
                <w:color w:val="auto"/>
                <w:sz w:val="24"/>
              </w:rPr>
              <w:t>环境风险评价工作等级划分</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7"/>
              <w:gridCol w:w="2027"/>
              <w:gridCol w:w="1473"/>
              <w:gridCol w:w="1594"/>
              <w:gridCol w:w="1380"/>
            </w:tblGrid>
            <w:tr w14:paraId="2507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2" w:type="pct"/>
                  <w:tcBorders>
                    <w:top w:val="single" w:color="000000" w:sz="12" w:space="0"/>
                    <w:left w:val="nil"/>
                    <w:bottom w:val="single" w:color="auto" w:sz="4" w:space="0"/>
                    <w:right w:val="single" w:color="auto" w:sz="4" w:space="0"/>
                  </w:tcBorders>
                  <w:shd w:val="clear" w:color="auto" w:fill="FFFFFF"/>
                  <w:noWrap w:val="0"/>
                  <w:vAlign w:val="center"/>
                </w:tcPr>
                <w:p w14:paraId="39A1603A">
                  <w:pPr>
                    <w:adjustRightInd w:val="0"/>
                    <w:snapToGrid w:val="0"/>
                    <w:spacing w:line="340" w:lineRule="exact"/>
                    <w:jc w:val="center"/>
                    <w:rPr>
                      <w:bCs/>
                      <w:color w:val="auto"/>
                      <w:szCs w:val="21"/>
                    </w:rPr>
                  </w:pPr>
                  <w:r>
                    <w:rPr>
                      <w:bCs/>
                      <w:color w:val="auto"/>
                      <w:szCs w:val="21"/>
                    </w:rPr>
                    <w:t>环境风险潜势</w:t>
                  </w:r>
                </w:p>
              </w:tc>
              <w:tc>
                <w:tcPr>
                  <w:tcW w:w="1192"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21E8DB75">
                  <w:pPr>
                    <w:adjustRightInd w:val="0"/>
                    <w:snapToGrid w:val="0"/>
                    <w:spacing w:line="340" w:lineRule="exact"/>
                    <w:jc w:val="center"/>
                    <w:rPr>
                      <w:bCs/>
                      <w:color w:val="auto"/>
                      <w:szCs w:val="21"/>
                    </w:rPr>
                  </w:pPr>
                  <w:r>
                    <w:rPr>
                      <w:bCs/>
                      <w:color w:val="auto"/>
                      <w:szCs w:val="21"/>
                    </w:rPr>
                    <w:fldChar w:fldCharType="begin"/>
                  </w:r>
                  <w:r>
                    <w:rPr>
                      <w:bCs/>
                      <w:color w:val="auto"/>
                      <w:szCs w:val="21"/>
                    </w:rPr>
                    <w:instrText xml:space="preserve"> = 4 \* ROMAN \* MERGEFORMAT </w:instrText>
                  </w:r>
                  <w:r>
                    <w:rPr>
                      <w:bCs/>
                      <w:color w:val="auto"/>
                      <w:szCs w:val="21"/>
                    </w:rPr>
                    <w:fldChar w:fldCharType="separate"/>
                  </w:r>
                  <w:r>
                    <w:rPr>
                      <w:bCs/>
                      <w:color w:val="auto"/>
                      <w:szCs w:val="21"/>
                    </w:rPr>
                    <w:t>IV</w:t>
                  </w:r>
                  <w:r>
                    <w:rPr>
                      <w:bCs/>
                      <w:color w:val="auto"/>
                      <w:szCs w:val="21"/>
                    </w:rPr>
                    <w:fldChar w:fldCharType="end"/>
                  </w:r>
                  <w:r>
                    <w:rPr>
                      <w:bCs/>
                      <w:color w:val="auto"/>
                      <w:szCs w:val="21"/>
                    </w:rPr>
                    <w:t>、</w:t>
                  </w:r>
                  <w:r>
                    <w:rPr>
                      <w:bCs/>
                      <w:color w:val="auto"/>
                      <w:szCs w:val="21"/>
                    </w:rPr>
                    <w:fldChar w:fldCharType="begin"/>
                  </w:r>
                  <w:r>
                    <w:rPr>
                      <w:bCs/>
                      <w:color w:val="auto"/>
                      <w:szCs w:val="21"/>
                    </w:rPr>
                    <w:instrText xml:space="preserve"> = 4 \* ROMAN \* MERGEFORMAT </w:instrText>
                  </w:r>
                  <w:r>
                    <w:rPr>
                      <w:bCs/>
                      <w:color w:val="auto"/>
                      <w:szCs w:val="21"/>
                    </w:rPr>
                    <w:fldChar w:fldCharType="separate"/>
                  </w:r>
                  <w:r>
                    <w:rPr>
                      <w:bCs/>
                      <w:color w:val="auto"/>
                      <w:szCs w:val="21"/>
                    </w:rPr>
                    <w:t>IV</w:t>
                  </w:r>
                  <w:r>
                    <w:rPr>
                      <w:bCs/>
                      <w:color w:val="auto"/>
                      <w:szCs w:val="21"/>
                    </w:rPr>
                    <w:fldChar w:fldCharType="end"/>
                  </w:r>
                  <w:r>
                    <w:rPr>
                      <w:bCs/>
                      <w:color w:val="auto"/>
                      <w:szCs w:val="21"/>
                      <w:vertAlign w:val="superscript"/>
                    </w:rPr>
                    <w:t>+</w:t>
                  </w:r>
                </w:p>
              </w:tc>
              <w:tc>
                <w:tcPr>
                  <w:tcW w:w="866"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18560980">
                  <w:pPr>
                    <w:adjustRightInd w:val="0"/>
                    <w:snapToGrid w:val="0"/>
                    <w:spacing w:line="340" w:lineRule="exact"/>
                    <w:jc w:val="center"/>
                    <w:rPr>
                      <w:bCs/>
                      <w:color w:val="auto"/>
                      <w:szCs w:val="21"/>
                    </w:rPr>
                  </w:pPr>
                  <w:r>
                    <w:rPr>
                      <w:bCs/>
                      <w:color w:val="auto"/>
                      <w:szCs w:val="21"/>
                    </w:rPr>
                    <w:fldChar w:fldCharType="begin"/>
                  </w:r>
                  <w:r>
                    <w:rPr>
                      <w:bCs/>
                      <w:color w:val="auto"/>
                      <w:szCs w:val="21"/>
                    </w:rPr>
                    <w:instrText xml:space="preserve"> = 3 \* ROMAN \* MERGEFORMAT </w:instrText>
                  </w:r>
                  <w:r>
                    <w:rPr>
                      <w:bCs/>
                      <w:color w:val="auto"/>
                      <w:szCs w:val="21"/>
                    </w:rPr>
                    <w:fldChar w:fldCharType="separate"/>
                  </w:r>
                  <w:r>
                    <w:rPr>
                      <w:bCs/>
                      <w:color w:val="auto"/>
                      <w:szCs w:val="21"/>
                    </w:rPr>
                    <w:t>III</w:t>
                  </w:r>
                  <w:r>
                    <w:rPr>
                      <w:bCs/>
                      <w:color w:val="auto"/>
                      <w:szCs w:val="21"/>
                    </w:rPr>
                    <w:fldChar w:fldCharType="end"/>
                  </w:r>
                </w:p>
              </w:tc>
              <w:tc>
                <w:tcPr>
                  <w:tcW w:w="937" w:type="pct"/>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57CCAF4D">
                  <w:pPr>
                    <w:adjustRightInd w:val="0"/>
                    <w:snapToGrid w:val="0"/>
                    <w:spacing w:line="340" w:lineRule="exact"/>
                    <w:jc w:val="center"/>
                    <w:rPr>
                      <w:bCs/>
                      <w:color w:val="auto"/>
                      <w:szCs w:val="21"/>
                    </w:rPr>
                  </w:pPr>
                  <w:r>
                    <w:rPr>
                      <w:bCs/>
                      <w:color w:val="auto"/>
                      <w:szCs w:val="21"/>
                    </w:rPr>
                    <w:fldChar w:fldCharType="begin"/>
                  </w:r>
                  <w:r>
                    <w:rPr>
                      <w:bCs/>
                      <w:color w:val="auto"/>
                      <w:szCs w:val="21"/>
                    </w:rPr>
                    <w:instrText xml:space="preserve"> = 2 \* ROMAN \* MERGEFORMAT </w:instrText>
                  </w:r>
                  <w:r>
                    <w:rPr>
                      <w:bCs/>
                      <w:color w:val="auto"/>
                      <w:szCs w:val="21"/>
                    </w:rPr>
                    <w:fldChar w:fldCharType="separate"/>
                  </w:r>
                  <w:r>
                    <w:rPr>
                      <w:bCs/>
                      <w:color w:val="auto"/>
                      <w:szCs w:val="21"/>
                    </w:rPr>
                    <w:t>II</w:t>
                  </w:r>
                  <w:r>
                    <w:rPr>
                      <w:bCs/>
                      <w:color w:val="auto"/>
                      <w:szCs w:val="21"/>
                    </w:rPr>
                    <w:fldChar w:fldCharType="end"/>
                  </w:r>
                </w:p>
              </w:tc>
              <w:tc>
                <w:tcPr>
                  <w:tcW w:w="811" w:type="pct"/>
                  <w:tcBorders>
                    <w:top w:val="single" w:color="000000" w:sz="12" w:space="0"/>
                    <w:left w:val="single" w:color="auto" w:sz="4" w:space="0"/>
                    <w:bottom w:val="single" w:color="auto" w:sz="4" w:space="0"/>
                    <w:right w:val="nil"/>
                  </w:tcBorders>
                  <w:shd w:val="clear" w:color="auto" w:fill="FFFFFF"/>
                  <w:noWrap w:val="0"/>
                  <w:vAlign w:val="center"/>
                </w:tcPr>
                <w:p w14:paraId="528521F8">
                  <w:pPr>
                    <w:adjustRightInd w:val="0"/>
                    <w:snapToGrid w:val="0"/>
                    <w:spacing w:line="340" w:lineRule="exact"/>
                    <w:jc w:val="center"/>
                    <w:rPr>
                      <w:bCs/>
                      <w:color w:val="auto"/>
                      <w:szCs w:val="21"/>
                    </w:rPr>
                  </w:pPr>
                  <w:r>
                    <w:rPr>
                      <w:bCs/>
                      <w:color w:val="auto"/>
                      <w:szCs w:val="21"/>
                    </w:rPr>
                    <w:t>Ⅰ</w:t>
                  </w:r>
                </w:p>
              </w:tc>
            </w:tr>
            <w:tr w14:paraId="55B4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2" w:type="pct"/>
                  <w:tcBorders>
                    <w:top w:val="single" w:color="auto" w:sz="4" w:space="0"/>
                    <w:left w:val="nil"/>
                    <w:bottom w:val="single" w:color="000000" w:sz="12" w:space="0"/>
                    <w:right w:val="single" w:color="auto" w:sz="4" w:space="0"/>
                  </w:tcBorders>
                  <w:shd w:val="clear" w:color="auto" w:fill="FFFFFF"/>
                  <w:noWrap w:val="0"/>
                  <w:vAlign w:val="center"/>
                </w:tcPr>
                <w:p w14:paraId="2A231EC5">
                  <w:pPr>
                    <w:adjustRightInd w:val="0"/>
                    <w:snapToGrid w:val="0"/>
                    <w:spacing w:line="340" w:lineRule="exact"/>
                    <w:jc w:val="center"/>
                    <w:rPr>
                      <w:color w:val="auto"/>
                      <w:szCs w:val="21"/>
                    </w:rPr>
                  </w:pPr>
                  <w:r>
                    <w:rPr>
                      <w:color w:val="auto"/>
                      <w:szCs w:val="21"/>
                    </w:rPr>
                    <w:t>评价工作等级</w:t>
                  </w:r>
                </w:p>
              </w:tc>
              <w:tc>
                <w:tcPr>
                  <w:tcW w:w="1192"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5E910152">
                  <w:pPr>
                    <w:adjustRightInd w:val="0"/>
                    <w:snapToGrid w:val="0"/>
                    <w:spacing w:line="340" w:lineRule="exact"/>
                    <w:jc w:val="center"/>
                    <w:rPr>
                      <w:color w:val="auto"/>
                      <w:szCs w:val="21"/>
                    </w:rPr>
                  </w:pPr>
                  <w:r>
                    <w:rPr>
                      <w:color w:val="auto"/>
                      <w:szCs w:val="21"/>
                    </w:rPr>
                    <w:t>一</w:t>
                  </w:r>
                </w:p>
              </w:tc>
              <w:tc>
                <w:tcPr>
                  <w:tcW w:w="866"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17B973ED">
                  <w:pPr>
                    <w:adjustRightInd w:val="0"/>
                    <w:snapToGrid w:val="0"/>
                    <w:spacing w:line="340" w:lineRule="exact"/>
                    <w:jc w:val="center"/>
                    <w:rPr>
                      <w:color w:val="auto"/>
                      <w:szCs w:val="21"/>
                    </w:rPr>
                  </w:pPr>
                  <w:r>
                    <w:rPr>
                      <w:color w:val="auto"/>
                      <w:szCs w:val="21"/>
                    </w:rPr>
                    <w:t>二</w:t>
                  </w:r>
                </w:p>
              </w:tc>
              <w:tc>
                <w:tcPr>
                  <w:tcW w:w="937" w:type="pct"/>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51B5C667">
                  <w:pPr>
                    <w:adjustRightInd w:val="0"/>
                    <w:snapToGrid w:val="0"/>
                    <w:spacing w:line="340" w:lineRule="exact"/>
                    <w:jc w:val="center"/>
                    <w:rPr>
                      <w:bCs/>
                      <w:color w:val="auto"/>
                      <w:szCs w:val="21"/>
                    </w:rPr>
                  </w:pPr>
                  <w:r>
                    <w:rPr>
                      <w:bCs/>
                      <w:color w:val="auto"/>
                      <w:szCs w:val="21"/>
                    </w:rPr>
                    <w:t>三</w:t>
                  </w:r>
                </w:p>
              </w:tc>
              <w:tc>
                <w:tcPr>
                  <w:tcW w:w="811" w:type="pct"/>
                  <w:tcBorders>
                    <w:top w:val="single" w:color="auto" w:sz="4" w:space="0"/>
                    <w:left w:val="single" w:color="auto" w:sz="4" w:space="0"/>
                    <w:bottom w:val="single" w:color="000000" w:sz="12" w:space="0"/>
                    <w:right w:val="nil"/>
                  </w:tcBorders>
                  <w:shd w:val="clear" w:color="auto" w:fill="FFFFFF"/>
                  <w:noWrap w:val="0"/>
                  <w:vAlign w:val="center"/>
                </w:tcPr>
                <w:p w14:paraId="4A0E84CA">
                  <w:pPr>
                    <w:adjustRightInd w:val="0"/>
                    <w:snapToGrid w:val="0"/>
                    <w:spacing w:line="340" w:lineRule="exact"/>
                    <w:jc w:val="center"/>
                    <w:rPr>
                      <w:color w:val="auto"/>
                      <w:szCs w:val="21"/>
                    </w:rPr>
                  </w:pPr>
                  <w:r>
                    <w:rPr>
                      <w:color w:val="auto"/>
                      <w:szCs w:val="21"/>
                    </w:rPr>
                    <w:t>简单评价</w:t>
                  </w:r>
                </w:p>
              </w:tc>
            </w:tr>
          </w:tbl>
          <w:p w14:paraId="43555C73">
            <w:pPr>
              <w:spacing w:line="360" w:lineRule="auto"/>
              <w:ind w:firstLine="480" w:firstLineChars="200"/>
              <w:rPr>
                <w:color w:val="auto"/>
                <w:sz w:val="24"/>
              </w:rPr>
            </w:pPr>
            <w:r>
              <w:rPr>
                <w:color w:val="auto"/>
                <w:sz w:val="24"/>
              </w:rPr>
              <w:t>综上分析，本项目环境风险评价工作等级为简单分析。</w:t>
            </w:r>
          </w:p>
          <w:p w14:paraId="2EEF9913">
            <w:pPr>
              <w:pStyle w:val="30"/>
              <w:spacing w:line="360" w:lineRule="auto"/>
              <w:ind w:firstLine="466" w:firstLineChars="200"/>
              <w:rPr>
                <w:rFonts w:ascii="Times New Roman" w:hAnsi="Times New Roman" w:cs="Times New Roman"/>
                <w:color w:val="auto"/>
                <w:lang w:eastAsia="zh-CN"/>
              </w:rPr>
            </w:pPr>
            <w:r>
              <w:rPr>
                <w:rFonts w:ascii="Times New Roman" w:hAnsi="Times New Roman" w:cs="Times New Roman"/>
                <w:b/>
                <w:bCs/>
                <w:color w:val="auto"/>
                <w:spacing w:val="-4"/>
                <w:lang w:eastAsia="zh-CN"/>
              </w:rPr>
              <w:t>（2）风险源</w:t>
            </w:r>
          </w:p>
          <w:p w14:paraId="4A85ADE6">
            <w:pPr>
              <w:pStyle w:val="30"/>
              <w:spacing w:line="360" w:lineRule="auto"/>
              <w:ind w:firstLine="476" w:firstLineChars="200"/>
              <w:rPr>
                <w:rFonts w:ascii="Times New Roman" w:hAnsi="Times New Roman" w:cs="Times New Roman"/>
                <w:color w:val="auto"/>
                <w:lang w:eastAsia="zh-CN"/>
              </w:rPr>
            </w:pPr>
            <w:r>
              <w:rPr>
                <w:rFonts w:ascii="Times New Roman" w:hAnsi="Times New Roman" w:cs="Times New Roman"/>
                <w:color w:val="auto"/>
                <w:spacing w:val="-1"/>
                <w:lang w:eastAsia="zh-CN"/>
              </w:rPr>
              <w:t>a）污水处理设施风险分析</w:t>
            </w:r>
          </w:p>
          <w:p w14:paraId="216D664E">
            <w:pPr>
              <w:pStyle w:val="3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本项目废水主要为医疗废水，其中含有大量的粪大肠杆菌。一旦发生事故时，废水通过渗透进入附近的地表水，对附近的地表水环境造成污染。污水处理设施为地埋式，若地下空间机械通风、排风系统设计不合理，或未安装有毒气体检测报警装置，恶臭中的硫化氢、氨属于有毒物质，巡检人员可</w:t>
            </w:r>
            <w:r>
              <w:rPr>
                <w:rFonts w:ascii="Times New Roman" w:hAnsi="Times New Roman" w:cs="Times New Roman"/>
                <w:color w:val="auto"/>
                <w:spacing w:val="-4"/>
                <w:lang w:eastAsia="zh-CN"/>
              </w:rPr>
              <w:t>能发生中毒窒息事故。</w:t>
            </w:r>
          </w:p>
          <w:p w14:paraId="15541588">
            <w:pPr>
              <w:pStyle w:val="30"/>
              <w:spacing w:line="360" w:lineRule="auto"/>
              <w:ind w:firstLine="472" w:firstLineChars="200"/>
              <w:rPr>
                <w:rFonts w:ascii="Times New Roman" w:hAnsi="Times New Roman" w:cs="Times New Roman"/>
                <w:color w:val="auto"/>
                <w:lang w:eastAsia="zh-CN"/>
              </w:rPr>
            </w:pPr>
            <w:r>
              <w:rPr>
                <w:rFonts w:hint="eastAsia" w:ascii="Times New Roman" w:hAnsi="Times New Roman" w:cs="Times New Roman"/>
                <w:color w:val="auto"/>
                <w:spacing w:val="-2"/>
                <w:lang w:val="en-US" w:eastAsia="zh-CN"/>
              </w:rPr>
              <w:t>b</w:t>
            </w:r>
            <w:r>
              <w:rPr>
                <w:rFonts w:ascii="Times New Roman" w:hAnsi="Times New Roman" w:cs="Times New Roman"/>
                <w:color w:val="auto"/>
                <w:spacing w:val="-2"/>
                <w:lang w:eastAsia="zh-CN"/>
              </w:rPr>
              <w:t>）固体废物事故风险分析</w:t>
            </w:r>
          </w:p>
          <w:p w14:paraId="7C6B2AB0">
            <w:pPr>
              <w:pStyle w:val="3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本项目医疗废物主要为损伤性废物、化学性废物、药物性废物和</w:t>
            </w:r>
            <w:r>
              <w:rPr>
                <w:rFonts w:hint="eastAsia" w:ascii="Times New Roman" w:hAnsi="Times New Roman" w:cs="Times New Roman"/>
                <w:color w:val="auto"/>
                <w:lang w:val="en-US" w:eastAsia="zh-CN"/>
              </w:rPr>
              <w:t>感染</w:t>
            </w:r>
            <w:r>
              <w:rPr>
                <w:rFonts w:ascii="Times New Roman" w:hAnsi="Times New Roman" w:cs="Times New Roman"/>
                <w:color w:val="auto"/>
                <w:lang w:eastAsia="zh-CN"/>
              </w:rPr>
              <w:t>性废物，在医疗废物分类和收集的过程中，若发生流失、泄漏等</w:t>
            </w:r>
            <w:r>
              <w:rPr>
                <w:rFonts w:ascii="Times New Roman" w:hAnsi="Times New Roman" w:cs="Times New Roman"/>
                <w:color w:val="auto"/>
                <w:spacing w:val="-3"/>
                <w:lang w:eastAsia="zh-CN"/>
              </w:rPr>
              <w:t>事故，将会对周边环境造成污染。</w:t>
            </w:r>
          </w:p>
          <w:p w14:paraId="01531545">
            <w:pPr>
              <w:pStyle w:val="30"/>
              <w:spacing w:line="360" w:lineRule="auto"/>
              <w:ind w:firstLine="472" w:firstLineChars="200"/>
              <w:rPr>
                <w:rFonts w:ascii="Times New Roman" w:hAnsi="Times New Roman" w:cs="Times New Roman"/>
                <w:color w:val="auto"/>
                <w:lang w:eastAsia="zh-CN"/>
              </w:rPr>
            </w:pPr>
            <w:r>
              <w:rPr>
                <w:rFonts w:hint="eastAsia" w:ascii="Times New Roman" w:hAnsi="Times New Roman" w:cs="Times New Roman"/>
                <w:color w:val="auto"/>
                <w:spacing w:val="-2"/>
                <w:lang w:val="en-US" w:eastAsia="zh-CN"/>
              </w:rPr>
              <w:t>c</w:t>
            </w:r>
            <w:r>
              <w:rPr>
                <w:rFonts w:ascii="Times New Roman" w:hAnsi="Times New Roman" w:cs="Times New Roman"/>
                <w:color w:val="auto"/>
                <w:spacing w:val="-2"/>
                <w:lang w:eastAsia="zh-CN"/>
              </w:rPr>
              <w:t>）危险化学品事故风险分析</w:t>
            </w:r>
          </w:p>
          <w:p w14:paraId="4A54F324">
            <w:pPr>
              <w:pStyle w:val="3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本项目污水处理设施采用次氯酸钠消毒。次氯酸钠有腐蚀性、致敏性，</w:t>
            </w:r>
            <w:r>
              <w:rPr>
                <w:rFonts w:ascii="Times New Roman" w:hAnsi="Times New Roman" w:cs="Times New Roman"/>
                <w:color w:val="auto"/>
                <w:spacing w:val="-7"/>
                <w:lang w:eastAsia="zh-CN"/>
              </w:rPr>
              <w:t>在装卸、储存过程中若发生</w:t>
            </w:r>
            <w:r>
              <w:rPr>
                <w:rFonts w:hint="eastAsia" w:ascii="Times New Roman" w:hAnsi="Times New Roman" w:cs="Times New Roman"/>
                <w:color w:val="auto"/>
                <w:spacing w:val="-7"/>
                <w:lang w:eastAsia="zh-CN"/>
              </w:rPr>
              <w:t>泄漏</w:t>
            </w:r>
            <w:r>
              <w:rPr>
                <w:rFonts w:ascii="Times New Roman" w:hAnsi="Times New Roman" w:cs="Times New Roman"/>
                <w:color w:val="auto"/>
                <w:spacing w:val="-7"/>
                <w:lang w:eastAsia="zh-CN"/>
              </w:rPr>
              <w:t>，将会对周边环</w:t>
            </w:r>
            <w:r>
              <w:rPr>
                <w:rFonts w:ascii="Times New Roman" w:hAnsi="Times New Roman" w:cs="Times New Roman"/>
                <w:color w:val="auto"/>
                <w:spacing w:val="-8"/>
                <w:lang w:eastAsia="zh-CN"/>
              </w:rPr>
              <w:t>境造成污染。次氯酸钠光照、</w:t>
            </w:r>
            <w:r>
              <w:rPr>
                <w:rFonts w:ascii="Times New Roman" w:hAnsi="Times New Roman" w:cs="Times New Roman"/>
                <w:color w:val="auto"/>
                <w:spacing w:val="-1"/>
                <w:lang w:eastAsia="zh-CN"/>
              </w:rPr>
              <w:t>受热易分解产生有毒烟气，个人防护措施不到位，容易引发中</w:t>
            </w:r>
            <w:r>
              <w:rPr>
                <w:rFonts w:ascii="Times New Roman" w:hAnsi="Times New Roman" w:cs="Times New Roman"/>
                <w:color w:val="auto"/>
                <w:spacing w:val="-2"/>
                <w:lang w:eastAsia="zh-CN"/>
              </w:rPr>
              <w:t>毒事故。</w:t>
            </w:r>
          </w:p>
          <w:p w14:paraId="6B1D3410">
            <w:pPr>
              <w:pStyle w:val="30"/>
              <w:spacing w:line="360" w:lineRule="auto"/>
              <w:ind w:firstLine="476" w:firstLineChars="200"/>
              <w:rPr>
                <w:rFonts w:ascii="Times New Roman" w:hAnsi="Times New Roman" w:cs="Times New Roman"/>
                <w:color w:val="auto"/>
                <w:lang w:eastAsia="zh-CN"/>
              </w:rPr>
            </w:pPr>
            <w:r>
              <w:rPr>
                <w:rFonts w:hint="eastAsia" w:ascii="Times New Roman" w:hAnsi="Times New Roman" w:cs="Times New Roman"/>
                <w:color w:val="auto"/>
                <w:spacing w:val="-1"/>
                <w:lang w:val="en-US" w:eastAsia="zh-CN"/>
              </w:rPr>
              <w:t>d</w:t>
            </w:r>
            <w:r>
              <w:rPr>
                <w:rFonts w:ascii="Times New Roman" w:hAnsi="Times New Roman" w:cs="Times New Roman"/>
                <w:color w:val="auto"/>
                <w:spacing w:val="-1"/>
                <w:lang w:eastAsia="zh-CN"/>
              </w:rPr>
              <w:t>）病毒传播感染风险分析</w:t>
            </w:r>
          </w:p>
          <w:p w14:paraId="58E4FDA5">
            <w:pPr>
              <w:pStyle w:val="10"/>
              <w:spacing w:line="360" w:lineRule="auto"/>
              <w:ind w:firstLine="480" w:firstLineChars="200"/>
              <w:rPr>
                <w:rFonts w:ascii="Times New Roman" w:hAnsi="Times New Roman"/>
                <w:b/>
                <w:color w:val="auto"/>
                <w:sz w:val="24"/>
              </w:rPr>
            </w:pPr>
            <w:r>
              <w:rPr>
                <w:rFonts w:ascii="Times New Roman" w:hAnsi="Times New Roman"/>
                <w:color w:val="auto"/>
                <w:sz w:val="24"/>
              </w:rPr>
              <w:t>本项目病毒传播途径主要为体液传播、消化道传播、呼吸道传播。体液传播主要为医疗操作失误对不同患者之间造成交叉影响；消化道传播主要为医疗废物随意弃置，医疗废物暂存间、污泥池等防渗措施未达到标准，进而</w:t>
            </w:r>
            <w:r>
              <w:rPr>
                <w:rFonts w:ascii="Times New Roman" w:hAnsi="Times New Roman"/>
                <w:color w:val="auto"/>
                <w:spacing w:val="-4"/>
                <w:sz w:val="24"/>
              </w:rPr>
              <w:t>污染饮用水；呼吸道传播主要为人群之间近距离的飞沫传播，从而交叉</w:t>
            </w:r>
            <w:r>
              <w:rPr>
                <w:rFonts w:ascii="Times New Roman" w:hAnsi="Times New Roman"/>
                <w:color w:val="auto"/>
                <w:spacing w:val="-5"/>
                <w:sz w:val="24"/>
              </w:rPr>
              <w:t>感染。</w:t>
            </w:r>
          </w:p>
          <w:p w14:paraId="4B6212DF">
            <w:pPr>
              <w:pStyle w:val="30"/>
              <w:spacing w:line="360" w:lineRule="auto"/>
              <w:ind w:firstLine="470" w:firstLineChars="200"/>
              <w:rPr>
                <w:rFonts w:ascii="Times New Roman" w:hAnsi="Times New Roman" w:cs="Times New Roman"/>
                <w:color w:val="auto"/>
                <w:lang w:eastAsia="zh-CN"/>
              </w:rPr>
            </w:pPr>
            <w:r>
              <w:rPr>
                <w:rFonts w:ascii="Times New Roman" w:hAnsi="Times New Roman" w:cs="Times New Roman"/>
                <w:b/>
                <w:bCs/>
                <w:color w:val="auto"/>
                <w:spacing w:val="-3"/>
                <w:lang w:eastAsia="zh-CN"/>
              </w:rPr>
              <w:t>（3）环境风险防范措施</w:t>
            </w:r>
          </w:p>
          <w:p w14:paraId="0B66989E">
            <w:pPr>
              <w:pStyle w:val="3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为使环境风险减小到最低限度，建设单位应制定完备、有效的安全防范</w:t>
            </w:r>
            <w:r>
              <w:rPr>
                <w:rFonts w:ascii="Times New Roman" w:hAnsi="Times New Roman" w:cs="Times New Roman"/>
                <w:color w:val="auto"/>
                <w:spacing w:val="-2"/>
                <w:lang w:eastAsia="zh-CN"/>
              </w:rPr>
              <w:t>措施，尽可能降低该项目环境风险事故发生的概率。</w:t>
            </w:r>
          </w:p>
          <w:p w14:paraId="0E119C55">
            <w:pPr>
              <w:pStyle w:val="30"/>
              <w:spacing w:line="360" w:lineRule="auto"/>
              <w:ind w:firstLine="472" w:firstLineChars="200"/>
              <w:rPr>
                <w:rFonts w:ascii="Times New Roman" w:hAnsi="Times New Roman" w:cs="Times New Roman"/>
                <w:color w:val="auto"/>
                <w:lang w:eastAsia="zh-CN"/>
              </w:rPr>
            </w:pPr>
            <w:r>
              <w:rPr>
                <w:rFonts w:ascii="Times New Roman" w:hAnsi="Times New Roman" w:cs="Times New Roman"/>
                <w:color w:val="auto"/>
                <w:spacing w:val="-2"/>
                <w:lang w:eastAsia="zh-CN"/>
              </w:rPr>
              <w:t>a）废水事故性排放防范措施</w:t>
            </w:r>
          </w:p>
          <w:p w14:paraId="3E092D52">
            <w:pPr>
              <w:pStyle w:val="7"/>
              <w:spacing w:before="181" w:line="360" w:lineRule="auto"/>
              <w:ind w:firstLine="496"/>
              <w:jc w:val="both"/>
              <w:rPr>
                <w:rFonts w:hint="eastAsia" w:ascii="Times New Roman" w:hAnsi="Times New Roman" w:eastAsia="宋体" w:cs="Times New Roman"/>
                <w:color w:val="auto"/>
                <w:spacing w:val="-2"/>
                <w:kern w:val="2"/>
                <w:sz w:val="24"/>
                <w:szCs w:val="24"/>
                <w:lang w:val="en-US" w:eastAsia="zh-CN" w:bidi="ar-SA"/>
              </w:rPr>
            </w:pPr>
            <w:r>
              <w:rPr>
                <w:rFonts w:hint="eastAsia" w:ascii="Times New Roman" w:hAnsi="Times New Roman" w:eastAsia="宋体" w:cs="Times New Roman"/>
                <w:color w:val="auto"/>
                <w:spacing w:val="-2"/>
                <w:kern w:val="2"/>
                <w:sz w:val="24"/>
                <w:szCs w:val="24"/>
                <w:lang w:val="en-US" w:eastAsia="zh-CN" w:bidi="ar-SA"/>
              </w:rPr>
              <w:t>①设置事故池</w:t>
            </w:r>
          </w:p>
          <w:p w14:paraId="7F9E88A1">
            <w:pPr>
              <w:pStyle w:val="16"/>
              <w:spacing w:line="360" w:lineRule="auto"/>
              <w:ind w:left="0" w:leftChars="0" w:firstLine="480"/>
              <w:rPr>
                <w:rFonts w:ascii="Times New Roman" w:hAnsi="Times New Roman" w:eastAsia="宋体" w:cs="Times New Roman"/>
                <w:color w:val="auto"/>
                <w:spacing w:val="-2"/>
                <w:kern w:val="2"/>
                <w:sz w:val="24"/>
                <w:szCs w:val="24"/>
                <w:lang w:val="en-US" w:eastAsia="zh-CN" w:bidi="ar-SA"/>
              </w:rPr>
            </w:pPr>
            <w:r>
              <w:rPr>
                <w:rFonts w:ascii="Times New Roman" w:hAnsi="Times New Roman" w:eastAsia="宋体" w:cs="Times New Roman"/>
                <w:color w:val="auto"/>
                <w:spacing w:val="-2"/>
                <w:kern w:val="2"/>
                <w:sz w:val="24"/>
                <w:szCs w:val="24"/>
                <w:lang w:val="en-US" w:eastAsia="zh-CN" w:bidi="ar-SA"/>
              </w:rPr>
              <w:t>当污水处理站发生事故排放时，污水不得向外排放。对于事故排放发生的情况，采取的措施是建议建设单位设置应急事故池暂存废水，使废水在非正常工况下具有一定的缓冲能力，确保污水处理站出现事故时未处理的废水不会直接</w:t>
            </w:r>
            <w:r>
              <w:rPr>
                <w:rFonts w:hint="eastAsia" w:cs="Times New Roman"/>
                <w:color w:val="auto"/>
                <w:spacing w:val="-2"/>
                <w:kern w:val="2"/>
                <w:sz w:val="24"/>
                <w:szCs w:val="24"/>
                <w:lang w:val="en-US" w:eastAsia="zh-CN" w:bidi="ar-SA"/>
              </w:rPr>
              <w:t>排入</w:t>
            </w:r>
            <w:r>
              <w:rPr>
                <w:rFonts w:ascii="Times New Roman" w:hAnsi="Times New Roman" w:eastAsia="宋体" w:cs="Times New Roman"/>
                <w:color w:val="auto"/>
                <w:spacing w:val="-2"/>
                <w:kern w:val="2"/>
                <w:sz w:val="24"/>
                <w:szCs w:val="24"/>
                <w:lang w:val="en-US" w:eastAsia="zh-CN" w:bidi="ar-SA"/>
              </w:rPr>
              <w:t xml:space="preserve">市政污水管网。根据《医院污水处理工程设计技术规范》（HJ2029-2013），“ 医院污水处理工程应设置应急事故池，以贮存处理系统事故或其他突发事件时医院污水，非传染病医院污水处理工程应急事故池容积不小于日排放量的30% 。” </w:t>
            </w:r>
            <w:r>
              <w:rPr>
                <w:rFonts w:hint="eastAsia" w:ascii="Times New Roman" w:hAnsi="Times New Roman" w:eastAsia="宋体" w:cs="Times New Roman"/>
                <w:color w:val="auto"/>
                <w:kern w:val="0"/>
                <w:sz w:val="24"/>
                <w:szCs w:val="20"/>
                <w:lang w:val="en-US" w:eastAsia="zh-CN" w:bidi="ar"/>
              </w:rPr>
              <w:t>本项目污水处理站应</w:t>
            </w:r>
            <w:r>
              <w:rPr>
                <w:rFonts w:hint="default" w:ascii="Times New Roman" w:hAnsi="Times New Roman" w:eastAsia="宋体" w:cs="Times New Roman"/>
                <w:color w:val="auto"/>
                <w:kern w:val="0"/>
                <w:sz w:val="24"/>
                <w:szCs w:val="20"/>
                <w:lang w:val="en-US" w:eastAsia="zh-CN" w:bidi="ar"/>
              </w:rPr>
              <w:t>设置事故应急池</w:t>
            </w:r>
            <w:r>
              <w:rPr>
                <w:rFonts w:hint="eastAsia" w:ascii="Times New Roman" w:hAnsi="Times New Roman" w:eastAsia="宋体" w:cs="Times New Roman"/>
                <w:color w:val="auto"/>
                <w:kern w:val="0"/>
                <w:sz w:val="24"/>
                <w:szCs w:val="20"/>
                <w:lang w:val="en-US" w:eastAsia="zh-CN" w:bidi="ar"/>
              </w:rPr>
              <w:t>，</w:t>
            </w:r>
            <w:r>
              <w:rPr>
                <w:rFonts w:hint="default" w:ascii="Times New Roman" w:hAnsi="Times New Roman" w:eastAsia="宋体" w:cs="Times New Roman"/>
                <w:color w:val="auto"/>
                <w:kern w:val="0"/>
                <w:sz w:val="24"/>
                <w:szCs w:val="20"/>
                <w:lang w:val="en-US" w:eastAsia="zh-CN" w:bidi="ar"/>
              </w:rPr>
              <w:t>容积</w:t>
            </w:r>
            <w:r>
              <w:rPr>
                <w:rFonts w:hint="eastAsia" w:ascii="Times New Roman" w:hAnsi="Times New Roman" w:eastAsia="宋体" w:cs="Times New Roman"/>
                <w:color w:val="auto"/>
                <w:kern w:val="0"/>
                <w:sz w:val="24"/>
                <w:szCs w:val="20"/>
                <w:lang w:val="en-US" w:eastAsia="zh-CN" w:bidi="ar"/>
              </w:rPr>
              <w:t>为220</w:t>
            </w:r>
            <w:r>
              <w:rPr>
                <w:rFonts w:hint="default" w:ascii="Times New Roman" w:hAnsi="Times New Roman" w:eastAsia="宋体" w:cs="Times New Roman"/>
                <w:color w:val="auto"/>
                <w:kern w:val="0"/>
                <w:sz w:val="24"/>
                <w:szCs w:val="20"/>
                <w:lang w:val="en-US" w:eastAsia="zh-CN" w:bidi="ar"/>
              </w:rPr>
              <w:t>m</w:t>
            </w:r>
            <w:r>
              <w:rPr>
                <w:rFonts w:hint="default" w:ascii="Times New Roman" w:hAnsi="Times New Roman" w:eastAsia="宋体" w:cs="Times New Roman"/>
                <w:color w:val="auto"/>
                <w:kern w:val="0"/>
                <w:sz w:val="24"/>
                <w:szCs w:val="20"/>
                <w:vertAlign w:val="superscript"/>
                <w:lang w:val="en-US" w:eastAsia="zh-CN" w:bidi="ar"/>
              </w:rPr>
              <w:t>3</w:t>
            </w:r>
            <w:r>
              <w:rPr>
                <w:rFonts w:hint="eastAsia" w:ascii="Times New Roman" w:hAnsi="Times New Roman" w:eastAsia="宋体" w:cs="Times New Roman"/>
                <w:color w:val="auto"/>
                <w:kern w:val="0"/>
                <w:sz w:val="24"/>
                <w:szCs w:val="20"/>
                <w:lang w:val="en-US" w:eastAsia="zh-CN" w:bidi="ar"/>
              </w:rPr>
              <w:t>。</w:t>
            </w:r>
            <w:r>
              <w:rPr>
                <w:rFonts w:ascii="Times New Roman" w:hAnsi="Times New Roman" w:eastAsia="宋体" w:cs="Times New Roman"/>
                <w:color w:val="auto"/>
                <w:spacing w:val="-2"/>
                <w:kern w:val="2"/>
                <w:sz w:val="24"/>
                <w:szCs w:val="24"/>
                <w:lang w:val="en-US" w:eastAsia="zh-CN" w:bidi="ar-SA"/>
              </w:rPr>
              <w:t>当污水处理站发生事故时，应立即对污水处理系统进行停工检修，将废水排入应急事故池暂存，禁止废水外排。当污水处理系统修理</w:t>
            </w:r>
            <w:r>
              <w:rPr>
                <w:rFonts w:hint="eastAsia" w:cs="Times New Roman"/>
                <w:color w:val="auto"/>
                <w:spacing w:val="-2"/>
                <w:kern w:val="2"/>
                <w:sz w:val="24"/>
                <w:szCs w:val="24"/>
                <w:lang w:val="en-US" w:eastAsia="zh-CN" w:bidi="ar-SA"/>
              </w:rPr>
              <w:t>完成</w:t>
            </w:r>
            <w:r>
              <w:rPr>
                <w:rFonts w:ascii="Times New Roman" w:hAnsi="Times New Roman" w:eastAsia="宋体" w:cs="Times New Roman"/>
                <w:color w:val="auto"/>
                <w:spacing w:val="-2"/>
                <w:kern w:val="2"/>
                <w:sz w:val="24"/>
                <w:szCs w:val="24"/>
                <w:lang w:val="en-US" w:eastAsia="zh-CN" w:bidi="ar-SA"/>
              </w:rPr>
              <w:t>后重新对废水进行处理。如检修时间超过1天，应立即委托其他有资质单位对应急事故池中的废水进行处理。</w:t>
            </w:r>
          </w:p>
          <w:p w14:paraId="366544F7">
            <w:pPr>
              <w:pStyle w:val="7"/>
              <w:spacing w:line="360" w:lineRule="auto"/>
              <w:ind w:left="1" w:right="106" w:firstLine="480"/>
              <w:rPr>
                <w:rFonts w:ascii="Times New Roman" w:hAnsi="Times New Roman" w:eastAsia="宋体" w:cs="Times New Roman"/>
                <w:color w:val="auto"/>
                <w:spacing w:val="-2"/>
                <w:kern w:val="2"/>
                <w:sz w:val="24"/>
                <w:szCs w:val="24"/>
                <w:lang w:val="en-US" w:eastAsia="zh-CN" w:bidi="ar-SA"/>
              </w:rPr>
            </w:pPr>
            <w:r>
              <w:rPr>
                <w:rFonts w:ascii="Times New Roman" w:hAnsi="Times New Roman" w:eastAsia="宋体" w:cs="Times New Roman"/>
                <w:color w:val="auto"/>
                <w:spacing w:val="-2"/>
                <w:kern w:val="2"/>
                <w:sz w:val="24"/>
                <w:szCs w:val="24"/>
                <w:lang w:val="en-US" w:eastAsia="zh-CN" w:bidi="ar-SA"/>
              </w:rPr>
              <w:t>根据设计单位提供，项目拟在污水处理站地下一层设事故应急池，池容约</w:t>
            </w:r>
            <w:r>
              <w:rPr>
                <w:rFonts w:hint="eastAsia" w:ascii="Times New Roman" w:hAnsi="Times New Roman" w:eastAsia="宋体" w:cs="Times New Roman"/>
                <w:color w:val="auto"/>
                <w:spacing w:val="-2"/>
                <w:kern w:val="2"/>
                <w:sz w:val="24"/>
                <w:szCs w:val="24"/>
                <w:lang w:val="en-US" w:eastAsia="zh-CN" w:bidi="ar-SA"/>
              </w:rPr>
              <w:t>150</w:t>
            </w:r>
            <w:r>
              <w:rPr>
                <w:rFonts w:ascii="Times New Roman" w:hAnsi="Times New Roman" w:eastAsia="宋体" w:cs="Times New Roman"/>
                <w:color w:val="auto"/>
                <w:spacing w:val="-2"/>
                <w:kern w:val="2"/>
                <w:sz w:val="24"/>
                <w:szCs w:val="24"/>
                <w:lang w:val="en-US" w:eastAsia="zh-CN" w:bidi="ar-SA"/>
              </w:rPr>
              <w:t>m</w:t>
            </w:r>
            <w:r>
              <w:rPr>
                <w:rFonts w:ascii="Times New Roman" w:hAnsi="Times New Roman" w:eastAsia="宋体" w:cs="Times New Roman"/>
                <w:color w:val="auto"/>
                <w:spacing w:val="-2"/>
                <w:kern w:val="2"/>
                <w:sz w:val="24"/>
                <w:szCs w:val="24"/>
                <w:vertAlign w:val="superscript"/>
                <w:lang w:val="en-US" w:eastAsia="zh-CN" w:bidi="ar-SA"/>
              </w:rPr>
              <w:t>3</w:t>
            </w:r>
            <w:r>
              <w:rPr>
                <w:rFonts w:ascii="Times New Roman" w:hAnsi="Times New Roman" w:eastAsia="宋体" w:cs="Times New Roman"/>
                <w:color w:val="auto"/>
                <w:spacing w:val="-2"/>
                <w:kern w:val="2"/>
                <w:sz w:val="24"/>
                <w:szCs w:val="24"/>
                <w:lang w:val="en-US" w:eastAsia="zh-CN" w:bidi="ar-SA"/>
              </w:rPr>
              <w:t>，满足《医院污水处理工程设计技术规范》（HJ2029-2013）要求。</w:t>
            </w:r>
          </w:p>
          <w:p w14:paraId="5A09E9A0">
            <w:pPr>
              <w:pStyle w:val="30"/>
              <w:spacing w:line="360" w:lineRule="auto"/>
              <w:ind w:firstLine="472" w:firstLineChars="200"/>
              <w:rPr>
                <w:rFonts w:ascii="Times New Roman" w:hAnsi="Times New Roman" w:cs="Times New Roman"/>
                <w:color w:val="auto"/>
                <w:lang w:eastAsia="zh-CN"/>
              </w:rPr>
            </w:pPr>
            <w:r>
              <w:rPr>
                <w:rFonts w:hint="eastAsia" w:ascii="Times New Roman" w:hAnsi="Times New Roman" w:cs="Times New Roman"/>
                <w:color w:val="auto"/>
                <w:spacing w:val="-2"/>
                <w:lang w:val="en-US" w:eastAsia="zh-CN"/>
              </w:rPr>
              <w:t>②</w:t>
            </w:r>
            <w:r>
              <w:rPr>
                <w:rFonts w:ascii="Times New Roman" w:hAnsi="Times New Roman" w:cs="Times New Roman"/>
                <w:color w:val="auto"/>
                <w:spacing w:val="-2"/>
                <w:lang w:eastAsia="zh-CN"/>
              </w:rPr>
              <w:t>项目污水管、污泥管采用U-PVC管，采用焊接钢管，采用优质防腐涂</w:t>
            </w:r>
            <w:r>
              <w:rPr>
                <w:rFonts w:ascii="Times New Roman" w:hAnsi="Times New Roman" w:cs="Times New Roman"/>
                <w:color w:val="auto"/>
                <w:lang w:eastAsia="zh-CN"/>
              </w:rPr>
              <w:t>料进行防腐。管道安装完毕后涂防锈涂料。污水处理设施主体为碳钢结构，</w:t>
            </w:r>
            <w:r>
              <w:rPr>
                <w:rFonts w:ascii="Times New Roman" w:hAnsi="Times New Roman" w:cs="Times New Roman"/>
                <w:color w:val="auto"/>
                <w:spacing w:val="-2"/>
                <w:lang w:eastAsia="zh-CN"/>
              </w:rPr>
              <w:t>为防止污水渗出，构筑物采用抗渗结构，抗渗等级为S6。在池体</w:t>
            </w:r>
            <w:r>
              <w:rPr>
                <w:rFonts w:ascii="Times New Roman" w:hAnsi="Times New Roman" w:cs="Times New Roman"/>
                <w:color w:val="auto"/>
                <w:spacing w:val="-3"/>
                <w:lang w:eastAsia="zh-CN"/>
              </w:rPr>
              <w:t>内壁用水泥</w:t>
            </w:r>
            <w:r>
              <w:rPr>
                <w:rFonts w:ascii="Times New Roman" w:hAnsi="Times New Roman" w:cs="Times New Roman"/>
                <w:color w:val="auto"/>
                <w:spacing w:val="-4"/>
                <w:lang w:eastAsia="zh-CN"/>
              </w:rPr>
              <w:t>砂浆粉刷20mm厚，池外壁涂防水涂料。</w:t>
            </w:r>
          </w:p>
          <w:p w14:paraId="67D1A4D2">
            <w:pPr>
              <w:pStyle w:val="30"/>
              <w:spacing w:line="360" w:lineRule="auto"/>
              <w:ind w:firstLine="472" w:firstLineChars="200"/>
              <w:rPr>
                <w:rFonts w:ascii="Times New Roman" w:hAnsi="Times New Roman" w:cs="Times New Roman"/>
                <w:color w:val="auto"/>
                <w:lang w:eastAsia="zh-CN"/>
              </w:rPr>
            </w:pPr>
            <w:r>
              <w:rPr>
                <w:rFonts w:hint="eastAsia" w:ascii="Times New Roman" w:hAnsi="Times New Roman" w:cs="Times New Roman"/>
                <w:color w:val="auto"/>
                <w:spacing w:val="-2"/>
                <w:lang w:val="en-US" w:eastAsia="zh-CN"/>
              </w:rPr>
              <w:t>③</w:t>
            </w:r>
            <w:r>
              <w:rPr>
                <w:rFonts w:ascii="Times New Roman" w:hAnsi="Times New Roman" w:cs="Times New Roman"/>
                <w:color w:val="auto"/>
                <w:lang w:eastAsia="zh-CN"/>
              </w:rPr>
              <w:t>根据《医院污水处理工程</w:t>
            </w:r>
            <w:r>
              <w:rPr>
                <w:rFonts w:ascii="Times New Roman" w:hAnsi="Times New Roman" w:cs="Times New Roman"/>
                <w:color w:val="auto"/>
                <w:spacing w:val="-2"/>
                <w:lang w:eastAsia="zh-CN"/>
              </w:rPr>
              <w:t>技术规范》（HJ2029-2013</w:t>
            </w:r>
            <w:r>
              <w:rPr>
                <w:rFonts w:ascii="Times New Roman" w:hAnsi="Times New Roman" w:cs="Times New Roman"/>
                <w:color w:val="auto"/>
                <w:spacing w:val="-7"/>
                <w:lang w:eastAsia="zh-CN"/>
              </w:rPr>
              <w:t>），</w:t>
            </w:r>
            <w:r>
              <w:rPr>
                <w:rFonts w:ascii="Times New Roman" w:hAnsi="Times New Roman" w:cs="Times New Roman"/>
                <w:color w:val="auto"/>
                <w:spacing w:val="-2"/>
                <w:lang w:eastAsia="zh-CN"/>
              </w:rPr>
              <w:t>污水泵、污泥泵、鼓风机、表面曝气机等</w:t>
            </w:r>
            <w:r>
              <w:rPr>
                <w:rFonts w:ascii="Times New Roman" w:hAnsi="Times New Roman" w:cs="Times New Roman"/>
                <w:color w:val="auto"/>
                <w:spacing w:val="-3"/>
                <w:lang w:eastAsia="zh-CN"/>
              </w:rPr>
              <w:t>首次</w:t>
            </w:r>
            <w:r>
              <w:rPr>
                <w:rFonts w:ascii="Times New Roman" w:hAnsi="Times New Roman" w:cs="Times New Roman"/>
                <w:color w:val="auto"/>
                <w:spacing w:val="-2"/>
                <w:lang w:eastAsia="zh-CN"/>
              </w:rPr>
              <w:t>无故障时间应不小于10000h，使用寿</w:t>
            </w:r>
            <w:r>
              <w:rPr>
                <w:rFonts w:ascii="Times New Roman" w:hAnsi="Times New Roman" w:cs="Times New Roman"/>
                <w:color w:val="auto"/>
                <w:spacing w:val="-3"/>
                <w:lang w:eastAsia="zh-CN"/>
              </w:rPr>
              <w:t>命应不小于10年，加药设备应配置2</w:t>
            </w:r>
            <w:r>
              <w:rPr>
                <w:rFonts w:ascii="Times New Roman" w:hAnsi="Times New Roman" w:cs="Times New Roman"/>
                <w:color w:val="auto"/>
                <w:spacing w:val="-4"/>
                <w:lang w:eastAsia="zh-CN"/>
              </w:rPr>
              <w:t>套，一用一备。</w:t>
            </w:r>
          </w:p>
          <w:p w14:paraId="4844B118">
            <w:pPr>
              <w:pStyle w:val="30"/>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val="en-US" w:eastAsia="zh-CN"/>
              </w:rPr>
              <w:t>④</w:t>
            </w:r>
            <w:r>
              <w:rPr>
                <w:rFonts w:ascii="Times New Roman" w:hAnsi="Times New Roman" w:cs="Times New Roman"/>
                <w:color w:val="auto"/>
                <w:lang w:eastAsia="zh-CN"/>
              </w:rPr>
              <w:t>发生异常时，立即通知医院内各用水科室，采取停止或减少用水的措</w:t>
            </w:r>
            <w:r>
              <w:rPr>
                <w:rFonts w:ascii="Times New Roman" w:hAnsi="Times New Roman" w:cs="Times New Roman"/>
                <w:color w:val="auto"/>
                <w:spacing w:val="-3"/>
                <w:lang w:eastAsia="zh-CN"/>
              </w:rPr>
              <w:t>施。</w:t>
            </w:r>
          </w:p>
          <w:p w14:paraId="30CA8762">
            <w:pPr>
              <w:pStyle w:val="30"/>
              <w:spacing w:line="360" w:lineRule="auto"/>
              <w:ind w:firstLine="484" w:firstLineChars="200"/>
              <w:rPr>
                <w:rFonts w:ascii="Times New Roman" w:hAnsi="Times New Roman" w:cs="Times New Roman"/>
                <w:color w:val="auto"/>
                <w:lang w:eastAsia="zh-CN"/>
              </w:rPr>
            </w:pPr>
            <w:r>
              <w:rPr>
                <w:rFonts w:hint="eastAsia" w:ascii="Times New Roman" w:hAnsi="Times New Roman" w:cs="Times New Roman"/>
                <w:color w:val="auto"/>
                <w:spacing w:val="1"/>
                <w:lang w:val="en-US" w:eastAsia="zh-CN"/>
              </w:rPr>
              <w:t>⑤</w:t>
            </w:r>
            <w:r>
              <w:rPr>
                <w:rFonts w:ascii="Times New Roman" w:hAnsi="Times New Roman" w:cs="Times New Roman"/>
                <w:color w:val="auto"/>
                <w:spacing w:val="1"/>
                <w:lang w:eastAsia="zh-CN"/>
              </w:rPr>
              <w:t>应立即对污水预处理站进口和出口水质中</w:t>
            </w:r>
            <w:r>
              <w:rPr>
                <w:rFonts w:ascii="Times New Roman" w:hAnsi="Times New Roman" w:cs="Times New Roman"/>
                <w:color w:val="auto"/>
                <w:lang w:eastAsia="zh-CN"/>
              </w:rPr>
              <w:t>的污染物浓度进行监测，及</w:t>
            </w:r>
            <w:r>
              <w:rPr>
                <w:rFonts w:ascii="Times New Roman" w:hAnsi="Times New Roman" w:cs="Times New Roman"/>
                <w:color w:val="auto"/>
                <w:spacing w:val="-5"/>
                <w:lang w:eastAsia="zh-CN"/>
              </w:rPr>
              <w:t>时掌握污水处理情况。</w:t>
            </w:r>
          </w:p>
          <w:p w14:paraId="08E8F69C">
            <w:pPr>
              <w:pStyle w:val="30"/>
              <w:spacing w:line="360" w:lineRule="auto"/>
              <w:ind w:firstLine="476" w:firstLineChars="200"/>
              <w:rPr>
                <w:rFonts w:ascii="Times New Roman" w:hAnsi="Times New Roman" w:cs="Times New Roman"/>
                <w:color w:val="auto"/>
                <w:lang w:eastAsia="zh-CN"/>
              </w:rPr>
            </w:pPr>
            <w:r>
              <w:rPr>
                <w:rFonts w:hint="eastAsia" w:ascii="Times New Roman" w:hAnsi="Times New Roman" w:cs="Times New Roman"/>
                <w:color w:val="auto"/>
                <w:spacing w:val="-1"/>
                <w:lang w:val="en-US" w:eastAsia="zh-CN"/>
              </w:rPr>
              <w:t>⑥</w:t>
            </w:r>
            <w:r>
              <w:rPr>
                <w:rFonts w:ascii="Times New Roman" w:hAnsi="Times New Roman" w:cs="Times New Roman"/>
                <w:color w:val="auto"/>
                <w:spacing w:val="-1"/>
                <w:lang w:eastAsia="zh-CN"/>
              </w:rPr>
              <w:t>及时呼叫维修人员，根据污水预处理站的实际情况对</w:t>
            </w:r>
            <w:r>
              <w:rPr>
                <w:rFonts w:ascii="Times New Roman" w:hAnsi="Times New Roman" w:cs="Times New Roman"/>
                <w:color w:val="auto"/>
                <w:spacing w:val="-2"/>
                <w:lang w:eastAsia="zh-CN"/>
              </w:rPr>
              <w:t>设备进行维修；故障期间进入应急处理池的废水不得排入周边水体。</w:t>
            </w:r>
          </w:p>
          <w:p w14:paraId="1F449784">
            <w:pPr>
              <w:pStyle w:val="30"/>
              <w:spacing w:line="360" w:lineRule="auto"/>
              <w:ind w:firstLine="480" w:firstLineChars="200"/>
              <w:rPr>
                <w:rFonts w:ascii="Times New Roman" w:hAnsi="Times New Roman" w:cs="Times New Roman"/>
                <w:color w:val="auto"/>
                <w:lang w:eastAsia="zh-CN"/>
              </w:rPr>
            </w:pPr>
            <w:r>
              <w:rPr>
                <w:rFonts w:hint="eastAsia" w:ascii="Times New Roman" w:hAnsi="Times New Roman" w:cs="Times New Roman"/>
                <w:color w:val="auto"/>
                <w:lang w:val="en-US" w:eastAsia="zh-CN"/>
              </w:rPr>
              <w:t>⑦</w:t>
            </w:r>
            <w:r>
              <w:rPr>
                <w:rFonts w:ascii="Times New Roman" w:hAnsi="Times New Roman" w:cs="Times New Roman"/>
                <w:color w:val="auto"/>
                <w:lang w:eastAsia="zh-CN"/>
              </w:rPr>
              <w:t>合理设计污水处理设施地下空间的机械通风、排风系统，安装有毒气体检测报警装置。要依法依规开展污水处理设施安全风险辨识管控和隐患排查治理，定期进行安全可靠性鉴定，设置必要的安全监测监控系统和联锁保</w:t>
            </w:r>
            <w:r>
              <w:rPr>
                <w:rFonts w:ascii="Times New Roman" w:hAnsi="Times New Roman" w:cs="Times New Roman"/>
                <w:color w:val="auto"/>
                <w:spacing w:val="-4"/>
                <w:lang w:eastAsia="zh-CN"/>
              </w:rPr>
              <w:t>护，严格日常安全检查。</w:t>
            </w:r>
          </w:p>
          <w:p w14:paraId="756684DE">
            <w:pPr>
              <w:pStyle w:val="30"/>
              <w:spacing w:line="360" w:lineRule="auto"/>
              <w:ind w:firstLine="472" w:firstLineChars="200"/>
              <w:rPr>
                <w:rFonts w:ascii="Times New Roman" w:hAnsi="Times New Roman" w:cs="Times New Roman"/>
                <w:color w:val="auto"/>
                <w:lang w:eastAsia="zh-CN"/>
              </w:rPr>
            </w:pPr>
            <w:r>
              <w:rPr>
                <w:rFonts w:hint="eastAsia" w:ascii="Times New Roman" w:hAnsi="Times New Roman" w:cs="Times New Roman"/>
                <w:color w:val="auto"/>
                <w:spacing w:val="-2"/>
                <w:lang w:eastAsia="zh-CN"/>
              </w:rPr>
              <w:t>b</w:t>
            </w:r>
            <w:r>
              <w:rPr>
                <w:rFonts w:ascii="Times New Roman" w:hAnsi="Times New Roman" w:cs="Times New Roman"/>
                <w:color w:val="auto"/>
                <w:spacing w:val="-2"/>
                <w:lang w:eastAsia="zh-CN"/>
              </w:rPr>
              <w:t>）医疗固废风险防范措施</w:t>
            </w:r>
          </w:p>
          <w:p w14:paraId="5456587B">
            <w:pPr>
              <w:pStyle w:val="3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主要为运输过程中事故防范措施。由于医疗固废的运输较其他货物的运输有更大的危险性，因此在运输中应特别小心谨慎、确保安全。为此应注意</w:t>
            </w:r>
            <w:r>
              <w:rPr>
                <w:rFonts w:ascii="Times New Roman" w:hAnsi="Times New Roman" w:cs="Times New Roman"/>
                <w:color w:val="auto"/>
                <w:spacing w:val="-8"/>
                <w:lang w:eastAsia="zh-CN"/>
              </w:rPr>
              <w:t>以下几个问题：</w:t>
            </w:r>
          </w:p>
          <w:p w14:paraId="0F97C6FD">
            <w:pPr>
              <w:pStyle w:val="30"/>
              <w:spacing w:line="360" w:lineRule="auto"/>
              <w:ind w:firstLine="476" w:firstLineChars="200"/>
              <w:rPr>
                <w:rFonts w:ascii="Times New Roman" w:hAnsi="Times New Roman" w:cs="Times New Roman"/>
                <w:color w:val="auto"/>
                <w:lang w:eastAsia="zh-CN"/>
              </w:rPr>
            </w:pPr>
            <w:r>
              <w:rPr>
                <w:rFonts w:ascii="Times New Roman" w:hAnsi="Times New Roman" w:cs="Times New Roman"/>
                <w:color w:val="auto"/>
                <w:spacing w:val="-1"/>
                <w:lang w:eastAsia="zh-CN"/>
              </w:rPr>
              <w:t>①合理地规划运输路线及时间，运输时必须谨</w:t>
            </w:r>
            <w:r>
              <w:rPr>
                <w:rFonts w:ascii="Times New Roman" w:hAnsi="Times New Roman" w:cs="Times New Roman"/>
                <w:color w:val="auto"/>
                <w:spacing w:val="-2"/>
                <w:lang w:eastAsia="zh-CN"/>
              </w:rPr>
              <w:t>慎驾驶，以免事故发生。</w:t>
            </w:r>
          </w:p>
          <w:p w14:paraId="509BFEA9">
            <w:pPr>
              <w:pStyle w:val="30"/>
              <w:spacing w:line="360" w:lineRule="auto"/>
              <w:ind w:firstLine="468" w:firstLineChars="200"/>
              <w:rPr>
                <w:rFonts w:ascii="Times New Roman" w:hAnsi="Times New Roman" w:cs="Times New Roman"/>
                <w:color w:val="auto"/>
                <w:lang w:eastAsia="zh-CN"/>
              </w:rPr>
            </w:pPr>
            <w:r>
              <w:rPr>
                <w:rFonts w:ascii="Times New Roman" w:hAnsi="Times New Roman" w:cs="Times New Roman"/>
                <w:color w:val="auto"/>
                <w:spacing w:val="-3"/>
                <w:lang w:eastAsia="zh-CN"/>
              </w:rPr>
              <w:t>②医疗固废的装运应做到定车、定人。</w:t>
            </w:r>
          </w:p>
          <w:p w14:paraId="6ECDF326">
            <w:pPr>
              <w:pStyle w:val="30"/>
              <w:spacing w:line="360" w:lineRule="auto"/>
              <w:ind w:firstLine="484" w:firstLineChars="200"/>
              <w:rPr>
                <w:rFonts w:ascii="Times New Roman" w:hAnsi="Times New Roman" w:cs="Times New Roman"/>
                <w:color w:val="auto"/>
                <w:lang w:eastAsia="zh-CN"/>
              </w:rPr>
            </w:pPr>
            <w:r>
              <w:rPr>
                <w:rFonts w:ascii="Times New Roman" w:hAnsi="Times New Roman" w:cs="Times New Roman"/>
                <w:color w:val="auto"/>
                <w:spacing w:val="1"/>
                <w:lang w:eastAsia="zh-CN"/>
              </w:rPr>
              <w:t>③被装运的危险物品必须在其外包装的明显</w:t>
            </w:r>
            <w:r>
              <w:rPr>
                <w:rFonts w:ascii="Times New Roman" w:hAnsi="Times New Roman" w:cs="Times New Roman"/>
                <w:color w:val="auto"/>
                <w:lang w:eastAsia="zh-CN"/>
              </w:rPr>
              <w:t>部位按规定粘贴《危险货物</w:t>
            </w:r>
            <w:r>
              <w:rPr>
                <w:rFonts w:ascii="Times New Roman" w:hAnsi="Times New Roman" w:cs="Times New Roman"/>
                <w:color w:val="auto"/>
                <w:spacing w:val="-1"/>
                <w:lang w:eastAsia="zh-CN"/>
              </w:rPr>
              <w:t>包装标志》（GB190-85）规定的危险物品标志，包装标志的粘贴要正确、牢</w:t>
            </w:r>
            <w:r>
              <w:rPr>
                <w:rFonts w:ascii="Times New Roman" w:hAnsi="Times New Roman" w:cs="Times New Roman"/>
                <w:color w:val="auto"/>
                <w:lang w:eastAsia="zh-CN"/>
              </w:rPr>
              <w:t>固。同时具有有毒等多种危险特性时，则应根据其不同危险特性，同时粘贴</w:t>
            </w:r>
            <w:r>
              <w:rPr>
                <w:rFonts w:ascii="Times New Roman" w:hAnsi="Times New Roman" w:cs="Times New Roman"/>
                <w:color w:val="auto"/>
                <w:spacing w:val="-2"/>
                <w:lang w:eastAsia="zh-CN"/>
              </w:rPr>
              <w:t>相应的几种包装标志，以便一旦发生问题时，可以进行</w:t>
            </w:r>
            <w:r>
              <w:rPr>
                <w:rFonts w:hint="eastAsia" w:ascii="Times New Roman" w:hAnsi="Times New Roman" w:cs="Times New Roman"/>
                <w:color w:val="auto"/>
                <w:spacing w:val="-2"/>
                <w:lang w:eastAsia="zh-CN"/>
              </w:rPr>
              <w:t>多重</w:t>
            </w:r>
            <w:r>
              <w:rPr>
                <w:rFonts w:ascii="Times New Roman" w:hAnsi="Times New Roman" w:cs="Times New Roman"/>
                <w:color w:val="auto"/>
                <w:spacing w:val="-2"/>
                <w:lang w:eastAsia="zh-CN"/>
              </w:rPr>
              <w:t>防护。</w:t>
            </w:r>
          </w:p>
          <w:p w14:paraId="6EBF3ACF">
            <w:pPr>
              <w:pStyle w:val="10"/>
              <w:spacing w:line="360" w:lineRule="auto"/>
              <w:ind w:firstLine="480" w:firstLineChars="200"/>
              <w:rPr>
                <w:rFonts w:ascii="Times New Roman" w:hAnsi="Times New Roman"/>
                <w:b/>
                <w:color w:val="auto"/>
                <w:sz w:val="24"/>
              </w:rPr>
            </w:pPr>
            <w:r>
              <w:rPr>
                <w:rFonts w:ascii="Times New Roman" w:hAnsi="Times New Roman"/>
                <w:color w:val="auto"/>
                <w:sz w:val="24"/>
              </w:rPr>
              <w:t>④在危险物品的运输过程中，一旦发生意外事故，驾驶员和押运人员应在采取应急处理的同时，迅速报告公安机关和环保等有关部门，疏散群</w:t>
            </w:r>
            <w:r>
              <w:rPr>
                <w:rFonts w:ascii="Times New Roman" w:hAnsi="Times New Roman"/>
                <w:color w:val="auto"/>
                <w:spacing w:val="-1"/>
                <w:sz w:val="24"/>
              </w:rPr>
              <w:t>众，</w:t>
            </w:r>
            <w:r>
              <w:rPr>
                <w:rFonts w:ascii="Times New Roman" w:hAnsi="Times New Roman"/>
                <w:color w:val="auto"/>
                <w:sz w:val="24"/>
              </w:rPr>
              <w:t>防止事态进一步扩大，并积极协助前来救助处理的公安交通和环保人员抢救</w:t>
            </w:r>
            <w:r>
              <w:rPr>
                <w:rFonts w:ascii="Times New Roman" w:hAnsi="Times New Roman"/>
                <w:color w:val="auto"/>
                <w:spacing w:val="-3"/>
                <w:sz w:val="24"/>
              </w:rPr>
              <w:t>伤者和处理运输物质，使危害减至最小范围。</w:t>
            </w:r>
          </w:p>
          <w:p w14:paraId="0069A46C">
            <w:pPr>
              <w:pStyle w:val="30"/>
              <w:spacing w:line="360" w:lineRule="auto"/>
              <w:ind w:firstLine="476" w:firstLineChars="200"/>
              <w:rPr>
                <w:rFonts w:ascii="Times New Roman" w:hAnsi="Times New Roman" w:cs="Times New Roman"/>
                <w:color w:val="auto"/>
                <w:lang w:eastAsia="zh-CN"/>
              </w:rPr>
            </w:pPr>
            <w:r>
              <w:rPr>
                <w:rFonts w:ascii="Times New Roman" w:hAnsi="Times New Roman" w:cs="Times New Roman"/>
                <w:color w:val="auto"/>
                <w:spacing w:val="-1"/>
                <w:lang w:eastAsia="zh-CN"/>
              </w:rPr>
              <w:t>⑤运输医疗废物的车辆的驾驶员和押运人员，在出车前必须检查防毒、</w:t>
            </w:r>
            <w:r>
              <w:rPr>
                <w:rFonts w:ascii="Times New Roman" w:hAnsi="Times New Roman" w:cs="Times New Roman"/>
                <w:color w:val="auto"/>
                <w:lang w:eastAsia="zh-CN"/>
              </w:rPr>
              <w:t>防护用品和检查工具是否携带齐全有效，在运输途中发现泄漏时应积极主动采取措施处理，防止事态进一步扩大，在切断泄漏源后应将情况及时向当地公安机关和有关部门报告，如处理不了，应立即报告当地公安机关和有关部</w:t>
            </w:r>
            <w:r>
              <w:rPr>
                <w:rFonts w:ascii="Times New Roman" w:hAnsi="Times New Roman" w:cs="Times New Roman"/>
                <w:color w:val="auto"/>
                <w:spacing w:val="-6"/>
                <w:lang w:eastAsia="zh-CN"/>
              </w:rPr>
              <w:t>门请求支援。</w:t>
            </w:r>
          </w:p>
          <w:p w14:paraId="10B57574">
            <w:pPr>
              <w:pStyle w:val="30"/>
              <w:spacing w:line="360" w:lineRule="auto"/>
              <w:ind w:firstLine="472" w:firstLineChars="200"/>
              <w:rPr>
                <w:rFonts w:ascii="Times New Roman" w:hAnsi="Times New Roman" w:cs="Times New Roman"/>
                <w:color w:val="auto"/>
                <w:lang w:eastAsia="zh-CN"/>
              </w:rPr>
            </w:pPr>
            <w:r>
              <w:rPr>
                <w:rFonts w:hint="eastAsia" w:ascii="Times New Roman" w:hAnsi="Times New Roman" w:cs="Times New Roman"/>
                <w:color w:val="auto"/>
                <w:spacing w:val="-2"/>
                <w:lang w:eastAsia="zh-CN"/>
              </w:rPr>
              <w:t>c</w:t>
            </w:r>
            <w:r>
              <w:rPr>
                <w:rFonts w:ascii="Times New Roman" w:hAnsi="Times New Roman" w:cs="Times New Roman"/>
                <w:color w:val="auto"/>
                <w:spacing w:val="-2"/>
                <w:lang w:eastAsia="zh-CN"/>
              </w:rPr>
              <w:t>）次氯酸钠泄漏事故风险防范措施</w:t>
            </w:r>
          </w:p>
          <w:p w14:paraId="2E0D0C3D">
            <w:pPr>
              <w:pStyle w:val="30"/>
              <w:spacing w:line="360" w:lineRule="auto"/>
              <w:ind w:firstLine="472" w:firstLineChars="200"/>
              <w:rPr>
                <w:rFonts w:ascii="Times New Roman" w:hAnsi="Times New Roman" w:cs="Times New Roman"/>
                <w:color w:val="auto"/>
                <w:lang w:eastAsia="zh-CN"/>
              </w:rPr>
            </w:pPr>
            <w:r>
              <w:rPr>
                <w:rFonts w:ascii="Times New Roman" w:hAnsi="Times New Roman" w:cs="Times New Roman"/>
                <w:color w:val="auto"/>
                <w:spacing w:val="-2"/>
                <w:lang w:eastAsia="zh-CN"/>
              </w:rPr>
              <w:t>①储存于阴凉、通风的库房。远离火种、热源。库温不宜超过30℃。应</w:t>
            </w:r>
            <w:r>
              <w:rPr>
                <w:rFonts w:ascii="Times New Roman" w:hAnsi="Times New Roman" w:cs="Times New Roman"/>
                <w:color w:val="auto"/>
                <w:lang w:eastAsia="zh-CN"/>
              </w:rPr>
              <w:t>与酸类分开存放，切忌混储。储区应备有泄漏应急处理设备和合适的收容材</w:t>
            </w:r>
            <w:r>
              <w:rPr>
                <w:rFonts w:ascii="Times New Roman" w:hAnsi="Times New Roman" w:cs="Times New Roman"/>
                <w:color w:val="auto"/>
                <w:spacing w:val="-2"/>
                <w:lang w:eastAsia="zh-CN"/>
              </w:rPr>
              <w:t>料。次氯酸钠消毒液应新鲜配制，避光、避热、密闭保存。</w:t>
            </w:r>
          </w:p>
          <w:p w14:paraId="4F938A16">
            <w:pPr>
              <w:pStyle w:val="3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②应急处理：迅速撤离泄漏污染区人员至安全区，并进行隔离，严格限制出入。建议应急处理人员戴自给正压式呼吸器，穿防酸碱工作服。不要直</w:t>
            </w:r>
            <w:r>
              <w:rPr>
                <w:rFonts w:ascii="Times New Roman" w:hAnsi="Times New Roman" w:cs="Times New Roman"/>
                <w:color w:val="auto"/>
                <w:spacing w:val="-3"/>
                <w:lang w:eastAsia="zh-CN"/>
              </w:rPr>
              <w:t>接接触泄漏物。尽可能切断泄漏源。</w:t>
            </w:r>
          </w:p>
          <w:p w14:paraId="230D1B1B">
            <w:pPr>
              <w:pStyle w:val="30"/>
              <w:spacing w:line="360" w:lineRule="auto"/>
              <w:ind w:firstLine="472" w:firstLineChars="200"/>
              <w:rPr>
                <w:rFonts w:ascii="Times New Roman" w:hAnsi="Times New Roman" w:cs="Times New Roman"/>
                <w:color w:val="auto"/>
              </w:rPr>
            </w:pPr>
            <w:r>
              <w:rPr>
                <w:rFonts w:ascii="Times New Roman" w:hAnsi="Times New Roman" w:cs="Times New Roman"/>
                <w:color w:val="auto"/>
                <w:spacing w:val="-2"/>
              </w:rPr>
              <w:t>③小量泄漏：用砂土、蛭石或其它惰性材料吸收。</w:t>
            </w:r>
          </w:p>
          <w:p w14:paraId="0EA765F9">
            <w:pPr>
              <w:pStyle w:val="30"/>
              <w:spacing w:line="360" w:lineRule="auto"/>
              <w:ind w:firstLine="480" w:firstLineChars="200"/>
              <w:rPr>
                <w:rFonts w:ascii="Times New Roman" w:hAnsi="Times New Roman" w:cs="Times New Roman"/>
                <w:color w:val="auto"/>
                <w:lang w:eastAsia="zh-CN"/>
              </w:rPr>
            </w:pPr>
            <w:r>
              <w:rPr>
                <w:rFonts w:ascii="Times New Roman" w:hAnsi="Times New Roman" w:cs="Times New Roman"/>
                <w:color w:val="auto"/>
                <w:lang w:eastAsia="zh-CN"/>
              </w:rPr>
              <w:t>④大量泄漏：构筑围堤或挖坑收容。用泡沫覆盖，降低蒸气灾害。用泵</w:t>
            </w:r>
            <w:r>
              <w:rPr>
                <w:rFonts w:ascii="Times New Roman" w:hAnsi="Times New Roman" w:cs="Times New Roman"/>
                <w:color w:val="auto"/>
                <w:spacing w:val="-2"/>
                <w:lang w:eastAsia="zh-CN"/>
              </w:rPr>
              <w:t>转移至槽车或专用收集器内，回收或运至废物处理场所处置。</w:t>
            </w:r>
          </w:p>
          <w:p w14:paraId="7F5282FE">
            <w:pPr>
              <w:pStyle w:val="30"/>
              <w:spacing w:line="360" w:lineRule="auto"/>
              <w:ind w:firstLine="472" w:firstLineChars="200"/>
              <w:rPr>
                <w:rFonts w:ascii="Times New Roman" w:hAnsi="Times New Roman" w:cs="Times New Roman"/>
                <w:color w:val="auto"/>
                <w:lang w:eastAsia="zh-CN"/>
              </w:rPr>
            </w:pPr>
            <w:r>
              <w:rPr>
                <w:rFonts w:hint="eastAsia" w:ascii="Times New Roman" w:hAnsi="Times New Roman" w:cs="Times New Roman"/>
                <w:color w:val="auto"/>
                <w:spacing w:val="-2"/>
                <w:lang w:eastAsia="zh-CN"/>
              </w:rPr>
              <w:t>d</w:t>
            </w:r>
            <w:r>
              <w:rPr>
                <w:rFonts w:ascii="Times New Roman" w:hAnsi="Times New Roman" w:cs="Times New Roman"/>
                <w:color w:val="auto"/>
                <w:spacing w:val="-2"/>
                <w:lang w:eastAsia="zh-CN"/>
              </w:rPr>
              <w:t>）病毒泄漏传播风险防范措施</w:t>
            </w:r>
          </w:p>
          <w:p w14:paraId="2042E6A4">
            <w:pPr>
              <w:pStyle w:val="30"/>
              <w:spacing w:line="360" w:lineRule="auto"/>
              <w:ind w:firstLine="472" w:firstLineChars="200"/>
              <w:rPr>
                <w:rFonts w:ascii="Times New Roman" w:hAnsi="Times New Roman" w:cs="Times New Roman"/>
                <w:color w:val="auto"/>
                <w:lang w:eastAsia="zh-CN"/>
              </w:rPr>
            </w:pPr>
            <w:r>
              <w:rPr>
                <w:rFonts w:ascii="Times New Roman" w:hAnsi="Times New Roman" w:cs="Times New Roman"/>
                <w:color w:val="auto"/>
                <w:spacing w:val="-2"/>
                <w:lang w:eastAsia="zh-CN"/>
              </w:rPr>
              <w:t>①加强医护人员教育和职业能力，最大限度地杜绝医疗操作失误。</w:t>
            </w:r>
          </w:p>
          <w:p w14:paraId="76A1CD75">
            <w:pPr>
              <w:pStyle w:val="30"/>
              <w:spacing w:line="360" w:lineRule="auto"/>
              <w:ind w:firstLine="432" w:firstLineChars="200"/>
              <w:rPr>
                <w:rFonts w:ascii="Times New Roman" w:hAnsi="Times New Roman" w:cs="Times New Roman"/>
                <w:color w:val="auto"/>
                <w:lang w:eastAsia="zh-CN"/>
              </w:rPr>
            </w:pPr>
            <w:r>
              <w:rPr>
                <w:rFonts w:ascii="Times New Roman" w:hAnsi="Times New Roman" w:cs="Times New Roman"/>
                <w:color w:val="auto"/>
                <w:spacing w:val="-12"/>
                <w:lang w:eastAsia="zh-CN"/>
              </w:rPr>
              <w:t>②加强医疗废物收集、暂存设施的管理。严格按照《医疗废物管理条例》、</w:t>
            </w:r>
            <w:r>
              <w:rPr>
                <w:rFonts w:ascii="Times New Roman" w:hAnsi="Times New Roman" w:cs="Times New Roman"/>
                <w:color w:val="auto"/>
                <w:lang w:eastAsia="zh-CN"/>
              </w:rPr>
              <w:t>《医疗卫生机构医疗废物管理办法》等要求，妥善收集医疗废物，采取有效</w:t>
            </w:r>
            <w:r>
              <w:rPr>
                <w:rFonts w:ascii="Times New Roman" w:hAnsi="Times New Roman" w:cs="Times New Roman"/>
                <w:color w:val="auto"/>
                <w:spacing w:val="-3"/>
                <w:lang w:eastAsia="zh-CN"/>
              </w:rPr>
              <w:t>的防渗措施，杜绝生活饮用水污染途径。</w:t>
            </w:r>
          </w:p>
          <w:p w14:paraId="17552F91">
            <w:pPr>
              <w:pStyle w:val="30"/>
              <w:spacing w:line="360" w:lineRule="auto"/>
              <w:ind w:firstLine="484" w:firstLineChars="200"/>
              <w:rPr>
                <w:rFonts w:ascii="Times New Roman" w:hAnsi="Times New Roman" w:cs="Times New Roman"/>
                <w:color w:val="auto"/>
                <w:spacing w:val="-3"/>
                <w:lang w:eastAsia="zh-CN"/>
              </w:rPr>
            </w:pPr>
            <w:r>
              <w:rPr>
                <w:rFonts w:ascii="Times New Roman" w:hAnsi="Times New Roman" w:cs="Times New Roman"/>
                <w:color w:val="auto"/>
                <w:spacing w:val="1"/>
                <w:lang w:eastAsia="zh-CN"/>
              </w:rPr>
              <w:t>③合理</w:t>
            </w:r>
            <w:r>
              <w:rPr>
                <w:rFonts w:hint="eastAsia" w:ascii="Times New Roman" w:hAnsi="Times New Roman" w:cs="Times New Roman"/>
                <w:color w:val="auto"/>
                <w:spacing w:val="1"/>
                <w:lang w:eastAsia="zh-CN"/>
              </w:rPr>
              <w:t>设置</w:t>
            </w:r>
            <w:r>
              <w:rPr>
                <w:rFonts w:ascii="Times New Roman" w:hAnsi="Times New Roman" w:cs="Times New Roman"/>
                <w:color w:val="auto"/>
                <w:spacing w:val="1"/>
                <w:lang w:eastAsia="zh-CN"/>
              </w:rPr>
              <w:t>新风、净化系统，阻断病毒从污</w:t>
            </w:r>
            <w:r>
              <w:rPr>
                <w:rFonts w:ascii="Times New Roman" w:hAnsi="Times New Roman" w:cs="Times New Roman"/>
                <w:color w:val="auto"/>
                <w:lang w:eastAsia="zh-CN"/>
              </w:rPr>
              <w:t>染区向外扩散，提高医院内空气质量。同时加强消毒管理，使医院各区域达到《医院消毒卫生标准》中</w:t>
            </w:r>
            <w:r>
              <w:rPr>
                <w:rFonts w:ascii="Times New Roman" w:hAnsi="Times New Roman" w:cs="Times New Roman"/>
                <w:color w:val="auto"/>
                <w:spacing w:val="-3"/>
                <w:lang w:eastAsia="zh-CN"/>
              </w:rPr>
              <w:t>相关环境要求，杜绝病毒空气传播途径。</w:t>
            </w:r>
          </w:p>
          <w:p w14:paraId="7725DF33">
            <w:pPr>
              <w:pStyle w:val="7"/>
              <w:spacing w:before="52" w:line="220" w:lineRule="auto"/>
              <w:ind w:left="2" w:firstLine="484" w:firstLineChars="200"/>
              <w:outlineLvl w:val="2"/>
              <w:rPr>
                <w:rFonts w:ascii="Times New Roman" w:hAnsi="Times New Roman" w:eastAsia="宋体" w:cs="Times New Roman"/>
                <w:color w:val="auto"/>
                <w:spacing w:val="1"/>
                <w:kern w:val="2"/>
                <w:sz w:val="24"/>
                <w:szCs w:val="24"/>
                <w:lang w:val="en-US" w:eastAsia="zh-CN" w:bidi="ar-SA"/>
              </w:rPr>
            </w:pPr>
            <w:r>
              <w:rPr>
                <w:rFonts w:hint="eastAsia" w:ascii="Times New Roman" w:hAnsi="Times New Roman" w:eastAsia="宋体" w:cs="Times New Roman"/>
                <w:color w:val="auto"/>
                <w:spacing w:val="1"/>
                <w:kern w:val="2"/>
                <w:sz w:val="24"/>
                <w:szCs w:val="24"/>
                <w:lang w:val="en-US" w:eastAsia="zh-CN" w:bidi="ar-SA"/>
              </w:rPr>
              <w:t>e）</w:t>
            </w:r>
            <w:r>
              <w:rPr>
                <w:rFonts w:ascii="Times New Roman" w:hAnsi="Times New Roman" w:eastAsia="宋体" w:cs="Times New Roman"/>
                <w:color w:val="auto"/>
                <w:spacing w:val="1"/>
                <w:kern w:val="2"/>
                <w:sz w:val="24"/>
                <w:szCs w:val="24"/>
                <w:lang w:val="en-US" w:eastAsia="zh-CN" w:bidi="ar-SA"/>
              </w:rPr>
              <w:t>柴油贮存风险防范措施</w:t>
            </w:r>
          </w:p>
          <w:p w14:paraId="76A8C644">
            <w:pPr>
              <w:pStyle w:val="7"/>
              <w:keepNext w:val="0"/>
              <w:keepLines w:val="0"/>
              <w:pageBreakBefore w:val="0"/>
              <w:widowControl/>
              <w:kinsoku/>
              <w:wordWrap/>
              <w:overflowPunct/>
              <w:topLinePunct w:val="0"/>
              <w:autoSpaceDE/>
              <w:autoSpaceDN/>
              <w:bidi w:val="0"/>
              <w:adjustRightInd/>
              <w:snapToGrid w:val="0"/>
              <w:spacing w:before="234" w:after="0" w:line="360" w:lineRule="auto"/>
              <w:ind w:firstLine="484"/>
              <w:jc w:val="both"/>
              <w:textAlignment w:val="auto"/>
              <w:rPr>
                <w:rFonts w:ascii="Times New Roman" w:hAnsi="Times New Roman" w:eastAsia="宋体" w:cs="Times New Roman"/>
                <w:color w:val="auto"/>
                <w:spacing w:val="1"/>
                <w:kern w:val="2"/>
                <w:sz w:val="24"/>
                <w:szCs w:val="24"/>
                <w:lang w:val="en-US" w:eastAsia="zh-CN" w:bidi="ar-SA"/>
              </w:rPr>
            </w:pPr>
            <w:r>
              <w:rPr>
                <w:rFonts w:ascii="Times New Roman" w:hAnsi="Times New Roman" w:eastAsia="宋体" w:cs="Times New Roman"/>
                <w:color w:val="auto"/>
                <w:spacing w:val="1"/>
                <w:kern w:val="2"/>
                <w:sz w:val="24"/>
                <w:szCs w:val="24"/>
                <w:lang w:val="en-US" w:eastAsia="zh-CN" w:bidi="ar-SA"/>
              </w:rPr>
              <w:t>项目的备用柴油发电机储存一定量的柴油，储存量较小，柴油主要危险特性为易燃，储油箱除遇自然灾害和人为破坏等情况下，只要保持消防设施的正常运转和消防制度的严格执行，储油箱不会对周围环境造成危害。贮存不当易造成火灾，会对环境及动植物造成一定的影响。</w:t>
            </w:r>
          </w:p>
          <w:p w14:paraId="45C2144E">
            <w:pPr>
              <w:pStyle w:val="7"/>
              <w:keepNext w:val="0"/>
              <w:keepLines w:val="0"/>
              <w:pageBreakBefore w:val="0"/>
              <w:widowControl/>
              <w:kinsoku/>
              <w:wordWrap/>
              <w:overflowPunct/>
              <w:topLinePunct w:val="0"/>
              <w:autoSpaceDE/>
              <w:autoSpaceDN/>
              <w:bidi w:val="0"/>
              <w:adjustRightInd/>
              <w:snapToGrid w:val="0"/>
              <w:spacing w:before="234" w:after="0" w:line="360" w:lineRule="auto"/>
              <w:ind w:left="2" w:right="80" w:firstLine="477"/>
              <w:jc w:val="both"/>
              <w:textAlignment w:val="auto"/>
              <w:rPr>
                <w:color w:val="auto"/>
                <w:sz w:val="24"/>
                <w:szCs w:val="24"/>
              </w:rPr>
            </w:pPr>
            <w:r>
              <w:rPr>
                <w:color w:val="auto"/>
                <w:spacing w:val="-2"/>
                <w:sz w:val="24"/>
                <w:szCs w:val="24"/>
              </w:rPr>
              <w:t>柴油为易燃品，禁止在柴油储存处使用明火、存放或使用氧化剂等其他高温、高热行为；同时做好防火和消防措施，加强防范意识。柴油发电机房设密闭储油间，储油量不大于</w:t>
            </w:r>
            <w:r>
              <w:rPr>
                <w:color w:val="auto"/>
                <w:spacing w:val="-32"/>
                <w:sz w:val="24"/>
                <w:szCs w:val="24"/>
              </w:rPr>
              <w:t xml:space="preserve"> </w:t>
            </w:r>
            <w:r>
              <w:rPr>
                <w:rFonts w:ascii="Times New Roman" w:hAnsi="Times New Roman" w:eastAsia="Times New Roman" w:cs="Times New Roman"/>
                <w:color w:val="auto"/>
                <w:spacing w:val="-2"/>
                <w:sz w:val="24"/>
                <w:szCs w:val="24"/>
              </w:rPr>
              <w:t>1m</w:t>
            </w:r>
            <w:r>
              <w:rPr>
                <w:rFonts w:ascii="Times New Roman" w:hAnsi="Times New Roman" w:eastAsia="Times New Roman" w:cs="Times New Roman"/>
                <w:color w:val="auto"/>
                <w:spacing w:val="-2"/>
                <w:position w:val="8"/>
                <w:sz w:val="24"/>
                <w:szCs w:val="24"/>
              </w:rPr>
              <w:t>3</w:t>
            </w:r>
            <w:r>
              <w:rPr>
                <w:rFonts w:ascii="Times New Roman" w:hAnsi="Times New Roman" w:eastAsia="Times New Roman" w:cs="Times New Roman"/>
                <w:color w:val="auto"/>
                <w:spacing w:val="-10"/>
                <w:position w:val="8"/>
                <w:sz w:val="24"/>
                <w:szCs w:val="24"/>
              </w:rPr>
              <w:t xml:space="preserve"> </w:t>
            </w:r>
            <w:r>
              <w:rPr>
                <w:color w:val="auto"/>
                <w:spacing w:val="-2"/>
                <w:sz w:val="24"/>
                <w:szCs w:val="24"/>
              </w:rPr>
              <w:t>，储油间地面进行防腐防渗处理且设置防止油品流散的设施；建设单位需定</w:t>
            </w:r>
            <w:r>
              <w:rPr>
                <w:color w:val="auto"/>
                <w:spacing w:val="-1"/>
                <w:sz w:val="24"/>
                <w:szCs w:val="24"/>
              </w:rPr>
              <w:t>期对柴油罐进行检查和维护，避免柴油泄漏。</w:t>
            </w:r>
          </w:p>
          <w:p w14:paraId="1CD38C6A">
            <w:pPr>
              <w:pStyle w:val="7"/>
              <w:keepNext w:val="0"/>
              <w:keepLines w:val="0"/>
              <w:pageBreakBefore w:val="0"/>
              <w:widowControl/>
              <w:kinsoku/>
              <w:wordWrap/>
              <w:overflowPunct/>
              <w:topLinePunct w:val="0"/>
              <w:autoSpaceDE/>
              <w:autoSpaceDN/>
              <w:bidi w:val="0"/>
              <w:adjustRightInd/>
              <w:snapToGrid w:val="0"/>
              <w:spacing w:after="0" w:line="361" w:lineRule="auto"/>
              <w:ind w:left="1" w:right="28" w:firstLine="478"/>
              <w:jc w:val="both"/>
              <w:textAlignment w:val="auto"/>
              <w:rPr>
                <w:rFonts w:ascii="Arial"/>
                <w:color w:val="auto"/>
                <w:sz w:val="24"/>
                <w:szCs w:val="24"/>
              </w:rPr>
            </w:pPr>
            <w:r>
              <w:rPr>
                <w:color w:val="auto"/>
                <w:spacing w:val="-2"/>
                <w:sz w:val="24"/>
                <w:szCs w:val="24"/>
              </w:rPr>
              <w:t>柴油泄漏时，迅速撤离泄漏污染区人员至安全区，并进行隔离，严格限制出入。同时切断电或火源。建议应急处理人员戴自给正压式呼吸器，穿消防防护服。尽可能切断</w:t>
            </w:r>
            <w:r>
              <w:rPr>
                <w:color w:val="auto"/>
                <w:spacing w:val="-6"/>
                <w:sz w:val="24"/>
                <w:szCs w:val="24"/>
              </w:rPr>
              <w:t>泄漏源。防止进入下水道、排洪沟等限制性空间。可用</w:t>
            </w:r>
            <w:r>
              <w:rPr>
                <w:color w:val="auto"/>
                <w:spacing w:val="-7"/>
                <w:sz w:val="24"/>
                <w:szCs w:val="24"/>
              </w:rPr>
              <w:t>砂土、蛭石或其它惰性材料吸收，</w:t>
            </w:r>
            <w:r>
              <w:rPr>
                <w:color w:val="auto"/>
                <w:spacing w:val="-1"/>
                <w:sz w:val="24"/>
                <w:szCs w:val="24"/>
              </w:rPr>
              <w:t>后可收集至专用收集器内，回收或运至废物处理场所处置。</w:t>
            </w:r>
          </w:p>
          <w:p w14:paraId="7BC8626C">
            <w:pPr>
              <w:pStyle w:val="7"/>
              <w:keepNext w:val="0"/>
              <w:keepLines w:val="0"/>
              <w:pageBreakBefore w:val="0"/>
              <w:widowControl/>
              <w:kinsoku/>
              <w:wordWrap/>
              <w:overflowPunct/>
              <w:topLinePunct w:val="0"/>
              <w:autoSpaceDE/>
              <w:autoSpaceDN/>
              <w:bidi w:val="0"/>
              <w:adjustRightInd/>
              <w:snapToGrid w:val="0"/>
              <w:spacing w:before="78" w:after="0" w:line="360" w:lineRule="auto"/>
              <w:ind w:right="121" w:firstLine="480"/>
              <w:textAlignment w:val="auto"/>
              <w:rPr>
                <w:color w:val="auto"/>
                <w:sz w:val="24"/>
                <w:szCs w:val="24"/>
              </w:rPr>
            </w:pPr>
            <w:r>
              <w:rPr>
                <w:color w:val="auto"/>
                <w:spacing w:val="-3"/>
                <w:sz w:val="24"/>
                <w:szCs w:val="24"/>
              </w:rPr>
              <w:t>柴油泄漏时操作人员一般不需要特殊防护，高浓度接触时可戴化学安全防护眼镜，操作人员穿防静电工作服，戴防苯耐油手套进行防护。柴油泄漏时在皮肤接触情况下，</w:t>
            </w:r>
            <w:r>
              <w:rPr>
                <w:color w:val="auto"/>
                <w:sz w:val="24"/>
                <w:szCs w:val="24"/>
              </w:rPr>
              <w:t>可立即脱去被污染的衣着，用肥皂水和清水彻底冲洗皮肤或就</w:t>
            </w:r>
            <w:r>
              <w:rPr>
                <w:color w:val="auto"/>
                <w:spacing w:val="-1"/>
                <w:sz w:val="24"/>
                <w:szCs w:val="24"/>
              </w:rPr>
              <w:t>医；眼睛接触时可立即</w:t>
            </w:r>
            <w:r>
              <w:rPr>
                <w:color w:val="auto"/>
                <w:spacing w:val="-2"/>
                <w:sz w:val="24"/>
                <w:szCs w:val="24"/>
              </w:rPr>
              <w:t>提起眼睑，用大量流动清水或生理盐水彻底冲洗至少</w:t>
            </w:r>
            <w:r>
              <w:rPr>
                <w:color w:val="auto"/>
                <w:spacing w:val="-23"/>
                <w:sz w:val="24"/>
                <w:szCs w:val="24"/>
              </w:rPr>
              <w:t xml:space="preserve"> </w:t>
            </w:r>
            <w:r>
              <w:rPr>
                <w:rFonts w:ascii="Times New Roman" w:hAnsi="Times New Roman" w:eastAsia="Times New Roman" w:cs="Times New Roman"/>
                <w:color w:val="auto"/>
                <w:spacing w:val="-2"/>
                <w:sz w:val="24"/>
                <w:szCs w:val="24"/>
              </w:rPr>
              <w:t xml:space="preserve">15 </w:t>
            </w:r>
            <w:r>
              <w:rPr>
                <w:color w:val="auto"/>
                <w:spacing w:val="-2"/>
                <w:sz w:val="24"/>
                <w:szCs w:val="24"/>
              </w:rPr>
              <w:t>分钟或就医。若意外吸入，可</w:t>
            </w:r>
            <w:r>
              <w:rPr>
                <w:color w:val="auto"/>
                <w:sz w:val="24"/>
                <w:szCs w:val="24"/>
              </w:rPr>
              <w:t>迅速脱离现场至空气新鲜处，保持呼吸道通畅；如呼吸困难，</w:t>
            </w:r>
            <w:r>
              <w:rPr>
                <w:color w:val="auto"/>
                <w:spacing w:val="-1"/>
                <w:sz w:val="24"/>
                <w:szCs w:val="24"/>
              </w:rPr>
              <w:t>给输氧；如呼吸停止可</w:t>
            </w:r>
            <w:r>
              <w:rPr>
                <w:color w:val="auto"/>
                <w:sz w:val="24"/>
                <w:szCs w:val="24"/>
              </w:rPr>
              <w:t>立即进行人工呼吸或就医。食入时可给饮牛奶或用植物</w:t>
            </w:r>
            <w:r>
              <w:rPr>
                <w:color w:val="auto"/>
                <w:spacing w:val="-1"/>
                <w:sz w:val="24"/>
                <w:szCs w:val="24"/>
              </w:rPr>
              <w:t>油洗胃和灌肠或就医。</w:t>
            </w:r>
          </w:p>
          <w:p w14:paraId="32C9CA8D">
            <w:pPr>
              <w:pStyle w:val="7"/>
              <w:keepNext w:val="0"/>
              <w:keepLines w:val="0"/>
              <w:pageBreakBefore w:val="0"/>
              <w:widowControl/>
              <w:kinsoku/>
              <w:wordWrap/>
              <w:overflowPunct/>
              <w:topLinePunct w:val="0"/>
              <w:autoSpaceDE/>
              <w:autoSpaceDN/>
              <w:bidi w:val="0"/>
              <w:adjustRightInd/>
              <w:snapToGrid w:val="0"/>
              <w:spacing w:after="0" w:line="362" w:lineRule="auto"/>
              <w:ind w:left="2" w:right="80" w:firstLine="478"/>
              <w:textAlignment w:val="auto"/>
              <w:rPr>
                <w:rFonts w:hint="eastAsia" w:eastAsia="宋体"/>
                <w:color w:val="auto"/>
                <w:sz w:val="24"/>
                <w:szCs w:val="24"/>
                <w:lang w:eastAsia="zh-CN"/>
              </w:rPr>
            </w:pPr>
            <w:r>
              <w:rPr>
                <w:color w:val="auto"/>
                <w:spacing w:val="-2"/>
                <w:sz w:val="24"/>
                <w:szCs w:val="24"/>
              </w:rPr>
              <w:t>柴油起火情况下，可喷水冷却容器，灭火剂一般使用泡沫、干粉、二氧化碳，不得</w:t>
            </w:r>
            <w:r>
              <w:rPr>
                <w:color w:val="auto"/>
                <w:spacing w:val="-3"/>
                <w:sz w:val="24"/>
                <w:szCs w:val="24"/>
              </w:rPr>
              <w:t>用水灭火</w:t>
            </w:r>
            <w:r>
              <w:rPr>
                <w:rFonts w:hint="eastAsia"/>
                <w:color w:val="auto"/>
                <w:spacing w:val="-3"/>
                <w:sz w:val="24"/>
                <w:szCs w:val="24"/>
                <w:lang w:eastAsia="zh-CN"/>
              </w:rPr>
              <w:t>。</w:t>
            </w:r>
          </w:p>
          <w:p w14:paraId="4897152F">
            <w:pPr>
              <w:spacing w:line="360" w:lineRule="auto"/>
              <w:rPr>
                <w:b/>
                <w:bCs/>
                <w:color w:val="auto"/>
                <w:sz w:val="30"/>
                <w:szCs w:val="30"/>
              </w:rPr>
            </w:pPr>
            <w:r>
              <w:rPr>
                <w:rFonts w:hint="eastAsia"/>
                <w:b/>
                <w:bCs/>
                <w:color w:val="auto"/>
                <w:sz w:val="30"/>
                <w:szCs w:val="30"/>
              </w:rPr>
              <w:t>4.4</w:t>
            </w:r>
            <w:r>
              <w:rPr>
                <w:b/>
                <w:bCs/>
                <w:color w:val="auto"/>
                <w:sz w:val="30"/>
                <w:szCs w:val="30"/>
              </w:rPr>
              <w:t>环境监测计划</w:t>
            </w:r>
          </w:p>
          <w:p w14:paraId="0BA99903">
            <w:pPr>
              <w:pStyle w:val="23"/>
              <w:rPr>
                <w:rFonts w:hint="eastAsia" w:eastAsia="宋体"/>
                <w:color w:val="auto"/>
                <w:sz w:val="24"/>
              </w:rPr>
            </w:pPr>
            <w:r>
              <w:rPr>
                <w:rFonts w:hint="eastAsia" w:eastAsia="宋体"/>
                <w:color w:val="auto"/>
                <w:sz w:val="24"/>
              </w:rPr>
              <w:t>为</w:t>
            </w:r>
            <w:r>
              <w:rPr>
                <w:color w:val="auto"/>
                <w:sz w:val="24"/>
              </w:rPr>
              <w:t>便于项目的环境管理，</w:t>
            </w:r>
            <w:r>
              <w:rPr>
                <w:rFonts w:hint="eastAsia" w:eastAsia="宋体"/>
                <w:color w:val="auto"/>
                <w:sz w:val="24"/>
                <w:lang w:val="en-US" w:eastAsia="zh-CN"/>
              </w:rPr>
              <w:t>根据《排污许可证申请与核发技术规范医疗机构》（HJ1105—2020）制定</w:t>
            </w:r>
            <w:r>
              <w:rPr>
                <w:color w:val="auto"/>
                <w:sz w:val="24"/>
              </w:rPr>
              <w:t>本项目环境监测计划列于</w:t>
            </w:r>
            <w:r>
              <w:rPr>
                <w:rFonts w:hint="eastAsia" w:eastAsia="宋体"/>
                <w:color w:val="auto"/>
                <w:sz w:val="24"/>
              </w:rPr>
              <w:t>下</w:t>
            </w:r>
            <w:r>
              <w:rPr>
                <w:color w:val="auto"/>
                <w:sz w:val="24"/>
              </w:rPr>
              <w:t>表</w:t>
            </w:r>
            <w:r>
              <w:rPr>
                <w:rFonts w:hint="eastAsia" w:eastAsia="宋体"/>
                <w:color w:val="auto"/>
                <w:sz w:val="24"/>
              </w:rPr>
              <w:t>。</w:t>
            </w:r>
          </w:p>
          <w:p w14:paraId="6E9684C5">
            <w:pPr>
              <w:jc w:val="center"/>
              <w:rPr>
                <w:b/>
                <w:bCs/>
                <w:color w:val="auto"/>
                <w:sz w:val="24"/>
              </w:rPr>
            </w:pPr>
            <w:r>
              <w:rPr>
                <w:b/>
                <w:bCs/>
                <w:color w:val="auto"/>
                <w:sz w:val="24"/>
              </w:rPr>
              <w:t>表4</w:t>
            </w:r>
            <w:r>
              <w:rPr>
                <w:rFonts w:hint="eastAsia"/>
                <w:b/>
                <w:bCs/>
                <w:color w:val="auto"/>
                <w:sz w:val="24"/>
              </w:rPr>
              <w:t>.4</w:t>
            </w:r>
            <w:r>
              <w:rPr>
                <w:b/>
                <w:bCs/>
                <w:color w:val="auto"/>
                <w:sz w:val="24"/>
              </w:rPr>
              <w:t>-1环境监测计划一览表</w:t>
            </w:r>
          </w:p>
          <w:tbl>
            <w:tblPr>
              <w:tblStyle w:val="17"/>
              <w:tblW w:w="84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8"/>
              <w:gridCol w:w="1301"/>
              <w:gridCol w:w="1279"/>
              <w:gridCol w:w="1100"/>
              <w:gridCol w:w="4134"/>
            </w:tblGrid>
            <w:tr w14:paraId="5758C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678" w:type="dxa"/>
                  <w:tcBorders>
                    <w:top w:val="single" w:color="000000" w:sz="12" w:space="0"/>
                    <w:left w:val="nil"/>
                    <w:bottom w:val="single" w:color="auto" w:sz="4" w:space="0"/>
                    <w:right w:val="single" w:color="auto" w:sz="4" w:space="0"/>
                  </w:tcBorders>
                  <w:shd w:val="clear" w:color="auto" w:fill="FFFFFF"/>
                  <w:noWrap w:val="0"/>
                  <w:vAlign w:val="center"/>
                </w:tcPr>
                <w:p w14:paraId="2C26029E">
                  <w:pPr>
                    <w:spacing w:line="340" w:lineRule="exact"/>
                    <w:jc w:val="center"/>
                    <w:rPr>
                      <w:color w:val="auto"/>
                      <w:szCs w:val="21"/>
                    </w:rPr>
                  </w:pPr>
                  <w:r>
                    <w:rPr>
                      <w:color w:val="auto"/>
                      <w:szCs w:val="21"/>
                    </w:rPr>
                    <w:t>监测项目</w:t>
                  </w:r>
                </w:p>
              </w:tc>
              <w:tc>
                <w:tcPr>
                  <w:tcW w:w="1301" w:type="dxa"/>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0DBBA3D7">
                  <w:pPr>
                    <w:spacing w:line="340" w:lineRule="exact"/>
                    <w:jc w:val="center"/>
                    <w:rPr>
                      <w:color w:val="auto"/>
                      <w:szCs w:val="21"/>
                    </w:rPr>
                  </w:pPr>
                  <w:r>
                    <w:rPr>
                      <w:color w:val="auto"/>
                      <w:szCs w:val="21"/>
                    </w:rPr>
                    <w:t>监测点位</w:t>
                  </w:r>
                </w:p>
              </w:tc>
              <w:tc>
                <w:tcPr>
                  <w:tcW w:w="1279" w:type="dxa"/>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1443E2BC">
                  <w:pPr>
                    <w:spacing w:line="340" w:lineRule="exact"/>
                    <w:jc w:val="center"/>
                    <w:rPr>
                      <w:color w:val="auto"/>
                      <w:szCs w:val="21"/>
                    </w:rPr>
                  </w:pPr>
                  <w:r>
                    <w:rPr>
                      <w:color w:val="auto"/>
                      <w:szCs w:val="21"/>
                    </w:rPr>
                    <w:t>污染物名称</w:t>
                  </w:r>
                </w:p>
              </w:tc>
              <w:tc>
                <w:tcPr>
                  <w:tcW w:w="1100" w:type="dxa"/>
                  <w:tcBorders>
                    <w:top w:val="single" w:color="000000" w:sz="12" w:space="0"/>
                    <w:left w:val="single" w:color="auto" w:sz="4" w:space="0"/>
                    <w:bottom w:val="single" w:color="auto" w:sz="4" w:space="0"/>
                    <w:right w:val="single" w:color="auto" w:sz="4" w:space="0"/>
                  </w:tcBorders>
                  <w:shd w:val="clear" w:color="auto" w:fill="FFFFFF"/>
                  <w:noWrap w:val="0"/>
                  <w:vAlign w:val="center"/>
                </w:tcPr>
                <w:p w14:paraId="40943DE9">
                  <w:pPr>
                    <w:spacing w:line="340" w:lineRule="exact"/>
                    <w:jc w:val="center"/>
                    <w:rPr>
                      <w:color w:val="auto"/>
                      <w:szCs w:val="21"/>
                    </w:rPr>
                  </w:pPr>
                  <w:r>
                    <w:rPr>
                      <w:color w:val="auto"/>
                      <w:szCs w:val="21"/>
                    </w:rPr>
                    <w:t>监测频次</w:t>
                  </w:r>
                </w:p>
              </w:tc>
              <w:tc>
                <w:tcPr>
                  <w:tcW w:w="4134" w:type="dxa"/>
                  <w:tcBorders>
                    <w:top w:val="single" w:color="000000" w:sz="12" w:space="0"/>
                    <w:left w:val="single" w:color="auto" w:sz="4" w:space="0"/>
                    <w:bottom w:val="single" w:color="auto" w:sz="4" w:space="0"/>
                    <w:right w:val="nil"/>
                  </w:tcBorders>
                  <w:shd w:val="clear" w:color="auto" w:fill="FFFFFF"/>
                  <w:noWrap w:val="0"/>
                  <w:vAlign w:val="center"/>
                </w:tcPr>
                <w:p w14:paraId="7D7CCED8">
                  <w:pPr>
                    <w:spacing w:line="340" w:lineRule="exact"/>
                    <w:jc w:val="center"/>
                    <w:rPr>
                      <w:color w:val="auto"/>
                      <w:szCs w:val="21"/>
                    </w:rPr>
                  </w:pPr>
                  <w:r>
                    <w:rPr>
                      <w:color w:val="auto"/>
                      <w:szCs w:val="21"/>
                    </w:rPr>
                    <w:t>监测方法</w:t>
                  </w:r>
                  <w:r>
                    <w:rPr>
                      <w:rFonts w:hint="eastAsia"/>
                      <w:color w:val="auto"/>
                      <w:szCs w:val="21"/>
                    </w:rPr>
                    <w:t>及标准</w:t>
                  </w:r>
                </w:p>
              </w:tc>
            </w:tr>
            <w:tr w14:paraId="02B24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 w:hRule="atLeast"/>
                <w:jc w:val="center"/>
              </w:trPr>
              <w:tc>
                <w:tcPr>
                  <w:tcW w:w="678" w:type="dxa"/>
                  <w:vMerge w:val="restart"/>
                  <w:tcBorders>
                    <w:top w:val="single" w:color="auto" w:sz="4" w:space="0"/>
                    <w:left w:val="nil"/>
                    <w:right w:val="single" w:color="auto" w:sz="4" w:space="0"/>
                  </w:tcBorders>
                  <w:shd w:val="clear" w:color="auto" w:fill="FFFFFF"/>
                  <w:noWrap w:val="0"/>
                  <w:vAlign w:val="center"/>
                </w:tcPr>
                <w:p w14:paraId="71567A38">
                  <w:pPr>
                    <w:spacing w:line="340" w:lineRule="exact"/>
                    <w:jc w:val="center"/>
                    <w:rPr>
                      <w:rFonts w:hint="eastAsia" w:eastAsia="宋体"/>
                      <w:color w:val="auto"/>
                      <w:szCs w:val="21"/>
                      <w:lang w:val="en-US" w:eastAsia="zh-CN"/>
                    </w:rPr>
                  </w:pPr>
                  <w:r>
                    <w:rPr>
                      <w:rFonts w:hint="eastAsia"/>
                      <w:color w:val="auto"/>
                      <w:szCs w:val="21"/>
                      <w:lang w:val="en-US" w:eastAsia="zh-CN"/>
                    </w:rPr>
                    <w:t>污水</w:t>
                  </w:r>
                </w:p>
              </w:tc>
              <w:tc>
                <w:tcPr>
                  <w:tcW w:w="1301" w:type="dxa"/>
                  <w:vMerge w:val="restart"/>
                  <w:tcBorders>
                    <w:left w:val="single" w:color="auto" w:sz="4" w:space="0"/>
                    <w:right w:val="single" w:color="auto" w:sz="4" w:space="0"/>
                  </w:tcBorders>
                  <w:shd w:val="clear" w:color="auto" w:fill="FFFFFF"/>
                  <w:noWrap w:val="0"/>
                  <w:vAlign w:val="center"/>
                </w:tcPr>
                <w:p w14:paraId="07930BDA">
                  <w:pPr>
                    <w:spacing w:line="340" w:lineRule="exact"/>
                    <w:jc w:val="center"/>
                    <w:rPr>
                      <w:rFonts w:hint="eastAsia"/>
                      <w:color w:val="auto"/>
                      <w:szCs w:val="21"/>
                    </w:rPr>
                  </w:pPr>
                  <w:r>
                    <w:rPr>
                      <w:rFonts w:hint="eastAsia"/>
                      <w:color w:val="auto"/>
                      <w:szCs w:val="21"/>
                    </w:rPr>
                    <w:t>综合废水排放口</w:t>
                  </w:r>
                </w:p>
                <w:p w14:paraId="6D62F985">
                  <w:pPr>
                    <w:spacing w:line="340" w:lineRule="exact"/>
                    <w:jc w:val="center"/>
                    <w:rPr>
                      <w:rFonts w:hint="eastAsia"/>
                      <w:color w:val="auto"/>
                      <w:szCs w:val="21"/>
                    </w:rPr>
                  </w:pPr>
                  <w:r>
                    <w:rPr>
                      <w:rFonts w:hint="eastAsia"/>
                      <w:color w:val="auto"/>
                      <w:szCs w:val="21"/>
                    </w:rPr>
                    <w:t>（DW001）</w:t>
                  </w: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5E86CF">
                  <w:pPr>
                    <w:pStyle w:val="49"/>
                    <w:spacing w:line="340" w:lineRule="exact"/>
                    <w:jc w:val="center"/>
                    <w:rPr>
                      <w:rFonts w:ascii="Times New Roman" w:hAnsi="Times New Roman"/>
                      <w:color w:val="auto"/>
                      <w:kern w:val="2"/>
                      <w:sz w:val="21"/>
                      <w:szCs w:val="21"/>
                      <w:lang w:val="en-US" w:eastAsia="zh-CN" w:bidi="ar-SA"/>
                    </w:rPr>
                  </w:pPr>
                  <w:r>
                    <w:rPr>
                      <w:rFonts w:hint="eastAsia" w:ascii="Times New Roman" w:hAnsi="Times New Roman"/>
                      <w:color w:val="auto"/>
                      <w:szCs w:val="21"/>
                    </w:rPr>
                    <w:t>流量</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F39239">
                  <w:pPr>
                    <w:pStyle w:val="49"/>
                    <w:spacing w:line="340" w:lineRule="exact"/>
                    <w:jc w:val="center"/>
                    <w:rPr>
                      <w:rFonts w:ascii="Times New Roman" w:hAnsi="Times New Roman"/>
                      <w:color w:val="auto"/>
                      <w:kern w:val="2"/>
                      <w:sz w:val="21"/>
                      <w:szCs w:val="21"/>
                      <w:lang w:val="en-US" w:eastAsia="zh-CN" w:bidi="ar-SA"/>
                    </w:rPr>
                  </w:pPr>
                  <w:r>
                    <w:rPr>
                      <w:color w:val="auto"/>
                      <w:spacing w:val="-10"/>
                      <w:szCs w:val="21"/>
                    </w:rPr>
                    <w:t>自动监测</w:t>
                  </w:r>
                </w:p>
              </w:tc>
              <w:tc>
                <w:tcPr>
                  <w:tcW w:w="4134" w:type="dxa"/>
                  <w:vMerge w:val="restart"/>
                  <w:tcBorders>
                    <w:top w:val="single" w:color="auto" w:sz="4" w:space="0"/>
                    <w:left w:val="single" w:color="auto" w:sz="4" w:space="0"/>
                    <w:right w:val="nil"/>
                  </w:tcBorders>
                  <w:shd w:val="clear" w:color="auto" w:fill="FFFFFF"/>
                  <w:noWrap w:val="0"/>
                  <w:vAlign w:val="center"/>
                </w:tcPr>
                <w:p w14:paraId="684E3EB1">
                  <w:pPr>
                    <w:pStyle w:val="49"/>
                    <w:spacing w:line="340" w:lineRule="exact"/>
                    <w:jc w:val="center"/>
                    <w:rPr>
                      <w:rFonts w:ascii="Times New Roman" w:hAnsi="Times New Roman"/>
                      <w:color w:val="auto"/>
                      <w:szCs w:val="21"/>
                    </w:rPr>
                  </w:pPr>
                  <w:r>
                    <w:rPr>
                      <w:rFonts w:hint="default" w:ascii="Times New Roman" w:hAnsi="Times New Roman" w:eastAsia="宋体" w:cs="Times New Roman"/>
                      <w:color w:val="auto"/>
                      <w:kern w:val="0"/>
                      <w:sz w:val="21"/>
                      <w:szCs w:val="21"/>
                      <w:lang w:bidi="ar"/>
                    </w:rPr>
                    <w:t>《医疗机构水污染物排放标准》（GB18466-2005）表2预处理标准</w:t>
                  </w:r>
                </w:p>
              </w:tc>
            </w:tr>
            <w:tr w14:paraId="60414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78" w:type="dxa"/>
                  <w:vMerge w:val="continue"/>
                  <w:tcBorders>
                    <w:left w:val="nil"/>
                    <w:right w:val="single" w:color="auto" w:sz="4" w:space="0"/>
                  </w:tcBorders>
                  <w:shd w:val="clear" w:color="auto" w:fill="FFFFFF"/>
                  <w:noWrap w:val="0"/>
                  <w:vAlign w:val="center"/>
                </w:tcPr>
                <w:p w14:paraId="4FBFC903">
                  <w:pPr>
                    <w:pStyle w:val="49"/>
                    <w:spacing w:line="340" w:lineRule="exact"/>
                    <w:jc w:val="center"/>
                    <w:rPr>
                      <w:color w:val="auto"/>
                    </w:rPr>
                  </w:pPr>
                </w:p>
              </w:tc>
              <w:tc>
                <w:tcPr>
                  <w:tcW w:w="1301" w:type="dxa"/>
                  <w:vMerge w:val="continue"/>
                  <w:tcBorders>
                    <w:left w:val="single" w:color="auto" w:sz="4" w:space="0"/>
                    <w:right w:val="single" w:color="auto" w:sz="4" w:space="0"/>
                  </w:tcBorders>
                  <w:shd w:val="clear" w:color="auto" w:fill="FFFFFF"/>
                  <w:noWrap w:val="0"/>
                  <w:vAlign w:val="center"/>
                </w:tcPr>
                <w:p w14:paraId="304DC71C">
                  <w:pPr>
                    <w:pStyle w:val="49"/>
                    <w:spacing w:line="340" w:lineRule="exact"/>
                    <w:jc w:val="center"/>
                    <w:rPr>
                      <w:color w:val="auto"/>
                    </w:rPr>
                  </w:pP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D3B126">
                  <w:pPr>
                    <w:pStyle w:val="49"/>
                    <w:spacing w:line="340" w:lineRule="exact"/>
                    <w:jc w:val="center"/>
                    <w:rPr>
                      <w:rFonts w:ascii="Times New Roman" w:hAnsi="Times New Roman"/>
                      <w:color w:val="auto"/>
                      <w:kern w:val="2"/>
                      <w:sz w:val="21"/>
                      <w:szCs w:val="21"/>
                      <w:lang w:val="en-US" w:eastAsia="zh-CN" w:bidi="ar-SA"/>
                    </w:rPr>
                  </w:pPr>
                  <w:r>
                    <w:rPr>
                      <w:rFonts w:hint="eastAsia" w:ascii="Times New Roman" w:hAnsi="Times New Roman"/>
                      <w:color w:val="auto"/>
                      <w:szCs w:val="21"/>
                    </w:rPr>
                    <w:t>pH</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0640C5">
                  <w:pPr>
                    <w:pStyle w:val="49"/>
                    <w:spacing w:line="340" w:lineRule="exact"/>
                    <w:jc w:val="center"/>
                    <w:rPr>
                      <w:rFonts w:ascii="Times New Roman" w:hAnsi="Times New Roman"/>
                      <w:color w:val="auto"/>
                      <w:kern w:val="2"/>
                      <w:sz w:val="21"/>
                      <w:szCs w:val="21"/>
                      <w:lang w:val="en-US" w:eastAsia="zh-CN" w:bidi="ar-SA"/>
                    </w:rPr>
                  </w:pPr>
                  <w:r>
                    <w:rPr>
                      <w:rFonts w:ascii="Times New Roman" w:hAnsi="Times New Roman" w:eastAsia="Times New Roman"/>
                      <w:color w:val="auto"/>
                      <w:spacing w:val="-8"/>
                      <w:szCs w:val="21"/>
                    </w:rPr>
                    <w:t>12</w:t>
                  </w:r>
                  <w:r>
                    <w:rPr>
                      <w:color w:val="auto"/>
                      <w:spacing w:val="-8"/>
                      <w:szCs w:val="21"/>
                    </w:rPr>
                    <w:t>小时</w:t>
                  </w:r>
                </w:p>
              </w:tc>
              <w:tc>
                <w:tcPr>
                  <w:tcW w:w="4134" w:type="dxa"/>
                  <w:vMerge w:val="continue"/>
                  <w:tcBorders>
                    <w:left w:val="single" w:color="auto" w:sz="4" w:space="0"/>
                    <w:right w:val="nil"/>
                  </w:tcBorders>
                  <w:shd w:val="clear" w:color="auto" w:fill="FFFFFF"/>
                  <w:noWrap w:val="0"/>
                  <w:vAlign w:val="center"/>
                </w:tcPr>
                <w:p w14:paraId="0583D1B5">
                  <w:pPr>
                    <w:pStyle w:val="49"/>
                    <w:spacing w:line="340" w:lineRule="exact"/>
                    <w:jc w:val="center"/>
                    <w:rPr>
                      <w:color w:val="auto"/>
                      <w:spacing w:val="-2"/>
                      <w:szCs w:val="21"/>
                    </w:rPr>
                  </w:pPr>
                </w:p>
              </w:tc>
            </w:tr>
            <w:tr w14:paraId="08E66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 w:hRule="atLeast"/>
                <w:jc w:val="center"/>
              </w:trPr>
              <w:tc>
                <w:tcPr>
                  <w:tcW w:w="678" w:type="dxa"/>
                  <w:vMerge w:val="continue"/>
                  <w:tcBorders>
                    <w:left w:val="nil"/>
                    <w:right w:val="single" w:color="auto" w:sz="4" w:space="0"/>
                  </w:tcBorders>
                  <w:shd w:val="clear" w:color="auto" w:fill="FFFFFF"/>
                  <w:noWrap w:val="0"/>
                  <w:vAlign w:val="center"/>
                </w:tcPr>
                <w:p w14:paraId="6666BAEC">
                  <w:pPr>
                    <w:pStyle w:val="49"/>
                    <w:spacing w:line="340" w:lineRule="exact"/>
                    <w:jc w:val="center"/>
                    <w:rPr>
                      <w:color w:val="auto"/>
                      <w:spacing w:val="-2"/>
                      <w:szCs w:val="21"/>
                    </w:rPr>
                  </w:pPr>
                </w:p>
              </w:tc>
              <w:tc>
                <w:tcPr>
                  <w:tcW w:w="1301" w:type="dxa"/>
                  <w:vMerge w:val="continue"/>
                  <w:tcBorders>
                    <w:left w:val="single" w:color="auto" w:sz="4" w:space="0"/>
                    <w:right w:val="single" w:color="auto" w:sz="4" w:space="0"/>
                  </w:tcBorders>
                  <w:shd w:val="clear" w:color="auto" w:fill="FFFFFF"/>
                  <w:noWrap w:val="0"/>
                  <w:vAlign w:val="center"/>
                </w:tcPr>
                <w:p w14:paraId="04C6D105">
                  <w:pPr>
                    <w:pStyle w:val="49"/>
                    <w:spacing w:line="340" w:lineRule="exact"/>
                    <w:jc w:val="center"/>
                    <w:rPr>
                      <w:color w:val="auto"/>
                      <w:spacing w:val="-2"/>
                      <w:szCs w:val="21"/>
                    </w:rPr>
                  </w:pP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E2C2D2">
                  <w:pPr>
                    <w:pStyle w:val="49"/>
                    <w:spacing w:line="340" w:lineRule="exact"/>
                    <w:jc w:val="center"/>
                    <w:rPr>
                      <w:rFonts w:ascii="Times New Roman" w:hAnsi="Times New Roman"/>
                      <w:color w:val="auto"/>
                      <w:kern w:val="2"/>
                      <w:sz w:val="21"/>
                      <w:szCs w:val="21"/>
                      <w:lang w:val="en-US" w:eastAsia="zh-CN" w:bidi="ar-SA"/>
                    </w:rPr>
                  </w:pPr>
                  <w:r>
                    <w:rPr>
                      <w:rFonts w:hint="eastAsia" w:ascii="Times New Roman" w:hAnsi="Times New Roman"/>
                      <w:color w:val="auto"/>
                      <w:szCs w:val="21"/>
                    </w:rPr>
                    <w:t>COD</w:t>
                  </w:r>
                  <w:r>
                    <w:rPr>
                      <w:rFonts w:hint="eastAsia" w:ascii="Times New Roman" w:hAnsi="Times New Roman"/>
                      <w:color w:val="auto"/>
                      <w:szCs w:val="21"/>
                      <w:vertAlign w:val="subscript"/>
                    </w:rPr>
                    <w:t>Cr</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DB55C5">
                  <w:pPr>
                    <w:pStyle w:val="49"/>
                    <w:spacing w:line="340" w:lineRule="exact"/>
                    <w:jc w:val="center"/>
                    <w:rPr>
                      <w:rFonts w:ascii="Times New Roman" w:hAnsi="Times New Roman"/>
                      <w:color w:val="auto"/>
                      <w:kern w:val="2"/>
                      <w:sz w:val="21"/>
                      <w:szCs w:val="21"/>
                      <w:lang w:val="en-US" w:eastAsia="zh-CN" w:bidi="ar-SA"/>
                    </w:rPr>
                  </w:pPr>
                  <w:r>
                    <w:rPr>
                      <w:color w:val="auto"/>
                      <w:szCs w:val="21"/>
                    </w:rPr>
                    <w:t>周</w:t>
                  </w:r>
                </w:p>
              </w:tc>
              <w:tc>
                <w:tcPr>
                  <w:tcW w:w="4134" w:type="dxa"/>
                  <w:vMerge w:val="continue"/>
                  <w:tcBorders>
                    <w:left w:val="single" w:color="auto" w:sz="4" w:space="0"/>
                    <w:right w:val="nil"/>
                  </w:tcBorders>
                  <w:shd w:val="clear" w:color="auto" w:fill="FFFFFF"/>
                  <w:noWrap w:val="0"/>
                  <w:vAlign w:val="center"/>
                </w:tcPr>
                <w:p w14:paraId="1AAD3CC7">
                  <w:pPr>
                    <w:pStyle w:val="49"/>
                    <w:spacing w:line="340" w:lineRule="exact"/>
                    <w:jc w:val="center"/>
                    <w:rPr>
                      <w:color w:val="auto"/>
                      <w:spacing w:val="-2"/>
                      <w:szCs w:val="21"/>
                    </w:rPr>
                  </w:pPr>
                </w:p>
              </w:tc>
            </w:tr>
            <w:tr w14:paraId="611D2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 w:hRule="atLeast"/>
                <w:jc w:val="center"/>
              </w:trPr>
              <w:tc>
                <w:tcPr>
                  <w:tcW w:w="678" w:type="dxa"/>
                  <w:vMerge w:val="continue"/>
                  <w:tcBorders>
                    <w:left w:val="nil"/>
                    <w:right w:val="single" w:color="auto" w:sz="4" w:space="0"/>
                  </w:tcBorders>
                  <w:shd w:val="clear" w:color="auto" w:fill="FFFFFF"/>
                  <w:noWrap w:val="0"/>
                  <w:vAlign w:val="center"/>
                </w:tcPr>
                <w:p w14:paraId="3A32C1BA">
                  <w:pPr>
                    <w:pStyle w:val="49"/>
                    <w:spacing w:line="340" w:lineRule="exact"/>
                    <w:jc w:val="center"/>
                    <w:rPr>
                      <w:color w:val="auto"/>
                      <w:spacing w:val="-2"/>
                      <w:szCs w:val="21"/>
                    </w:rPr>
                  </w:pPr>
                </w:p>
              </w:tc>
              <w:tc>
                <w:tcPr>
                  <w:tcW w:w="1301" w:type="dxa"/>
                  <w:vMerge w:val="continue"/>
                  <w:tcBorders>
                    <w:left w:val="single" w:color="auto" w:sz="4" w:space="0"/>
                    <w:right w:val="single" w:color="auto" w:sz="4" w:space="0"/>
                  </w:tcBorders>
                  <w:shd w:val="clear" w:color="auto" w:fill="FFFFFF"/>
                  <w:noWrap w:val="0"/>
                  <w:vAlign w:val="center"/>
                </w:tcPr>
                <w:p w14:paraId="2D154BC0">
                  <w:pPr>
                    <w:pStyle w:val="49"/>
                    <w:spacing w:line="340" w:lineRule="exact"/>
                    <w:jc w:val="center"/>
                    <w:rPr>
                      <w:color w:val="auto"/>
                      <w:spacing w:val="-2"/>
                      <w:szCs w:val="21"/>
                    </w:rPr>
                  </w:pP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CCB880">
                  <w:pPr>
                    <w:pStyle w:val="49"/>
                    <w:spacing w:line="340" w:lineRule="exact"/>
                    <w:jc w:val="center"/>
                    <w:rPr>
                      <w:rFonts w:ascii="Times New Roman" w:hAnsi="Times New Roman"/>
                      <w:color w:val="auto"/>
                      <w:kern w:val="2"/>
                      <w:sz w:val="21"/>
                      <w:szCs w:val="21"/>
                      <w:lang w:val="en-US" w:eastAsia="zh-CN" w:bidi="ar-SA"/>
                    </w:rPr>
                  </w:pPr>
                  <w:r>
                    <w:rPr>
                      <w:rFonts w:hint="eastAsia" w:ascii="Times New Roman" w:hAnsi="Times New Roman"/>
                      <w:color w:val="auto"/>
                      <w:szCs w:val="21"/>
                    </w:rPr>
                    <w:t>SS</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CE7CED">
                  <w:pPr>
                    <w:pStyle w:val="49"/>
                    <w:spacing w:line="340" w:lineRule="exact"/>
                    <w:jc w:val="center"/>
                    <w:rPr>
                      <w:rFonts w:ascii="Times New Roman" w:hAnsi="Times New Roman"/>
                      <w:color w:val="auto"/>
                      <w:kern w:val="2"/>
                      <w:sz w:val="21"/>
                      <w:szCs w:val="21"/>
                      <w:lang w:val="en-US" w:eastAsia="zh-CN" w:bidi="ar-SA"/>
                    </w:rPr>
                  </w:pPr>
                  <w:r>
                    <w:rPr>
                      <w:color w:val="auto"/>
                      <w:szCs w:val="21"/>
                    </w:rPr>
                    <w:t>周</w:t>
                  </w:r>
                </w:p>
              </w:tc>
              <w:tc>
                <w:tcPr>
                  <w:tcW w:w="4134" w:type="dxa"/>
                  <w:vMerge w:val="continue"/>
                  <w:tcBorders>
                    <w:left w:val="single" w:color="auto" w:sz="4" w:space="0"/>
                    <w:right w:val="nil"/>
                  </w:tcBorders>
                  <w:shd w:val="clear" w:color="auto" w:fill="FFFFFF"/>
                  <w:noWrap w:val="0"/>
                  <w:vAlign w:val="center"/>
                </w:tcPr>
                <w:p w14:paraId="32C6DC28">
                  <w:pPr>
                    <w:pStyle w:val="49"/>
                    <w:spacing w:line="340" w:lineRule="exact"/>
                    <w:jc w:val="center"/>
                    <w:rPr>
                      <w:color w:val="auto"/>
                      <w:spacing w:val="-2"/>
                      <w:szCs w:val="21"/>
                    </w:rPr>
                  </w:pPr>
                </w:p>
              </w:tc>
            </w:tr>
            <w:tr w14:paraId="228FF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 w:hRule="atLeast"/>
                <w:jc w:val="center"/>
              </w:trPr>
              <w:tc>
                <w:tcPr>
                  <w:tcW w:w="678" w:type="dxa"/>
                  <w:vMerge w:val="continue"/>
                  <w:tcBorders>
                    <w:left w:val="nil"/>
                    <w:right w:val="single" w:color="auto" w:sz="4" w:space="0"/>
                  </w:tcBorders>
                  <w:shd w:val="clear" w:color="auto" w:fill="FFFFFF"/>
                  <w:noWrap w:val="0"/>
                  <w:vAlign w:val="center"/>
                </w:tcPr>
                <w:p w14:paraId="251C8608">
                  <w:pPr>
                    <w:pStyle w:val="49"/>
                    <w:spacing w:line="340" w:lineRule="exact"/>
                    <w:jc w:val="center"/>
                    <w:rPr>
                      <w:color w:val="auto"/>
                      <w:spacing w:val="-2"/>
                      <w:szCs w:val="21"/>
                    </w:rPr>
                  </w:pPr>
                </w:p>
              </w:tc>
              <w:tc>
                <w:tcPr>
                  <w:tcW w:w="1301" w:type="dxa"/>
                  <w:vMerge w:val="continue"/>
                  <w:tcBorders>
                    <w:left w:val="single" w:color="auto" w:sz="4" w:space="0"/>
                    <w:right w:val="single" w:color="auto" w:sz="4" w:space="0"/>
                  </w:tcBorders>
                  <w:shd w:val="clear" w:color="auto" w:fill="FFFFFF"/>
                  <w:noWrap w:val="0"/>
                  <w:vAlign w:val="center"/>
                </w:tcPr>
                <w:p w14:paraId="654C6E8C">
                  <w:pPr>
                    <w:pStyle w:val="49"/>
                    <w:spacing w:line="340" w:lineRule="exact"/>
                    <w:jc w:val="center"/>
                    <w:rPr>
                      <w:color w:val="auto"/>
                      <w:spacing w:val="-2"/>
                      <w:szCs w:val="21"/>
                    </w:rPr>
                  </w:pP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99AF98">
                  <w:pPr>
                    <w:pStyle w:val="49"/>
                    <w:spacing w:line="340" w:lineRule="exact"/>
                    <w:jc w:val="center"/>
                    <w:rPr>
                      <w:rFonts w:ascii="Times New Roman" w:hAnsi="Times New Roman"/>
                      <w:color w:val="auto"/>
                      <w:kern w:val="2"/>
                      <w:sz w:val="21"/>
                      <w:szCs w:val="21"/>
                      <w:lang w:val="en-US" w:eastAsia="zh-CN" w:bidi="ar-SA"/>
                    </w:rPr>
                  </w:pPr>
                  <w:r>
                    <w:rPr>
                      <w:color w:val="auto"/>
                      <w:spacing w:val="-2"/>
                      <w:szCs w:val="21"/>
                    </w:rPr>
                    <w:t>粪大肠菌群</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DA505E">
                  <w:pPr>
                    <w:pStyle w:val="49"/>
                    <w:spacing w:line="340" w:lineRule="exact"/>
                    <w:jc w:val="center"/>
                    <w:rPr>
                      <w:rFonts w:ascii="Times New Roman" w:hAnsi="Times New Roman"/>
                      <w:color w:val="auto"/>
                      <w:kern w:val="2"/>
                      <w:sz w:val="21"/>
                      <w:szCs w:val="21"/>
                      <w:lang w:val="en-US" w:eastAsia="zh-CN" w:bidi="ar-SA"/>
                    </w:rPr>
                  </w:pPr>
                  <w:r>
                    <w:rPr>
                      <w:color w:val="auto"/>
                      <w:szCs w:val="21"/>
                    </w:rPr>
                    <w:t>月</w:t>
                  </w:r>
                </w:p>
              </w:tc>
              <w:tc>
                <w:tcPr>
                  <w:tcW w:w="4134" w:type="dxa"/>
                  <w:vMerge w:val="continue"/>
                  <w:tcBorders>
                    <w:left w:val="single" w:color="auto" w:sz="4" w:space="0"/>
                    <w:right w:val="nil"/>
                  </w:tcBorders>
                  <w:shd w:val="clear" w:color="auto" w:fill="FFFFFF"/>
                  <w:noWrap w:val="0"/>
                  <w:vAlign w:val="center"/>
                </w:tcPr>
                <w:p w14:paraId="7AB3CB59">
                  <w:pPr>
                    <w:pStyle w:val="49"/>
                    <w:spacing w:line="340" w:lineRule="exact"/>
                    <w:jc w:val="center"/>
                    <w:rPr>
                      <w:color w:val="auto"/>
                      <w:spacing w:val="-2"/>
                      <w:szCs w:val="21"/>
                    </w:rPr>
                  </w:pPr>
                </w:p>
              </w:tc>
            </w:tr>
            <w:tr w14:paraId="4F5BB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 w:hRule="atLeast"/>
                <w:jc w:val="center"/>
              </w:trPr>
              <w:tc>
                <w:tcPr>
                  <w:tcW w:w="678" w:type="dxa"/>
                  <w:vMerge w:val="continue"/>
                  <w:tcBorders>
                    <w:left w:val="nil"/>
                    <w:right w:val="single" w:color="auto" w:sz="4" w:space="0"/>
                  </w:tcBorders>
                  <w:shd w:val="clear" w:color="auto" w:fill="FFFFFF"/>
                  <w:noWrap w:val="0"/>
                  <w:vAlign w:val="center"/>
                </w:tcPr>
                <w:p w14:paraId="1F16E0D5">
                  <w:pPr>
                    <w:pStyle w:val="49"/>
                    <w:spacing w:line="340" w:lineRule="exact"/>
                    <w:jc w:val="center"/>
                    <w:rPr>
                      <w:color w:val="auto"/>
                      <w:spacing w:val="-2"/>
                      <w:szCs w:val="21"/>
                    </w:rPr>
                  </w:pPr>
                </w:p>
              </w:tc>
              <w:tc>
                <w:tcPr>
                  <w:tcW w:w="1301" w:type="dxa"/>
                  <w:vMerge w:val="continue"/>
                  <w:tcBorders>
                    <w:left w:val="single" w:color="auto" w:sz="4" w:space="0"/>
                    <w:right w:val="single" w:color="auto" w:sz="4" w:space="0"/>
                  </w:tcBorders>
                  <w:shd w:val="clear" w:color="auto" w:fill="FFFFFF"/>
                  <w:noWrap w:val="0"/>
                  <w:vAlign w:val="center"/>
                </w:tcPr>
                <w:p w14:paraId="0FD1D1A7">
                  <w:pPr>
                    <w:pStyle w:val="49"/>
                    <w:spacing w:line="340" w:lineRule="exact"/>
                    <w:jc w:val="center"/>
                    <w:rPr>
                      <w:color w:val="auto"/>
                      <w:spacing w:val="-2"/>
                      <w:szCs w:val="21"/>
                    </w:rPr>
                  </w:pP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014FB6">
                  <w:pPr>
                    <w:pStyle w:val="49"/>
                    <w:spacing w:line="340" w:lineRule="exact"/>
                    <w:jc w:val="center"/>
                    <w:rPr>
                      <w:rFonts w:hint="eastAsia" w:ascii="Times New Roman" w:hAnsi="Times New Roman"/>
                      <w:color w:val="auto"/>
                      <w:kern w:val="2"/>
                      <w:sz w:val="21"/>
                      <w:szCs w:val="21"/>
                      <w:lang w:val="en-US" w:eastAsia="zh-CN" w:bidi="ar-SA"/>
                    </w:rPr>
                  </w:pPr>
                  <w:r>
                    <w:rPr>
                      <w:rFonts w:ascii="Times New Roman" w:hAnsi="Times New Roman" w:eastAsia="Times New Roman"/>
                      <w:color w:val="auto"/>
                      <w:spacing w:val="-2"/>
                      <w:szCs w:val="21"/>
                    </w:rPr>
                    <w:t>BOD</w:t>
                  </w:r>
                  <w:r>
                    <w:rPr>
                      <w:rFonts w:ascii="Times New Roman" w:hAnsi="Times New Roman" w:eastAsia="Times New Roman"/>
                      <w:color w:val="auto"/>
                      <w:spacing w:val="-2"/>
                      <w:position w:val="-2"/>
                      <w:szCs w:val="21"/>
                      <w:vertAlign w:val="subscript"/>
                    </w:rPr>
                    <w:t>5</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9A7751">
                  <w:pPr>
                    <w:pStyle w:val="49"/>
                    <w:spacing w:line="340" w:lineRule="exact"/>
                    <w:jc w:val="center"/>
                    <w:rPr>
                      <w:rFonts w:ascii="Times New Roman" w:hAnsi="Times New Roman"/>
                      <w:color w:val="auto"/>
                      <w:kern w:val="2"/>
                      <w:sz w:val="21"/>
                      <w:szCs w:val="21"/>
                      <w:lang w:val="en-US" w:eastAsia="zh-CN" w:bidi="ar-SA"/>
                    </w:rPr>
                  </w:pPr>
                  <w:r>
                    <w:rPr>
                      <w:rFonts w:ascii="Times New Roman" w:hAnsi="Times New Roman" w:eastAsia="Times New Roman"/>
                      <w:color w:val="auto"/>
                      <w:spacing w:val="-8"/>
                      <w:szCs w:val="21"/>
                    </w:rPr>
                    <w:t>1</w:t>
                  </w:r>
                  <w:r>
                    <w:rPr>
                      <w:color w:val="auto"/>
                      <w:spacing w:val="-8"/>
                      <w:szCs w:val="21"/>
                    </w:rPr>
                    <w:t>次</w:t>
                  </w:r>
                  <w:r>
                    <w:rPr>
                      <w:rFonts w:ascii="Times New Roman" w:hAnsi="Times New Roman" w:eastAsia="Times New Roman"/>
                      <w:color w:val="auto"/>
                      <w:spacing w:val="-8"/>
                      <w:szCs w:val="21"/>
                    </w:rPr>
                    <w:t>/</w:t>
                  </w:r>
                  <w:r>
                    <w:rPr>
                      <w:color w:val="auto"/>
                      <w:spacing w:val="-8"/>
                      <w:szCs w:val="21"/>
                    </w:rPr>
                    <w:t>季度</w:t>
                  </w:r>
                </w:p>
              </w:tc>
              <w:tc>
                <w:tcPr>
                  <w:tcW w:w="4134" w:type="dxa"/>
                  <w:vMerge w:val="continue"/>
                  <w:tcBorders>
                    <w:left w:val="single" w:color="auto" w:sz="4" w:space="0"/>
                    <w:right w:val="nil"/>
                  </w:tcBorders>
                  <w:shd w:val="clear" w:color="auto" w:fill="FFFFFF"/>
                  <w:noWrap w:val="0"/>
                  <w:vAlign w:val="center"/>
                </w:tcPr>
                <w:p w14:paraId="74166CE6">
                  <w:pPr>
                    <w:pStyle w:val="49"/>
                    <w:spacing w:line="340" w:lineRule="exact"/>
                    <w:jc w:val="center"/>
                    <w:rPr>
                      <w:color w:val="auto"/>
                      <w:spacing w:val="-2"/>
                      <w:szCs w:val="21"/>
                    </w:rPr>
                  </w:pPr>
                </w:p>
              </w:tc>
            </w:tr>
            <w:tr w14:paraId="1D615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78" w:type="dxa"/>
                  <w:vMerge w:val="continue"/>
                  <w:tcBorders>
                    <w:left w:val="nil"/>
                    <w:right w:val="single" w:color="auto" w:sz="4" w:space="0"/>
                  </w:tcBorders>
                  <w:shd w:val="clear" w:color="auto" w:fill="FFFFFF"/>
                  <w:noWrap w:val="0"/>
                  <w:vAlign w:val="center"/>
                </w:tcPr>
                <w:p w14:paraId="617DD6A9">
                  <w:pPr>
                    <w:pStyle w:val="49"/>
                    <w:spacing w:line="340" w:lineRule="exact"/>
                    <w:jc w:val="center"/>
                    <w:rPr>
                      <w:color w:val="auto"/>
                      <w:spacing w:val="-2"/>
                      <w:szCs w:val="21"/>
                    </w:rPr>
                  </w:pPr>
                </w:p>
              </w:tc>
              <w:tc>
                <w:tcPr>
                  <w:tcW w:w="1301" w:type="dxa"/>
                  <w:vMerge w:val="continue"/>
                  <w:tcBorders>
                    <w:left w:val="single" w:color="auto" w:sz="4" w:space="0"/>
                    <w:right w:val="single" w:color="auto" w:sz="4" w:space="0"/>
                  </w:tcBorders>
                  <w:shd w:val="clear" w:color="auto" w:fill="FFFFFF"/>
                  <w:noWrap w:val="0"/>
                  <w:vAlign w:val="center"/>
                </w:tcPr>
                <w:p w14:paraId="376DCECD">
                  <w:pPr>
                    <w:pStyle w:val="49"/>
                    <w:spacing w:line="340" w:lineRule="exact"/>
                    <w:jc w:val="center"/>
                    <w:rPr>
                      <w:color w:val="auto"/>
                      <w:spacing w:val="-2"/>
                      <w:szCs w:val="21"/>
                    </w:rPr>
                  </w:pP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945BB2">
                  <w:pPr>
                    <w:pStyle w:val="49"/>
                    <w:spacing w:line="340" w:lineRule="exact"/>
                    <w:jc w:val="center"/>
                    <w:rPr>
                      <w:rFonts w:ascii="Times New Roman" w:hAnsi="Times New Roman"/>
                      <w:color w:val="auto"/>
                      <w:kern w:val="2"/>
                      <w:sz w:val="21"/>
                      <w:szCs w:val="21"/>
                      <w:lang w:val="en-US" w:eastAsia="zh-CN" w:bidi="ar-SA"/>
                    </w:rPr>
                  </w:pPr>
                  <w:r>
                    <w:rPr>
                      <w:rFonts w:hint="eastAsia" w:ascii="Times New Roman" w:hAnsi="Times New Roman"/>
                      <w:color w:val="auto"/>
                      <w:szCs w:val="21"/>
                    </w:rPr>
                    <w:t>氨氮</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B5DD8E7">
                  <w:pPr>
                    <w:pStyle w:val="49"/>
                    <w:spacing w:line="340" w:lineRule="exact"/>
                    <w:jc w:val="center"/>
                    <w:rPr>
                      <w:rFonts w:ascii="Times New Roman" w:hAnsi="Times New Roman"/>
                      <w:color w:val="auto"/>
                      <w:kern w:val="2"/>
                      <w:sz w:val="21"/>
                      <w:szCs w:val="21"/>
                      <w:lang w:val="en-US" w:eastAsia="zh-CN" w:bidi="ar-SA"/>
                    </w:rPr>
                  </w:pPr>
                  <w:r>
                    <w:rPr>
                      <w:rFonts w:ascii="Times New Roman" w:hAnsi="Times New Roman" w:eastAsia="Times New Roman"/>
                      <w:color w:val="auto"/>
                      <w:spacing w:val="-8"/>
                      <w:szCs w:val="21"/>
                    </w:rPr>
                    <w:t>1</w:t>
                  </w:r>
                  <w:r>
                    <w:rPr>
                      <w:color w:val="auto"/>
                      <w:spacing w:val="-8"/>
                      <w:szCs w:val="21"/>
                    </w:rPr>
                    <w:t>次</w:t>
                  </w:r>
                  <w:r>
                    <w:rPr>
                      <w:rFonts w:ascii="Times New Roman" w:hAnsi="Times New Roman" w:eastAsia="Times New Roman"/>
                      <w:color w:val="auto"/>
                      <w:spacing w:val="-8"/>
                      <w:szCs w:val="21"/>
                    </w:rPr>
                    <w:t>/</w:t>
                  </w:r>
                  <w:r>
                    <w:rPr>
                      <w:color w:val="auto"/>
                      <w:spacing w:val="-8"/>
                      <w:szCs w:val="21"/>
                    </w:rPr>
                    <w:t>季度</w:t>
                  </w:r>
                </w:p>
              </w:tc>
              <w:tc>
                <w:tcPr>
                  <w:tcW w:w="4134" w:type="dxa"/>
                  <w:vMerge w:val="continue"/>
                  <w:tcBorders>
                    <w:left w:val="single" w:color="auto" w:sz="4" w:space="0"/>
                    <w:right w:val="nil"/>
                  </w:tcBorders>
                  <w:shd w:val="clear" w:color="auto" w:fill="FFFFFF"/>
                  <w:noWrap w:val="0"/>
                  <w:vAlign w:val="center"/>
                </w:tcPr>
                <w:p w14:paraId="2B842FE1">
                  <w:pPr>
                    <w:pStyle w:val="49"/>
                    <w:spacing w:line="340" w:lineRule="exact"/>
                    <w:jc w:val="center"/>
                    <w:rPr>
                      <w:color w:val="auto"/>
                      <w:spacing w:val="-2"/>
                      <w:szCs w:val="21"/>
                    </w:rPr>
                  </w:pPr>
                </w:p>
              </w:tc>
            </w:tr>
            <w:tr w14:paraId="72B55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 w:hRule="atLeast"/>
                <w:jc w:val="center"/>
              </w:trPr>
              <w:tc>
                <w:tcPr>
                  <w:tcW w:w="678" w:type="dxa"/>
                  <w:vMerge w:val="continue"/>
                  <w:tcBorders>
                    <w:left w:val="nil"/>
                    <w:right w:val="single" w:color="auto" w:sz="4" w:space="0"/>
                  </w:tcBorders>
                  <w:shd w:val="clear" w:color="auto" w:fill="FFFFFF"/>
                  <w:noWrap w:val="0"/>
                  <w:vAlign w:val="center"/>
                </w:tcPr>
                <w:p w14:paraId="2C10C091">
                  <w:pPr>
                    <w:pStyle w:val="49"/>
                    <w:spacing w:line="340" w:lineRule="exact"/>
                    <w:jc w:val="center"/>
                    <w:rPr>
                      <w:color w:val="auto"/>
                      <w:spacing w:val="-2"/>
                      <w:szCs w:val="21"/>
                    </w:rPr>
                  </w:pPr>
                </w:p>
              </w:tc>
              <w:tc>
                <w:tcPr>
                  <w:tcW w:w="1301" w:type="dxa"/>
                  <w:vMerge w:val="continue"/>
                  <w:tcBorders>
                    <w:left w:val="single" w:color="auto" w:sz="4" w:space="0"/>
                    <w:right w:val="single" w:color="auto" w:sz="4" w:space="0"/>
                  </w:tcBorders>
                  <w:shd w:val="clear" w:color="auto" w:fill="FFFFFF"/>
                  <w:noWrap w:val="0"/>
                  <w:vAlign w:val="center"/>
                </w:tcPr>
                <w:p w14:paraId="57C2BB93">
                  <w:pPr>
                    <w:pStyle w:val="49"/>
                    <w:spacing w:line="340" w:lineRule="exact"/>
                    <w:jc w:val="center"/>
                    <w:rPr>
                      <w:color w:val="auto"/>
                      <w:spacing w:val="-2"/>
                      <w:szCs w:val="21"/>
                    </w:rPr>
                  </w:pP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76500A4">
                  <w:pPr>
                    <w:pStyle w:val="49"/>
                    <w:spacing w:line="340" w:lineRule="exact"/>
                    <w:jc w:val="center"/>
                    <w:rPr>
                      <w:rFonts w:ascii="Times New Roman" w:hAnsi="Times New Roman"/>
                      <w:color w:val="auto"/>
                      <w:kern w:val="2"/>
                      <w:sz w:val="21"/>
                      <w:szCs w:val="21"/>
                      <w:lang w:val="en-US" w:eastAsia="zh-CN" w:bidi="ar-SA"/>
                    </w:rPr>
                  </w:pPr>
                  <w:r>
                    <w:rPr>
                      <w:rFonts w:ascii="Times New Roman" w:hAnsi="Times New Roman"/>
                      <w:color w:val="auto"/>
                      <w:szCs w:val="21"/>
                    </w:rPr>
                    <w:t>动植物油</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F7FEDF">
                  <w:pPr>
                    <w:pStyle w:val="49"/>
                    <w:spacing w:line="340" w:lineRule="exact"/>
                    <w:jc w:val="center"/>
                    <w:rPr>
                      <w:rFonts w:ascii="Times New Roman" w:hAnsi="Times New Roman" w:eastAsia="Times New Roman"/>
                      <w:color w:val="auto"/>
                      <w:spacing w:val="-8"/>
                      <w:kern w:val="2"/>
                      <w:sz w:val="21"/>
                      <w:szCs w:val="21"/>
                      <w:lang w:val="en-US" w:eastAsia="zh-CN" w:bidi="ar-SA"/>
                    </w:rPr>
                  </w:pPr>
                  <w:r>
                    <w:rPr>
                      <w:rFonts w:ascii="Times New Roman" w:hAnsi="Times New Roman" w:eastAsia="Times New Roman"/>
                      <w:color w:val="auto"/>
                      <w:spacing w:val="-8"/>
                      <w:szCs w:val="21"/>
                    </w:rPr>
                    <w:t>1</w:t>
                  </w:r>
                  <w:r>
                    <w:rPr>
                      <w:color w:val="auto"/>
                      <w:spacing w:val="-8"/>
                      <w:szCs w:val="21"/>
                    </w:rPr>
                    <w:t>次</w:t>
                  </w:r>
                  <w:r>
                    <w:rPr>
                      <w:rFonts w:ascii="Times New Roman" w:hAnsi="Times New Roman" w:eastAsia="Times New Roman"/>
                      <w:color w:val="auto"/>
                      <w:spacing w:val="-8"/>
                      <w:szCs w:val="21"/>
                    </w:rPr>
                    <w:t>/</w:t>
                  </w:r>
                  <w:r>
                    <w:rPr>
                      <w:color w:val="auto"/>
                      <w:spacing w:val="-8"/>
                      <w:szCs w:val="21"/>
                    </w:rPr>
                    <w:t>季度</w:t>
                  </w:r>
                </w:p>
              </w:tc>
              <w:tc>
                <w:tcPr>
                  <w:tcW w:w="4134" w:type="dxa"/>
                  <w:vMerge w:val="continue"/>
                  <w:tcBorders>
                    <w:left w:val="single" w:color="auto" w:sz="4" w:space="0"/>
                    <w:right w:val="nil"/>
                  </w:tcBorders>
                  <w:shd w:val="clear" w:color="auto" w:fill="FFFFFF"/>
                  <w:noWrap w:val="0"/>
                  <w:vAlign w:val="center"/>
                </w:tcPr>
                <w:p w14:paraId="3DD84055">
                  <w:pPr>
                    <w:pStyle w:val="49"/>
                    <w:spacing w:line="340" w:lineRule="exact"/>
                    <w:jc w:val="center"/>
                    <w:rPr>
                      <w:color w:val="auto"/>
                      <w:spacing w:val="-2"/>
                      <w:szCs w:val="21"/>
                    </w:rPr>
                  </w:pPr>
                </w:p>
              </w:tc>
            </w:tr>
            <w:tr w14:paraId="198AC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 w:hRule="atLeast"/>
                <w:jc w:val="center"/>
              </w:trPr>
              <w:tc>
                <w:tcPr>
                  <w:tcW w:w="678" w:type="dxa"/>
                  <w:vMerge w:val="continue"/>
                  <w:tcBorders>
                    <w:left w:val="nil"/>
                    <w:bottom w:val="single" w:color="auto" w:sz="4" w:space="0"/>
                    <w:right w:val="single" w:color="auto" w:sz="4" w:space="0"/>
                  </w:tcBorders>
                  <w:shd w:val="clear" w:color="auto" w:fill="FFFFFF"/>
                  <w:noWrap w:val="0"/>
                  <w:vAlign w:val="center"/>
                </w:tcPr>
                <w:p w14:paraId="27CC0455">
                  <w:pPr>
                    <w:pStyle w:val="49"/>
                    <w:spacing w:line="340" w:lineRule="exact"/>
                    <w:jc w:val="center"/>
                    <w:rPr>
                      <w:color w:val="auto"/>
                      <w:spacing w:val="-2"/>
                      <w:szCs w:val="21"/>
                    </w:rPr>
                  </w:pPr>
                </w:p>
              </w:tc>
              <w:tc>
                <w:tcPr>
                  <w:tcW w:w="1301" w:type="dxa"/>
                  <w:tcBorders>
                    <w:left w:val="single" w:color="auto" w:sz="4" w:space="0"/>
                    <w:right w:val="single" w:color="auto" w:sz="4" w:space="0"/>
                  </w:tcBorders>
                  <w:shd w:val="clear" w:color="auto" w:fill="FFFFFF"/>
                  <w:noWrap w:val="0"/>
                  <w:vAlign w:val="center"/>
                </w:tcPr>
                <w:p w14:paraId="6FF8FBAC">
                  <w:pPr>
                    <w:pStyle w:val="49"/>
                    <w:spacing w:line="340" w:lineRule="exact"/>
                    <w:jc w:val="center"/>
                    <w:rPr>
                      <w:rFonts w:hint="default" w:eastAsia="宋体"/>
                      <w:color w:val="auto"/>
                      <w:spacing w:val="-2"/>
                      <w:szCs w:val="21"/>
                      <w:lang w:val="en-US" w:eastAsia="zh-CN"/>
                    </w:rPr>
                  </w:pPr>
                  <w:r>
                    <w:rPr>
                      <w:rFonts w:hint="eastAsia"/>
                      <w:color w:val="auto"/>
                      <w:spacing w:val="-2"/>
                      <w:szCs w:val="21"/>
                      <w:lang w:val="en-US" w:eastAsia="zh-CN"/>
                    </w:rPr>
                    <w:t>接触池出口</w:t>
                  </w: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84ADF9">
                  <w:pPr>
                    <w:pStyle w:val="49"/>
                    <w:spacing w:line="340" w:lineRule="exact"/>
                    <w:jc w:val="center"/>
                    <w:rPr>
                      <w:color w:val="auto"/>
                      <w:spacing w:val="-2"/>
                      <w:szCs w:val="21"/>
                    </w:rPr>
                  </w:pPr>
                  <w:r>
                    <w:rPr>
                      <w:color w:val="auto"/>
                      <w:spacing w:val="-2"/>
                      <w:szCs w:val="21"/>
                    </w:rPr>
                    <w:t>总余氯</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585852">
                  <w:pPr>
                    <w:pStyle w:val="49"/>
                    <w:spacing w:line="340" w:lineRule="exact"/>
                    <w:jc w:val="center"/>
                    <w:rPr>
                      <w:rFonts w:ascii="Times New Roman" w:hAnsi="Times New Roman" w:eastAsia="Times New Roman"/>
                      <w:color w:val="auto"/>
                      <w:spacing w:val="-7"/>
                      <w:szCs w:val="21"/>
                    </w:rPr>
                  </w:pPr>
                  <w:r>
                    <w:rPr>
                      <w:rFonts w:ascii="Times New Roman" w:hAnsi="Times New Roman" w:eastAsia="Times New Roman"/>
                      <w:color w:val="auto"/>
                      <w:spacing w:val="-7"/>
                      <w:szCs w:val="21"/>
                    </w:rPr>
                    <w:t>1</w:t>
                  </w:r>
                  <w:r>
                    <w:rPr>
                      <w:color w:val="auto"/>
                      <w:spacing w:val="-7"/>
                      <w:szCs w:val="21"/>
                    </w:rPr>
                    <w:t>次</w:t>
                  </w:r>
                  <w:r>
                    <w:rPr>
                      <w:rFonts w:ascii="Times New Roman" w:hAnsi="Times New Roman" w:eastAsia="Times New Roman"/>
                      <w:color w:val="auto"/>
                      <w:spacing w:val="-7"/>
                      <w:szCs w:val="21"/>
                    </w:rPr>
                    <w:t>/12</w:t>
                  </w:r>
                  <w:r>
                    <w:rPr>
                      <w:color w:val="auto"/>
                      <w:spacing w:val="-7"/>
                      <w:szCs w:val="21"/>
                    </w:rPr>
                    <w:t>小时</w:t>
                  </w:r>
                </w:p>
              </w:tc>
              <w:tc>
                <w:tcPr>
                  <w:tcW w:w="4134" w:type="dxa"/>
                  <w:vMerge w:val="continue"/>
                  <w:tcBorders>
                    <w:left w:val="single" w:color="auto" w:sz="4" w:space="0"/>
                    <w:bottom w:val="single" w:color="auto" w:sz="4" w:space="0"/>
                    <w:right w:val="nil"/>
                  </w:tcBorders>
                  <w:shd w:val="clear" w:color="auto" w:fill="FFFFFF"/>
                  <w:noWrap w:val="0"/>
                  <w:vAlign w:val="center"/>
                </w:tcPr>
                <w:p w14:paraId="53FDE57F">
                  <w:pPr>
                    <w:pStyle w:val="49"/>
                    <w:spacing w:line="340" w:lineRule="exact"/>
                    <w:jc w:val="center"/>
                    <w:rPr>
                      <w:color w:val="auto"/>
                      <w:spacing w:val="-2"/>
                      <w:szCs w:val="21"/>
                    </w:rPr>
                  </w:pPr>
                </w:p>
              </w:tc>
            </w:tr>
            <w:tr w14:paraId="0DFA9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 w:hRule="atLeast"/>
                <w:jc w:val="center"/>
              </w:trPr>
              <w:tc>
                <w:tcPr>
                  <w:tcW w:w="678" w:type="dxa"/>
                  <w:vMerge w:val="restart"/>
                  <w:tcBorders>
                    <w:top w:val="single" w:color="auto" w:sz="4" w:space="0"/>
                    <w:left w:val="nil"/>
                    <w:right w:val="single" w:color="auto" w:sz="4" w:space="0"/>
                  </w:tcBorders>
                  <w:shd w:val="clear" w:color="auto" w:fill="FFFFFF"/>
                  <w:noWrap w:val="0"/>
                  <w:vAlign w:val="center"/>
                </w:tcPr>
                <w:p w14:paraId="71583F33">
                  <w:pPr>
                    <w:pStyle w:val="50"/>
                    <w:spacing w:line="340" w:lineRule="exact"/>
                    <w:jc w:val="center"/>
                    <w:rPr>
                      <w:rFonts w:ascii="Times New Roman" w:hAnsi="Times New Roman"/>
                      <w:color w:val="auto"/>
                      <w:szCs w:val="21"/>
                    </w:rPr>
                  </w:pPr>
                  <w:r>
                    <w:rPr>
                      <w:rFonts w:ascii="Times New Roman" w:hAnsi="Times New Roman"/>
                      <w:color w:val="auto"/>
                      <w:szCs w:val="21"/>
                    </w:rPr>
                    <w:t>废气</w:t>
                  </w:r>
                </w:p>
              </w:tc>
              <w:tc>
                <w:tcPr>
                  <w:tcW w:w="1301" w:type="dxa"/>
                  <w:vMerge w:val="restart"/>
                  <w:tcBorders>
                    <w:top w:val="single" w:color="auto" w:sz="4" w:space="0"/>
                    <w:left w:val="single" w:color="auto" w:sz="4" w:space="0"/>
                    <w:right w:val="single" w:color="auto" w:sz="4" w:space="0"/>
                  </w:tcBorders>
                  <w:shd w:val="clear" w:color="auto" w:fill="FFFFFF"/>
                  <w:noWrap w:val="0"/>
                  <w:vAlign w:val="center"/>
                </w:tcPr>
                <w:p w14:paraId="6A897451">
                  <w:pPr>
                    <w:pStyle w:val="50"/>
                    <w:spacing w:line="340" w:lineRule="exact"/>
                    <w:jc w:val="center"/>
                    <w:rPr>
                      <w:rFonts w:hint="eastAsia" w:ascii="Times New Roman" w:hAnsi="Times New Roman" w:eastAsia="宋体"/>
                      <w:color w:val="auto"/>
                      <w:szCs w:val="21"/>
                      <w:lang w:val="en-US" w:eastAsia="zh-CN"/>
                    </w:rPr>
                  </w:pPr>
                  <w:r>
                    <w:rPr>
                      <w:rFonts w:ascii="Times New Roman" w:hAnsi="Times New Roman"/>
                      <w:color w:val="auto"/>
                      <w:szCs w:val="21"/>
                    </w:rPr>
                    <w:t>污水处理站</w:t>
                  </w:r>
                  <w:r>
                    <w:rPr>
                      <w:rFonts w:hint="eastAsia" w:ascii="Times New Roman" w:hAnsi="Times New Roman"/>
                      <w:color w:val="auto"/>
                      <w:szCs w:val="21"/>
                      <w:lang w:val="en-US" w:eastAsia="zh-CN"/>
                    </w:rPr>
                    <w:t>排放口</w:t>
                  </w: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F89598">
                  <w:pPr>
                    <w:pStyle w:val="51"/>
                    <w:spacing w:line="340" w:lineRule="exact"/>
                    <w:jc w:val="center"/>
                    <w:rPr>
                      <w:rFonts w:ascii="Times New Roman" w:hAnsi="Times New Roman"/>
                      <w:color w:val="auto"/>
                      <w:szCs w:val="21"/>
                    </w:rPr>
                  </w:pPr>
                  <w:r>
                    <w:rPr>
                      <w:rFonts w:ascii="Times New Roman" w:hAnsi="Times New Roman"/>
                      <w:color w:val="auto"/>
                      <w:szCs w:val="21"/>
                    </w:rPr>
                    <w:t>臭气浓度</w:t>
                  </w:r>
                </w:p>
              </w:tc>
              <w:tc>
                <w:tcPr>
                  <w:tcW w:w="1100" w:type="dxa"/>
                  <w:vMerge w:val="restart"/>
                  <w:tcBorders>
                    <w:top w:val="single" w:color="auto" w:sz="4" w:space="0"/>
                    <w:left w:val="single" w:color="auto" w:sz="4" w:space="0"/>
                    <w:right w:val="single" w:color="auto" w:sz="4" w:space="0"/>
                  </w:tcBorders>
                  <w:shd w:val="clear" w:color="auto" w:fill="FFFFFF"/>
                  <w:noWrap w:val="0"/>
                  <w:vAlign w:val="center"/>
                </w:tcPr>
                <w:p w14:paraId="09235C02">
                  <w:pPr>
                    <w:spacing w:line="340" w:lineRule="exact"/>
                    <w:jc w:val="center"/>
                    <w:rPr>
                      <w:color w:val="auto"/>
                      <w:szCs w:val="21"/>
                    </w:rPr>
                  </w:pPr>
                  <w:r>
                    <w:rPr>
                      <w:color w:val="auto"/>
                      <w:szCs w:val="21"/>
                    </w:rPr>
                    <w:t>1次/季</w:t>
                  </w:r>
                </w:p>
              </w:tc>
              <w:tc>
                <w:tcPr>
                  <w:tcW w:w="4134" w:type="dxa"/>
                  <w:vMerge w:val="restart"/>
                  <w:tcBorders>
                    <w:top w:val="single" w:color="auto" w:sz="4" w:space="0"/>
                    <w:left w:val="single" w:color="auto" w:sz="4" w:space="0"/>
                    <w:right w:val="nil"/>
                  </w:tcBorders>
                  <w:shd w:val="clear" w:color="auto" w:fill="FFFFFF"/>
                  <w:noWrap w:val="0"/>
                  <w:vAlign w:val="center"/>
                </w:tcPr>
                <w:p w14:paraId="5E7CD6EE">
                  <w:pPr>
                    <w:pStyle w:val="52"/>
                    <w:spacing w:line="340" w:lineRule="exact"/>
                    <w:jc w:val="center"/>
                    <w:rPr>
                      <w:rFonts w:hint="eastAsia" w:ascii="Times New Roman" w:hAnsi="Times New Roman"/>
                      <w:color w:val="auto"/>
                      <w:szCs w:val="21"/>
                    </w:rPr>
                  </w:pPr>
                  <w:r>
                    <w:rPr>
                      <w:rFonts w:hint="eastAsia" w:ascii="Times New Roman" w:hAnsi="Times New Roman"/>
                      <w:color w:val="auto"/>
                      <w:szCs w:val="21"/>
                    </w:rPr>
                    <w:t>《恶臭污染物排放标准》（GB14554-93）</w:t>
                  </w:r>
                </w:p>
                <w:p w14:paraId="353BDD3C">
                  <w:pPr>
                    <w:pStyle w:val="52"/>
                    <w:spacing w:line="340" w:lineRule="exact"/>
                    <w:jc w:val="center"/>
                    <w:rPr>
                      <w:rFonts w:hint="eastAsia" w:ascii="Times New Roman" w:hAnsi="Times New Roman"/>
                      <w:color w:val="auto"/>
                      <w:szCs w:val="21"/>
                    </w:rPr>
                  </w:pPr>
                  <w:r>
                    <w:rPr>
                      <w:rFonts w:hint="eastAsia" w:ascii="Times New Roman" w:hAnsi="Times New Roman"/>
                      <w:color w:val="auto"/>
                      <w:szCs w:val="21"/>
                    </w:rPr>
                    <w:t>表 2 标准</w:t>
                  </w:r>
                </w:p>
              </w:tc>
            </w:tr>
            <w:tr w14:paraId="6B671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 w:hRule="atLeast"/>
                <w:jc w:val="center"/>
              </w:trPr>
              <w:tc>
                <w:tcPr>
                  <w:tcW w:w="678" w:type="dxa"/>
                  <w:vMerge w:val="continue"/>
                  <w:tcBorders>
                    <w:left w:val="nil"/>
                    <w:right w:val="single" w:color="auto" w:sz="4" w:space="0"/>
                  </w:tcBorders>
                  <w:shd w:val="clear" w:color="auto" w:fill="FFFFFF"/>
                  <w:noWrap w:val="0"/>
                  <w:vAlign w:val="center"/>
                </w:tcPr>
                <w:p w14:paraId="6A812848">
                  <w:pPr>
                    <w:pStyle w:val="50"/>
                    <w:spacing w:line="340" w:lineRule="exact"/>
                    <w:jc w:val="center"/>
                    <w:rPr>
                      <w:rFonts w:ascii="Times New Roman" w:hAnsi="Times New Roman"/>
                      <w:color w:val="auto"/>
                      <w:szCs w:val="21"/>
                    </w:rPr>
                  </w:pPr>
                </w:p>
              </w:tc>
              <w:tc>
                <w:tcPr>
                  <w:tcW w:w="1301" w:type="dxa"/>
                  <w:vMerge w:val="continue"/>
                  <w:tcBorders>
                    <w:left w:val="single" w:color="auto" w:sz="4" w:space="0"/>
                    <w:right w:val="single" w:color="auto" w:sz="4" w:space="0"/>
                  </w:tcBorders>
                  <w:shd w:val="clear" w:color="auto" w:fill="FFFFFF"/>
                  <w:noWrap w:val="0"/>
                  <w:vAlign w:val="center"/>
                </w:tcPr>
                <w:p w14:paraId="37EADCE7">
                  <w:pPr>
                    <w:pStyle w:val="50"/>
                    <w:spacing w:line="340" w:lineRule="exact"/>
                    <w:jc w:val="center"/>
                    <w:rPr>
                      <w:rFonts w:ascii="Times New Roman" w:hAnsi="Times New Roman"/>
                      <w:color w:val="auto"/>
                      <w:szCs w:val="21"/>
                    </w:rPr>
                  </w:pP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4C18A05">
                  <w:pPr>
                    <w:pStyle w:val="51"/>
                    <w:spacing w:line="340" w:lineRule="exact"/>
                    <w:jc w:val="center"/>
                    <w:rPr>
                      <w:rFonts w:ascii="Times New Roman" w:hAnsi="Times New Roman"/>
                      <w:color w:val="auto"/>
                      <w:szCs w:val="21"/>
                    </w:rPr>
                  </w:pPr>
                  <w:r>
                    <w:rPr>
                      <w:rFonts w:ascii="Times New Roman" w:hAnsi="Times New Roman"/>
                      <w:color w:val="auto"/>
                      <w:szCs w:val="21"/>
                    </w:rPr>
                    <w:t>氨（氨气）</w:t>
                  </w:r>
                </w:p>
              </w:tc>
              <w:tc>
                <w:tcPr>
                  <w:tcW w:w="1100" w:type="dxa"/>
                  <w:vMerge w:val="continue"/>
                  <w:tcBorders>
                    <w:left w:val="single" w:color="auto" w:sz="4" w:space="0"/>
                    <w:right w:val="single" w:color="auto" w:sz="4" w:space="0"/>
                  </w:tcBorders>
                  <w:shd w:val="clear" w:color="auto" w:fill="FFFFFF"/>
                  <w:noWrap w:val="0"/>
                  <w:vAlign w:val="center"/>
                </w:tcPr>
                <w:p w14:paraId="434742FC">
                  <w:pPr>
                    <w:spacing w:line="340" w:lineRule="exact"/>
                    <w:jc w:val="center"/>
                    <w:rPr>
                      <w:color w:val="auto"/>
                      <w:szCs w:val="21"/>
                    </w:rPr>
                  </w:pPr>
                </w:p>
              </w:tc>
              <w:tc>
                <w:tcPr>
                  <w:tcW w:w="4134" w:type="dxa"/>
                  <w:vMerge w:val="continue"/>
                  <w:tcBorders>
                    <w:left w:val="single" w:color="auto" w:sz="4" w:space="0"/>
                    <w:right w:val="nil"/>
                  </w:tcBorders>
                  <w:shd w:val="clear" w:color="auto" w:fill="FFFFFF"/>
                  <w:noWrap w:val="0"/>
                  <w:vAlign w:val="center"/>
                </w:tcPr>
                <w:p w14:paraId="65AC9487">
                  <w:pPr>
                    <w:pStyle w:val="52"/>
                    <w:spacing w:line="340" w:lineRule="exact"/>
                    <w:jc w:val="center"/>
                    <w:rPr>
                      <w:rFonts w:hint="eastAsia" w:ascii="Times New Roman" w:hAnsi="Times New Roman"/>
                      <w:color w:val="auto"/>
                      <w:szCs w:val="21"/>
                    </w:rPr>
                  </w:pPr>
                </w:p>
              </w:tc>
            </w:tr>
            <w:tr w14:paraId="525AA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9" w:hRule="atLeast"/>
                <w:jc w:val="center"/>
              </w:trPr>
              <w:tc>
                <w:tcPr>
                  <w:tcW w:w="678" w:type="dxa"/>
                  <w:vMerge w:val="continue"/>
                  <w:tcBorders>
                    <w:left w:val="nil"/>
                    <w:right w:val="single" w:color="auto" w:sz="4" w:space="0"/>
                  </w:tcBorders>
                  <w:shd w:val="clear" w:color="auto" w:fill="FFFFFF"/>
                  <w:noWrap w:val="0"/>
                  <w:vAlign w:val="center"/>
                </w:tcPr>
                <w:p w14:paraId="54A9CF5B">
                  <w:pPr>
                    <w:pStyle w:val="50"/>
                    <w:spacing w:line="340" w:lineRule="exact"/>
                    <w:jc w:val="center"/>
                    <w:rPr>
                      <w:rFonts w:ascii="Times New Roman" w:hAnsi="Times New Roman"/>
                      <w:color w:val="auto"/>
                      <w:szCs w:val="21"/>
                    </w:rPr>
                  </w:pPr>
                </w:p>
              </w:tc>
              <w:tc>
                <w:tcPr>
                  <w:tcW w:w="1301" w:type="dxa"/>
                  <w:vMerge w:val="continue"/>
                  <w:tcBorders>
                    <w:left w:val="single" w:color="auto" w:sz="4" w:space="0"/>
                    <w:bottom w:val="single" w:color="auto" w:sz="4" w:space="0"/>
                    <w:right w:val="single" w:color="auto" w:sz="4" w:space="0"/>
                  </w:tcBorders>
                  <w:shd w:val="clear" w:color="auto" w:fill="FFFFFF"/>
                  <w:noWrap w:val="0"/>
                  <w:vAlign w:val="center"/>
                </w:tcPr>
                <w:p w14:paraId="1934D99A">
                  <w:pPr>
                    <w:pStyle w:val="50"/>
                    <w:spacing w:line="340" w:lineRule="exact"/>
                    <w:jc w:val="center"/>
                    <w:rPr>
                      <w:rFonts w:ascii="Times New Roman" w:hAnsi="Times New Roman"/>
                      <w:color w:val="auto"/>
                      <w:szCs w:val="21"/>
                    </w:rPr>
                  </w:pP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F1CEC9">
                  <w:pPr>
                    <w:pStyle w:val="52"/>
                    <w:spacing w:line="340" w:lineRule="exact"/>
                    <w:jc w:val="center"/>
                    <w:rPr>
                      <w:rFonts w:ascii="Times New Roman" w:hAnsi="Times New Roman"/>
                      <w:color w:val="auto"/>
                      <w:szCs w:val="21"/>
                    </w:rPr>
                  </w:pPr>
                  <w:r>
                    <w:rPr>
                      <w:rFonts w:ascii="Times New Roman" w:hAnsi="Times New Roman"/>
                      <w:color w:val="auto"/>
                      <w:szCs w:val="21"/>
                    </w:rPr>
                    <w:t>硫化氢</w:t>
                  </w:r>
                </w:p>
              </w:tc>
              <w:tc>
                <w:tcPr>
                  <w:tcW w:w="1100" w:type="dxa"/>
                  <w:vMerge w:val="continue"/>
                  <w:tcBorders>
                    <w:left w:val="single" w:color="auto" w:sz="4" w:space="0"/>
                    <w:bottom w:val="single" w:color="auto" w:sz="4" w:space="0"/>
                    <w:right w:val="single" w:color="auto" w:sz="4" w:space="0"/>
                  </w:tcBorders>
                  <w:shd w:val="clear" w:color="auto" w:fill="FFFFFF"/>
                  <w:noWrap w:val="0"/>
                  <w:vAlign w:val="center"/>
                </w:tcPr>
                <w:p w14:paraId="3933D070">
                  <w:pPr>
                    <w:spacing w:line="340" w:lineRule="exact"/>
                    <w:jc w:val="center"/>
                    <w:rPr>
                      <w:color w:val="auto"/>
                      <w:szCs w:val="21"/>
                    </w:rPr>
                  </w:pPr>
                </w:p>
              </w:tc>
              <w:tc>
                <w:tcPr>
                  <w:tcW w:w="4134" w:type="dxa"/>
                  <w:vMerge w:val="continue"/>
                  <w:tcBorders>
                    <w:left w:val="single" w:color="auto" w:sz="4" w:space="0"/>
                    <w:bottom w:val="single" w:color="auto" w:sz="4" w:space="0"/>
                    <w:right w:val="nil"/>
                  </w:tcBorders>
                  <w:shd w:val="clear" w:color="auto" w:fill="FFFFFF"/>
                  <w:noWrap w:val="0"/>
                  <w:vAlign w:val="center"/>
                </w:tcPr>
                <w:p w14:paraId="474249B0">
                  <w:pPr>
                    <w:pStyle w:val="52"/>
                    <w:spacing w:line="340" w:lineRule="exact"/>
                    <w:jc w:val="center"/>
                    <w:rPr>
                      <w:rFonts w:hint="eastAsia" w:ascii="Times New Roman" w:hAnsi="Times New Roman"/>
                      <w:color w:val="auto"/>
                      <w:szCs w:val="21"/>
                    </w:rPr>
                  </w:pPr>
                </w:p>
              </w:tc>
            </w:tr>
            <w:tr w14:paraId="57820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9" w:hRule="atLeast"/>
                <w:jc w:val="center"/>
              </w:trPr>
              <w:tc>
                <w:tcPr>
                  <w:tcW w:w="678" w:type="dxa"/>
                  <w:vMerge w:val="continue"/>
                  <w:tcBorders>
                    <w:left w:val="nil"/>
                    <w:right w:val="single" w:color="auto" w:sz="4" w:space="0"/>
                  </w:tcBorders>
                  <w:shd w:val="clear" w:color="auto" w:fill="FFFFFF"/>
                  <w:noWrap w:val="0"/>
                  <w:vAlign w:val="center"/>
                </w:tcPr>
                <w:p w14:paraId="7CEE2CC9">
                  <w:pPr>
                    <w:pStyle w:val="50"/>
                    <w:spacing w:line="340" w:lineRule="exact"/>
                    <w:jc w:val="center"/>
                    <w:rPr>
                      <w:rFonts w:ascii="Times New Roman" w:hAnsi="Times New Roman"/>
                      <w:color w:val="auto"/>
                      <w:szCs w:val="21"/>
                    </w:rPr>
                  </w:pPr>
                </w:p>
              </w:tc>
              <w:tc>
                <w:tcPr>
                  <w:tcW w:w="1301"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162A20">
                  <w:pPr>
                    <w:pStyle w:val="50"/>
                    <w:spacing w:line="340" w:lineRule="exact"/>
                    <w:jc w:val="center"/>
                    <w:rPr>
                      <w:rFonts w:ascii="Times New Roman" w:hAnsi="Times New Roman"/>
                      <w:color w:val="auto"/>
                      <w:szCs w:val="21"/>
                    </w:rPr>
                  </w:pPr>
                  <w:r>
                    <w:rPr>
                      <w:rFonts w:ascii="Times New Roman" w:hAnsi="Times New Roman"/>
                      <w:color w:val="auto"/>
                      <w:szCs w:val="21"/>
                    </w:rPr>
                    <w:t>污水处理站四周界</w:t>
                  </w: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8B034C">
                  <w:pPr>
                    <w:pStyle w:val="51"/>
                    <w:spacing w:line="340" w:lineRule="exact"/>
                    <w:jc w:val="center"/>
                    <w:rPr>
                      <w:rFonts w:ascii="Times New Roman" w:hAnsi="Times New Roman"/>
                      <w:color w:val="auto"/>
                      <w:szCs w:val="21"/>
                    </w:rPr>
                  </w:pPr>
                  <w:r>
                    <w:rPr>
                      <w:rFonts w:ascii="Times New Roman" w:hAnsi="Times New Roman"/>
                      <w:color w:val="auto"/>
                      <w:szCs w:val="21"/>
                    </w:rPr>
                    <w:t>臭气浓度</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1F2D3D">
                  <w:pPr>
                    <w:spacing w:line="340" w:lineRule="exact"/>
                    <w:jc w:val="center"/>
                    <w:rPr>
                      <w:color w:val="auto"/>
                      <w:szCs w:val="21"/>
                    </w:rPr>
                  </w:pPr>
                  <w:r>
                    <w:rPr>
                      <w:color w:val="auto"/>
                      <w:szCs w:val="21"/>
                    </w:rPr>
                    <w:t>1次/季</w:t>
                  </w:r>
                </w:p>
              </w:tc>
              <w:tc>
                <w:tcPr>
                  <w:tcW w:w="4134" w:type="dxa"/>
                  <w:vMerge w:val="restart"/>
                  <w:tcBorders>
                    <w:top w:val="single" w:color="auto" w:sz="4" w:space="0"/>
                    <w:left w:val="single" w:color="auto" w:sz="4" w:space="0"/>
                    <w:bottom w:val="single" w:color="auto" w:sz="4" w:space="0"/>
                    <w:right w:val="nil"/>
                  </w:tcBorders>
                  <w:shd w:val="clear" w:color="auto" w:fill="FFFFFF"/>
                  <w:noWrap w:val="0"/>
                  <w:vAlign w:val="center"/>
                </w:tcPr>
                <w:p w14:paraId="450E94E8">
                  <w:pPr>
                    <w:pStyle w:val="52"/>
                    <w:spacing w:line="340" w:lineRule="exact"/>
                    <w:jc w:val="center"/>
                    <w:rPr>
                      <w:rFonts w:hint="eastAsia" w:ascii="Times New Roman" w:hAnsi="Times New Roman"/>
                      <w:color w:val="auto"/>
                      <w:szCs w:val="21"/>
                    </w:rPr>
                  </w:pPr>
                  <w:r>
                    <w:rPr>
                      <w:rFonts w:hint="eastAsia" w:ascii="Times New Roman" w:hAnsi="Times New Roman"/>
                      <w:color w:val="auto"/>
                      <w:szCs w:val="21"/>
                    </w:rPr>
                    <w:t>《医疗机构水污染物排放标准》（GB18466-2005）表3标准</w:t>
                  </w:r>
                </w:p>
              </w:tc>
            </w:tr>
            <w:tr w14:paraId="4673D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 w:hRule="atLeast"/>
                <w:jc w:val="center"/>
              </w:trPr>
              <w:tc>
                <w:tcPr>
                  <w:tcW w:w="678" w:type="dxa"/>
                  <w:vMerge w:val="continue"/>
                  <w:tcBorders>
                    <w:left w:val="nil"/>
                    <w:right w:val="single" w:color="auto" w:sz="4" w:space="0"/>
                  </w:tcBorders>
                  <w:shd w:val="clear" w:color="auto" w:fill="FFFFFF"/>
                  <w:noWrap w:val="0"/>
                  <w:vAlign w:val="center"/>
                </w:tcPr>
                <w:p w14:paraId="760346D9">
                  <w:pPr>
                    <w:pStyle w:val="50"/>
                    <w:spacing w:line="340" w:lineRule="exact"/>
                    <w:jc w:val="center"/>
                    <w:rPr>
                      <w:rFonts w:ascii="Times New Roman" w:hAnsi="Times New Roman"/>
                      <w:color w:val="auto"/>
                      <w:szCs w:val="21"/>
                    </w:rPr>
                  </w:pPr>
                </w:p>
              </w:tc>
              <w:tc>
                <w:tcPr>
                  <w:tcW w:w="1301"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035770B6">
                  <w:pPr>
                    <w:pStyle w:val="50"/>
                    <w:spacing w:line="340" w:lineRule="exact"/>
                    <w:jc w:val="center"/>
                    <w:rPr>
                      <w:rFonts w:ascii="Times New Roman" w:hAnsi="Times New Roman"/>
                      <w:color w:val="auto"/>
                      <w:szCs w:val="21"/>
                    </w:rPr>
                  </w:pP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BC2226C">
                  <w:pPr>
                    <w:pStyle w:val="51"/>
                    <w:spacing w:line="340" w:lineRule="exact"/>
                    <w:jc w:val="center"/>
                    <w:rPr>
                      <w:rFonts w:ascii="Times New Roman" w:hAnsi="Times New Roman"/>
                      <w:color w:val="auto"/>
                      <w:szCs w:val="21"/>
                    </w:rPr>
                  </w:pPr>
                  <w:r>
                    <w:rPr>
                      <w:rFonts w:ascii="Times New Roman" w:hAnsi="Times New Roman"/>
                      <w:color w:val="auto"/>
                      <w:szCs w:val="21"/>
                    </w:rPr>
                    <w:t>氨（氨气）</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7B84A3">
                  <w:pPr>
                    <w:spacing w:line="340" w:lineRule="exact"/>
                    <w:jc w:val="center"/>
                    <w:rPr>
                      <w:color w:val="auto"/>
                      <w:szCs w:val="21"/>
                    </w:rPr>
                  </w:pPr>
                  <w:r>
                    <w:rPr>
                      <w:color w:val="auto"/>
                      <w:szCs w:val="21"/>
                    </w:rPr>
                    <w:t>1次/季</w:t>
                  </w:r>
                </w:p>
              </w:tc>
              <w:tc>
                <w:tcPr>
                  <w:tcW w:w="4134" w:type="dxa"/>
                  <w:vMerge w:val="continue"/>
                  <w:tcBorders>
                    <w:top w:val="single" w:color="auto" w:sz="4" w:space="0"/>
                    <w:left w:val="single" w:color="auto" w:sz="4" w:space="0"/>
                    <w:bottom w:val="single" w:color="auto" w:sz="4" w:space="0"/>
                    <w:right w:val="nil"/>
                  </w:tcBorders>
                  <w:shd w:val="clear" w:color="auto" w:fill="FFFFFF"/>
                  <w:noWrap w:val="0"/>
                  <w:vAlign w:val="center"/>
                </w:tcPr>
                <w:p w14:paraId="547CC39C">
                  <w:pPr>
                    <w:pStyle w:val="52"/>
                    <w:spacing w:line="340" w:lineRule="exact"/>
                    <w:jc w:val="center"/>
                    <w:rPr>
                      <w:rFonts w:ascii="Times New Roman" w:hAnsi="Times New Roman"/>
                      <w:color w:val="auto"/>
                      <w:szCs w:val="21"/>
                    </w:rPr>
                  </w:pPr>
                </w:p>
              </w:tc>
            </w:tr>
            <w:tr w14:paraId="3BEAD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678" w:type="dxa"/>
                  <w:vMerge w:val="continue"/>
                  <w:tcBorders>
                    <w:left w:val="nil"/>
                    <w:right w:val="single" w:color="auto" w:sz="4" w:space="0"/>
                  </w:tcBorders>
                  <w:shd w:val="clear" w:color="auto" w:fill="FFFFFF"/>
                  <w:noWrap w:val="0"/>
                  <w:vAlign w:val="center"/>
                </w:tcPr>
                <w:p w14:paraId="4332588F">
                  <w:pPr>
                    <w:pStyle w:val="50"/>
                    <w:spacing w:line="340" w:lineRule="exact"/>
                    <w:jc w:val="center"/>
                    <w:rPr>
                      <w:rFonts w:ascii="Times New Roman" w:hAnsi="Times New Roman"/>
                      <w:color w:val="auto"/>
                      <w:szCs w:val="21"/>
                    </w:rPr>
                  </w:pPr>
                </w:p>
              </w:tc>
              <w:tc>
                <w:tcPr>
                  <w:tcW w:w="1301"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02DF2DBF">
                  <w:pPr>
                    <w:pStyle w:val="50"/>
                    <w:spacing w:line="340" w:lineRule="exact"/>
                    <w:jc w:val="center"/>
                    <w:rPr>
                      <w:rFonts w:ascii="Times New Roman" w:hAnsi="Times New Roman"/>
                      <w:color w:val="auto"/>
                      <w:szCs w:val="21"/>
                    </w:rPr>
                  </w:pP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27BEB1">
                  <w:pPr>
                    <w:pStyle w:val="52"/>
                    <w:spacing w:line="340" w:lineRule="exact"/>
                    <w:jc w:val="center"/>
                    <w:rPr>
                      <w:rFonts w:ascii="Times New Roman" w:hAnsi="Times New Roman"/>
                      <w:color w:val="auto"/>
                      <w:szCs w:val="21"/>
                    </w:rPr>
                  </w:pPr>
                  <w:r>
                    <w:rPr>
                      <w:rFonts w:ascii="Times New Roman" w:hAnsi="Times New Roman"/>
                      <w:color w:val="auto"/>
                      <w:szCs w:val="21"/>
                    </w:rPr>
                    <w:t>硫化氢</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B4FA92">
                  <w:pPr>
                    <w:spacing w:line="340" w:lineRule="exact"/>
                    <w:jc w:val="center"/>
                    <w:rPr>
                      <w:color w:val="auto"/>
                      <w:szCs w:val="21"/>
                    </w:rPr>
                  </w:pPr>
                  <w:r>
                    <w:rPr>
                      <w:color w:val="auto"/>
                      <w:szCs w:val="21"/>
                    </w:rPr>
                    <w:t>1次/季</w:t>
                  </w:r>
                </w:p>
              </w:tc>
              <w:tc>
                <w:tcPr>
                  <w:tcW w:w="4134" w:type="dxa"/>
                  <w:vMerge w:val="continue"/>
                  <w:tcBorders>
                    <w:top w:val="single" w:color="auto" w:sz="4" w:space="0"/>
                    <w:left w:val="single" w:color="auto" w:sz="4" w:space="0"/>
                    <w:bottom w:val="single" w:color="auto" w:sz="4" w:space="0"/>
                    <w:right w:val="nil"/>
                  </w:tcBorders>
                  <w:shd w:val="clear" w:color="auto" w:fill="FFFFFF"/>
                  <w:noWrap w:val="0"/>
                  <w:vAlign w:val="center"/>
                </w:tcPr>
                <w:p w14:paraId="29C8A434">
                  <w:pPr>
                    <w:pStyle w:val="52"/>
                    <w:spacing w:line="340" w:lineRule="exact"/>
                    <w:jc w:val="center"/>
                    <w:rPr>
                      <w:rFonts w:ascii="Times New Roman" w:hAnsi="Times New Roman"/>
                      <w:color w:val="auto"/>
                      <w:szCs w:val="21"/>
                    </w:rPr>
                  </w:pPr>
                </w:p>
              </w:tc>
            </w:tr>
            <w:tr w14:paraId="32ECD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 w:hRule="atLeast"/>
                <w:jc w:val="center"/>
              </w:trPr>
              <w:tc>
                <w:tcPr>
                  <w:tcW w:w="678" w:type="dxa"/>
                  <w:vMerge w:val="continue"/>
                  <w:tcBorders>
                    <w:left w:val="nil"/>
                    <w:right w:val="single" w:color="auto" w:sz="4" w:space="0"/>
                  </w:tcBorders>
                  <w:shd w:val="clear" w:color="auto" w:fill="FFFFFF"/>
                  <w:noWrap w:val="0"/>
                  <w:vAlign w:val="center"/>
                </w:tcPr>
                <w:p w14:paraId="7D0B5E2F">
                  <w:pPr>
                    <w:pStyle w:val="50"/>
                    <w:spacing w:line="340" w:lineRule="exact"/>
                    <w:jc w:val="center"/>
                    <w:rPr>
                      <w:rFonts w:ascii="Times New Roman" w:hAnsi="Times New Roman"/>
                      <w:color w:val="auto"/>
                      <w:szCs w:val="21"/>
                    </w:rPr>
                  </w:pPr>
                </w:p>
              </w:tc>
              <w:tc>
                <w:tcPr>
                  <w:tcW w:w="1301"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E2F0FB">
                  <w:pPr>
                    <w:pStyle w:val="50"/>
                    <w:spacing w:line="340" w:lineRule="exact"/>
                    <w:jc w:val="center"/>
                    <w:rPr>
                      <w:rFonts w:ascii="Times New Roman" w:hAnsi="Times New Roman"/>
                      <w:color w:val="auto"/>
                      <w:szCs w:val="21"/>
                    </w:rPr>
                  </w:pP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F01269">
                  <w:pPr>
                    <w:pStyle w:val="52"/>
                    <w:spacing w:line="340" w:lineRule="exact"/>
                    <w:jc w:val="center"/>
                    <w:rPr>
                      <w:rFonts w:ascii="Times New Roman" w:hAnsi="Times New Roman"/>
                      <w:color w:val="auto"/>
                      <w:szCs w:val="21"/>
                    </w:rPr>
                  </w:pPr>
                  <w:r>
                    <w:rPr>
                      <w:rFonts w:ascii="Times New Roman" w:hAnsi="Times New Roman"/>
                      <w:color w:val="auto"/>
                      <w:szCs w:val="21"/>
                    </w:rPr>
                    <w:t>甲烷</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8C0B41">
                  <w:pPr>
                    <w:spacing w:line="340" w:lineRule="exact"/>
                    <w:jc w:val="center"/>
                    <w:rPr>
                      <w:color w:val="auto"/>
                      <w:szCs w:val="21"/>
                    </w:rPr>
                  </w:pPr>
                  <w:r>
                    <w:rPr>
                      <w:color w:val="auto"/>
                      <w:szCs w:val="21"/>
                    </w:rPr>
                    <w:t>1次/季</w:t>
                  </w:r>
                </w:p>
              </w:tc>
              <w:tc>
                <w:tcPr>
                  <w:tcW w:w="4134" w:type="dxa"/>
                  <w:vMerge w:val="continue"/>
                  <w:tcBorders>
                    <w:top w:val="single" w:color="auto" w:sz="4" w:space="0"/>
                    <w:left w:val="single" w:color="auto" w:sz="4" w:space="0"/>
                    <w:bottom w:val="single" w:color="auto" w:sz="4" w:space="0"/>
                    <w:right w:val="nil"/>
                  </w:tcBorders>
                  <w:shd w:val="clear" w:color="auto" w:fill="FFFFFF"/>
                  <w:noWrap w:val="0"/>
                  <w:vAlign w:val="center"/>
                </w:tcPr>
                <w:p w14:paraId="61BF8BC0">
                  <w:pPr>
                    <w:pStyle w:val="52"/>
                    <w:spacing w:line="340" w:lineRule="exact"/>
                    <w:jc w:val="center"/>
                    <w:rPr>
                      <w:rFonts w:ascii="Times New Roman" w:hAnsi="Times New Roman"/>
                      <w:color w:val="auto"/>
                      <w:szCs w:val="21"/>
                    </w:rPr>
                  </w:pPr>
                </w:p>
              </w:tc>
            </w:tr>
            <w:tr w14:paraId="78B2B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9" w:hRule="atLeast"/>
                <w:jc w:val="center"/>
              </w:trPr>
              <w:tc>
                <w:tcPr>
                  <w:tcW w:w="678" w:type="dxa"/>
                  <w:vMerge w:val="continue"/>
                  <w:tcBorders>
                    <w:left w:val="nil"/>
                    <w:right w:val="single" w:color="auto" w:sz="4" w:space="0"/>
                  </w:tcBorders>
                  <w:shd w:val="clear" w:color="auto" w:fill="FFFFFF"/>
                  <w:noWrap w:val="0"/>
                  <w:vAlign w:val="center"/>
                </w:tcPr>
                <w:p w14:paraId="6E209A0E">
                  <w:pPr>
                    <w:pStyle w:val="50"/>
                    <w:spacing w:line="340" w:lineRule="exact"/>
                    <w:jc w:val="center"/>
                    <w:rPr>
                      <w:rFonts w:ascii="Times New Roman" w:hAnsi="Times New Roman"/>
                      <w:color w:val="auto"/>
                      <w:szCs w:val="21"/>
                    </w:rPr>
                  </w:pPr>
                </w:p>
              </w:tc>
              <w:tc>
                <w:tcPr>
                  <w:tcW w:w="1301"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CC0F67">
                  <w:pPr>
                    <w:pStyle w:val="50"/>
                    <w:spacing w:line="340" w:lineRule="exact"/>
                    <w:jc w:val="center"/>
                    <w:rPr>
                      <w:rFonts w:ascii="Times New Roman" w:hAnsi="Times New Roman"/>
                      <w:color w:val="auto"/>
                      <w:szCs w:val="21"/>
                    </w:rPr>
                  </w:pPr>
                </w:p>
              </w:tc>
              <w:tc>
                <w:tcPr>
                  <w:tcW w:w="127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9A0A55">
                  <w:pPr>
                    <w:pStyle w:val="52"/>
                    <w:spacing w:line="340" w:lineRule="exact"/>
                    <w:jc w:val="center"/>
                    <w:rPr>
                      <w:rFonts w:ascii="Times New Roman" w:hAnsi="Times New Roman"/>
                      <w:color w:val="auto"/>
                      <w:szCs w:val="21"/>
                    </w:rPr>
                  </w:pPr>
                  <w:r>
                    <w:rPr>
                      <w:rFonts w:ascii="Times New Roman" w:hAnsi="Times New Roman"/>
                      <w:color w:val="auto"/>
                      <w:szCs w:val="21"/>
                    </w:rPr>
                    <w:t>氯</w:t>
                  </w:r>
                </w:p>
              </w:tc>
              <w:tc>
                <w:tcPr>
                  <w:tcW w:w="11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12D1D6">
                  <w:pPr>
                    <w:spacing w:line="340" w:lineRule="exact"/>
                    <w:jc w:val="center"/>
                    <w:rPr>
                      <w:color w:val="auto"/>
                      <w:szCs w:val="21"/>
                    </w:rPr>
                  </w:pPr>
                  <w:r>
                    <w:rPr>
                      <w:color w:val="auto"/>
                      <w:szCs w:val="21"/>
                    </w:rPr>
                    <w:t>1次/季</w:t>
                  </w:r>
                </w:p>
              </w:tc>
              <w:tc>
                <w:tcPr>
                  <w:tcW w:w="4134" w:type="dxa"/>
                  <w:vMerge w:val="continue"/>
                  <w:tcBorders>
                    <w:top w:val="single" w:color="auto" w:sz="4" w:space="0"/>
                    <w:left w:val="single" w:color="auto" w:sz="4" w:space="0"/>
                    <w:bottom w:val="single" w:color="auto" w:sz="4" w:space="0"/>
                    <w:right w:val="nil"/>
                  </w:tcBorders>
                  <w:shd w:val="clear" w:color="auto" w:fill="FFFFFF"/>
                  <w:noWrap w:val="0"/>
                  <w:vAlign w:val="center"/>
                </w:tcPr>
                <w:p w14:paraId="3FD69CB4">
                  <w:pPr>
                    <w:pStyle w:val="52"/>
                    <w:spacing w:line="340" w:lineRule="exact"/>
                    <w:jc w:val="center"/>
                    <w:rPr>
                      <w:rFonts w:ascii="Times New Roman" w:hAnsi="Times New Roman"/>
                      <w:color w:val="auto"/>
                      <w:szCs w:val="21"/>
                    </w:rPr>
                  </w:pPr>
                </w:p>
              </w:tc>
            </w:tr>
            <w:tr w14:paraId="0FEAC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9" w:hRule="atLeast"/>
                <w:jc w:val="center"/>
              </w:trPr>
              <w:tc>
                <w:tcPr>
                  <w:tcW w:w="678" w:type="dxa"/>
                  <w:tcBorders>
                    <w:top w:val="single" w:color="auto" w:sz="4" w:space="0"/>
                    <w:left w:val="nil"/>
                    <w:bottom w:val="single" w:color="000000" w:sz="12" w:space="0"/>
                    <w:right w:val="single" w:color="auto" w:sz="4" w:space="0"/>
                  </w:tcBorders>
                  <w:shd w:val="clear" w:color="auto" w:fill="FFFFFF"/>
                  <w:noWrap w:val="0"/>
                  <w:vAlign w:val="center"/>
                </w:tcPr>
                <w:p w14:paraId="2ACFED57">
                  <w:pPr>
                    <w:pStyle w:val="50"/>
                    <w:spacing w:line="340" w:lineRule="exact"/>
                    <w:jc w:val="center"/>
                    <w:rPr>
                      <w:rFonts w:ascii="Times New Roman" w:hAnsi="Times New Roman"/>
                      <w:color w:val="auto"/>
                      <w:szCs w:val="21"/>
                    </w:rPr>
                  </w:pPr>
                  <w:r>
                    <w:rPr>
                      <w:rFonts w:ascii="Times New Roman" w:hAnsi="Times New Roman"/>
                      <w:color w:val="auto"/>
                      <w:szCs w:val="21"/>
                    </w:rPr>
                    <w:t>噪声</w:t>
                  </w:r>
                </w:p>
              </w:tc>
              <w:tc>
                <w:tcPr>
                  <w:tcW w:w="1301" w:type="dxa"/>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1BCA477C">
                  <w:pPr>
                    <w:pStyle w:val="50"/>
                    <w:spacing w:line="340" w:lineRule="exact"/>
                    <w:jc w:val="center"/>
                    <w:rPr>
                      <w:rFonts w:ascii="Times New Roman" w:hAnsi="Times New Roman"/>
                      <w:color w:val="auto"/>
                      <w:szCs w:val="21"/>
                    </w:rPr>
                  </w:pPr>
                  <w:r>
                    <w:rPr>
                      <w:rFonts w:ascii="Times New Roman" w:hAnsi="Times New Roman"/>
                      <w:color w:val="auto"/>
                      <w:szCs w:val="21"/>
                    </w:rPr>
                    <w:t>四周厂界各设1个点</w:t>
                  </w:r>
                </w:p>
              </w:tc>
              <w:tc>
                <w:tcPr>
                  <w:tcW w:w="1279" w:type="dxa"/>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3F7FBA5E">
                  <w:pPr>
                    <w:pStyle w:val="52"/>
                    <w:spacing w:line="340" w:lineRule="exact"/>
                    <w:jc w:val="center"/>
                    <w:rPr>
                      <w:rFonts w:ascii="Times New Roman" w:hAnsi="Times New Roman"/>
                      <w:color w:val="auto"/>
                      <w:szCs w:val="21"/>
                    </w:rPr>
                  </w:pPr>
                  <w:r>
                    <w:rPr>
                      <w:rFonts w:ascii="Times New Roman" w:hAnsi="Times New Roman"/>
                      <w:color w:val="auto"/>
                      <w:szCs w:val="21"/>
                    </w:rPr>
                    <w:t>Leq(A）</w:t>
                  </w:r>
                </w:p>
              </w:tc>
              <w:tc>
                <w:tcPr>
                  <w:tcW w:w="1100" w:type="dxa"/>
                  <w:tcBorders>
                    <w:top w:val="single" w:color="auto" w:sz="4" w:space="0"/>
                    <w:left w:val="single" w:color="auto" w:sz="4" w:space="0"/>
                    <w:bottom w:val="single" w:color="000000" w:sz="12" w:space="0"/>
                    <w:right w:val="single" w:color="auto" w:sz="4" w:space="0"/>
                  </w:tcBorders>
                  <w:shd w:val="clear" w:color="auto" w:fill="FFFFFF"/>
                  <w:noWrap w:val="0"/>
                  <w:vAlign w:val="center"/>
                </w:tcPr>
                <w:p w14:paraId="452EF801">
                  <w:pPr>
                    <w:spacing w:line="340" w:lineRule="exact"/>
                    <w:jc w:val="center"/>
                    <w:rPr>
                      <w:color w:val="auto"/>
                      <w:szCs w:val="21"/>
                    </w:rPr>
                  </w:pPr>
                  <w:r>
                    <w:rPr>
                      <w:color w:val="auto"/>
                      <w:szCs w:val="21"/>
                    </w:rPr>
                    <w:t>1次/季度</w:t>
                  </w:r>
                </w:p>
              </w:tc>
              <w:tc>
                <w:tcPr>
                  <w:tcW w:w="4134" w:type="dxa"/>
                  <w:tcBorders>
                    <w:top w:val="single" w:color="auto" w:sz="4" w:space="0"/>
                    <w:left w:val="single" w:color="auto" w:sz="4" w:space="0"/>
                    <w:bottom w:val="single" w:color="000000" w:sz="12" w:space="0"/>
                    <w:right w:val="nil"/>
                  </w:tcBorders>
                  <w:shd w:val="clear" w:color="auto" w:fill="FFFFFF"/>
                  <w:noWrap w:val="0"/>
                  <w:vAlign w:val="center"/>
                </w:tcPr>
                <w:p w14:paraId="78A28DAA">
                  <w:pPr>
                    <w:pStyle w:val="30"/>
                    <w:spacing w:before="33" w:line="340" w:lineRule="exact"/>
                    <w:ind w:left="121"/>
                    <w:rPr>
                      <w:rFonts w:ascii="Times New Roman" w:hAnsi="Times New Roman" w:cs="Times New Roman"/>
                      <w:color w:val="auto"/>
                      <w:sz w:val="21"/>
                      <w:szCs w:val="21"/>
                      <w:lang w:eastAsia="zh-CN"/>
                    </w:rPr>
                  </w:pPr>
                  <w:r>
                    <w:rPr>
                      <w:color w:val="auto"/>
                      <w:spacing w:val="-1"/>
                      <w:sz w:val="21"/>
                      <w:szCs w:val="21"/>
                      <w:lang w:eastAsia="zh-CN"/>
                    </w:rPr>
                    <w:t>《工业企业厂界环境噪声排放</w:t>
                  </w:r>
                  <w:r>
                    <w:rPr>
                      <w:color w:val="auto"/>
                      <w:spacing w:val="-6"/>
                      <w:sz w:val="21"/>
                      <w:szCs w:val="21"/>
                      <w:lang w:eastAsia="zh-CN"/>
                    </w:rPr>
                    <w:t>标准》（</w:t>
                  </w:r>
                  <w:r>
                    <w:rPr>
                      <w:rFonts w:ascii="Times New Roman" w:hAnsi="Times New Roman" w:eastAsia="Times New Roman" w:cs="Times New Roman"/>
                      <w:color w:val="auto"/>
                      <w:spacing w:val="-6"/>
                      <w:sz w:val="21"/>
                      <w:szCs w:val="21"/>
                      <w:lang w:eastAsia="zh-CN"/>
                    </w:rPr>
                    <w:t>GB12348-2008</w:t>
                  </w:r>
                  <w:r>
                    <w:rPr>
                      <w:color w:val="auto"/>
                      <w:spacing w:val="-6"/>
                      <w:sz w:val="21"/>
                      <w:szCs w:val="21"/>
                      <w:lang w:eastAsia="zh-CN"/>
                    </w:rPr>
                    <w:t>）</w:t>
                  </w:r>
                </w:p>
              </w:tc>
            </w:tr>
          </w:tbl>
          <w:p w14:paraId="183E409F">
            <w:pPr>
              <w:pStyle w:val="12"/>
              <w:pBdr>
                <w:bottom w:val="none" w:color="auto" w:sz="0" w:space="0"/>
              </w:pBdr>
              <w:spacing w:line="360" w:lineRule="auto"/>
              <w:jc w:val="left"/>
              <w:rPr>
                <w:rFonts w:hint="default" w:ascii="Times New Roman" w:hAnsi="Times New Roman" w:cs="Times New Roman"/>
                <w:color w:val="auto"/>
                <w:sz w:val="24"/>
                <w:highlight w:val="none"/>
                <w:lang w:val="en-US" w:eastAsia="zh-CN"/>
              </w:rPr>
            </w:pPr>
            <w:r>
              <w:rPr>
                <w:rFonts w:hint="eastAsia" w:ascii="Times New Roman" w:hAnsi="Times New Roman" w:eastAsia="宋体" w:cs="Times New Roman"/>
                <w:b/>
                <w:bCs/>
                <w:color w:val="auto"/>
                <w:sz w:val="28"/>
                <w:szCs w:val="28"/>
                <w:highlight w:val="none"/>
                <w:lang w:val="en-US" w:eastAsia="zh-CN" w:bidi="ar"/>
              </w:rPr>
              <w:t>4.5 “三本账”</w:t>
            </w:r>
          </w:p>
          <w:p w14:paraId="7B5F51E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b/>
                <w:bCs/>
                <w:color w:val="auto"/>
                <w:kern w:val="0"/>
                <w:sz w:val="24"/>
                <w:szCs w:val="24"/>
                <w:lang w:val="en-US" w:eastAsia="zh-CN" w:bidi="ar"/>
              </w:rPr>
            </w:pPr>
            <w:r>
              <w:rPr>
                <w:rFonts w:hint="eastAsia" w:ascii="Times New Roman" w:hAnsi="Times New Roman" w:cs="Times New Roman"/>
                <w:color w:val="auto"/>
                <w:sz w:val="24"/>
                <w:highlight w:val="none"/>
                <w:lang w:val="en-US" w:eastAsia="zh-CN"/>
              </w:rPr>
              <w:t>扩建前后污染物排放情况“三本账”见表4</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lang w:val="en-US" w:eastAsia="zh-CN"/>
              </w:rPr>
              <w:t>。</w:t>
            </w:r>
          </w:p>
          <w:p w14:paraId="21AD03E7">
            <w:pPr>
              <w:jc w:val="center"/>
              <w:rPr>
                <w:color w:val="auto"/>
              </w:rPr>
            </w:pPr>
            <w:r>
              <w:rPr>
                <w:rFonts w:hint="default" w:ascii="Times New Roman" w:hAnsi="Times New Roman" w:eastAsia="宋体" w:cs="Times New Roman"/>
                <w:b/>
                <w:bCs/>
                <w:color w:val="auto"/>
                <w:kern w:val="0"/>
                <w:sz w:val="24"/>
                <w:szCs w:val="24"/>
                <w:lang w:val="en-US" w:eastAsia="zh-CN" w:bidi="ar"/>
              </w:rPr>
              <w:t>表</w:t>
            </w:r>
            <w:r>
              <w:rPr>
                <w:rFonts w:hint="eastAsia" w:ascii="Times New Roman" w:hAnsi="Times New Roman" w:cs="Times New Roman"/>
                <w:b/>
                <w:bCs/>
                <w:color w:val="auto"/>
                <w:kern w:val="0"/>
                <w:sz w:val="24"/>
                <w:szCs w:val="24"/>
                <w:lang w:val="en-US" w:eastAsia="zh-CN" w:bidi="ar"/>
              </w:rPr>
              <w:t>4</w:t>
            </w:r>
            <w:r>
              <w:rPr>
                <w:rFonts w:hint="default" w:ascii="Times New Roman" w:hAnsi="Times New Roman" w:eastAsia="宋体" w:cs="Times New Roman"/>
                <w:b/>
                <w:bCs/>
                <w:color w:val="auto"/>
                <w:kern w:val="0"/>
                <w:sz w:val="24"/>
                <w:szCs w:val="24"/>
                <w:lang w:val="en-US" w:eastAsia="zh-CN" w:bidi="ar"/>
              </w:rPr>
              <w:t>.</w:t>
            </w:r>
            <w:r>
              <w:rPr>
                <w:rFonts w:hint="eastAsia" w:ascii="Times New Roman" w:hAnsi="Times New Roman" w:eastAsia="宋体" w:cs="Times New Roman"/>
                <w:b/>
                <w:bCs/>
                <w:color w:val="auto"/>
                <w:kern w:val="0"/>
                <w:sz w:val="24"/>
                <w:szCs w:val="24"/>
                <w:lang w:val="en-US" w:eastAsia="zh-CN" w:bidi="ar"/>
              </w:rPr>
              <w:t>5</w:t>
            </w:r>
            <w:r>
              <w:rPr>
                <w:rFonts w:hint="default" w:ascii="Times New Roman" w:hAnsi="Times New Roman" w:eastAsia="宋体" w:cs="Times New Roman"/>
                <w:b/>
                <w:bCs/>
                <w:color w:val="auto"/>
                <w:kern w:val="0"/>
                <w:sz w:val="24"/>
                <w:szCs w:val="24"/>
                <w:lang w:val="en-US" w:eastAsia="zh-CN" w:bidi="ar"/>
              </w:rPr>
              <w:t>-</w:t>
            </w:r>
            <w:r>
              <w:rPr>
                <w:rFonts w:hint="eastAsia" w:ascii="Times New Roman" w:hAnsi="Times New Roman" w:eastAsia="宋体" w:cs="Times New Roman"/>
                <w:b/>
                <w:bCs/>
                <w:color w:val="auto"/>
                <w:kern w:val="0"/>
                <w:sz w:val="24"/>
                <w:szCs w:val="24"/>
                <w:lang w:val="en-US" w:eastAsia="zh-CN" w:bidi="ar"/>
              </w:rPr>
              <w:t>1</w:t>
            </w:r>
            <w:r>
              <w:rPr>
                <w:rFonts w:hint="default" w:ascii="Times New Roman" w:hAnsi="Times New Roman" w:eastAsia="宋体" w:cs="Times New Roman"/>
                <w:b/>
                <w:bCs/>
                <w:color w:val="auto"/>
                <w:kern w:val="0"/>
                <w:sz w:val="24"/>
                <w:szCs w:val="24"/>
                <w:lang w:val="en-US" w:eastAsia="zh-CN" w:bidi="ar"/>
              </w:rPr>
              <w:t xml:space="preserve"> 扩建前后污染物排放情况</w:t>
            </w:r>
            <w:r>
              <w:rPr>
                <w:rFonts w:hint="eastAsia" w:ascii="Times New Roman" w:hAnsi="Times New Roman" w:eastAsia="宋体" w:cs="Times New Roman"/>
                <w:b/>
                <w:bCs/>
                <w:color w:val="auto"/>
                <w:kern w:val="0"/>
                <w:sz w:val="24"/>
                <w:szCs w:val="24"/>
                <w:lang w:val="en-US" w:eastAsia="zh-CN" w:bidi="ar"/>
              </w:rPr>
              <w:t>“三本账”</w:t>
            </w:r>
            <w:r>
              <w:rPr>
                <w:rFonts w:hint="default" w:ascii="Times New Roman" w:hAnsi="Times New Roman" w:eastAsia="宋体" w:cs="Times New Roman"/>
                <w:b/>
                <w:bCs/>
                <w:color w:val="auto"/>
                <w:kern w:val="0"/>
                <w:sz w:val="24"/>
                <w:szCs w:val="24"/>
                <w:lang w:val="en-US" w:eastAsia="zh-CN" w:bidi="ar"/>
              </w:rPr>
              <w:t>对照表</w:t>
            </w:r>
            <w:r>
              <w:rPr>
                <w:rFonts w:hint="eastAsia" w:ascii="Times New Roman" w:hAnsi="Times New Roman" w:eastAsia="宋体" w:cs="Times New Roman"/>
                <w:b/>
                <w:bCs/>
                <w:color w:val="auto"/>
                <w:kern w:val="0"/>
                <w:sz w:val="24"/>
                <w:szCs w:val="24"/>
                <w:lang w:val="en-US" w:eastAsia="zh-CN" w:bidi="ar"/>
              </w:rPr>
              <w:t xml:space="preserve">   单位：</w:t>
            </w:r>
            <w:r>
              <w:rPr>
                <w:rFonts w:hint="default" w:ascii="Times New Roman" w:hAnsi="Times New Roman" w:eastAsia="宋体" w:cs="Times New Roman"/>
                <w:b/>
                <w:bCs/>
                <w:color w:val="auto"/>
                <w:kern w:val="0"/>
                <w:sz w:val="24"/>
                <w:szCs w:val="24"/>
                <w:lang w:val="en-US" w:eastAsia="zh-CN" w:bidi="ar"/>
              </w:rPr>
              <w:t>t/a</w:t>
            </w:r>
          </w:p>
          <w:tbl>
            <w:tblPr>
              <w:tblStyle w:val="17"/>
              <w:tblW w:w="4936"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108" w:type="dxa"/>
                <w:bottom w:w="0" w:type="dxa"/>
                <w:right w:w="108" w:type="dxa"/>
              </w:tblCellMar>
            </w:tblPr>
            <w:tblGrid>
              <w:gridCol w:w="407"/>
              <w:gridCol w:w="1657"/>
              <w:gridCol w:w="932"/>
              <w:gridCol w:w="1218"/>
              <w:gridCol w:w="836"/>
              <w:gridCol w:w="848"/>
              <w:gridCol w:w="932"/>
              <w:gridCol w:w="836"/>
              <w:gridCol w:w="848"/>
            </w:tblGrid>
            <w:tr w14:paraId="6FC561E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1380" w:hRule="atLeast"/>
              </w:trPr>
              <w:tc>
                <w:tcPr>
                  <w:tcW w:w="239" w:type="pct"/>
                  <w:vMerge w:val="restart"/>
                  <w:tcBorders>
                    <w:tl2br w:val="nil"/>
                    <w:tr2bl w:val="nil"/>
                  </w:tcBorders>
                  <w:noWrap w:val="0"/>
                  <w:vAlign w:val="center"/>
                </w:tcPr>
                <w:p w14:paraId="2850ECD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污染源</w:t>
                  </w:r>
                </w:p>
              </w:tc>
              <w:tc>
                <w:tcPr>
                  <w:tcW w:w="971" w:type="pct"/>
                  <w:vMerge w:val="restart"/>
                  <w:tcBorders>
                    <w:tl2br w:val="nil"/>
                    <w:tr2bl w:val="nil"/>
                  </w:tcBorders>
                  <w:noWrap w:val="0"/>
                  <w:vAlign w:val="center"/>
                </w:tcPr>
                <w:p w14:paraId="57613A8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污染物名称</w:t>
                  </w:r>
                </w:p>
              </w:tc>
              <w:tc>
                <w:tcPr>
                  <w:tcW w:w="547" w:type="pct"/>
                  <w:vMerge w:val="restart"/>
                  <w:tcBorders>
                    <w:tl2br w:val="nil"/>
                    <w:tr2bl w:val="nil"/>
                  </w:tcBorders>
                  <w:noWrap w:val="0"/>
                  <w:vAlign w:val="center"/>
                </w:tcPr>
                <w:p w14:paraId="56F9AB4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现有工程排放量</w:t>
                  </w:r>
                  <w:r>
                    <w:rPr>
                      <w:rFonts w:hint="default" w:ascii="Times New Roman" w:hAnsi="Times New Roman" w:eastAsia="宋体" w:cs="Times New Roman"/>
                      <w:i w:val="0"/>
                      <w:iCs w:val="0"/>
                      <w:color w:val="auto"/>
                      <w:kern w:val="0"/>
                      <w:sz w:val="21"/>
                      <w:szCs w:val="21"/>
                      <w:u w:val="none"/>
                      <w:lang w:val="en-US" w:eastAsia="zh-CN" w:bidi="ar"/>
                    </w:rPr>
                    <w:t>(</w:t>
                  </w:r>
                  <w:r>
                    <w:rPr>
                      <w:rStyle w:val="53"/>
                      <w:color w:val="auto"/>
                      <w:lang w:val="en-US" w:eastAsia="zh-CN" w:bidi="ar"/>
                    </w:rPr>
                    <w:t>固体废物产生量</w:t>
                  </w:r>
                  <w:r>
                    <w:rPr>
                      <w:rFonts w:hint="default" w:ascii="Times New Roman" w:hAnsi="Times New Roman" w:eastAsia="宋体" w:cs="Times New Roman"/>
                      <w:i w:val="0"/>
                      <w:iCs w:val="0"/>
                      <w:color w:val="auto"/>
                      <w:kern w:val="0"/>
                      <w:sz w:val="21"/>
                      <w:szCs w:val="21"/>
                      <w:u w:val="none"/>
                      <w:lang w:val="en-US" w:eastAsia="zh-CN" w:bidi="ar"/>
                    </w:rPr>
                    <w:t>)</w:t>
                  </w:r>
                  <w:r>
                    <w:rPr>
                      <w:rStyle w:val="53"/>
                      <w:color w:val="auto"/>
                      <w:lang w:val="en-US" w:eastAsia="zh-CN" w:bidi="ar"/>
                    </w:rPr>
                    <w:t>①（</w:t>
                  </w:r>
                  <w:r>
                    <w:rPr>
                      <w:rFonts w:hint="default" w:ascii="Times New Roman" w:hAnsi="Times New Roman" w:eastAsia="宋体" w:cs="Times New Roman"/>
                      <w:i w:val="0"/>
                      <w:iCs w:val="0"/>
                      <w:color w:val="auto"/>
                      <w:kern w:val="0"/>
                      <w:sz w:val="21"/>
                      <w:szCs w:val="21"/>
                      <w:u w:val="none"/>
                      <w:lang w:val="en-US" w:eastAsia="zh-CN" w:bidi="ar"/>
                    </w:rPr>
                    <w:t>t/a</w:t>
                  </w:r>
                  <w:r>
                    <w:rPr>
                      <w:rStyle w:val="53"/>
                      <w:color w:val="auto"/>
                      <w:lang w:val="en-US" w:eastAsia="zh-CN" w:bidi="ar"/>
                    </w:rPr>
                    <w:t>）</w:t>
                  </w:r>
                </w:p>
              </w:tc>
              <w:tc>
                <w:tcPr>
                  <w:tcW w:w="1704" w:type="pct"/>
                  <w:gridSpan w:val="3"/>
                  <w:tcBorders>
                    <w:tl2br w:val="nil"/>
                    <w:tr2bl w:val="nil"/>
                  </w:tcBorders>
                  <w:noWrap w:val="0"/>
                  <w:vAlign w:val="center"/>
                </w:tcPr>
                <w:p w14:paraId="51E8DD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改扩建项目排放量（</w:t>
                  </w:r>
                  <w:r>
                    <w:rPr>
                      <w:rFonts w:hint="default" w:ascii="Times New Roman" w:hAnsi="Times New Roman" w:eastAsia="宋体" w:cs="Times New Roman"/>
                      <w:i w:val="0"/>
                      <w:iCs w:val="0"/>
                      <w:color w:val="auto"/>
                      <w:kern w:val="0"/>
                      <w:sz w:val="21"/>
                      <w:szCs w:val="21"/>
                      <w:u w:val="none"/>
                      <w:lang w:val="en-US" w:eastAsia="zh-CN" w:bidi="ar"/>
                    </w:rPr>
                    <w:t>t/a</w:t>
                  </w:r>
                  <w:r>
                    <w:rPr>
                      <w:rStyle w:val="53"/>
                      <w:color w:val="auto"/>
                      <w:lang w:val="en-US" w:eastAsia="zh-CN" w:bidi="ar"/>
                    </w:rPr>
                    <w:t>）③</w:t>
                  </w:r>
                </w:p>
              </w:tc>
              <w:tc>
                <w:tcPr>
                  <w:tcW w:w="547" w:type="pct"/>
                  <w:vMerge w:val="restart"/>
                  <w:tcBorders>
                    <w:tl2br w:val="nil"/>
                    <w:tr2bl w:val="nil"/>
                  </w:tcBorders>
                  <w:noWrap w:val="0"/>
                  <w:vAlign w:val="center"/>
                </w:tcPr>
                <w:p w14:paraId="451FF4C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“以新带老”削减量④（</w:t>
                  </w:r>
                  <w:r>
                    <w:rPr>
                      <w:rFonts w:hint="default" w:ascii="Times New Roman" w:hAnsi="Times New Roman" w:eastAsia="宋体" w:cs="Times New Roman"/>
                      <w:i w:val="0"/>
                      <w:iCs w:val="0"/>
                      <w:color w:val="auto"/>
                      <w:kern w:val="0"/>
                      <w:sz w:val="21"/>
                      <w:szCs w:val="21"/>
                      <w:u w:val="none"/>
                      <w:lang w:val="en-US" w:eastAsia="zh-CN" w:bidi="ar"/>
                    </w:rPr>
                    <w:t>t/a</w:t>
                  </w:r>
                  <w:r>
                    <w:rPr>
                      <w:rStyle w:val="53"/>
                      <w:color w:val="auto"/>
                      <w:lang w:val="en-US" w:eastAsia="zh-CN" w:bidi="ar"/>
                    </w:rPr>
                    <w:t>）</w:t>
                  </w:r>
                </w:p>
              </w:tc>
              <w:tc>
                <w:tcPr>
                  <w:tcW w:w="491" w:type="pct"/>
                  <w:vMerge w:val="restart"/>
                  <w:tcBorders>
                    <w:tl2br w:val="nil"/>
                    <w:tr2bl w:val="nil"/>
                  </w:tcBorders>
                  <w:noWrap w:val="0"/>
                  <w:vAlign w:val="center"/>
                </w:tcPr>
                <w:p w14:paraId="26415F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改扩建后项目排放量</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固体废物产生量</w:t>
                  </w:r>
                  <w:r>
                    <w:rPr>
                      <w:rFonts w:hint="default" w:ascii="Times New Roman" w:hAnsi="Times New Roman" w:eastAsia="宋体" w:cs="Times New Roman"/>
                      <w:i w:val="0"/>
                      <w:iCs w:val="0"/>
                      <w:color w:val="auto"/>
                      <w:kern w:val="0"/>
                      <w:sz w:val="21"/>
                      <w:szCs w:val="21"/>
                      <w:u w:val="none"/>
                      <w:lang w:val="en-US" w:eastAsia="zh-CN" w:bidi="ar"/>
                    </w:rPr>
                    <w:t>)⑤</w:t>
                  </w:r>
                  <w:r>
                    <w:rPr>
                      <w:rFonts w:hint="eastAsia" w:ascii="宋体" w:hAnsi="宋体" w:eastAsia="宋体" w:cs="宋体"/>
                      <w:i w:val="0"/>
                      <w:iCs w:val="0"/>
                      <w:color w:val="auto"/>
                      <w:kern w:val="0"/>
                      <w:sz w:val="20"/>
                      <w:szCs w:val="20"/>
                      <w:u w:val="none"/>
                      <w:lang w:val="en-US" w:eastAsia="zh-CN" w:bidi="ar"/>
                    </w:rPr>
                    <w:t>（</w:t>
                  </w:r>
                  <w:r>
                    <w:rPr>
                      <w:rFonts w:hint="default" w:ascii="Times New Roman" w:hAnsi="Times New Roman" w:eastAsia="宋体" w:cs="Times New Roman"/>
                      <w:i w:val="0"/>
                      <w:iCs w:val="0"/>
                      <w:color w:val="auto"/>
                      <w:kern w:val="0"/>
                      <w:sz w:val="22"/>
                      <w:szCs w:val="22"/>
                      <w:u w:val="none"/>
                      <w:lang w:val="en-US" w:eastAsia="zh-CN" w:bidi="ar"/>
                    </w:rPr>
                    <w:t>t/a</w:t>
                  </w:r>
                  <w:r>
                    <w:rPr>
                      <w:rFonts w:hint="eastAsia" w:ascii="宋体" w:hAnsi="宋体" w:eastAsia="宋体" w:cs="宋体"/>
                      <w:i w:val="0"/>
                      <w:iCs w:val="0"/>
                      <w:color w:val="auto"/>
                      <w:kern w:val="0"/>
                      <w:sz w:val="22"/>
                      <w:szCs w:val="22"/>
                      <w:u w:val="none"/>
                      <w:lang w:val="en-US" w:eastAsia="zh-CN" w:bidi="ar"/>
                    </w:rPr>
                    <w:t>）</w:t>
                  </w:r>
                </w:p>
              </w:tc>
              <w:tc>
                <w:tcPr>
                  <w:tcW w:w="498" w:type="pct"/>
                  <w:vMerge w:val="restart"/>
                  <w:tcBorders>
                    <w:tl2br w:val="nil"/>
                    <w:tr2bl w:val="nil"/>
                  </w:tcBorders>
                  <w:noWrap w:val="0"/>
                  <w:vAlign w:val="center"/>
                </w:tcPr>
                <w:p w14:paraId="3C4BCDA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排放增减量</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固体废物增减量</w:t>
                  </w:r>
                  <w:r>
                    <w:rPr>
                      <w:rFonts w:hint="default" w:ascii="Times New Roman" w:hAnsi="Times New Roman" w:eastAsia="宋体" w:cs="Times New Roman"/>
                      <w:i w:val="0"/>
                      <w:iCs w:val="0"/>
                      <w:color w:val="auto"/>
                      <w:kern w:val="0"/>
                      <w:sz w:val="21"/>
                      <w:szCs w:val="21"/>
                      <w:u w:val="none"/>
                      <w:lang w:val="en-US" w:eastAsia="zh-CN" w:bidi="ar"/>
                    </w:rPr>
                    <w:t>)⑥</w:t>
                  </w:r>
                  <w:r>
                    <w:rPr>
                      <w:rFonts w:hint="eastAsia" w:ascii="宋体" w:hAnsi="宋体" w:eastAsia="宋体" w:cs="宋体"/>
                      <w:i w:val="0"/>
                      <w:iCs w:val="0"/>
                      <w:color w:val="auto"/>
                      <w:kern w:val="0"/>
                      <w:sz w:val="20"/>
                      <w:szCs w:val="20"/>
                      <w:u w:val="none"/>
                      <w:lang w:val="en-US" w:eastAsia="zh-CN" w:bidi="ar"/>
                    </w:rPr>
                    <w:t>（</w:t>
                  </w:r>
                  <w:r>
                    <w:rPr>
                      <w:rFonts w:hint="default" w:ascii="Times New Roman" w:hAnsi="Times New Roman" w:eastAsia="宋体" w:cs="Times New Roman"/>
                      <w:i w:val="0"/>
                      <w:iCs w:val="0"/>
                      <w:color w:val="auto"/>
                      <w:kern w:val="0"/>
                      <w:sz w:val="22"/>
                      <w:szCs w:val="22"/>
                      <w:u w:val="none"/>
                      <w:lang w:val="en-US" w:eastAsia="zh-CN" w:bidi="ar"/>
                    </w:rPr>
                    <w:t>t/a</w:t>
                  </w:r>
                  <w:r>
                    <w:rPr>
                      <w:rFonts w:hint="eastAsia" w:ascii="宋体" w:hAnsi="宋体" w:eastAsia="宋体" w:cs="宋体"/>
                      <w:i w:val="0"/>
                      <w:iCs w:val="0"/>
                      <w:color w:val="auto"/>
                      <w:kern w:val="0"/>
                      <w:sz w:val="22"/>
                      <w:szCs w:val="22"/>
                      <w:u w:val="none"/>
                      <w:lang w:val="en-US" w:eastAsia="zh-CN" w:bidi="ar"/>
                    </w:rPr>
                    <w:t>）</w:t>
                  </w:r>
                </w:p>
              </w:tc>
            </w:tr>
            <w:tr w14:paraId="02AEE1D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855" w:hRule="atLeast"/>
              </w:trPr>
              <w:tc>
                <w:tcPr>
                  <w:tcW w:w="239" w:type="pct"/>
                  <w:vMerge w:val="continue"/>
                  <w:tcBorders>
                    <w:tl2br w:val="nil"/>
                    <w:tr2bl w:val="nil"/>
                  </w:tcBorders>
                  <w:noWrap w:val="0"/>
                  <w:vAlign w:val="center"/>
                </w:tcPr>
                <w:p w14:paraId="2E775EC2">
                  <w:pPr>
                    <w:jc w:val="center"/>
                    <w:rPr>
                      <w:rFonts w:hint="eastAsia" w:ascii="宋体" w:hAnsi="宋体" w:eastAsia="宋体" w:cs="宋体"/>
                      <w:i w:val="0"/>
                      <w:iCs w:val="0"/>
                      <w:color w:val="auto"/>
                      <w:sz w:val="21"/>
                      <w:szCs w:val="21"/>
                      <w:u w:val="none"/>
                    </w:rPr>
                  </w:pPr>
                </w:p>
              </w:tc>
              <w:tc>
                <w:tcPr>
                  <w:tcW w:w="971" w:type="pct"/>
                  <w:vMerge w:val="continue"/>
                  <w:tcBorders>
                    <w:tl2br w:val="nil"/>
                    <w:tr2bl w:val="nil"/>
                  </w:tcBorders>
                  <w:noWrap w:val="0"/>
                  <w:vAlign w:val="center"/>
                </w:tcPr>
                <w:p w14:paraId="3B764677">
                  <w:pPr>
                    <w:jc w:val="center"/>
                    <w:rPr>
                      <w:rFonts w:hint="eastAsia" w:ascii="宋体" w:hAnsi="宋体" w:eastAsia="宋体" w:cs="宋体"/>
                      <w:i w:val="0"/>
                      <w:iCs w:val="0"/>
                      <w:color w:val="auto"/>
                      <w:sz w:val="21"/>
                      <w:szCs w:val="21"/>
                      <w:u w:val="none"/>
                    </w:rPr>
                  </w:pPr>
                </w:p>
              </w:tc>
              <w:tc>
                <w:tcPr>
                  <w:tcW w:w="547" w:type="pct"/>
                  <w:vMerge w:val="continue"/>
                  <w:tcBorders>
                    <w:tl2br w:val="nil"/>
                    <w:tr2bl w:val="nil"/>
                  </w:tcBorders>
                  <w:noWrap w:val="0"/>
                  <w:vAlign w:val="center"/>
                </w:tcPr>
                <w:p w14:paraId="41B7220C">
                  <w:pPr>
                    <w:jc w:val="center"/>
                    <w:rPr>
                      <w:rFonts w:hint="eastAsia" w:ascii="宋体" w:hAnsi="宋体" w:eastAsia="宋体" w:cs="宋体"/>
                      <w:i w:val="0"/>
                      <w:iCs w:val="0"/>
                      <w:color w:val="auto"/>
                      <w:sz w:val="21"/>
                      <w:szCs w:val="21"/>
                      <w:u w:val="none"/>
                    </w:rPr>
                  </w:pPr>
                </w:p>
              </w:tc>
              <w:tc>
                <w:tcPr>
                  <w:tcW w:w="714" w:type="pct"/>
                  <w:tcBorders>
                    <w:tl2br w:val="nil"/>
                    <w:tr2bl w:val="nil"/>
                  </w:tcBorders>
                  <w:noWrap w:val="0"/>
                  <w:vAlign w:val="center"/>
                </w:tcPr>
                <w:p w14:paraId="727B41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产生量</w:t>
                  </w:r>
                  <w:r>
                    <w:rPr>
                      <w:rFonts w:hint="eastAsia" w:ascii="宋体" w:hAnsi="宋体" w:eastAsia="宋体" w:cs="宋体"/>
                      <w:i w:val="0"/>
                      <w:iCs w:val="0"/>
                      <w:color w:val="auto"/>
                      <w:kern w:val="0"/>
                      <w:sz w:val="20"/>
                      <w:szCs w:val="20"/>
                      <w:u w:val="none"/>
                      <w:lang w:val="en-US" w:eastAsia="zh-CN" w:bidi="ar"/>
                    </w:rPr>
                    <w:t>（</w:t>
                  </w:r>
                  <w:r>
                    <w:rPr>
                      <w:rFonts w:hint="default" w:ascii="Times New Roman" w:hAnsi="Times New Roman" w:eastAsia="宋体" w:cs="Times New Roman"/>
                      <w:i w:val="0"/>
                      <w:iCs w:val="0"/>
                      <w:color w:val="auto"/>
                      <w:kern w:val="0"/>
                      <w:sz w:val="22"/>
                      <w:szCs w:val="22"/>
                      <w:u w:val="none"/>
                      <w:lang w:val="en-US" w:eastAsia="zh-CN" w:bidi="ar"/>
                    </w:rPr>
                    <w:t>t/a</w:t>
                  </w:r>
                  <w:r>
                    <w:rPr>
                      <w:rFonts w:hint="eastAsia" w:ascii="宋体" w:hAnsi="宋体" w:eastAsia="宋体" w:cs="宋体"/>
                      <w:i w:val="0"/>
                      <w:iCs w:val="0"/>
                      <w:color w:val="auto"/>
                      <w:kern w:val="0"/>
                      <w:sz w:val="22"/>
                      <w:szCs w:val="22"/>
                      <w:u w:val="none"/>
                      <w:lang w:val="en-US" w:eastAsia="zh-CN" w:bidi="ar"/>
                    </w:rPr>
                    <w:t>）</w:t>
                  </w:r>
                </w:p>
              </w:tc>
              <w:tc>
                <w:tcPr>
                  <w:tcW w:w="491" w:type="pct"/>
                  <w:tcBorders>
                    <w:tl2br w:val="nil"/>
                    <w:tr2bl w:val="nil"/>
                  </w:tcBorders>
                  <w:noWrap w:val="0"/>
                  <w:vAlign w:val="center"/>
                </w:tcPr>
                <w:p w14:paraId="4E29D9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削减量</w:t>
                  </w:r>
                  <w:r>
                    <w:rPr>
                      <w:rFonts w:hint="eastAsia" w:ascii="宋体" w:hAnsi="宋体" w:eastAsia="宋体" w:cs="宋体"/>
                      <w:i w:val="0"/>
                      <w:iCs w:val="0"/>
                      <w:color w:val="auto"/>
                      <w:kern w:val="0"/>
                      <w:sz w:val="20"/>
                      <w:szCs w:val="20"/>
                      <w:u w:val="none"/>
                      <w:lang w:val="en-US" w:eastAsia="zh-CN" w:bidi="ar"/>
                    </w:rPr>
                    <w:t>（</w:t>
                  </w:r>
                  <w:r>
                    <w:rPr>
                      <w:rFonts w:hint="default" w:ascii="Times New Roman" w:hAnsi="Times New Roman" w:eastAsia="宋体" w:cs="Times New Roman"/>
                      <w:i w:val="0"/>
                      <w:iCs w:val="0"/>
                      <w:color w:val="auto"/>
                      <w:kern w:val="0"/>
                      <w:sz w:val="22"/>
                      <w:szCs w:val="22"/>
                      <w:u w:val="none"/>
                      <w:lang w:val="en-US" w:eastAsia="zh-CN" w:bidi="ar"/>
                    </w:rPr>
                    <w:t>t/a</w:t>
                  </w:r>
                  <w:r>
                    <w:rPr>
                      <w:rFonts w:hint="eastAsia" w:ascii="宋体" w:hAnsi="宋体" w:eastAsia="宋体" w:cs="宋体"/>
                      <w:i w:val="0"/>
                      <w:iCs w:val="0"/>
                      <w:color w:val="auto"/>
                      <w:kern w:val="0"/>
                      <w:sz w:val="22"/>
                      <w:szCs w:val="22"/>
                      <w:u w:val="none"/>
                      <w:lang w:val="en-US" w:eastAsia="zh-CN" w:bidi="ar"/>
                    </w:rPr>
                    <w:t>）</w:t>
                  </w:r>
                </w:p>
              </w:tc>
              <w:tc>
                <w:tcPr>
                  <w:tcW w:w="498" w:type="pct"/>
                  <w:tcBorders>
                    <w:tl2br w:val="nil"/>
                    <w:tr2bl w:val="nil"/>
                  </w:tcBorders>
                  <w:noWrap w:val="0"/>
                  <w:vAlign w:val="center"/>
                </w:tcPr>
                <w:p w14:paraId="2D51B1A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排放量</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固体废物产生量</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0"/>
                      <w:szCs w:val="20"/>
                      <w:u w:val="none"/>
                      <w:lang w:val="en-US" w:eastAsia="zh-CN" w:bidi="ar"/>
                    </w:rPr>
                    <w:t>（</w:t>
                  </w:r>
                  <w:r>
                    <w:rPr>
                      <w:rFonts w:hint="default" w:ascii="Times New Roman" w:hAnsi="Times New Roman" w:eastAsia="宋体" w:cs="Times New Roman"/>
                      <w:i w:val="0"/>
                      <w:iCs w:val="0"/>
                      <w:color w:val="auto"/>
                      <w:kern w:val="0"/>
                      <w:sz w:val="22"/>
                      <w:szCs w:val="22"/>
                      <w:u w:val="none"/>
                      <w:lang w:val="en-US" w:eastAsia="zh-CN" w:bidi="ar"/>
                    </w:rPr>
                    <w:t>t/a</w:t>
                  </w:r>
                  <w:r>
                    <w:rPr>
                      <w:rFonts w:hint="eastAsia" w:ascii="宋体" w:hAnsi="宋体" w:eastAsia="宋体" w:cs="宋体"/>
                      <w:i w:val="0"/>
                      <w:iCs w:val="0"/>
                      <w:color w:val="auto"/>
                      <w:kern w:val="0"/>
                      <w:sz w:val="22"/>
                      <w:szCs w:val="22"/>
                      <w:u w:val="none"/>
                      <w:lang w:val="en-US" w:eastAsia="zh-CN" w:bidi="ar"/>
                    </w:rPr>
                    <w:t>）</w:t>
                  </w:r>
                </w:p>
              </w:tc>
              <w:tc>
                <w:tcPr>
                  <w:tcW w:w="547" w:type="pct"/>
                  <w:vMerge w:val="continue"/>
                  <w:tcBorders>
                    <w:tl2br w:val="nil"/>
                    <w:tr2bl w:val="nil"/>
                  </w:tcBorders>
                  <w:noWrap w:val="0"/>
                  <w:vAlign w:val="center"/>
                </w:tcPr>
                <w:p w14:paraId="51FBA6C4">
                  <w:pPr>
                    <w:jc w:val="center"/>
                    <w:rPr>
                      <w:rFonts w:hint="eastAsia" w:ascii="宋体" w:hAnsi="宋体" w:eastAsia="宋体" w:cs="宋体"/>
                      <w:i w:val="0"/>
                      <w:iCs w:val="0"/>
                      <w:color w:val="auto"/>
                      <w:sz w:val="21"/>
                      <w:szCs w:val="21"/>
                      <w:u w:val="none"/>
                    </w:rPr>
                  </w:pPr>
                </w:p>
              </w:tc>
              <w:tc>
                <w:tcPr>
                  <w:tcW w:w="491" w:type="pct"/>
                  <w:vMerge w:val="continue"/>
                  <w:tcBorders>
                    <w:tl2br w:val="nil"/>
                    <w:tr2bl w:val="nil"/>
                  </w:tcBorders>
                  <w:noWrap w:val="0"/>
                  <w:vAlign w:val="center"/>
                </w:tcPr>
                <w:p w14:paraId="264C0704">
                  <w:pPr>
                    <w:jc w:val="center"/>
                    <w:rPr>
                      <w:rFonts w:hint="eastAsia" w:ascii="宋体" w:hAnsi="宋体" w:eastAsia="宋体" w:cs="宋体"/>
                      <w:i w:val="0"/>
                      <w:iCs w:val="0"/>
                      <w:color w:val="auto"/>
                      <w:sz w:val="21"/>
                      <w:szCs w:val="21"/>
                      <w:u w:val="none"/>
                    </w:rPr>
                  </w:pPr>
                </w:p>
              </w:tc>
              <w:tc>
                <w:tcPr>
                  <w:tcW w:w="498" w:type="pct"/>
                  <w:vMerge w:val="continue"/>
                  <w:tcBorders>
                    <w:tl2br w:val="nil"/>
                    <w:tr2bl w:val="nil"/>
                  </w:tcBorders>
                  <w:noWrap w:val="0"/>
                  <w:vAlign w:val="center"/>
                </w:tcPr>
                <w:p w14:paraId="0C045803">
                  <w:pPr>
                    <w:jc w:val="center"/>
                    <w:rPr>
                      <w:rFonts w:hint="eastAsia" w:ascii="宋体" w:hAnsi="宋体" w:eastAsia="宋体" w:cs="宋体"/>
                      <w:i w:val="0"/>
                      <w:iCs w:val="0"/>
                      <w:color w:val="auto"/>
                      <w:sz w:val="21"/>
                      <w:szCs w:val="21"/>
                      <w:u w:val="none"/>
                    </w:rPr>
                  </w:pPr>
                </w:p>
              </w:tc>
            </w:tr>
            <w:tr w14:paraId="5C55571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30" w:hRule="atLeast"/>
              </w:trPr>
              <w:tc>
                <w:tcPr>
                  <w:tcW w:w="239" w:type="pct"/>
                  <w:vMerge w:val="restart"/>
                  <w:tcBorders>
                    <w:tl2br w:val="nil"/>
                    <w:tr2bl w:val="nil"/>
                  </w:tcBorders>
                  <w:shd w:val="clear" w:color="auto" w:fill="auto"/>
                  <w:noWrap w:val="0"/>
                  <w:vAlign w:val="center"/>
                </w:tcPr>
                <w:p w14:paraId="084A05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废气</w:t>
                  </w:r>
                </w:p>
              </w:tc>
              <w:tc>
                <w:tcPr>
                  <w:tcW w:w="971" w:type="pct"/>
                  <w:tcBorders>
                    <w:tl2br w:val="nil"/>
                    <w:tr2bl w:val="nil"/>
                  </w:tcBorders>
                  <w:shd w:val="clear" w:color="auto" w:fill="FFFFFF"/>
                  <w:noWrap w:val="0"/>
                  <w:vAlign w:val="center"/>
                </w:tcPr>
                <w:p w14:paraId="55FD387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NH</w:t>
                  </w:r>
                  <w:r>
                    <w:rPr>
                      <w:rFonts w:hint="default" w:ascii="Times New Roman" w:hAnsi="Times New Roman" w:eastAsia="宋体" w:cs="Times New Roman"/>
                      <w:i w:val="0"/>
                      <w:iCs w:val="0"/>
                      <w:color w:val="auto"/>
                      <w:kern w:val="0"/>
                      <w:sz w:val="21"/>
                      <w:szCs w:val="21"/>
                      <w:u w:val="none"/>
                      <w:vertAlign w:val="subscript"/>
                      <w:lang w:val="en-US" w:eastAsia="zh-CN" w:bidi="ar"/>
                    </w:rPr>
                    <w:t>3</w:t>
                  </w:r>
                </w:p>
              </w:tc>
              <w:tc>
                <w:tcPr>
                  <w:tcW w:w="547" w:type="pct"/>
                  <w:tcBorders>
                    <w:tl2br w:val="nil"/>
                    <w:tr2bl w:val="nil"/>
                  </w:tcBorders>
                  <w:shd w:val="clear" w:color="auto" w:fill="auto"/>
                  <w:noWrap/>
                  <w:vAlign w:val="center"/>
                </w:tcPr>
                <w:p w14:paraId="26157C5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0.00691</w:t>
                  </w:r>
                </w:p>
              </w:tc>
              <w:tc>
                <w:tcPr>
                  <w:tcW w:w="714" w:type="pct"/>
                  <w:tcBorders>
                    <w:tl2br w:val="nil"/>
                    <w:tr2bl w:val="nil"/>
                  </w:tcBorders>
                  <w:shd w:val="clear" w:color="auto" w:fill="auto"/>
                  <w:noWrap/>
                  <w:vAlign w:val="center"/>
                </w:tcPr>
                <w:p w14:paraId="42F136A8">
                  <w:pPr>
                    <w:keepNext w:val="0"/>
                    <w:keepLines w:val="0"/>
                    <w:widowControl/>
                    <w:suppressLineNumbers w:val="0"/>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0.01575 </w:t>
                  </w:r>
                </w:p>
              </w:tc>
              <w:tc>
                <w:tcPr>
                  <w:tcW w:w="491" w:type="pct"/>
                  <w:tcBorders>
                    <w:tl2br w:val="nil"/>
                    <w:tr2bl w:val="nil"/>
                  </w:tcBorders>
                  <w:shd w:val="clear" w:color="auto" w:fill="auto"/>
                  <w:noWrap/>
                  <w:vAlign w:val="center"/>
                </w:tcPr>
                <w:p w14:paraId="612D9C4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0.01346 </w:t>
                  </w:r>
                </w:p>
              </w:tc>
              <w:tc>
                <w:tcPr>
                  <w:tcW w:w="498" w:type="pct"/>
                  <w:tcBorders>
                    <w:tl2br w:val="nil"/>
                    <w:tr2bl w:val="nil"/>
                  </w:tcBorders>
                  <w:shd w:val="clear" w:color="auto" w:fill="FFFFFF"/>
                  <w:noWrap w:val="0"/>
                  <w:vAlign w:val="center"/>
                </w:tcPr>
                <w:p w14:paraId="6E14F3A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0.00228 </w:t>
                  </w:r>
                </w:p>
              </w:tc>
              <w:tc>
                <w:tcPr>
                  <w:tcW w:w="547" w:type="pct"/>
                  <w:tcBorders>
                    <w:tl2br w:val="nil"/>
                    <w:tr2bl w:val="nil"/>
                  </w:tcBorders>
                  <w:shd w:val="clear" w:color="auto" w:fill="auto"/>
                  <w:noWrap/>
                  <w:vAlign w:val="center"/>
                </w:tcPr>
                <w:p w14:paraId="7D4963F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0.00691</w:t>
                  </w:r>
                </w:p>
              </w:tc>
              <w:tc>
                <w:tcPr>
                  <w:tcW w:w="491" w:type="pct"/>
                  <w:tcBorders>
                    <w:tl2br w:val="nil"/>
                    <w:tr2bl w:val="nil"/>
                  </w:tcBorders>
                  <w:shd w:val="clear" w:color="auto" w:fill="FFFFFF"/>
                  <w:noWrap w:val="0"/>
                  <w:vAlign w:val="center"/>
                </w:tcPr>
                <w:p w14:paraId="060B08D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0.00228 </w:t>
                  </w:r>
                </w:p>
              </w:tc>
              <w:tc>
                <w:tcPr>
                  <w:tcW w:w="498" w:type="pct"/>
                  <w:tcBorders>
                    <w:tl2br w:val="nil"/>
                    <w:tr2bl w:val="nil"/>
                  </w:tcBorders>
                  <w:shd w:val="clear" w:color="auto" w:fill="FFFFFF"/>
                  <w:noWrap w:val="0"/>
                  <w:vAlign w:val="center"/>
                </w:tcPr>
                <w:p w14:paraId="560DB3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0.00228 </w:t>
                  </w:r>
                </w:p>
              </w:tc>
            </w:tr>
            <w:tr w14:paraId="3122ACD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30" w:hRule="atLeast"/>
              </w:trPr>
              <w:tc>
                <w:tcPr>
                  <w:tcW w:w="239" w:type="pct"/>
                  <w:vMerge w:val="continue"/>
                  <w:tcBorders>
                    <w:tl2br w:val="nil"/>
                    <w:tr2bl w:val="nil"/>
                  </w:tcBorders>
                  <w:shd w:val="clear" w:color="auto" w:fill="auto"/>
                  <w:noWrap w:val="0"/>
                  <w:vAlign w:val="center"/>
                </w:tcPr>
                <w:p w14:paraId="4B8DACFD">
                  <w:pPr>
                    <w:jc w:val="center"/>
                    <w:rPr>
                      <w:rFonts w:hint="eastAsia" w:ascii="宋体" w:hAnsi="宋体" w:eastAsia="宋体" w:cs="宋体"/>
                      <w:i w:val="0"/>
                      <w:iCs w:val="0"/>
                      <w:color w:val="auto"/>
                      <w:sz w:val="21"/>
                      <w:szCs w:val="21"/>
                      <w:u w:val="none"/>
                    </w:rPr>
                  </w:pPr>
                </w:p>
              </w:tc>
              <w:tc>
                <w:tcPr>
                  <w:tcW w:w="971" w:type="pct"/>
                  <w:tcBorders>
                    <w:tl2br w:val="nil"/>
                    <w:tr2bl w:val="nil"/>
                  </w:tcBorders>
                  <w:shd w:val="clear" w:color="auto" w:fill="FFFFFF"/>
                  <w:noWrap w:val="0"/>
                  <w:vAlign w:val="center"/>
                </w:tcPr>
                <w:p w14:paraId="078903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H</w:t>
                  </w:r>
                  <w:r>
                    <w:rPr>
                      <w:rFonts w:hint="default" w:ascii="Times New Roman" w:hAnsi="Times New Roman" w:eastAsia="宋体" w:cs="Times New Roman"/>
                      <w:i w:val="0"/>
                      <w:iCs w:val="0"/>
                      <w:color w:val="auto"/>
                      <w:kern w:val="0"/>
                      <w:sz w:val="21"/>
                      <w:szCs w:val="21"/>
                      <w:u w:val="none"/>
                      <w:vertAlign w:val="subscript"/>
                      <w:lang w:val="en-US" w:eastAsia="zh-CN" w:bidi="ar"/>
                    </w:rPr>
                    <w:t>2</w:t>
                  </w:r>
                  <w:r>
                    <w:rPr>
                      <w:rFonts w:hint="default" w:ascii="Times New Roman" w:hAnsi="Times New Roman" w:eastAsia="宋体" w:cs="Times New Roman"/>
                      <w:i w:val="0"/>
                      <w:iCs w:val="0"/>
                      <w:color w:val="auto"/>
                      <w:kern w:val="0"/>
                      <w:sz w:val="21"/>
                      <w:szCs w:val="21"/>
                      <w:u w:val="none"/>
                      <w:lang w:val="en-US" w:eastAsia="zh-CN" w:bidi="ar"/>
                    </w:rPr>
                    <w:t>S</w:t>
                  </w:r>
                </w:p>
              </w:tc>
              <w:tc>
                <w:tcPr>
                  <w:tcW w:w="547" w:type="pct"/>
                  <w:tcBorders>
                    <w:tl2br w:val="nil"/>
                    <w:tr2bl w:val="nil"/>
                  </w:tcBorders>
                  <w:shd w:val="clear" w:color="auto" w:fill="auto"/>
                  <w:noWrap/>
                  <w:vAlign w:val="center"/>
                </w:tcPr>
                <w:p w14:paraId="4EFB5B0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0.000268</w:t>
                  </w:r>
                </w:p>
              </w:tc>
              <w:tc>
                <w:tcPr>
                  <w:tcW w:w="714" w:type="pct"/>
                  <w:tcBorders>
                    <w:tl2br w:val="nil"/>
                    <w:tr2bl w:val="nil"/>
                  </w:tcBorders>
                  <w:shd w:val="clear" w:color="auto" w:fill="auto"/>
                  <w:noWrap/>
                  <w:vAlign w:val="center"/>
                </w:tcPr>
                <w:p w14:paraId="58293413">
                  <w:pPr>
                    <w:keepNext w:val="0"/>
                    <w:keepLines w:val="0"/>
                    <w:widowControl/>
                    <w:suppressLineNumbers w:val="0"/>
                    <w:jc w:val="righ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0.00061 </w:t>
                  </w:r>
                </w:p>
              </w:tc>
              <w:tc>
                <w:tcPr>
                  <w:tcW w:w="491" w:type="pct"/>
                  <w:tcBorders>
                    <w:tl2br w:val="nil"/>
                    <w:tr2bl w:val="nil"/>
                  </w:tcBorders>
                  <w:shd w:val="clear" w:color="auto" w:fill="auto"/>
                  <w:noWrap/>
                  <w:vAlign w:val="center"/>
                </w:tcPr>
                <w:p w14:paraId="0637B49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0.00052 </w:t>
                  </w:r>
                </w:p>
              </w:tc>
              <w:tc>
                <w:tcPr>
                  <w:tcW w:w="498" w:type="pct"/>
                  <w:tcBorders>
                    <w:tl2br w:val="nil"/>
                    <w:tr2bl w:val="nil"/>
                  </w:tcBorders>
                  <w:shd w:val="clear" w:color="auto" w:fill="FFFFFF"/>
                  <w:noWrap w:val="0"/>
                  <w:vAlign w:val="center"/>
                </w:tcPr>
                <w:p w14:paraId="2A7AA29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0.00009 </w:t>
                  </w:r>
                </w:p>
              </w:tc>
              <w:tc>
                <w:tcPr>
                  <w:tcW w:w="547" w:type="pct"/>
                  <w:tcBorders>
                    <w:tl2br w:val="nil"/>
                    <w:tr2bl w:val="nil"/>
                  </w:tcBorders>
                  <w:shd w:val="clear" w:color="auto" w:fill="auto"/>
                  <w:noWrap/>
                  <w:vAlign w:val="center"/>
                </w:tcPr>
                <w:p w14:paraId="3BD7628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0.000268</w:t>
                  </w:r>
                </w:p>
              </w:tc>
              <w:tc>
                <w:tcPr>
                  <w:tcW w:w="491" w:type="pct"/>
                  <w:tcBorders>
                    <w:tl2br w:val="nil"/>
                    <w:tr2bl w:val="nil"/>
                  </w:tcBorders>
                  <w:shd w:val="clear" w:color="auto" w:fill="FFFFFF"/>
                  <w:noWrap w:val="0"/>
                  <w:vAlign w:val="center"/>
                </w:tcPr>
                <w:p w14:paraId="3B000C8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0.00009 </w:t>
                  </w:r>
                </w:p>
              </w:tc>
              <w:tc>
                <w:tcPr>
                  <w:tcW w:w="498" w:type="pct"/>
                  <w:tcBorders>
                    <w:tl2br w:val="nil"/>
                    <w:tr2bl w:val="nil"/>
                  </w:tcBorders>
                  <w:shd w:val="clear" w:color="auto" w:fill="FFFFFF"/>
                  <w:noWrap w:val="0"/>
                  <w:vAlign w:val="center"/>
                </w:tcPr>
                <w:p w14:paraId="54912E5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0.00009 </w:t>
                  </w:r>
                </w:p>
              </w:tc>
            </w:tr>
            <w:tr w14:paraId="0D0D49D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239" w:type="pct"/>
                  <w:vMerge w:val="continue"/>
                  <w:tcBorders>
                    <w:tl2br w:val="nil"/>
                    <w:tr2bl w:val="nil"/>
                  </w:tcBorders>
                  <w:noWrap w:val="0"/>
                  <w:vAlign w:val="center"/>
                </w:tcPr>
                <w:p w14:paraId="173A41FB">
                  <w:pPr>
                    <w:jc w:val="center"/>
                    <w:rPr>
                      <w:rFonts w:hint="eastAsia" w:ascii="宋体" w:hAnsi="宋体" w:eastAsia="宋体" w:cs="宋体"/>
                      <w:i w:val="0"/>
                      <w:iCs w:val="0"/>
                      <w:color w:val="auto"/>
                      <w:sz w:val="21"/>
                      <w:szCs w:val="21"/>
                      <w:u w:val="none"/>
                    </w:rPr>
                  </w:pPr>
                </w:p>
              </w:tc>
              <w:tc>
                <w:tcPr>
                  <w:tcW w:w="971" w:type="pct"/>
                  <w:tcBorders>
                    <w:tl2br w:val="nil"/>
                    <w:tr2bl w:val="nil"/>
                  </w:tcBorders>
                  <w:noWrap w:val="0"/>
                  <w:vAlign w:val="center"/>
                </w:tcPr>
                <w:p w14:paraId="0562203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油烟</w:t>
                  </w:r>
                </w:p>
              </w:tc>
              <w:tc>
                <w:tcPr>
                  <w:tcW w:w="547" w:type="pct"/>
                  <w:tcBorders>
                    <w:tl2br w:val="nil"/>
                    <w:tr2bl w:val="nil"/>
                  </w:tcBorders>
                  <w:noWrap/>
                  <w:vAlign w:val="center"/>
                </w:tcPr>
                <w:p w14:paraId="3D0405F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0.00996</w:t>
                  </w:r>
                </w:p>
              </w:tc>
              <w:tc>
                <w:tcPr>
                  <w:tcW w:w="714" w:type="pct"/>
                  <w:tcBorders>
                    <w:tl2br w:val="nil"/>
                    <w:tr2bl w:val="nil"/>
                  </w:tcBorders>
                  <w:noWrap/>
                  <w:vAlign w:val="center"/>
                </w:tcPr>
                <w:p w14:paraId="5200BC4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0.0664</w:t>
                  </w:r>
                </w:p>
              </w:tc>
              <w:tc>
                <w:tcPr>
                  <w:tcW w:w="491" w:type="pct"/>
                  <w:tcBorders>
                    <w:tl2br w:val="nil"/>
                    <w:tr2bl w:val="nil"/>
                  </w:tcBorders>
                  <w:noWrap/>
                  <w:vAlign w:val="center"/>
                </w:tcPr>
                <w:p w14:paraId="16C5556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0.05644</w:t>
                  </w:r>
                </w:p>
              </w:tc>
              <w:tc>
                <w:tcPr>
                  <w:tcW w:w="498" w:type="pct"/>
                  <w:tcBorders>
                    <w:tl2br w:val="nil"/>
                    <w:tr2bl w:val="nil"/>
                  </w:tcBorders>
                  <w:noWrap/>
                  <w:vAlign w:val="center"/>
                </w:tcPr>
                <w:p w14:paraId="5F5F1C77">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0.00996</w:t>
                  </w:r>
                </w:p>
              </w:tc>
              <w:tc>
                <w:tcPr>
                  <w:tcW w:w="547" w:type="pct"/>
                  <w:tcBorders>
                    <w:tl2br w:val="nil"/>
                    <w:tr2bl w:val="nil"/>
                  </w:tcBorders>
                  <w:noWrap/>
                  <w:vAlign w:val="center"/>
                </w:tcPr>
                <w:p w14:paraId="18C38D2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0.00996</w:t>
                  </w:r>
                </w:p>
              </w:tc>
              <w:tc>
                <w:tcPr>
                  <w:tcW w:w="491" w:type="pct"/>
                  <w:tcBorders>
                    <w:tl2br w:val="nil"/>
                    <w:tr2bl w:val="nil"/>
                  </w:tcBorders>
                  <w:noWrap/>
                  <w:vAlign w:val="center"/>
                </w:tcPr>
                <w:p w14:paraId="4EA14C06">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0.00996</w:t>
                  </w:r>
                </w:p>
              </w:tc>
              <w:tc>
                <w:tcPr>
                  <w:tcW w:w="498" w:type="pct"/>
                  <w:tcBorders>
                    <w:tl2br w:val="nil"/>
                    <w:tr2bl w:val="nil"/>
                  </w:tcBorders>
                  <w:noWrap/>
                  <w:vAlign w:val="center"/>
                </w:tcPr>
                <w:p w14:paraId="5561DFC2">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0.00996</w:t>
                  </w:r>
                </w:p>
              </w:tc>
            </w:tr>
            <w:tr w14:paraId="1B6CB71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239" w:type="pct"/>
                  <w:vMerge w:val="restart"/>
                  <w:tcBorders>
                    <w:tl2br w:val="nil"/>
                    <w:tr2bl w:val="nil"/>
                  </w:tcBorders>
                  <w:noWrap w:val="0"/>
                  <w:vAlign w:val="center"/>
                </w:tcPr>
                <w:p w14:paraId="5177F9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废水</w:t>
                  </w:r>
                </w:p>
              </w:tc>
              <w:tc>
                <w:tcPr>
                  <w:tcW w:w="971" w:type="pct"/>
                  <w:tcBorders>
                    <w:tl2br w:val="nil"/>
                    <w:tr2bl w:val="nil"/>
                  </w:tcBorders>
                  <w:noWrap w:val="0"/>
                  <w:vAlign w:val="center"/>
                </w:tcPr>
                <w:p w14:paraId="7688F01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废水量</w:t>
                  </w:r>
                  <w:r>
                    <w:rPr>
                      <w:rFonts w:ascii="Arial" w:hAnsi="Arial" w:eastAsia="宋体" w:cs="Arial"/>
                      <w:i w:val="0"/>
                      <w:iCs w:val="0"/>
                      <w:color w:val="auto"/>
                      <w:kern w:val="0"/>
                      <w:sz w:val="20"/>
                      <w:szCs w:val="20"/>
                      <w:u w:val="none"/>
                      <w:lang w:val="en-US" w:eastAsia="zh-CN" w:bidi="ar"/>
                    </w:rPr>
                    <w:t>万t/a</w:t>
                  </w:r>
                </w:p>
              </w:tc>
              <w:tc>
                <w:tcPr>
                  <w:tcW w:w="547" w:type="pct"/>
                  <w:tcBorders>
                    <w:tl2br w:val="nil"/>
                    <w:tr2bl w:val="nil"/>
                  </w:tcBorders>
                  <w:noWrap w:val="0"/>
                  <w:vAlign w:val="center"/>
                </w:tcPr>
                <w:p w14:paraId="079C1CC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w:t>
                  </w:r>
                </w:p>
              </w:tc>
              <w:tc>
                <w:tcPr>
                  <w:tcW w:w="714" w:type="pct"/>
                  <w:tcBorders>
                    <w:tl2br w:val="nil"/>
                    <w:tr2bl w:val="nil"/>
                  </w:tcBorders>
                  <w:noWrap w:val="0"/>
                  <w:vAlign w:val="center"/>
                </w:tcPr>
                <w:p w14:paraId="4398CCA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6.5</w:t>
                  </w:r>
                </w:p>
              </w:tc>
              <w:tc>
                <w:tcPr>
                  <w:tcW w:w="491" w:type="pct"/>
                  <w:tcBorders>
                    <w:tl2br w:val="nil"/>
                    <w:tr2bl w:val="nil"/>
                  </w:tcBorders>
                  <w:noWrap w:val="0"/>
                  <w:vAlign w:val="center"/>
                </w:tcPr>
                <w:p w14:paraId="59DF5E1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498" w:type="pct"/>
                  <w:tcBorders>
                    <w:tl2br w:val="nil"/>
                    <w:tr2bl w:val="nil"/>
                  </w:tcBorders>
                  <w:noWrap w:val="0"/>
                  <w:vAlign w:val="center"/>
                </w:tcPr>
                <w:p w14:paraId="1E32DB7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6.5</w:t>
                  </w:r>
                </w:p>
              </w:tc>
              <w:tc>
                <w:tcPr>
                  <w:tcW w:w="547" w:type="pct"/>
                  <w:tcBorders>
                    <w:tl2br w:val="nil"/>
                    <w:tr2bl w:val="nil"/>
                  </w:tcBorders>
                  <w:noWrap w:val="0"/>
                  <w:vAlign w:val="center"/>
                </w:tcPr>
                <w:p w14:paraId="4ABD698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w:t>
                  </w:r>
                </w:p>
              </w:tc>
              <w:tc>
                <w:tcPr>
                  <w:tcW w:w="491" w:type="pct"/>
                  <w:tcBorders>
                    <w:tl2br w:val="nil"/>
                    <w:tr2bl w:val="nil"/>
                  </w:tcBorders>
                  <w:noWrap w:val="0"/>
                  <w:vAlign w:val="center"/>
                </w:tcPr>
                <w:p w14:paraId="7987F7D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6.5</w:t>
                  </w:r>
                </w:p>
              </w:tc>
              <w:tc>
                <w:tcPr>
                  <w:tcW w:w="498" w:type="pct"/>
                  <w:tcBorders>
                    <w:tl2br w:val="nil"/>
                    <w:tr2bl w:val="nil"/>
                  </w:tcBorders>
                  <w:noWrap w:val="0"/>
                  <w:vAlign w:val="center"/>
                </w:tcPr>
                <w:p w14:paraId="359343E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6.5</w:t>
                  </w:r>
                </w:p>
              </w:tc>
            </w:tr>
            <w:tr w14:paraId="1971060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239" w:type="pct"/>
                  <w:vMerge w:val="continue"/>
                  <w:tcBorders>
                    <w:tl2br w:val="nil"/>
                    <w:tr2bl w:val="nil"/>
                  </w:tcBorders>
                  <w:noWrap w:val="0"/>
                  <w:vAlign w:val="center"/>
                </w:tcPr>
                <w:p w14:paraId="305252E0">
                  <w:pPr>
                    <w:jc w:val="center"/>
                    <w:rPr>
                      <w:rFonts w:hint="eastAsia" w:ascii="宋体" w:hAnsi="宋体" w:eastAsia="宋体" w:cs="宋体"/>
                      <w:i w:val="0"/>
                      <w:iCs w:val="0"/>
                      <w:color w:val="auto"/>
                      <w:sz w:val="21"/>
                      <w:szCs w:val="21"/>
                      <w:u w:val="none"/>
                    </w:rPr>
                  </w:pPr>
                </w:p>
              </w:tc>
              <w:tc>
                <w:tcPr>
                  <w:tcW w:w="971" w:type="pct"/>
                  <w:tcBorders>
                    <w:tl2br w:val="nil"/>
                    <w:tr2bl w:val="nil"/>
                  </w:tcBorders>
                  <w:noWrap w:val="0"/>
                  <w:vAlign w:val="center"/>
                </w:tcPr>
                <w:p w14:paraId="58BEF99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COD</w:t>
                  </w:r>
                </w:p>
              </w:tc>
              <w:tc>
                <w:tcPr>
                  <w:tcW w:w="547" w:type="pct"/>
                  <w:tcBorders>
                    <w:tl2br w:val="nil"/>
                    <w:tr2bl w:val="nil"/>
                  </w:tcBorders>
                  <w:noWrap w:val="0"/>
                  <w:vAlign w:val="center"/>
                </w:tcPr>
                <w:p w14:paraId="0AB0E82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0.71</w:t>
                  </w:r>
                </w:p>
              </w:tc>
              <w:tc>
                <w:tcPr>
                  <w:tcW w:w="714" w:type="pct"/>
                  <w:tcBorders>
                    <w:tl2br w:val="nil"/>
                    <w:tr2bl w:val="nil"/>
                  </w:tcBorders>
                  <w:noWrap/>
                  <w:vAlign w:val="center"/>
                </w:tcPr>
                <w:p w14:paraId="38170628">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15.152026</w:t>
                  </w:r>
                </w:p>
              </w:tc>
              <w:tc>
                <w:tcPr>
                  <w:tcW w:w="491" w:type="pct"/>
                  <w:tcBorders>
                    <w:tl2br w:val="nil"/>
                    <w:tr2bl w:val="nil"/>
                  </w:tcBorders>
                  <w:noWrap w:val="0"/>
                  <w:vAlign w:val="center"/>
                </w:tcPr>
                <w:p w14:paraId="4685C20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14.8320 </w:t>
                  </w:r>
                </w:p>
              </w:tc>
              <w:tc>
                <w:tcPr>
                  <w:tcW w:w="498" w:type="pct"/>
                  <w:tcBorders>
                    <w:tl2br w:val="nil"/>
                    <w:tr2bl w:val="nil"/>
                  </w:tcBorders>
                  <w:noWrap/>
                  <w:vAlign w:val="center"/>
                </w:tcPr>
                <w:p w14:paraId="6EB8D536">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0.32</w:t>
                  </w:r>
                </w:p>
              </w:tc>
              <w:tc>
                <w:tcPr>
                  <w:tcW w:w="547" w:type="pct"/>
                  <w:tcBorders>
                    <w:tl2br w:val="nil"/>
                    <w:tr2bl w:val="nil"/>
                  </w:tcBorders>
                  <w:noWrap w:val="0"/>
                  <w:vAlign w:val="center"/>
                </w:tcPr>
                <w:p w14:paraId="79A9030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0.71</w:t>
                  </w:r>
                </w:p>
              </w:tc>
              <w:tc>
                <w:tcPr>
                  <w:tcW w:w="491" w:type="pct"/>
                  <w:tcBorders>
                    <w:tl2br w:val="nil"/>
                    <w:tr2bl w:val="nil"/>
                  </w:tcBorders>
                  <w:noWrap/>
                  <w:vAlign w:val="center"/>
                </w:tcPr>
                <w:p w14:paraId="68443DC0">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0.32</w:t>
                  </w:r>
                </w:p>
              </w:tc>
              <w:tc>
                <w:tcPr>
                  <w:tcW w:w="498" w:type="pct"/>
                  <w:tcBorders>
                    <w:tl2br w:val="nil"/>
                    <w:tr2bl w:val="nil"/>
                  </w:tcBorders>
                  <w:noWrap/>
                  <w:vAlign w:val="center"/>
                </w:tcPr>
                <w:p w14:paraId="6AA286F3">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0.32</w:t>
                  </w:r>
                </w:p>
              </w:tc>
            </w:tr>
            <w:tr w14:paraId="42DDC3C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239" w:type="pct"/>
                  <w:vMerge w:val="continue"/>
                  <w:tcBorders>
                    <w:tl2br w:val="nil"/>
                    <w:tr2bl w:val="nil"/>
                  </w:tcBorders>
                  <w:noWrap w:val="0"/>
                  <w:vAlign w:val="center"/>
                </w:tcPr>
                <w:p w14:paraId="380E6757">
                  <w:pPr>
                    <w:jc w:val="center"/>
                    <w:rPr>
                      <w:rFonts w:hint="eastAsia" w:ascii="宋体" w:hAnsi="宋体" w:eastAsia="宋体" w:cs="宋体"/>
                      <w:i w:val="0"/>
                      <w:iCs w:val="0"/>
                      <w:color w:val="auto"/>
                      <w:sz w:val="21"/>
                      <w:szCs w:val="21"/>
                      <w:u w:val="none"/>
                    </w:rPr>
                  </w:pPr>
                </w:p>
              </w:tc>
              <w:tc>
                <w:tcPr>
                  <w:tcW w:w="971" w:type="pct"/>
                  <w:tcBorders>
                    <w:tl2br w:val="nil"/>
                    <w:tr2bl w:val="nil"/>
                  </w:tcBorders>
                  <w:noWrap w:val="0"/>
                  <w:vAlign w:val="center"/>
                </w:tcPr>
                <w:p w14:paraId="282821A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BOD5</w:t>
                  </w:r>
                </w:p>
              </w:tc>
              <w:tc>
                <w:tcPr>
                  <w:tcW w:w="547" w:type="pct"/>
                  <w:tcBorders>
                    <w:tl2br w:val="nil"/>
                    <w:tr2bl w:val="nil"/>
                  </w:tcBorders>
                  <w:noWrap w:val="0"/>
                  <w:vAlign w:val="center"/>
                </w:tcPr>
                <w:p w14:paraId="2A3E003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0.07</w:t>
                  </w:r>
                </w:p>
              </w:tc>
              <w:tc>
                <w:tcPr>
                  <w:tcW w:w="714" w:type="pct"/>
                  <w:tcBorders>
                    <w:tl2br w:val="nil"/>
                    <w:tr2bl w:val="nil"/>
                  </w:tcBorders>
                  <w:noWrap/>
                  <w:vAlign w:val="center"/>
                </w:tcPr>
                <w:p w14:paraId="51A9A3EC">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5.1295494</w:t>
                  </w:r>
                </w:p>
              </w:tc>
              <w:tc>
                <w:tcPr>
                  <w:tcW w:w="491" w:type="pct"/>
                  <w:tcBorders>
                    <w:tl2br w:val="nil"/>
                    <w:tr2bl w:val="nil"/>
                  </w:tcBorders>
                  <w:noWrap w:val="0"/>
                  <w:vAlign w:val="center"/>
                </w:tcPr>
                <w:p w14:paraId="5965FF4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5.0895 </w:t>
                  </w:r>
                </w:p>
              </w:tc>
              <w:tc>
                <w:tcPr>
                  <w:tcW w:w="498" w:type="pct"/>
                  <w:tcBorders>
                    <w:tl2br w:val="nil"/>
                    <w:tr2bl w:val="nil"/>
                  </w:tcBorders>
                  <w:noWrap/>
                  <w:vAlign w:val="center"/>
                </w:tcPr>
                <w:p w14:paraId="0063E7FD">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0.04</w:t>
                  </w:r>
                </w:p>
              </w:tc>
              <w:tc>
                <w:tcPr>
                  <w:tcW w:w="547" w:type="pct"/>
                  <w:tcBorders>
                    <w:tl2br w:val="nil"/>
                    <w:tr2bl w:val="nil"/>
                  </w:tcBorders>
                  <w:noWrap w:val="0"/>
                  <w:vAlign w:val="center"/>
                </w:tcPr>
                <w:p w14:paraId="7F9638A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0.07</w:t>
                  </w:r>
                </w:p>
              </w:tc>
              <w:tc>
                <w:tcPr>
                  <w:tcW w:w="491" w:type="pct"/>
                  <w:tcBorders>
                    <w:tl2br w:val="nil"/>
                    <w:tr2bl w:val="nil"/>
                  </w:tcBorders>
                  <w:noWrap/>
                  <w:vAlign w:val="center"/>
                </w:tcPr>
                <w:p w14:paraId="541626CB">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0.04</w:t>
                  </w:r>
                </w:p>
              </w:tc>
              <w:tc>
                <w:tcPr>
                  <w:tcW w:w="498" w:type="pct"/>
                  <w:tcBorders>
                    <w:tl2br w:val="nil"/>
                    <w:tr2bl w:val="nil"/>
                  </w:tcBorders>
                  <w:noWrap/>
                  <w:vAlign w:val="center"/>
                </w:tcPr>
                <w:p w14:paraId="7C2D1F59">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0.04</w:t>
                  </w:r>
                </w:p>
              </w:tc>
            </w:tr>
            <w:tr w14:paraId="0B7785E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239" w:type="pct"/>
                  <w:vMerge w:val="continue"/>
                  <w:tcBorders>
                    <w:tl2br w:val="nil"/>
                    <w:tr2bl w:val="nil"/>
                  </w:tcBorders>
                  <w:noWrap w:val="0"/>
                  <w:vAlign w:val="center"/>
                </w:tcPr>
                <w:p w14:paraId="7CE941A1">
                  <w:pPr>
                    <w:jc w:val="center"/>
                    <w:rPr>
                      <w:rFonts w:hint="eastAsia" w:ascii="宋体" w:hAnsi="宋体" w:eastAsia="宋体" w:cs="宋体"/>
                      <w:i w:val="0"/>
                      <w:iCs w:val="0"/>
                      <w:color w:val="auto"/>
                      <w:sz w:val="21"/>
                      <w:szCs w:val="21"/>
                      <w:u w:val="none"/>
                    </w:rPr>
                  </w:pPr>
                </w:p>
              </w:tc>
              <w:tc>
                <w:tcPr>
                  <w:tcW w:w="971" w:type="pct"/>
                  <w:tcBorders>
                    <w:tl2br w:val="nil"/>
                    <w:tr2bl w:val="nil"/>
                  </w:tcBorders>
                  <w:noWrap w:val="0"/>
                  <w:vAlign w:val="center"/>
                </w:tcPr>
                <w:p w14:paraId="45933B9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SS</w:t>
                  </w:r>
                </w:p>
              </w:tc>
              <w:tc>
                <w:tcPr>
                  <w:tcW w:w="547" w:type="pct"/>
                  <w:tcBorders>
                    <w:tl2br w:val="nil"/>
                    <w:tr2bl w:val="nil"/>
                  </w:tcBorders>
                  <w:noWrap w:val="0"/>
                  <w:vAlign w:val="center"/>
                </w:tcPr>
                <w:p w14:paraId="3F39009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0.27</w:t>
                  </w:r>
                </w:p>
              </w:tc>
              <w:tc>
                <w:tcPr>
                  <w:tcW w:w="714" w:type="pct"/>
                  <w:tcBorders>
                    <w:tl2br w:val="nil"/>
                    <w:tr2bl w:val="nil"/>
                  </w:tcBorders>
                  <w:noWrap/>
                  <w:vAlign w:val="center"/>
                </w:tcPr>
                <w:p w14:paraId="3A76E08B">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5.28304504</w:t>
                  </w:r>
                </w:p>
              </w:tc>
              <w:tc>
                <w:tcPr>
                  <w:tcW w:w="491" w:type="pct"/>
                  <w:tcBorders>
                    <w:tl2br w:val="nil"/>
                    <w:tr2bl w:val="nil"/>
                  </w:tcBorders>
                  <w:noWrap w:val="0"/>
                  <w:vAlign w:val="center"/>
                </w:tcPr>
                <w:p w14:paraId="76E4FB7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5.2530 </w:t>
                  </w:r>
                </w:p>
              </w:tc>
              <w:tc>
                <w:tcPr>
                  <w:tcW w:w="498" w:type="pct"/>
                  <w:tcBorders>
                    <w:tl2br w:val="nil"/>
                    <w:tr2bl w:val="nil"/>
                  </w:tcBorders>
                  <w:noWrap/>
                  <w:vAlign w:val="center"/>
                </w:tcPr>
                <w:p w14:paraId="7C2582C4">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547" w:type="pct"/>
                  <w:tcBorders>
                    <w:tl2br w:val="nil"/>
                    <w:tr2bl w:val="nil"/>
                  </w:tcBorders>
                  <w:noWrap w:val="0"/>
                  <w:vAlign w:val="center"/>
                </w:tcPr>
                <w:p w14:paraId="707B64E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0.27</w:t>
                  </w:r>
                </w:p>
              </w:tc>
              <w:tc>
                <w:tcPr>
                  <w:tcW w:w="491" w:type="pct"/>
                  <w:tcBorders>
                    <w:tl2br w:val="nil"/>
                    <w:tr2bl w:val="nil"/>
                  </w:tcBorders>
                  <w:noWrap/>
                  <w:vAlign w:val="center"/>
                </w:tcPr>
                <w:p w14:paraId="7930A4DC">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0.03</w:t>
                  </w:r>
                </w:p>
              </w:tc>
              <w:tc>
                <w:tcPr>
                  <w:tcW w:w="498" w:type="pct"/>
                  <w:tcBorders>
                    <w:tl2br w:val="nil"/>
                    <w:tr2bl w:val="nil"/>
                  </w:tcBorders>
                  <w:noWrap/>
                  <w:vAlign w:val="center"/>
                </w:tcPr>
                <w:p w14:paraId="5AB79580">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0.03</w:t>
                  </w:r>
                </w:p>
              </w:tc>
            </w:tr>
            <w:tr w14:paraId="3876769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239" w:type="pct"/>
                  <w:vMerge w:val="continue"/>
                  <w:tcBorders>
                    <w:tl2br w:val="nil"/>
                    <w:tr2bl w:val="nil"/>
                  </w:tcBorders>
                  <w:noWrap w:val="0"/>
                  <w:vAlign w:val="center"/>
                </w:tcPr>
                <w:p w14:paraId="4048FEF4">
                  <w:pPr>
                    <w:jc w:val="center"/>
                    <w:rPr>
                      <w:rFonts w:hint="eastAsia" w:ascii="宋体" w:hAnsi="宋体" w:eastAsia="宋体" w:cs="宋体"/>
                      <w:i w:val="0"/>
                      <w:iCs w:val="0"/>
                      <w:color w:val="auto"/>
                      <w:sz w:val="21"/>
                      <w:szCs w:val="21"/>
                      <w:u w:val="none"/>
                    </w:rPr>
                  </w:pPr>
                </w:p>
              </w:tc>
              <w:tc>
                <w:tcPr>
                  <w:tcW w:w="971" w:type="pct"/>
                  <w:tcBorders>
                    <w:tl2br w:val="nil"/>
                    <w:tr2bl w:val="nil"/>
                  </w:tcBorders>
                  <w:noWrap w:val="0"/>
                  <w:vAlign w:val="center"/>
                </w:tcPr>
                <w:p w14:paraId="743670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NH3-N</w:t>
                  </w:r>
                </w:p>
              </w:tc>
              <w:tc>
                <w:tcPr>
                  <w:tcW w:w="547" w:type="pct"/>
                  <w:tcBorders>
                    <w:tl2br w:val="nil"/>
                    <w:tr2bl w:val="nil"/>
                  </w:tcBorders>
                  <w:noWrap w:val="0"/>
                  <w:vAlign w:val="center"/>
                </w:tcPr>
                <w:p w14:paraId="1B36C73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0.29</w:t>
                  </w:r>
                </w:p>
              </w:tc>
              <w:tc>
                <w:tcPr>
                  <w:tcW w:w="714" w:type="pct"/>
                  <w:tcBorders>
                    <w:tl2br w:val="nil"/>
                    <w:tr2bl w:val="nil"/>
                  </w:tcBorders>
                  <w:noWrap/>
                  <w:vAlign w:val="center"/>
                </w:tcPr>
                <w:p w14:paraId="028742AF">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1.706269515</w:t>
                  </w:r>
                </w:p>
              </w:tc>
              <w:tc>
                <w:tcPr>
                  <w:tcW w:w="491" w:type="pct"/>
                  <w:tcBorders>
                    <w:tl2br w:val="nil"/>
                    <w:tr2bl w:val="nil"/>
                  </w:tcBorders>
                  <w:noWrap w:val="0"/>
                  <w:vAlign w:val="center"/>
                </w:tcPr>
                <w:p w14:paraId="254ADC4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1.6563 </w:t>
                  </w:r>
                </w:p>
              </w:tc>
              <w:tc>
                <w:tcPr>
                  <w:tcW w:w="498" w:type="pct"/>
                  <w:tcBorders>
                    <w:tl2br w:val="nil"/>
                    <w:tr2bl w:val="nil"/>
                  </w:tcBorders>
                  <w:noWrap/>
                  <w:vAlign w:val="center"/>
                </w:tcPr>
                <w:p w14:paraId="247DCAD1">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0.05</w:t>
                  </w:r>
                </w:p>
              </w:tc>
              <w:tc>
                <w:tcPr>
                  <w:tcW w:w="547" w:type="pct"/>
                  <w:tcBorders>
                    <w:tl2br w:val="nil"/>
                    <w:tr2bl w:val="nil"/>
                  </w:tcBorders>
                  <w:noWrap w:val="0"/>
                  <w:vAlign w:val="center"/>
                </w:tcPr>
                <w:p w14:paraId="322DD7A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0.29</w:t>
                  </w:r>
                </w:p>
              </w:tc>
              <w:tc>
                <w:tcPr>
                  <w:tcW w:w="491" w:type="pct"/>
                  <w:tcBorders>
                    <w:tl2br w:val="nil"/>
                    <w:tr2bl w:val="nil"/>
                  </w:tcBorders>
                  <w:noWrap/>
                  <w:vAlign w:val="center"/>
                </w:tcPr>
                <w:p w14:paraId="74BC7A6A">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0.05</w:t>
                  </w:r>
                </w:p>
              </w:tc>
              <w:tc>
                <w:tcPr>
                  <w:tcW w:w="498" w:type="pct"/>
                  <w:tcBorders>
                    <w:tl2br w:val="nil"/>
                    <w:tr2bl w:val="nil"/>
                  </w:tcBorders>
                  <w:noWrap/>
                  <w:vAlign w:val="center"/>
                </w:tcPr>
                <w:p w14:paraId="02C4A53B">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0EC69C0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239" w:type="pct"/>
                  <w:vMerge w:val="continue"/>
                  <w:tcBorders>
                    <w:tl2br w:val="nil"/>
                    <w:tr2bl w:val="nil"/>
                  </w:tcBorders>
                  <w:noWrap w:val="0"/>
                  <w:vAlign w:val="center"/>
                </w:tcPr>
                <w:p w14:paraId="43FEBFCC">
                  <w:pPr>
                    <w:jc w:val="center"/>
                    <w:rPr>
                      <w:rFonts w:hint="eastAsia" w:ascii="宋体" w:hAnsi="宋体" w:eastAsia="宋体" w:cs="宋体"/>
                      <w:i w:val="0"/>
                      <w:iCs w:val="0"/>
                      <w:color w:val="auto"/>
                      <w:sz w:val="21"/>
                      <w:szCs w:val="21"/>
                      <w:u w:val="none"/>
                    </w:rPr>
                  </w:pPr>
                </w:p>
              </w:tc>
              <w:tc>
                <w:tcPr>
                  <w:tcW w:w="971" w:type="pct"/>
                  <w:tcBorders>
                    <w:tl2br w:val="nil"/>
                    <w:tr2bl w:val="nil"/>
                  </w:tcBorders>
                  <w:noWrap w:val="0"/>
                  <w:vAlign w:val="center"/>
                </w:tcPr>
                <w:p w14:paraId="1431DB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动植物油</w:t>
                  </w:r>
                </w:p>
              </w:tc>
              <w:tc>
                <w:tcPr>
                  <w:tcW w:w="547" w:type="pct"/>
                  <w:tcBorders>
                    <w:tl2br w:val="nil"/>
                    <w:tr2bl w:val="nil"/>
                  </w:tcBorders>
                  <w:noWrap w:val="0"/>
                  <w:vAlign w:val="center"/>
                </w:tcPr>
                <w:p w14:paraId="3755F3D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714" w:type="pct"/>
                  <w:tcBorders>
                    <w:tl2br w:val="nil"/>
                    <w:tr2bl w:val="nil"/>
                  </w:tcBorders>
                  <w:noWrap/>
                  <w:vAlign w:val="center"/>
                </w:tcPr>
                <w:p w14:paraId="36741FD6">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0.0530856</w:t>
                  </w:r>
                </w:p>
              </w:tc>
              <w:tc>
                <w:tcPr>
                  <w:tcW w:w="491" w:type="pct"/>
                  <w:tcBorders>
                    <w:tl2br w:val="nil"/>
                    <w:tr2bl w:val="nil"/>
                  </w:tcBorders>
                  <w:noWrap w:val="0"/>
                  <w:vAlign w:val="center"/>
                </w:tcPr>
                <w:p w14:paraId="2586626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0.0031 </w:t>
                  </w:r>
                </w:p>
              </w:tc>
              <w:tc>
                <w:tcPr>
                  <w:tcW w:w="498" w:type="pct"/>
                  <w:tcBorders>
                    <w:tl2br w:val="nil"/>
                    <w:tr2bl w:val="nil"/>
                  </w:tcBorders>
                  <w:noWrap/>
                  <w:vAlign w:val="center"/>
                </w:tcPr>
                <w:p w14:paraId="4D95C78C">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0.05</w:t>
                  </w:r>
                </w:p>
              </w:tc>
              <w:tc>
                <w:tcPr>
                  <w:tcW w:w="547" w:type="pct"/>
                  <w:tcBorders>
                    <w:tl2br w:val="nil"/>
                    <w:tr2bl w:val="nil"/>
                  </w:tcBorders>
                  <w:noWrap w:val="0"/>
                  <w:vAlign w:val="center"/>
                </w:tcPr>
                <w:p w14:paraId="290AC5F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491" w:type="pct"/>
                  <w:tcBorders>
                    <w:tl2br w:val="nil"/>
                    <w:tr2bl w:val="nil"/>
                  </w:tcBorders>
                  <w:noWrap/>
                  <w:vAlign w:val="center"/>
                </w:tcPr>
                <w:p w14:paraId="61C2AE58">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0.05</w:t>
                  </w:r>
                </w:p>
              </w:tc>
              <w:tc>
                <w:tcPr>
                  <w:tcW w:w="498" w:type="pct"/>
                  <w:tcBorders>
                    <w:tl2br w:val="nil"/>
                    <w:tr2bl w:val="nil"/>
                  </w:tcBorders>
                  <w:noWrap/>
                  <w:vAlign w:val="center"/>
                </w:tcPr>
                <w:p w14:paraId="03DD9BA6">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1686DB9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239" w:type="pct"/>
                  <w:vMerge w:val="continue"/>
                  <w:tcBorders>
                    <w:tl2br w:val="nil"/>
                    <w:tr2bl w:val="nil"/>
                  </w:tcBorders>
                  <w:noWrap w:val="0"/>
                  <w:vAlign w:val="center"/>
                </w:tcPr>
                <w:p w14:paraId="02F58006">
                  <w:pPr>
                    <w:jc w:val="center"/>
                    <w:rPr>
                      <w:rFonts w:hint="eastAsia" w:ascii="宋体" w:hAnsi="宋体" w:eastAsia="宋体" w:cs="宋体"/>
                      <w:i w:val="0"/>
                      <w:iCs w:val="0"/>
                      <w:color w:val="auto"/>
                      <w:sz w:val="21"/>
                      <w:szCs w:val="21"/>
                      <w:u w:val="none"/>
                    </w:rPr>
                  </w:pPr>
                </w:p>
              </w:tc>
              <w:tc>
                <w:tcPr>
                  <w:tcW w:w="971" w:type="pct"/>
                  <w:tcBorders>
                    <w:tl2br w:val="nil"/>
                    <w:tr2bl w:val="nil"/>
                  </w:tcBorders>
                  <w:noWrap/>
                  <w:vAlign w:val="center"/>
                </w:tcPr>
                <w:p w14:paraId="041A23E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大肠菌群数</w:t>
                  </w:r>
                  <w:r>
                    <w:rPr>
                      <w:rFonts w:hint="default" w:ascii="Times New Roman" w:hAnsi="Times New Roman" w:eastAsia="宋体" w:cs="Times New Roman"/>
                      <w:i w:val="0"/>
                      <w:iCs w:val="0"/>
                      <w:color w:val="auto"/>
                      <w:kern w:val="0"/>
                      <w:sz w:val="21"/>
                      <w:szCs w:val="21"/>
                      <w:u w:val="none"/>
                      <w:lang w:val="en-US" w:eastAsia="zh-CN" w:bidi="ar"/>
                    </w:rPr>
                    <w:t>(</w:t>
                  </w:r>
                  <w:r>
                    <w:rPr>
                      <w:rStyle w:val="53"/>
                      <w:color w:val="auto"/>
                      <w:lang w:val="en-US" w:eastAsia="zh-CN" w:bidi="ar"/>
                    </w:rPr>
                    <w:t>个</w:t>
                  </w:r>
                  <w:r>
                    <w:rPr>
                      <w:rFonts w:hint="default" w:ascii="Times New Roman" w:hAnsi="Times New Roman" w:eastAsia="宋体" w:cs="Times New Roman"/>
                      <w:i w:val="0"/>
                      <w:iCs w:val="0"/>
                      <w:color w:val="auto"/>
                      <w:kern w:val="0"/>
                      <w:sz w:val="21"/>
                      <w:szCs w:val="21"/>
                      <w:u w:val="none"/>
                      <w:lang w:val="en-US" w:eastAsia="zh-CN" w:bidi="ar"/>
                    </w:rPr>
                    <w:t>/L)</w:t>
                  </w:r>
                </w:p>
              </w:tc>
              <w:tc>
                <w:tcPr>
                  <w:tcW w:w="547" w:type="pct"/>
                  <w:tcBorders>
                    <w:tl2br w:val="nil"/>
                    <w:tr2bl w:val="nil"/>
                  </w:tcBorders>
                  <w:noWrap w:val="0"/>
                  <w:vAlign w:val="center"/>
                </w:tcPr>
                <w:p w14:paraId="2A3A3C2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326</w:t>
                  </w:r>
                </w:p>
              </w:tc>
              <w:tc>
                <w:tcPr>
                  <w:tcW w:w="714" w:type="pct"/>
                  <w:tcBorders>
                    <w:tl2br w:val="nil"/>
                    <w:tr2bl w:val="nil"/>
                  </w:tcBorders>
                  <w:noWrap/>
                  <w:vAlign w:val="center"/>
                </w:tcPr>
                <w:p w14:paraId="2A2B188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1.6×10</w:t>
                  </w:r>
                  <w:r>
                    <w:rPr>
                      <w:rStyle w:val="55"/>
                      <w:rFonts w:eastAsia="宋体"/>
                      <w:color w:val="auto"/>
                      <w:lang w:val="en-US" w:eastAsia="zh-CN" w:bidi="ar"/>
                    </w:rPr>
                    <w:t>8</w:t>
                  </w:r>
                </w:p>
              </w:tc>
              <w:tc>
                <w:tcPr>
                  <w:tcW w:w="491" w:type="pct"/>
                  <w:tcBorders>
                    <w:tl2br w:val="nil"/>
                    <w:tr2bl w:val="nil"/>
                  </w:tcBorders>
                  <w:noWrap w:val="0"/>
                  <w:vAlign w:val="center"/>
                </w:tcPr>
                <w:p w14:paraId="018256AC">
                  <w:pPr>
                    <w:jc w:val="center"/>
                    <w:rPr>
                      <w:rFonts w:hint="default" w:ascii="Times New Roman" w:hAnsi="Times New Roman" w:eastAsia="宋体" w:cs="Times New Roman"/>
                      <w:i w:val="0"/>
                      <w:iCs w:val="0"/>
                      <w:color w:val="auto"/>
                      <w:sz w:val="21"/>
                      <w:szCs w:val="21"/>
                      <w:u w:val="none"/>
                    </w:rPr>
                  </w:pPr>
                </w:p>
              </w:tc>
              <w:tc>
                <w:tcPr>
                  <w:tcW w:w="498" w:type="pct"/>
                  <w:tcBorders>
                    <w:tl2br w:val="nil"/>
                    <w:tr2bl w:val="nil"/>
                  </w:tcBorders>
                  <w:noWrap/>
                  <w:vAlign w:val="center"/>
                </w:tcPr>
                <w:p w14:paraId="431A8E6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1.6×104</w:t>
                  </w:r>
                </w:p>
              </w:tc>
              <w:tc>
                <w:tcPr>
                  <w:tcW w:w="547" w:type="pct"/>
                  <w:tcBorders>
                    <w:tl2br w:val="nil"/>
                    <w:tr2bl w:val="nil"/>
                  </w:tcBorders>
                  <w:noWrap w:val="0"/>
                  <w:vAlign w:val="center"/>
                </w:tcPr>
                <w:p w14:paraId="64CE20B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326</w:t>
                  </w:r>
                </w:p>
              </w:tc>
              <w:tc>
                <w:tcPr>
                  <w:tcW w:w="491" w:type="pct"/>
                  <w:tcBorders>
                    <w:tl2br w:val="nil"/>
                    <w:tr2bl w:val="nil"/>
                  </w:tcBorders>
                  <w:noWrap/>
                  <w:vAlign w:val="center"/>
                </w:tcPr>
                <w:p w14:paraId="63CD1E82">
                  <w:pPr>
                    <w:keepNext w:val="0"/>
                    <w:keepLines w:val="0"/>
                    <w:widowControl/>
                    <w:suppressLineNumbers w:val="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0.05</w:t>
                  </w:r>
                </w:p>
              </w:tc>
              <w:tc>
                <w:tcPr>
                  <w:tcW w:w="498" w:type="pct"/>
                  <w:tcBorders>
                    <w:tl2br w:val="nil"/>
                    <w:tr2bl w:val="nil"/>
                  </w:tcBorders>
                  <w:noWrap/>
                  <w:vAlign w:val="center"/>
                </w:tcPr>
                <w:p w14:paraId="7C999E0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1.6×104</w:t>
                  </w:r>
                </w:p>
              </w:tc>
            </w:tr>
            <w:tr w14:paraId="4C7DCD5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239" w:type="pct"/>
                  <w:vMerge w:val="restart"/>
                  <w:tcBorders>
                    <w:tl2br w:val="nil"/>
                    <w:tr2bl w:val="nil"/>
                  </w:tcBorders>
                  <w:shd w:val="clear" w:color="auto" w:fill="auto"/>
                  <w:noWrap w:val="0"/>
                  <w:vAlign w:val="center"/>
                </w:tcPr>
                <w:p w14:paraId="07054A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固废</w:t>
                  </w:r>
                </w:p>
              </w:tc>
              <w:tc>
                <w:tcPr>
                  <w:tcW w:w="971" w:type="pct"/>
                  <w:tcBorders>
                    <w:tl2br w:val="nil"/>
                    <w:tr2bl w:val="nil"/>
                  </w:tcBorders>
                  <w:shd w:val="clear" w:color="auto" w:fill="FFFFFF"/>
                  <w:noWrap w:val="0"/>
                  <w:vAlign w:val="center"/>
                </w:tcPr>
                <w:p w14:paraId="341BB8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医疗废物</w:t>
                  </w:r>
                </w:p>
              </w:tc>
              <w:tc>
                <w:tcPr>
                  <w:tcW w:w="547" w:type="pct"/>
                  <w:tcBorders>
                    <w:tl2br w:val="nil"/>
                    <w:tr2bl w:val="nil"/>
                  </w:tcBorders>
                  <w:shd w:val="clear" w:color="auto" w:fill="FFFFFF"/>
                  <w:noWrap w:val="0"/>
                  <w:vAlign w:val="center"/>
                </w:tcPr>
                <w:p w14:paraId="2FD0BFE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21.06</w:t>
                  </w:r>
                </w:p>
              </w:tc>
              <w:tc>
                <w:tcPr>
                  <w:tcW w:w="714" w:type="pct"/>
                  <w:tcBorders>
                    <w:tl2br w:val="nil"/>
                    <w:tr2bl w:val="nil"/>
                  </w:tcBorders>
                  <w:shd w:val="clear" w:color="auto" w:fill="FFFFFF"/>
                  <w:noWrap w:val="0"/>
                  <w:vAlign w:val="center"/>
                </w:tcPr>
                <w:p w14:paraId="2A640D8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26.06</w:t>
                  </w:r>
                </w:p>
              </w:tc>
              <w:tc>
                <w:tcPr>
                  <w:tcW w:w="491" w:type="pct"/>
                  <w:tcBorders>
                    <w:tl2br w:val="nil"/>
                    <w:tr2bl w:val="nil"/>
                  </w:tcBorders>
                  <w:shd w:val="clear" w:color="auto" w:fill="FFFFFF"/>
                  <w:noWrap w:val="0"/>
                  <w:vAlign w:val="center"/>
                </w:tcPr>
                <w:p w14:paraId="131C7274">
                  <w:pPr>
                    <w:jc w:val="center"/>
                    <w:rPr>
                      <w:rFonts w:hint="default" w:ascii="Times New Roman" w:hAnsi="Times New Roman" w:eastAsia="宋体" w:cs="Times New Roman"/>
                      <w:i w:val="0"/>
                      <w:iCs w:val="0"/>
                      <w:color w:val="auto"/>
                      <w:sz w:val="21"/>
                      <w:szCs w:val="21"/>
                      <w:u w:val="none"/>
                    </w:rPr>
                  </w:pPr>
                </w:p>
              </w:tc>
              <w:tc>
                <w:tcPr>
                  <w:tcW w:w="498" w:type="pct"/>
                  <w:tcBorders>
                    <w:tl2br w:val="nil"/>
                    <w:tr2bl w:val="nil"/>
                  </w:tcBorders>
                  <w:shd w:val="clear" w:color="auto" w:fill="FFFFFF"/>
                  <w:noWrap w:val="0"/>
                  <w:vAlign w:val="center"/>
                </w:tcPr>
                <w:p w14:paraId="58B164C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26.06</w:t>
                  </w:r>
                </w:p>
              </w:tc>
              <w:tc>
                <w:tcPr>
                  <w:tcW w:w="547" w:type="pct"/>
                  <w:tcBorders>
                    <w:tl2br w:val="nil"/>
                    <w:tr2bl w:val="nil"/>
                  </w:tcBorders>
                  <w:shd w:val="clear" w:color="auto" w:fill="auto"/>
                  <w:noWrap w:val="0"/>
                  <w:vAlign w:val="center"/>
                </w:tcPr>
                <w:p w14:paraId="3681AE7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491" w:type="pct"/>
                  <w:tcBorders>
                    <w:tl2br w:val="nil"/>
                    <w:tr2bl w:val="nil"/>
                  </w:tcBorders>
                  <w:shd w:val="clear" w:color="auto" w:fill="FFFFFF"/>
                  <w:noWrap w:val="0"/>
                  <w:vAlign w:val="center"/>
                </w:tcPr>
                <w:p w14:paraId="403D7AF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47.12</w:t>
                  </w:r>
                </w:p>
              </w:tc>
              <w:tc>
                <w:tcPr>
                  <w:tcW w:w="498" w:type="pct"/>
                  <w:tcBorders>
                    <w:tl2br w:val="nil"/>
                    <w:tr2bl w:val="nil"/>
                  </w:tcBorders>
                  <w:shd w:val="clear" w:color="auto" w:fill="FFFFFF"/>
                  <w:noWrap w:val="0"/>
                  <w:vAlign w:val="center"/>
                </w:tcPr>
                <w:p w14:paraId="52FA297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26.06</w:t>
                  </w:r>
                </w:p>
              </w:tc>
            </w:tr>
            <w:tr w14:paraId="2BFDE43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525" w:hRule="atLeast"/>
              </w:trPr>
              <w:tc>
                <w:tcPr>
                  <w:tcW w:w="239" w:type="pct"/>
                  <w:vMerge w:val="continue"/>
                  <w:tcBorders>
                    <w:tl2br w:val="nil"/>
                    <w:tr2bl w:val="nil"/>
                  </w:tcBorders>
                  <w:shd w:val="clear" w:color="auto" w:fill="auto"/>
                  <w:noWrap w:val="0"/>
                  <w:vAlign w:val="center"/>
                </w:tcPr>
                <w:p w14:paraId="1AB09E69">
                  <w:pPr>
                    <w:jc w:val="center"/>
                    <w:rPr>
                      <w:rFonts w:hint="eastAsia" w:ascii="宋体" w:hAnsi="宋体" w:eastAsia="宋体" w:cs="宋体"/>
                      <w:i w:val="0"/>
                      <w:iCs w:val="0"/>
                      <w:color w:val="auto"/>
                      <w:sz w:val="21"/>
                      <w:szCs w:val="21"/>
                      <w:u w:val="none"/>
                    </w:rPr>
                  </w:pPr>
                </w:p>
              </w:tc>
              <w:tc>
                <w:tcPr>
                  <w:tcW w:w="971" w:type="pct"/>
                  <w:tcBorders>
                    <w:tl2br w:val="nil"/>
                    <w:tr2bl w:val="nil"/>
                  </w:tcBorders>
                  <w:shd w:val="clear" w:color="auto" w:fill="FFFFFF"/>
                  <w:noWrap w:val="0"/>
                  <w:vAlign w:val="center"/>
                </w:tcPr>
                <w:p w14:paraId="417A24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污水处理设施污泥</w:t>
                  </w:r>
                </w:p>
              </w:tc>
              <w:tc>
                <w:tcPr>
                  <w:tcW w:w="547" w:type="pct"/>
                  <w:tcBorders>
                    <w:tl2br w:val="nil"/>
                    <w:tr2bl w:val="nil"/>
                  </w:tcBorders>
                  <w:shd w:val="clear" w:color="auto" w:fill="FFFFFF"/>
                  <w:noWrap w:val="0"/>
                  <w:vAlign w:val="center"/>
                </w:tcPr>
                <w:p w14:paraId="289C955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p>
              </w:tc>
              <w:tc>
                <w:tcPr>
                  <w:tcW w:w="714" w:type="pct"/>
                  <w:tcBorders>
                    <w:tl2br w:val="nil"/>
                    <w:tr2bl w:val="nil"/>
                  </w:tcBorders>
                  <w:shd w:val="clear" w:color="auto" w:fill="FFFFFF"/>
                  <w:noWrap w:val="0"/>
                  <w:vAlign w:val="center"/>
                </w:tcPr>
                <w:p w14:paraId="598D117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23.24</w:t>
                  </w:r>
                </w:p>
              </w:tc>
              <w:tc>
                <w:tcPr>
                  <w:tcW w:w="491" w:type="pct"/>
                  <w:tcBorders>
                    <w:tl2br w:val="nil"/>
                    <w:tr2bl w:val="nil"/>
                  </w:tcBorders>
                  <w:shd w:val="clear" w:color="auto" w:fill="FFFFFF"/>
                  <w:noWrap w:val="0"/>
                  <w:vAlign w:val="center"/>
                </w:tcPr>
                <w:p w14:paraId="53997839">
                  <w:pPr>
                    <w:jc w:val="center"/>
                    <w:rPr>
                      <w:rFonts w:hint="default" w:ascii="Times New Roman" w:hAnsi="Times New Roman" w:eastAsia="宋体" w:cs="Times New Roman"/>
                      <w:i w:val="0"/>
                      <w:iCs w:val="0"/>
                      <w:color w:val="auto"/>
                      <w:sz w:val="21"/>
                      <w:szCs w:val="21"/>
                      <w:u w:val="none"/>
                    </w:rPr>
                  </w:pPr>
                </w:p>
              </w:tc>
              <w:tc>
                <w:tcPr>
                  <w:tcW w:w="498" w:type="pct"/>
                  <w:tcBorders>
                    <w:tl2br w:val="nil"/>
                    <w:tr2bl w:val="nil"/>
                  </w:tcBorders>
                  <w:shd w:val="clear" w:color="auto" w:fill="FFFFFF"/>
                  <w:noWrap w:val="0"/>
                  <w:vAlign w:val="center"/>
                </w:tcPr>
                <w:p w14:paraId="65011CE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23.24</w:t>
                  </w:r>
                </w:p>
              </w:tc>
              <w:tc>
                <w:tcPr>
                  <w:tcW w:w="547" w:type="pct"/>
                  <w:tcBorders>
                    <w:tl2br w:val="nil"/>
                    <w:tr2bl w:val="nil"/>
                  </w:tcBorders>
                  <w:shd w:val="clear" w:color="auto" w:fill="auto"/>
                  <w:noWrap w:val="0"/>
                  <w:vAlign w:val="center"/>
                </w:tcPr>
                <w:p w14:paraId="0A785AB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491" w:type="pct"/>
                  <w:tcBorders>
                    <w:tl2br w:val="nil"/>
                    <w:tr2bl w:val="nil"/>
                  </w:tcBorders>
                  <w:shd w:val="clear" w:color="auto" w:fill="FFFFFF"/>
                  <w:noWrap w:val="0"/>
                  <w:vAlign w:val="center"/>
                </w:tcPr>
                <w:p w14:paraId="55DD8EB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29.24</w:t>
                  </w:r>
                </w:p>
              </w:tc>
              <w:tc>
                <w:tcPr>
                  <w:tcW w:w="498" w:type="pct"/>
                  <w:tcBorders>
                    <w:tl2br w:val="nil"/>
                    <w:tr2bl w:val="nil"/>
                  </w:tcBorders>
                  <w:shd w:val="clear" w:color="auto" w:fill="FFFFFF"/>
                  <w:noWrap w:val="0"/>
                  <w:vAlign w:val="center"/>
                </w:tcPr>
                <w:p w14:paraId="1DEBE6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23.24</w:t>
                  </w:r>
                </w:p>
              </w:tc>
            </w:tr>
            <w:tr w14:paraId="5265335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239" w:type="pct"/>
                  <w:vMerge w:val="continue"/>
                  <w:tcBorders>
                    <w:tl2br w:val="nil"/>
                    <w:tr2bl w:val="nil"/>
                  </w:tcBorders>
                  <w:shd w:val="clear" w:color="auto" w:fill="auto"/>
                  <w:noWrap w:val="0"/>
                  <w:vAlign w:val="center"/>
                </w:tcPr>
                <w:p w14:paraId="4344F889">
                  <w:pPr>
                    <w:jc w:val="center"/>
                    <w:rPr>
                      <w:rFonts w:hint="eastAsia" w:ascii="宋体" w:hAnsi="宋体" w:eastAsia="宋体" w:cs="宋体"/>
                      <w:i w:val="0"/>
                      <w:iCs w:val="0"/>
                      <w:color w:val="auto"/>
                      <w:sz w:val="21"/>
                      <w:szCs w:val="21"/>
                      <w:u w:val="none"/>
                    </w:rPr>
                  </w:pPr>
                </w:p>
              </w:tc>
              <w:tc>
                <w:tcPr>
                  <w:tcW w:w="971" w:type="pct"/>
                  <w:tcBorders>
                    <w:tl2br w:val="nil"/>
                    <w:tr2bl w:val="nil"/>
                  </w:tcBorders>
                  <w:shd w:val="clear" w:color="auto" w:fill="FFFFFF"/>
                  <w:noWrap w:val="0"/>
                  <w:vAlign w:val="center"/>
                </w:tcPr>
                <w:p w14:paraId="4D69D7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废弃灯管</w:t>
                  </w:r>
                </w:p>
              </w:tc>
              <w:tc>
                <w:tcPr>
                  <w:tcW w:w="547" w:type="pct"/>
                  <w:tcBorders>
                    <w:tl2br w:val="nil"/>
                    <w:tr2bl w:val="nil"/>
                  </w:tcBorders>
                  <w:shd w:val="clear" w:color="auto" w:fill="FFFFFF"/>
                  <w:noWrap w:val="0"/>
                  <w:vAlign w:val="center"/>
                </w:tcPr>
                <w:p w14:paraId="63A022A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714" w:type="pct"/>
                  <w:tcBorders>
                    <w:tl2br w:val="nil"/>
                    <w:tr2bl w:val="nil"/>
                  </w:tcBorders>
                  <w:shd w:val="clear" w:color="auto" w:fill="FFFFFF"/>
                  <w:noWrap w:val="0"/>
                  <w:vAlign w:val="center"/>
                </w:tcPr>
                <w:p w14:paraId="1B405F7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0.4712</w:t>
                  </w:r>
                </w:p>
              </w:tc>
              <w:tc>
                <w:tcPr>
                  <w:tcW w:w="491" w:type="pct"/>
                  <w:tcBorders>
                    <w:tl2br w:val="nil"/>
                    <w:tr2bl w:val="nil"/>
                  </w:tcBorders>
                  <w:shd w:val="clear" w:color="auto" w:fill="FFFFFF"/>
                  <w:noWrap w:val="0"/>
                  <w:vAlign w:val="center"/>
                </w:tcPr>
                <w:p w14:paraId="524FEAD5">
                  <w:pPr>
                    <w:jc w:val="center"/>
                    <w:rPr>
                      <w:rFonts w:hint="default" w:ascii="Times New Roman" w:hAnsi="Times New Roman" w:eastAsia="宋体" w:cs="Times New Roman"/>
                      <w:i w:val="0"/>
                      <w:iCs w:val="0"/>
                      <w:color w:val="auto"/>
                      <w:sz w:val="21"/>
                      <w:szCs w:val="21"/>
                      <w:u w:val="none"/>
                    </w:rPr>
                  </w:pPr>
                </w:p>
              </w:tc>
              <w:tc>
                <w:tcPr>
                  <w:tcW w:w="498" w:type="pct"/>
                  <w:tcBorders>
                    <w:tl2br w:val="nil"/>
                    <w:tr2bl w:val="nil"/>
                  </w:tcBorders>
                  <w:shd w:val="clear" w:color="auto" w:fill="FFFFFF"/>
                  <w:noWrap w:val="0"/>
                  <w:vAlign w:val="center"/>
                </w:tcPr>
                <w:p w14:paraId="0F556C1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0.4712</w:t>
                  </w:r>
                </w:p>
              </w:tc>
              <w:tc>
                <w:tcPr>
                  <w:tcW w:w="547" w:type="pct"/>
                  <w:tcBorders>
                    <w:tl2br w:val="nil"/>
                    <w:tr2bl w:val="nil"/>
                  </w:tcBorders>
                  <w:shd w:val="clear" w:color="auto" w:fill="auto"/>
                  <w:noWrap w:val="0"/>
                  <w:vAlign w:val="center"/>
                </w:tcPr>
                <w:p w14:paraId="5C59987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491" w:type="pct"/>
                  <w:tcBorders>
                    <w:tl2br w:val="nil"/>
                    <w:tr2bl w:val="nil"/>
                  </w:tcBorders>
                  <w:shd w:val="clear" w:color="auto" w:fill="FFFFFF"/>
                  <w:noWrap w:val="0"/>
                  <w:vAlign w:val="center"/>
                </w:tcPr>
                <w:p w14:paraId="1322C29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0.4712</w:t>
                  </w:r>
                </w:p>
              </w:tc>
              <w:tc>
                <w:tcPr>
                  <w:tcW w:w="498" w:type="pct"/>
                  <w:tcBorders>
                    <w:tl2br w:val="nil"/>
                    <w:tr2bl w:val="nil"/>
                  </w:tcBorders>
                  <w:shd w:val="clear" w:color="auto" w:fill="FFFFFF"/>
                  <w:noWrap w:val="0"/>
                  <w:vAlign w:val="center"/>
                </w:tcPr>
                <w:p w14:paraId="7F0FB74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0.4712</w:t>
                  </w:r>
                </w:p>
              </w:tc>
            </w:tr>
            <w:tr w14:paraId="72F53F9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239" w:type="pct"/>
                  <w:vMerge w:val="continue"/>
                  <w:tcBorders>
                    <w:tl2br w:val="nil"/>
                    <w:tr2bl w:val="nil"/>
                  </w:tcBorders>
                  <w:shd w:val="clear" w:color="auto" w:fill="auto"/>
                  <w:noWrap w:val="0"/>
                  <w:vAlign w:val="center"/>
                </w:tcPr>
                <w:p w14:paraId="72F0FE3B">
                  <w:pPr>
                    <w:jc w:val="center"/>
                    <w:rPr>
                      <w:rFonts w:hint="eastAsia" w:ascii="宋体" w:hAnsi="宋体" w:eastAsia="宋体" w:cs="宋体"/>
                      <w:i w:val="0"/>
                      <w:iCs w:val="0"/>
                      <w:color w:val="auto"/>
                      <w:sz w:val="21"/>
                      <w:szCs w:val="21"/>
                      <w:u w:val="none"/>
                    </w:rPr>
                  </w:pPr>
                </w:p>
              </w:tc>
              <w:tc>
                <w:tcPr>
                  <w:tcW w:w="971" w:type="pct"/>
                  <w:tcBorders>
                    <w:tl2br w:val="nil"/>
                    <w:tr2bl w:val="nil"/>
                  </w:tcBorders>
                  <w:shd w:val="clear" w:color="auto" w:fill="FFFFFF"/>
                  <w:noWrap w:val="0"/>
                  <w:vAlign w:val="center"/>
                </w:tcPr>
                <w:p w14:paraId="6E211A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废活性炭</w:t>
                  </w:r>
                </w:p>
              </w:tc>
              <w:tc>
                <w:tcPr>
                  <w:tcW w:w="547" w:type="pct"/>
                  <w:tcBorders>
                    <w:tl2br w:val="nil"/>
                    <w:tr2bl w:val="nil"/>
                  </w:tcBorders>
                  <w:shd w:val="clear" w:color="auto" w:fill="FFFFFF"/>
                  <w:noWrap w:val="0"/>
                  <w:vAlign w:val="center"/>
                </w:tcPr>
                <w:p w14:paraId="3083B2A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714" w:type="pct"/>
                  <w:tcBorders>
                    <w:tl2br w:val="nil"/>
                    <w:tr2bl w:val="nil"/>
                  </w:tcBorders>
                  <w:shd w:val="clear" w:color="auto" w:fill="FFFFFF"/>
                  <w:noWrap w:val="0"/>
                  <w:vAlign w:val="center"/>
                </w:tcPr>
                <w:p w14:paraId="1FB0588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491" w:type="pct"/>
                  <w:tcBorders>
                    <w:tl2br w:val="nil"/>
                    <w:tr2bl w:val="nil"/>
                  </w:tcBorders>
                  <w:shd w:val="clear" w:color="auto" w:fill="FFFFFF"/>
                  <w:noWrap w:val="0"/>
                  <w:vAlign w:val="center"/>
                </w:tcPr>
                <w:p w14:paraId="5B9576D4">
                  <w:pPr>
                    <w:jc w:val="center"/>
                    <w:rPr>
                      <w:rFonts w:hint="default" w:ascii="Times New Roman" w:hAnsi="Times New Roman" w:eastAsia="宋体" w:cs="Times New Roman"/>
                      <w:i w:val="0"/>
                      <w:iCs w:val="0"/>
                      <w:color w:val="auto"/>
                      <w:sz w:val="21"/>
                      <w:szCs w:val="21"/>
                      <w:u w:val="none"/>
                    </w:rPr>
                  </w:pPr>
                </w:p>
              </w:tc>
              <w:tc>
                <w:tcPr>
                  <w:tcW w:w="498" w:type="pct"/>
                  <w:tcBorders>
                    <w:tl2br w:val="nil"/>
                    <w:tr2bl w:val="nil"/>
                  </w:tcBorders>
                  <w:shd w:val="clear" w:color="auto" w:fill="FFFFFF"/>
                  <w:noWrap w:val="0"/>
                  <w:vAlign w:val="center"/>
                </w:tcPr>
                <w:p w14:paraId="75C4CEA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547" w:type="pct"/>
                  <w:tcBorders>
                    <w:tl2br w:val="nil"/>
                    <w:tr2bl w:val="nil"/>
                  </w:tcBorders>
                  <w:shd w:val="clear" w:color="auto" w:fill="auto"/>
                  <w:noWrap w:val="0"/>
                  <w:vAlign w:val="center"/>
                </w:tcPr>
                <w:p w14:paraId="7C3832E1">
                  <w:pPr>
                    <w:jc w:val="center"/>
                    <w:rPr>
                      <w:rFonts w:hint="default" w:ascii="Times New Roman" w:hAnsi="Times New Roman" w:eastAsia="宋体" w:cs="Times New Roman"/>
                      <w:i w:val="0"/>
                      <w:iCs w:val="0"/>
                      <w:color w:val="auto"/>
                      <w:sz w:val="21"/>
                      <w:szCs w:val="21"/>
                      <w:u w:val="none"/>
                    </w:rPr>
                  </w:pPr>
                </w:p>
              </w:tc>
              <w:tc>
                <w:tcPr>
                  <w:tcW w:w="491" w:type="pct"/>
                  <w:tcBorders>
                    <w:tl2br w:val="nil"/>
                    <w:tr2bl w:val="nil"/>
                  </w:tcBorders>
                  <w:shd w:val="clear" w:color="auto" w:fill="FFFFFF"/>
                  <w:noWrap w:val="0"/>
                  <w:vAlign w:val="center"/>
                </w:tcPr>
                <w:p w14:paraId="47D8F91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498" w:type="pct"/>
                  <w:tcBorders>
                    <w:tl2br w:val="nil"/>
                    <w:tr2bl w:val="nil"/>
                  </w:tcBorders>
                  <w:shd w:val="clear" w:color="auto" w:fill="FFFFFF"/>
                  <w:noWrap w:val="0"/>
                  <w:vAlign w:val="center"/>
                </w:tcPr>
                <w:p w14:paraId="5E42B7C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r>
            <w:tr w14:paraId="7F8CF59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239" w:type="pct"/>
                  <w:vMerge w:val="continue"/>
                  <w:tcBorders>
                    <w:tl2br w:val="nil"/>
                    <w:tr2bl w:val="nil"/>
                  </w:tcBorders>
                  <w:shd w:val="clear" w:color="auto" w:fill="auto"/>
                  <w:noWrap w:val="0"/>
                  <w:vAlign w:val="center"/>
                </w:tcPr>
                <w:p w14:paraId="45F00713">
                  <w:pPr>
                    <w:jc w:val="center"/>
                    <w:rPr>
                      <w:rFonts w:hint="eastAsia" w:ascii="宋体" w:hAnsi="宋体" w:eastAsia="宋体" w:cs="宋体"/>
                      <w:i w:val="0"/>
                      <w:iCs w:val="0"/>
                      <w:color w:val="auto"/>
                      <w:sz w:val="21"/>
                      <w:szCs w:val="21"/>
                      <w:u w:val="none"/>
                    </w:rPr>
                  </w:pPr>
                </w:p>
              </w:tc>
              <w:tc>
                <w:tcPr>
                  <w:tcW w:w="971" w:type="pct"/>
                  <w:tcBorders>
                    <w:tl2br w:val="nil"/>
                    <w:tr2bl w:val="nil"/>
                  </w:tcBorders>
                  <w:shd w:val="clear" w:color="auto" w:fill="FFFFFF"/>
                  <w:noWrap w:val="0"/>
                  <w:vAlign w:val="center"/>
                </w:tcPr>
                <w:p w14:paraId="4AC57E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生活垃圾</w:t>
                  </w:r>
                </w:p>
              </w:tc>
              <w:tc>
                <w:tcPr>
                  <w:tcW w:w="547" w:type="pct"/>
                  <w:tcBorders>
                    <w:tl2br w:val="nil"/>
                    <w:tr2bl w:val="nil"/>
                  </w:tcBorders>
                  <w:shd w:val="clear" w:color="auto" w:fill="FFFFFF"/>
                  <w:noWrap w:val="0"/>
                  <w:vAlign w:val="center"/>
                </w:tcPr>
                <w:p w14:paraId="0C2DEA9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714" w:type="pct"/>
                  <w:tcBorders>
                    <w:tl2br w:val="nil"/>
                    <w:tr2bl w:val="nil"/>
                  </w:tcBorders>
                  <w:shd w:val="clear" w:color="auto" w:fill="FFFFFF"/>
                  <w:noWrap w:val="0"/>
                  <w:vAlign w:val="center"/>
                </w:tcPr>
                <w:p w14:paraId="2829B21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491" w:type="pct"/>
                  <w:tcBorders>
                    <w:tl2br w:val="nil"/>
                    <w:tr2bl w:val="nil"/>
                  </w:tcBorders>
                  <w:shd w:val="clear" w:color="auto" w:fill="FFFFFF"/>
                  <w:noWrap w:val="0"/>
                  <w:vAlign w:val="center"/>
                </w:tcPr>
                <w:p w14:paraId="781EC1DB">
                  <w:pPr>
                    <w:jc w:val="center"/>
                    <w:rPr>
                      <w:rFonts w:hint="default" w:ascii="Times New Roman" w:hAnsi="Times New Roman" w:eastAsia="宋体" w:cs="Times New Roman"/>
                      <w:i w:val="0"/>
                      <w:iCs w:val="0"/>
                      <w:color w:val="auto"/>
                      <w:sz w:val="21"/>
                      <w:szCs w:val="21"/>
                      <w:u w:val="none"/>
                    </w:rPr>
                  </w:pPr>
                </w:p>
              </w:tc>
              <w:tc>
                <w:tcPr>
                  <w:tcW w:w="498" w:type="pct"/>
                  <w:tcBorders>
                    <w:tl2br w:val="nil"/>
                    <w:tr2bl w:val="nil"/>
                  </w:tcBorders>
                  <w:shd w:val="clear" w:color="auto" w:fill="FFFFFF"/>
                  <w:noWrap w:val="0"/>
                  <w:vAlign w:val="center"/>
                </w:tcPr>
                <w:p w14:paraId="40FDDBC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547" w:type="pct"/>
                  <w:tcBorders>
                    <w:tl2br w:val="nil"/>
                    <w:tr2bl w:val="nil"/>
                  </w:tcBorders>
                  <w:shd w:val="clear" w:color="auto" w:fill="auto"/>
                  <w:noWrap w:val="0"/>
                  <w:vAlign w:val="center"/>
                </w:tcPr>
                <w:p w14:paraId="7375C18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491" w:type="pct"/>
                  <w:tcBorders>
                    <w:tl2br w:val="nil"/>
                    <w:tr2bl w:val="nil"/>
                  </w:tcBorders>
                  <w:shd w:val="clear" w:color="auto" w:fill="FFFFFF"/>
                  <w:noWrap w:val="0"/>
                  <w:vAlign w:val="center"/>
                </w:tcPr>
                <w:p w14:paraId="679AEF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498" w:type="pct"/>
                  <w:tcBorders>
                    <w:tl2br w:val="nil"/>
                    <w:tr2bl w:val="nil"/>
                  </w:tcBorders>
                  <w:shd w:val="clear" w:color="auto" w:fill="FFFFFF"/>
                  <w:noWrap w:val="0"/>
                  <w:vAlign w:val="center"/>
                </w:tcPr>
                <w:p w14:paraId="25AC6F6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bl>
          <w:p w14:paraId="5CAAF3F5">
            <w:pPr>
              <w:pStyle w:val="12"/>
              <w:pBdr>
                <w:bottom w:val="none" w:color="auto" w:sz="0" w:space="0"/>
              </w:pBdr>
              <w:spacing w:line="360" w:lineRule="auto"/>
              <w:jc w:val="left"/>
              <w:rPr>
                <w:rFonts w:hint="eastAsia" w:ascii="宋体" w:hAnsi="宋体" w:eastAsia="宋体" w:cs="宋体"/>
                <w:i w:val="0"/>
                <w:iCs w:val="0"/>
                <w:color w:val="auto"/>
                <w:kern w:val="0"/>
                <w:sz w:val="21"/>
                <w:szCs w:val="21"/>
                <w:u w:val="none"/>
                <w:lang w:val="en-US" w:eastAsia="zh-CN" w:bidi="ar"/>
              </w:rPr>
            </w:pPr>
            <w:r>
              <w:rPr>
                <w:rFonts w:hint="eastAsia"/>
                <w:color w:val="auto"/>
                <w:lang w:val="en-US" w:eastAsia="zh-CN"/>
              </w:rPr>
              <w:t>备注：</w:t>
            </w:r>
            <w:r>
              <w:rPr>
                <w:rFonts w:hint="eastAsia" w:ascii="宋体" w:hAnsi="宋体" w:eastAsia="宋体" w:cs="宋体"/>
                <w:i w:val="0"/>
                <w:iCs w:val="0"/>
                <w:color w:val="auto"/>
                <w:kern w:val="0"/>
                <w:sz w:val="21"/>
                <w:szCs w:val="21"/>
                <w:u w:val="none"/>
                <w:lang w:val="en-US" w:eastAsia="zh-CN" w:bidi="ar"/>
              </w:rPr>
              <w:t>现有工程排放量按照排量及系数法核算。</w:t>
            </w:r>
          </w:p>
          <w:p w14:paraId="1D1EA864">
            <w:pPr>
              <w:pStyle w:val="12"/>
              <w:pBdr>
                <w:bottom w:val="none" w:color="auto" w:sz="0" w:space="0"/>
              </w:pBdr>
              <w:spacing w:line="360" w:lineRule="auto"/>
              <w:jc w:val="left"/>
              <w:rPr>
                <w:rFonts w:hint="default" w:ascii="Times New Roman" w:hAnsi="Times New Roman" w:cs="Times New Roman"/>
                <w:color w:val="auto"/>
                <w:sz w:val="24"/>
                <w:highlight w:val="none"/>
                <w:lang w:val="en-US" w:eastAsia="zh-CN"/>
              </w:rPr>
            </w:pPr>
            <w:r>
              <w:rPr>
                <w:rFonts w:hint="eastAsia" w:ascii="Times New Roman" w:hAnsi="Times New Roman" w:eastAsia="宋体" w:cs="Times New Roman"/>
                <w:b/>
                <w:bCs/>
                <w:color w:val="auto"/>
                <w:sz w:val="28"/>
                <w:szCs w:val="28"/>
                <w:highlight w:val="none"/>
                <w:lang w:val="en-US" w:eastAsia="zh-CN" w:bidi="ar"/>
              </w:rPr>
              <w:t>4.6环保投资</w:t>
            </w:r>
          </w:p>
          <w:p w14:paraId="19882D4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szCs w:val="24"/>
                <w:highlight w:val="none"/>
                <w:lang w:val="en-US" w:eastAsia="zh-CN"/>
              </w:rPr>
              <w:t>项目总投资39469.35万人民币，其中环境保护设施投资约</w:t>
            </w:r>
            <w:r>
              <w:rPr>
                <w:rFonts w:hint="eastAsia" w:ascii="Times New Roman" w:hAnsi="Times New Roman" w:cs="Times New Roman"/>
                <w:color w:val="auto"/>
                <w:sz w:val="24"/>
                <w:szCs w:val="24"/>
                <w:highlight w:val="none"/>
                <w:lang w:val="en-US" w:eastAsia="zh-CN"/>
              </w:rPr>
              <w:t>1708.07</w:t>
            </w:r>
            <w:r>
              <w:rPr>
                <w:rFonts w:hint="default" w:ascii="Times New Roman" w:hAnsi="Times New Roman" w:cs="Times New Roman"/>
                <w:color w:val="auto"/>
                <w:sz w:val="24"/>
                <w:szCs w:val="24"/>
                <w:highlight w:val="none"/>
                <w:lang w:val="en-US" w:eastAsia="zh-CN"/>
              </w:rPr>
              <w:t>万元人民币，环境保护设施投资约占总投资</w:t>
            </w:r>
            <w:r>
              <w:rPr>
                <w:rFonts w:hint="eastAsia" w:ascii="Times New Roman" w:hAnsi="Times New Roman" w:cs="Times New Roman"/>
                <w:color w:val="auto"/>
                <w:sz w:val="24"/>
                <w:szCs w:val="24"/>
                <w:highlight w:val="none"/>
                <w:lang w:val="en-US" w:eastAsia="zh-CN"/>
              </w:rPr>
              <w:t>4.3</w:t>
            </w:r>
            <w:r>
              <w:rPr>
                <w:rFonts w:hint="default" w:ascii="Times New Roman" w:hAnsi="Times New Roman" w:cs="Times New Roman"/>
                <w:color w:val="auto"/>
                <w:sz w:val="24"/>
                <w:szCs w:val="24"/>
                <w:highlight w:val="none"/>
                <w:lang w:val="en-US" w:eastAsia="zh-CN"/>
              </w:rPr>
              <w:t>%，具体环保投资见表</w:t>
            </w:r>
            <w:r>
              <w:rPr>
                <w:rFonts w:hint="eastAsia" w:ascii="Times New Roman" w:hAnsi="Times New Roman" w:cs="Times New Roman"/>
                <w:color w:val="auto"/>
                <w:sz w:val="24"/>
                <w:szCs w:val="24"/>
                <w:highlight w:val="none"/>
                <w:lang w:val="en-US" w:eastAsia="zh-CN"/>
              </w:rPr>
              <w:t>4.6</w:t>
            </w:r>
            <w:r>
              <w:rPr>
                <w:rFonts w:hint="default" w:ascii="Times New Roman" w:hAns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en-US" w:eastAsia="zh-CN"/>
              </w:rPr>
              <w:t>。</w:t>
            </w:r>
          </w:p>
          <w:p w14:paraId="5A724CD9">
            <w:pPr>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b/>
                <w:bCs/>
                <w:color w:val="auto"/>
                <w:kern w:val="0"/>
                <w:sz w:val="24"/>
                <w:szCs w:val="24"/>
                <w:lang w:val="en-US" w:eastAsia="zh-CN" w:bidi="ar"/>
              </w:rPr>
              <w:t>表4.6-1 环保投资估算汇总表</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646"/>
              <w:gridCol w:w="4245"/>
              <w:gridCol w:w="1651"/>
            </w:tblGrid>
            <w:tr w14:paraId="1F9B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64" w:type="pct"/>
                  <w:tcBorders>
                    <w:top w:val="single" w:color="auto" w:sz="12" w:space="0"/>
                  </w:tcBorders>
                  <w:noWrap w:val="0"/>
                  <w:vAlign w:val="center"/>
                </w:tcPr>
                <w:p w14:paraId="4D0DCAD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阶段</w:t>
                  </w:r>
                </w:p>
              </w:tc>
              <w:tc>
                <w:tcPr>
                  <w:tcW w:w="968" w:type="pct"/>
                  <w:tcBorders>
                    <w:top w:val="single" w:color="auto" w:sz="12" w:space="0"/>
                  </w:tcBorders>
                  <w:noWrap w:val="0"/>
                  <w:vAlign w:val="center"/>
                </w:tcPr>
                <w:p w14:paraId="493B32F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投资项目</w:t>
                  </w:r>
                </w:p>
              </w:tc>
              <w:tc>
                <w:tcPr>
                  <w:tcW w:w="2495" w:type="pct"/>
                  <w:tcBorders>
                    <w:top w:val="single" w:color="auto" w:sz="12" w:space="0"/>
                  </w:tcBorders>
                  <w:noWrap w:val="0"/>
                  <w:vAlign w:val="center"/>
                </w:tcPr>
                <w:p w14:paraId="25C8192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环保措施</w:t>
                  </w:r>
                </w:p>
              </w:tc>
              <w:tc>
                <w:tcPr>
                  <w:tcW w:w="971" w:type="pct"/>
                  <w:tcBorders>
                    <w:top w:val="single" w:color="auto" w:sz="12" w:space="0"/>
                    <w:right w:val="nil"/>
                  </w:tcBorders>
                  <w:noWrap w:val="0"/>
                  <w:vAlign w:val="center"/>
                </w:tcPr>
                <w:p w14:paraId="7FFC10D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投资额（万元）</w:t>
                  </w:r>
                </w:p>
              </w:tc>
            </w:tr>
            <w:tr w14:paraId="2AF5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564" w:type="pct"/>
                  <w:vMerge w:val="restart"/>
                  <w:tcBorders>
                    <w:left w:val="nil"/>
                  </w:tcBorders>
                  <w:noWrap w:val="0"/>
                  <w:vAlign w:val="center"/>
                </w:tcPr>
                <w:p w14:paraId="7BC4C94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施工期</w:t>
                  </w:r>
                </w:p>
              </w:tc>
              <w:tc>
                <w:tcPr>
                  <w:tcW w:w="968" w:type="pct"/>
                  <w:noWrap w:val="0"/>
                  <w:vAlign w:val="center"/>
                </w:tcPr>
                <w:p w14:paraId="3A992AD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废气污染治理</w:t>
                  </w:r>
                </w:p>
              </w:tc>
              <w:tc>
                <w:tcPr>
                  <w:tcW w:w="2495" w:type="pct"/>
                  <w:noWrap w:val="0"/>
                  <w:vAlign w:val="center"/>
                </w:tcPr>
                <w:p w14:paraId="3C028E7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施工场地及材料运输路线洒水扬尘、运输车辆加篷盖、施工场地抑尘及四周设置临时围挡等</w:t>
                  </w:r>
                </w:p>
              </w:tc>
              <w:tc>
                <w:tcPr>
                  <w:tcW w:w="971" w:type="pct"/>
                  <w:tcBorders>
                    <w:right w:val="nil"/>
                  </w:tcBorders>
                  <w:noWrap w:val="0"/>
                  <w:vAlign w:val="center"/>
                </w:tcPr>
                <w:p w14:paraId="27087AA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w:t>
                  </w:r>
                </w:p>
              </w:tc>
            </w:tr>
            <w:tr w14:paraId="1E58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564" w:type="pct"/>
                  <w:vMerge w:val="continue"/>
                  <w:tcBorders>
                    <w:left w:val="nil"/>
                  </w:tcBorders>
                  <w:noWrap w:val="0"/>
                  <w:vAlign w:val="center"/>
                </w:tcPr>
                <w:p w14:paraId="7838B6E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p>
              </w:tc>
              <w:tc>
                <w:tcPr>
                  <w:tcW w:w="968" w:type="pct"/>
                  <w:noWrap w:val="0"/>
                  <w:vAlign w:val="center"/>
                </w:tcPr>
                <w:p w14:paraId="2C2F6C8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废水污染治理</w:t>
                  </w:r>
                </w:p>
              </w:tc>
              <w:tc>
                <w:tcPr>
                  <w:tcW w:w="2495" w:type="pct"/>
                  <w:noWrap w:val="0"/>
                  <w:vAlign w:val="center"/>
                </w:tcPr>
                <w:p w14:paraId="1FDA45F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项目</w:t>
                  </w:r>
                  <w:r>
                    <w:rPr>
                      <w:rFonts w:hint="default" w:ascii="Times New Roman" w:hAnsi="Times New Roman" w:eastAsia="宋体" w:cs="Times New Roman"/>
                      <w:color w:val="auto"/>
                      <w:sz w:val="21"/>
                      <w:szCs w:val="21"/>
                      <w:vertAlign w:val="baseline"/>
                      <w:lang w:val="en-US" w:eastAsia="zh-CN"/>
                    </w:rPr>
                    <w:t>施工生活污水纳入</w:t>
                  </w:r>
                  <w:r>
                    <w:rPr>
                      <w:rFonts w:hint="eastAsia" w:ascii="Times New Roman" w:hAnsi="Times New Roman" w:eastAsia="宋体" w:cs="Times New Roman"/>
                      <w:color w:val="auto"/>
                      <w:sz w:val="21"/>
                      <w:szCs w:val="21"/>
                      <w:vertAlign w:val="baseline"/>
                      <w:lang w:val="en-US" w:eastAsia="zh-CN"/>
                    </w:rPr>
                    <w:t>厂区</w:t>
                  </w:r>
                  <w:r>
                    <w:rPr>
                      <w:rFonts w:hint="default" w:ascii="Times New Roman" w:hAnsi="Times New Roman" w:eastAsia="宋体" w:cs="Times New Roman"/>
                      <w:color w:val="auto"/>
                      <w:sz w:val="21"/>
                      <w:szCs w:val="21"/>
                      <w:vertAlign w:val="baseline"/>
                      <w:lang w:val="en-US" w:eastAsia="zh-CN"/>
                    </w:rPr>
                    <w:t>现有工程排污系统。</w:t>
                  </w:r>
                </w:p>
              </w:tc>
              <w:tc>
                <w:tcPr>
                  <w:tcW w:w="971" w:type="pct"/>
                  <w:tcBorders>
                    <w:right w:val="nil"/>
                  </w:tcBorders>
                  <w:noWrap w:val="0"/>
                  <w:vAlign w:val="center"/>
                </w:tcPr>
                <w:p w14:paraId="7611754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r>
            <w:tr w14:paraId="5388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64" w:type="pct"/>
                  <w:vMerge w:val="continue"/>
                  <w:tcBorders>
                    <w:left w:val="nil"/>
                  </w:tcBorders>
                  <w:noWrap w:val="0"/>
                  <w:vAlign w:val="center"/>
                </w:tcPr>
                <w:p w14:paraId="640BC8F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p>
              </w:tc>
              <w:tc>
                <w:tcPr>
                  <w:tcW w:w="968" w:type="pct"/>
                  <w:noWrap w:val="0"/>
                  <w:vAlign w:val="center"/>
                </w:tcPr>
                <w:p w14:paraId="58C0313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噪声污染治理</w:t>
                  </w:r>
                </w:p>
              </w:tc>
              <w:tc>
                <w:tcPr>
                  <w:tcW w:w="2495" w:type="pct"/>
                  <w:noWrap w:val="0"/>
                  <w:vAlign w:val="center"/>
                </w:tcPr>
                <w:p w14:paraId="0E2B27D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施工机械设备保养、临时围挡、选用低噪声设备等</w:t>
                  </w:r>
                </w:p>
              </w:tc>
              <w:tc>
                <w:tcPr>
                  <w:tcW w:w="971" w:type="pct"/>
                  <w:tcBorders>
                    <w:right w:val="nil"/>
                  </w:tcBorders>
                  <w:noWrap w:val="0"/>
                  <w:vAlign w:val="center"/>
                </w:tcPr>
                <w:p w14:paraId="2342B67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5</w:t>
                  </w:r>
                </w:p>
              </w:tc>
            </w:tr>
            <w:tr w14:paraId="1C7D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564" w:type="pct"/>
                  <w:vMerge w:val="continue"/>
                  <w:tcBorders>
                    <w:left w:val="nil"/>
                  </w:tcBorders>
                  <w:noWrap w:val="0"/>
                  <w:vAlign w:val="center"/>
                </w:tcPr>
                <w:p w14:paraId="16F6E41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p>
              </w:tc>
              <w:tc>
                <w:tcPr>
                  <w:tcW w:w="968" w:type="pct"/>
                  <w:noWrap w:val="0"/>
                  <w:vAlign w:val="center"/>
                </w:tcPr>
                <w:p w14:paraId="137AD85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固废治理</w:t>
                  </w:r>
                </w:p>
              </w:tc>
              <w:tc>
                <w:tcPr>
                  <w:tcW w:w="2495" w:type="pct"/>
                  <w:noWrap w:val="0"/>
                  <w:vAlign w:val="center"/>
                </w:tcPr>
                <w:p w14:paraId="288F11B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生活垃圾及建筑垃圾收集、清运</w:t>
                  </w:r>
                </w:p>
              </w:tc>
              <w:tc>
                <w:tcPr>
                  <w:tcW w:w="971" w:type="pct"/>
                  <w:tcBorders>
                    <w:right w:val="nil"/>
                  </w:tcBorders>
                  <w:noWrap w:val="0"/>
                  <w:vAlign w:val="center"/>
                </w:tcPr>
                <w:p w14:paraId="4CF781C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5</w:t>
                  </w:r>
                </w:p>
              </w:tc>
            </w:tr>
            <w:tr w14:paraId="4EBE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564" w:type="pct"/>
                  <w:vMerge w:val="restart"/>
                  <w:tcBorders>
                    <w:left w:val="nil"/>
                  </w:tcBorders>
                  <w:noWrap w:val="0"/>
                  <w:vAlign w:val="center"/>
                </w:tcPr>
                <w:p w14:paraId="531CE48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运营期</w:t>
                  </w:r>
                </w:p>
              </w:tc>
              <w:tc>
                <w:tcPr>
                  <w:tcW w:w="968" w:type="pct"/>
                  <w:noWrap w:val="0"/>
                  <w:vAlign w:val="center"/>
                </w:tcPr>
                <w:p w14:paraId="3E6C1D6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废水污染治理</w:t>
                  </w:r>
                </w:p>
              </w:tc>
              <w:tc>
                <w:tcPr>
                  <w:tcW w:w="2495" w:type="pct"/>
                  <w:noWrap w:val="0"/>
                  <w:vAlign w:val="center"/>
                </w:tcPr>
                <w:p w14:paraId="1ED8F51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新建</w:t>
                  </w:r>
                  <w:r>
                    <w:rPr>
                      <w:rFonts w:hint="eastAsia" w:ascii="Times New Roman" w:hAnsi="Times New Roman" w:eastAsia="宋体" w:cs="Times New Roman"/>
                      <w:color w:val="auto"/>
                      <w:sz w:val="21"/>
                      <w:szCs w:val="21"/>
                      <w:vertAlign w:val="baseline"/>
                      <w:lang w:val="en-US" w:eastAsia="zh-CN"/>
                    </w:rPr>
                    <w:t>污水处理设施、</w:t>
                  </w:r>
                  <w:r>
                    <w:rPr>
                      <w:rFonts w:hint="eastAsia"/>
                      <w:color w:val="auto"/>
                      <w:lang w:eastAsia="zh-CN"/>
                    </w:rPr>
                    <w:t>近期废水</w:t>
                  </w:r>
                  <w:r>
                    <w:rPr>
                      <w:rFonts w:hint="eastAsia"/>
                      <w:color w:val="auto"/>
                      <w:lang w:val="en-US" w:eastAsia="zh-CN"/>
                    </w:rPr>
                    <w:t>转运</w:t>
                  </w:r>
                  <w:r>
                    <w:rPr>
                      <w:rFonts w:hint="eastAsia"/>
                      <w:color w:val="auto"/>
                      <w:lang w:eastAsia="zh-CN"/>
                    </w:rPr>
                    <w:t>处理</w:t>
                  </w:r>
                </w:p>
              </w:tc>
              <w:tc>
                <w:tcPr>
                  <w:tcW w:w="971" w:type="pct"/>
                  <w:tcBorders>
                    <w:right w:val="nil"/>
                  </w:tcBorders>
                  <w:noWrap w:val="0"/>
                  <w:vAlign w:val="center"/>
                </w:tcPr>
                <w:p w14:paraId="3FBCA5E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265.02</w:t>
                  </w:r>
                </w:p>
              </w:tc>
            </w:tr>
            <w:tr w14:paraId="28C9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4" w:type="pct"/>
                  <w:vMerge w:val="continue"/>
                  <w:tcBorders>
                    <w:left w:val="nil"/>
                  </w:tcBorders>
                  <w:noWrap w:val="0"/>
                  <w:vAlign w:val="center"/>
                </w:tcPr>
                <w:p w14:paraId="572247E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p>
              </w:tc>
              <w:tc>
                <w:tcPr>
                  <w:tcW w:w="968" w:type="pct"/>
                  <w:noWrap w:val="0"/>
                  <w:vAlign w:val="center"/>
                </w:tcPr>
                <w:p w14:paraId="37A12220">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废气污染治理</w:t>
                  </w:r>
                </w:p>
              </w:tc>
              <w:tc>
                <w:tcPr>
                  <w:tcW w:w="2495" w:type="pct"/>
                  <w:noWrap w:val="0"/>
                  <w:vAlign w:val="center"/>
                </w:tcPr>
                <w:p w14:paraId="2A5503F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新风系统、消</w:t>
                  </w:r>
                  <w:r>
                    <w:rPr>
                      <w:rFonts w:hint="eastAsia" w:ascii="Times New Roman" w:hAnsi="Times New Roman" w:eastAsia="宋体" w:cs="Times New Roman"/>
                      <w:color w:val="auto"/>
                      <w:lang w:val="en-US" w:eastAsia="zh-CN"/>
                    </w:rPr>
                    <w:t>毒、除臭装置、</w:t>
                  </w:r>
                  <w:r>
                    <w:rPr>
                      <w:rFonts w:hint="eastAsia" w:ascii="Times New Roman" w:hAnsi="Times New Roman" w:eastAsia="宋体" w:cs="Times New Roman"/>
                      <w:color w:val="auto"/>
                      <w:lang w:eastAsia="zh-CN"/>
                    </w:rPr>
                    <w:t>危废暂存间废气设施</w:t>
                  </w:r>
                </w:p>
              </w:tc>
              <w:tc>
                <w:tcPr>
                  <w:tcW w:w="971" w:type="pct"/>
                  <w:tcBorders>
                    <w:right w:val="nil"/>
                  </w:tcBorders>
                  <w:noWrap w:val="0"/>
                  <w:vAlign w:val="center"/>
                </w:tcPr>
                <w:p w14:paraId="2C4EE70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1322.53</w:t>
                  </w:r>
                </w:p>
              </w:tc>
            </w:tr>
            <w:tr w14:paraId="72A9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4" w:type="pct"/>
                  <w:vMerge w:val="continue"/>
                  <w:tcBorders>
                    <w:left w:val="nil"/>
                  </w:tcBorders>
                  <w:noWrap w:val="0"/>
                  <w:vAlign w:val="center"/>
                </w:tcPr>
                <w:p w14:paraId="30F12CC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p>
              </w:tc>
              <w:tc>
                <w:tcPr>
                  <w:tcW w:w="968" w:type="pct"/>
                  <w:noWrap w:val="0"/>
                  <w:vAlign w:val="center"/>
                </w:tcPr>
                <w:p w14:paraId="497DF63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噪声污染治理</w:t>
                  </w:r>
                </w:p>
              </w:tc>
              <w:tc>
                <w:tcPr>
                  <w:tcW w:w="2495" w:type="pct"/>
                  <w:noWrap w:val="0"/>
                  <w:vAlign w:val="center"/>
                </w:tcPr>
                <w:p w14:paraId="483D534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设备隔声、消声、减振</w:t>
                  </w:r>
                </w:p>
              </w:tc>
              <w:tc>
                <w:tcPr>
                  <w:tcW w:w="971" w:type="pct"/>
                  <w:tcBorders>
                    <w:right w:val="nil"/>
                  </w:tcBorders>
                  <w:noWrap w:val="0"/>
                  <w:vAlign w:val="center"/>
                </w:tcPr>
                <w:p w14:paraId="06A217A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10</w:t>
                  </w:r>
                </w:p>
              </w:tc>
            </w:tr>
            <w:tr w14:paraId="2D5E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564" w:type="pct"/>
                  <w:vMerge w:val="continue"/>
                  <w:tcBorders>
                    <w:left w:val="nil"/>
                  </w:tcBorders>
                  <w:noWrap w:val="0"/>
                  <w:vAlign w:val="center"/>
                </w:tcPr>
                <w:p w14:paraId="1D844B6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p>
              </w:tc>
              <w:tc>
                <w:tcPr>
                  <w:tcW w:w="968" w:type="pct"/>
                  <w:noWrap w:val="0"/>
                  <w:vAlign w:val="center"/>
                </w:tcPr>
                <w:p w14:paraId="09402C9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固体废物处置</w:t>
                  </w:r>
                </w:p>
              </w:tc>
              <w:tc>
                <w:tcPr>
                  <w:tcW w:w="2495" w:type="pct"/>
                  <w:noWrap w:val="0"/>
                  <w:vAlign w:val="center"/>
                </w:tcPr>
                <w:p w14:paraId="2B46FC0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危废处置</w:t>
                  </w:r>
                </w:p>
              </w:tc>
              <w:tc>
                <w:tcPr>
                  <w:tcW w:w="971" w:type="pct"/>
                  <w:tcBorders>
                    <w:right w:val="nil"/>
                  </w:tcBorders>
                  <w:noWrap w:val="0"/>
                  <w:vAlign w:val="center"/>
                </w:tcPr>
                <w:p w14:paraId="3A820E0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90.52</w:t>
                  </w:r>
                </w:p>
              </w:tc>
            </w:tr>
            <w:tr w14:paraId="2063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4028" w:type="pct"/>
                  <w:gridSpan w:val="3"/>
                  <w:tcBorders>
                    <w:left w:val="nil"/>
                    <w:bottom w:val="single" w:color="auto" w:sz="12" w:space="0"/>
                  </w:tcBorders>
                  <w:noWrap w:val="0"/>
                  <w:vAlign w:val="center"/>
                </w:tcPr>
                <w:p w14:paraId="74E27A7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合计</w:t>
                  </w:r>
                </w:p>
              </w:tc>
              <w:tc>
                <w:tcPr>
                  <w:tcW w:w="971" w:type="pct"/>
                  <w:tcBorders>
                    <w:bottom w:val="single" w:color="auto" w:sz="12" w:space="0"/>
                    <w:right w:val="nil"/>
                  </w:tcBorders>
                  <w:noWrap w:val="0"/>
                  <w:vAlign w:val="center"/>
                </w:tcPr>
                <w:p w14:paraId="3402187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vertAlign w:val="baseline"/>
                      <w:lang w:val="en-US" w:eastAsia="zh-CN"/>
                    </w:rPr>
                  </w:pPr>
                  <w:r>
                    <w:rPr>
                      <w:rFonts w:hint="eastAsia" w:ascii="Times New Roman" w:hAnsi="Times New Roman" w:cs="Times New Roman"/>
                      <w:color w:val="auto"/>
                      <w:sz w:val="22"/>
                      <w:szCs w:val="22"/>
                      <w:highlight w:val="none"/>
                      <w:lang w:val="en-US" w:eastAsia="zh-CN"/>
                    </w:rPr>
                    <w:t>1708.07</w:t>
                  </w:r>
                </w:p>
              </w:tc>
            </w:tr>
          </w:tbl>
          <w:p w14:paraId="53A210A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cs="Times New Roman"/>
                <w:color w:val="auto"/>
                <w:sz w:val="24"/>
                <w:highlight w:val="none"/>
                <w:lang w:val="en-US" w:eastAsia="zh-CN"/>
              </w:rPr>
            </w:pPr>
          </w:p>
          <w:p w14:paraId="5A22B076">
            <w:pPr>
              <w:pStyle w:val="23"/>
              <w:ind w:firstLine="0"/>
              <w:rPr>
                <w:rFonts w:hint="eastAsia" w:eastAsia="宋体"/>
                <w:b/>
                <w:bCs/>
                <w:color w:val="auto"/>
                <w:sz w:val="24"/>
              </w:rPr>
            </w:pPr>
          </w:p>
        </w:tc>
      </w:tr>
    </w:tbl>
    <w:p w14:paraId="1A597747">
      <w:pPr>
        <w:adjustRightInd w:val="0"/>
        <w:snapToGrid w:val="0"/>
        <w:spacing w:line="360" w:lineRule="auto"/>
        <w:rPr>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C359FC7">
      <w:pPr>
        <w:pStyle w:val="2"/>
        <w:rPr>
          <w:color w:val="auto"/>
        </w:rPr>
      </w:pPr>
      <w:bookmarkStart w:id="15" w:name="_Toc31036"/>
      <w:bookmarkStart w:id="16" w:name="_Toc31302"/>
      <w:r>
        <w:rPr>
          <w:color w:val="auto"/>
        </w:rPr>
        <w:t>五、</w:t>
      </w:r>
      <w:bookmarkStart w:id="17" w:name="_Hlk54167917"/>
      <w:r>
        <w:rPr>
          <w:color w:val="auto"/>
        </w:rPr>
        <w:t>环境保护措施监督检查清单</w:t>
      </w:r>
      <w:bookmarkEnd w:id="15"/>
      <w:bookmarkEnd w:id="16"/>
      <w:bookmarkEnd w:id="17"/>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866"/>
        <w:gridCol w:w="1357"/>
        <w:gridCol w:w="2129"/>
        <w:gridCol w:w="2270"/>
      </w:tblGrid>
      <w:tr w14:paraId="2B34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tcBorders>
              <w:tl2br w:val="single" w:color="auto" w:sz="4" w:space="0"/>
            </w:tcBorders>
            <w:noWrap w:val="0"/>
            <w:vAlign w:val="top"/>
          </w:tcPr>
          <w:p w14:paraId="2390F131">
            <w:pPr>
              <w:pStyle w:val="56"/>
              <w:rPr>
                <w:rFonts w:cs="Times New Roman"/>
                <w:b/>
                <w:bCs/>
                <w:color w:val="auto"/>
              </w:rPr>
            </w:pPr>
            <w:r>
              <w:rPr>
                <w:rFonts w:cs="Times New Roman"/>
                <w:b/>
                <w:bCs/>
                <w:color w:val="auto"/>
              </w:rPr>
              <w:t>内容</w:t>
            </w:r>
          </w:p>
          <w:p w14:paraId="1074F664">
            <w:pPr>
              <w:pStyle w:val="56"/>
              <w:rPr>
                <w:rFonts w:cs="Times New Roman"/>
                <w:b/>
                <w:bCs/>
                <w:color w:val="auto"/>
              </w:rPr>
            </w:pPr>
            <w:r>
              <w:rPr>
                <w:rFonts w:cs="Times New Roman"/>
                <w:b/>
                <w:bCs/>
                <w:color w:val="auto"/>
              </w:rPr>
              <w:t>要素</w:t>
            </w:r>
          </w:p>
        </w:tc>
        <w:tc>
          <w:tcPr>
            <w:tcW w:w="1866" w:type="dxa"/>
            <w:noWrap w:val="0"/>
            <w:vAlign w:val="center"/>
          </w:tcPr>
          <w:p w14:paraId="669A3B95">
            <w:pPr>
              <w:pStyle w:val="56"/>
              <w:rPr>
                <w:rFonts w:cs="Times New Roman"/>
                <w:b/>
                <w:bCs/>
                <w:color w:val="auto"/>
              </w:rPr>
            </w:pPr>
            <w:r>
              <w:rPr>
                <w:rFonts w:cs="Times New Roman"/>
                <w:b/>
                <w:bCs/>
                <w:color w:val="auto"/>
              </w:rPr>
              <w:t>排放口(编号、</w:t>
            </w:r>
          </w:p>
          <w:p w14:paraId="4DBE6692">
            <w:pPr>
              <w:pStyle w:val="56"/>
              <w:rPr>
                <w:rFonts w:cs="Times New Roman"/>
                <w:b/>
                <w:bCs/>
                <w:color w:val="auto"/>
              </w:rPr>
            </w:pPr>
            <w:r>
              <w:rPr>
                <w:rFonts w:cs="Times New Roman"/>
                <w:b/>
                <w:bCs/>
                <w:color w:val="auto"/>
              </w:rPr>
              <w:t>名称)/污染源</w:t>
            </w:r>
          </w:p>
        </w:tc>
        <w:tc>
          <w:tcPr>
            <w:tcW w:w="1357" w:type="dxa"/>
            <w:noWrap w:val="0"/>
            <w:vAlign w:val="center"/>
          </w:tcPr>
          <w:p w14:paraId="0A4C6C5E">
            <w:pPr>
              <w:pStyle w:val="56"/>
              <w:rPr>
                <w:rFonts w:cs="Times New Roman"/>
                <w:b/>
                <w:bCs/>
                <w:color w:val="auto"/>
              </w:rPr>
            </w:pPr>
            <w:r>
              <w:rPr>
                <w:rFonts w:cs="Times New Roman"/>
                <w:b/>
                <w:bCs/>
                <w:color w:val="auto"/>
              </w:rPr>
              <w:t>污染物项目</w:t>
            </w:r>
          </w:p>
        </w:tc>
        <w:tc>
          <w:tcPr>
            <w:tcW w:w="2129" w:type="dxa"/>
            <w:noWrap w:val="0"/>
            <w:vAlign w:val="center"/>
          </w:tcPr>
          <w:p w14:paraId="4553B13C">
            <w:pPr>
              <w:pStyle w:val="56"/>
              <w:rPr>
                <w:rFonts w:cs="Times New Roman"/>
                <w:b/>
                <w:bCs/>
                <w:color w:val="auto"/>
              </w:rPr>
            </w:pPr>
            <w:r>
              <w:rPr>
                <w:rFonts w:cs="Times New Roman"/>
                <w:b/>
                <w:bCs/>
                <w:color w:val="auto"/>
              </w:rPr>
              <w:t>环境保护措施</w:t>
            </w:r>
          </w:p>
        </w:tc>
        <w:tc>
          <w:tcPr>
            <w:tcW w:w="2270" w:type="dxa"/>
            <w:noWrap w:val="0"/>
            <w:vAlign w:val="center"/>
          </w:tcPr>
          <w:p w14:paraId="70E9B052">
            <w:pPr>
              <w:pStyle w:val="56"/>
              <w:rPr>
                <w:rFonts w:cs="Times New Roman"/>
                <w:b/>
                <w:bCs/>
                <w:color w:val="auto"/>
              </w:rPr>
            </w:pPr>
            <w:r>
              <w:rPr>
                <w:rFonts w:cs="Times New Roman"/>
                <w:b/>
                <w:bCs/>
                <w:color w:val="auto"/>
              </w:rPr>
              <w:t>执行标准</w:t>
            </w:r>
          </w:p>
        </w:tc>
      </w:tr>
      <w:tr w14:paraId="4D46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178" w:type="dxa"/>
            <w:vMerge w:val="restart"/>
            <w:noWrap w:val="0"/>
            <w:vAlign w:val="center"/>
          </w:tcPr>
          <w:p w14:paraId="18A094C5">
            <w:pPr>
              <w:pStyle w:val="56"/>
              <w:rPr>
                <w:rFonts w:hint="eastAsia" w:cs="Times New Roman"/>
                <w:color w:val="auto"/>
                <w:sz w:val="24"/>
              </w:rPr>
            </w:pPr>
            <w:r>
              <w:rPr>
                <w:rFonts w:hint="eastAsia" w:cs="Times New Roman"/>
                <w:color w:val="auto"/>
                <w:sz w:val="24"/>
              </w:rPr>
              <w:t>大气环境</w:t>
            </w:r>
          </w:p>
        </w:tc>
        <w:tc>
          <w:tcPr>
            <w:tcW w:w="1866" w:type="dxa"/>
            <w:noWrap w:val="0"/>
            <w:vAlign w:val="center"/>
          </w:tcPr>
          <w:p w14:paraId="6D6BC60F">
            <w:pPr>
              <w:pStyle w:val="56"/>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污水站排气口</w:t>
            </w:r>
          </w:p>
        </w:tc>
        <w:tc>
          <w:tcPr>
            <w:tcW w:w="1357" w:type="dxa"/>
            <w:noWrap w:val="0"/>
            <w:vAlign w:val="center"/>
          </w:tcPr>
          <w:p w14:paraId="36B62799">
            <w:pPr>
              <w:pStyle w:val="56"/>
              <w:rPr>
                <w:rFonts w:hint="eastAsia" w:cs="Times New Roman"/>
                <w:bCs/>
                <w:color w:val="auto"/>
                <w:sz w:val="24"/>
              </w:rPr>
            </w:pPr>
            <w:r>
              <w:rPr>
                <w:rFonts w:hint="eastAsia" w:cs="Times New Roman"/>
                <w:bCs/>
                <w:color w:val="auto"/>
                <w:sz w:val="24"/>
              </w:rPr>
              <w:t>硫化氢、氨、</w:t>
            </w:r>
            <w:r>
              <w:rPr>
                <w:rFonts w:cs="Times New Roman"/>
                <w:color w:val="auto"/>
                <w:sz w:val="24"/>
              </w:rPr>
              <w:t>臭气浓度</w:t>
            </w:r>
          </w:p>
        </w:tc>
        <w:tc>
          <w:tcPr>
            <w:tcW w:w="2129" w:type="dxa"/>
            <w:noWrap w:val="0"/>
            <w:vAlign w:val="center"/>
          </w:tcPr>
          <w:p w14:paraId="1449D4CD">
            <w:pPr>
              <w:pStyle w:val="56"/>
              <w:rPr>
                <w:rFonts w:hint="eastAsia" w:cs="Times New Roman"/>
                <w:color w:val="auto"/>
                <w:sz w:val="24"/>
                <w:highlight w:val="none"/>
                <w:lang w:val="en-US" w:eastAsia="zh-CN"/>
              </w:rPr>
            </w:pPr>
            <w:r>
              <w:rPr>
                <w:rFonts w:hint="eastAsia" w:cs="Times New Roman"/>
                <w:color w:val="auto"/>
                <w:sz w:val="24"/>
                <w:highlight w:val="none"/>
                <w:lang w:val="en-US" w:eastAsia="zh-CN"/>
              </w:rPr>
              <w:t>除臭装置</w:t>
            </w:r>
            <w:r>
              <w:rPr>
                <w:rFonts w:hint="eastAsia" w:cs="Times New Roman"/>
                <w:b w:val="0"/>
                <w:bCs w:val="0"/>
                <w:color w:val="auto"/>
                <w:sz w:val="24"/>
                <w:highlight w:val="none"/>
                <w:lang w:val="en-US" w:eastAsia="zh-CN"/>
              </w:rPr>
              <w:t>（</w:t>
            </w:r>
            <w:r>
              <w:rPr>
                <w:rStyle w:val="20"/>
                <w:rFonts w:ascii="宋体" w:hAnsi="宋体" w:eastAsia="宋体" w:cs="宋体"/>
                <w:b w:val="0"/>
                <w:bCs w:val="0"/>
                <w:color w:val="auto"/>
                <w:kern w:val="0"/>
                <w:sz w:val="24"/>
                <w:szCs w:val="24"/>
                <w:highlight w:val="none"/>
                <w:lang w:val="en-US" w:eastAsia="zh-CN" w:bidi="ar"/>
              </w:rPr>
              <w:t>高能离子净化+活性炭吸附</w:t>
            </w:r>
            <w:r>
              <w:rPr>
                <w:rStyle w:val="20"/>
                <w:rFonts w:hint="eastAsia" w:ascii="宋体" w:hAnsi="宋体" w:eastAsia="宋体" w:cs="宋体"/>
                <w:b w:val="0"/>
                <w:bCs w:val="0"/>
                <w:color w:val="auto"/>
                <w:kern w:val="0"/>
                <w:sz w:val="24"/>
                <w:szCs w:val="24"/>
                <w:highlight w:val="none"/>
                <w:lang w:val="en-US" w:eastAsia="zh-CN" w:bidi="ar"/>
              </w:rPr>
              <w:t>）</w:t>
            </w:r>
          </w:p>
        </w:tc>
        <w:tc>
          <w:tcPr>
            <w:tcW w:w="2270" w:type="dxa"/>
            <w:noWrap w:val="0"/>
            <w:vAlign w:val="center"/>
          </w:tcPr>
          <w:p w14:paraId="57F31B5C">
            <w:pPr>
              <w:pStyle w:val="56"/>
              <w:rPr>
                <w:rFonts w:cs="Times New Roman"/>
                <w:color w:val="auto"/>
                <w:kern w:val="0"/>
                <w:sz w:val="24"/>
              </w:rPr>
            </w:pPr>
            <w:r>
              <w:rPr>
                <w:rFonts w:hint="eastAsia" w:cs="Times New Roman"/>
                <w:color w:val="auto"/>
                <w:kern w:val="0"/>
                <w:sz w:val="24"/>
              </w:rPr>
              <w:t>执行《恶臭污染物排放标准》（GB14554-93）中表2标准限值要求</w:t>
            </w:r>
          </w:p>
        </w:tc>
      </w:tr>
      <w:tr w14:paraId="6C6B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178" w:type="dxa"/>
            <w:vMerge w:val="continue"/>
            <w:noWrap w:val="0"/>
            <w:vAlign w:val="center"/>
          </w:tcPr>
          <w:p w14:paraId="521F771C">
            <w:pPr>
              <w:pStyle w:val="56"/>
              <w:rPr>
                <w:rFonts w:hint="eastAsia" w:cs="Times New Roman"/>
                <w:color w:val="auto"/>
                <w:sz w:val="24"/>
              </w:rPr>
            </w:pPr>
          </w:p>
        </w:tc>
        <w:tc>
          <w:tcPr>
            <w:tcW w:w="1866" w:type="dxa"/>
            <w:noWrap w:val="0"/>
            <w:vAlign w:val="center"/>
          </w:tcPr>
          <w:p w14:paraId="1D6C3E40">
            <w:pPr>
              <w:pStyle w:val="56"/>
              <w:rPr>
                <w:rFonts w:hint="default" w:eastAsia="宋体" w:cs="Times New Roman"/>
                <w:color w:val="auto"/>
                <w:sz w:val="24"/>
                <w:lang w:val="en-US" w:eastAsia="zh-CN"/>
              </w:rPr>
            </w:pPr>
            <w:r>
              <w:rPr>
                <w:rFonts w:hint="eastAsia" w:ascii="Times New Roman" w:hAnsi="Times New Roman" w:eastAsia="宋体"/>
                <w:color w:val="auto"/>
                <w:sz w:val="24"/>
                <w:szCs w:val="24"/>
                <w:lang w:val="en-US" w:eastAsia="zh-CN"/>
              </w:rPr>
              <w:t>污水站周边无组织</w:t>
            </w:r>
          </w:p>
        </w:tc>
        <w:tc>
          <w:tcPr>
            <w:tcW w:w="1357" w:type="dxa"/>
            <w:noWrap w:val="0"/>
            <w:vAlign w:val="center"/>
          </w:tcPr>
          <w:p w14:paraId="68019945">
            <w:pPr>
              <w:pStyle w:val="56"/>
              <w:rPr>
                <w:rFonts w:cs="Times New Roman"/>
                <w:bCs/>
                <w:color w:val="auto"/>
                <w:sz w:val="24"/>
              </w:rPr>
            </w:pPr>
            <w:r>
              <w:rPr>
                <w:rFonts w:hint="eastAsia" w:cs="Times New Roman"/>
                <w:bCs/>
                <w:color w:val="auto"/>
                <w:sz w:val="24"/>
              </w:rPr>
              <w:t>硫化氢、氨、</w:t>
            </w:r>
            <w:r>
              <w:rPr>
                <w:rFonts w:cs="Times New Roman"/>
                <w:color w:val="auto"/>
                <w:sz w:val="24"/>
              </w:rPr>
              <w:t>臭气浓度</w:t>
            </w:r>
          </w:p>
        </w:tc>
        <w:tc>
          <w:tcPr>
            <w:tcW w:w="2129" w:type="dxa"/>
            <w:noWrap w:val="0"/>
            <w:vAlign w:val="center"/>
          </w:tcPr>
          <w:p w14:paraId="5636F249">
            <w:pPr>
              <w:pStyle w:val="56"/>
              <w:rPr>
                <w:rFonts w:hint="default" w:cs="Times New Roman"/>
                <w:color w:val="auto"/>
                <w:sz w:val="24"/>
                <w:highlight w:val="none"/>
                <w:lang w:val="en-US"/>
              </w:rPr>
            </w:pPr>
            <w:r>
              <w:rPr>
                <w:rFonts w:hint="eastAsia" w:cs="Times New Roman"/>
                <w:color w:val="auto"/>
                <w:sz w:val="24"/>
                <w:highlight w:val="none"/>
                <w:lang w:val="en-US" w:eastAsia="zh-CN"/>
              </w:rPr>
              <w:t>/</w:t>
            </w:r>
          </w:p>
        </w:tc>
        <w:tc>
          <w:tcPr>
            <w:tcW w:w="2270" w:type="dxa"/>
            <w:noWrap w:val="0"/>
            <w:vAlign w:val="center"/>
          </w:tcPr>
          <w:p w14:paraId="083E850E">
            <w:pPr>
              <w:pStyle w:val="56"/>
              <w:rPr>
                <w:rFonts w:cs="Times New Roman"/>
                <w:color w:val="auto"/>
                <w:sz w:val="24"/>
              </w:rPr>
            </w:pPr>
            <w:r>
              <w:rPr>
                <w:rFonts w:cs="Times New Roman"/>
                <w:color w:val="auto"/>
                <w:kern w:val="0"/>
                <w:sz w:val="24"/>
              </w:rPr>
              <w:t>《医疗机构水污染物排放标准》（GB18466-2005）污水处理站周边大气污染物最高允许浓度的要求</w:t>
            </w:r>
          </w:p>
        </w:tc>
      </w:tr>
      <w:tr w14:paraId="4425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1178" w:type="dxa"/>
            <w:vMerge w:val="continue"/>
            <w:noWrap w:val="0"/>
            <w:vAlign w:val="center"/>
          </w:tcPr>
          <w:p w14:paraId="11E237CF">
            <w:pPr>
              <w:pStyle w:val="56"/>
              <w:rPr>
                <w:rFonts w:hint="eastAsia" w:cs="Times New Roman"/>
                <w:color w:val="auto"/>
                <w:sz w:val="24"/>
              </w:rPr>
            </w:pPr>
          </w:p>
        </w:tc>
        <w:tc>
          <w:tcPr>
            <w:tcW w:w="1866" w:type="dxa"/>
            <w:noWrap w:val="0"/>
            <w:vAlign w:val="center"/>
          </w:tcPr>
          <w:p w14:paraId="51448F49">
            <w:pPr>
              <w:pStyle w:val="56"/>
              <w:rPr>
                <w:rFonts w:hint="default" w:eastAsia="宋体" w:cs="Times New Roman"/>
                <w:color w:val="auto"/>
                <w:sz w:val="24"/>
                <w:lang w:val="en-US" w:eastAsia="zh-CN"/>
              </w:rPr>
            </w:pPr>
            <w:r>
              <w:rPr>
                <w:rFonts w:hint="eastAsia" w:cs="Times New Roman"/>
                <w:color w:val="auto"/>
                <w:sz w:val="24"/>
                <w:lang w:val="en-US" w:eastAsia="zh-CN"/>
              </w:rPr>
              <w:t>食堂烟囱</w:t>
            </w:r>
          </w:p>
        </w:tc>
        <w:tc>
          <w:tcPr>
            <w:tcW w:w="1357" w:type="dxa"/>
            <w:noWrap w:val="0"/>
            <w:vAlign w:val="center"/>
          </w:tcPr>
          <w:p w14:paraId="0F802104">
            <w:pPr>
              <w:pStyle w:val="56"/>
              <w:rPr>
                <w:rFonts w:hint="eastAsia" w:cs="Times New Roman"/>
                <w:bCs/>
                <w:color w:val="auto"/>
                <w:sz w:val="24"/>
              </w:rPr>
            </w:pPr>
            <w:r>
              <w:rPr>
                <w:rFonts w:hint="eastAsia" w:cs="Times New Roman"/>
                <w:bCs/>
                <w:color w:val="auto"/>
                <w:sz w:val="24"/>
              </w:rPr>
              <w:t>油烟</w:t>
            </w:r>
          </w:p>
        </w:tc>
        <w:tc>
          <w:tcPr>
            <w:tcW w:w="2129" w:type="dxa"/>
            <w:noWrap w:val="0"/>
            <w:vAlign w:val="center"/>
          </w:tcPr>
          <w:p w14:paraId="327CA34A">
            <w:pPr>
              <w:pStyle w:val="56"/>
              <w:rPr>
                <w:rFonts w:hint="eastAsia" w:cs="Times New Roman"/>
                <w:color w:val="auto"/>
                <w:sz w:val="24"/>
                <w:highlight w:val="none"/>
              </w:rPr>
            </w:pPr>
            <w:r>
              <w:rPr>
                <w:rFonts w:hint="eastAsia" w:cs="Times New Roman"/>
                <w:color w:val="auto"/>
                <w:sz w:val="24"/>
                <w:highlight w:val="none"/>
              </w:rPr>
              <w:t>油烟净化</w:t>
            </w:r>
          </w:p>
        </w:tc>
        <w:tc>
          <w:tcPr>
            <w:tcW w:w="2270" w:type="dxa"/>
            <w:noWrap w:val="0"/>
            <w:vAlign w:val="center"/>
          </w:tcPr>
          <w:p w14:paraId="19AFE9CF">
            <w:pPr>
              <w:pStyle w:val="30"/>
              <w:spacing w:before="114" w:line="220" w:lineRule="auto"/>
              <w:ind w:left="143"/>
              <w:rPr>
                <w:rFonts w:ascii="Times New Roman" w:hAnsi="Times New Roman" w:eastAsia="宋体" w:cs="Times New Roman"/>
                <w:color w:val="auto"/>
                <w:kern w:val="0"/>
                <w:sz w:val="24"/>
                <w:szCs w:val="24"/>
                <w:lang w:val="en-US" w:eastAsia="zh-CN" w:bidi="ar-SA"/>
              </w:rPr>
            </w:pPr>
            <w:r>
              <w:rPr>
                <w:rFonts w:ascii="Times New Roman" w:hAnsi="Times New Roman" w:eastAsia="宋体" w:cs="Times New Roman"/>
                <w:color w:val="auto"/>
                <w:kern w:val="0"/>
                <w:sz w:val="24"/>
                <w:szCs w:val="24"/>
                <w:lang w:val="en-US" w:eastAsia="zh-CN" w:bidi="ar-SA"/>
              </w:rPr>
              <w:t>《饮食业油烟排放标准（试行）》</w:t>
            </w:r>
          </w:p>
          <w:p w14:paraId="6D36A10B">
            <w:pPr>
              <w:pStyle w:val="56"/>
              <w:rPr>
                <w:rFonts w:cs="Times New Roman"/>
                <w:color w:val="auto"/>
                <w:kern w:val="0"/>
                <w:sz w:val="24"/>
              </w:rPr>
            </w:pPr>
            <w:r>
              <w:rPr>
                <w:rFonts w:ascii="Times New Roman" w:hAnsi="Times New Roman" w:eastAsia="宋体" w:cs="Times New Roman"/>
                <w:color w:val="auto"/>
                <w:kern w:val="0"/>
                <w:sz w:val="24"/>
                <w:szCs w:val="24"/>
                <w:lang w:val="en-US" w:eastAsia="zh-CN" w:bidi="ar-SA"/>
              </w:rPr>
              <w:t>（GB18483-2001）</w:t>
            </w:r>
          </w:p>
        </w:tc>
      </w:tr>
      <w:tr w14:paraId="2B86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1178" w:type="dxa"/>
            <w:vMerge w:val="continue"/>
            <w:noWrap w:val="0"/>
            <w:vAlign w:val="center"/>
          </w:tcPr>
          <w:p w14:paraId="370DAF8F">
            <w:pPr>
              <w:pStyle w:val="56"/>
              <w:rPr>
                <w:rFonts w:hint="eastAsia" w:cs="Times New Roman"/>
                <w:color w:val="auto"/>
                <w:sz w:val="24"/>
              </w:rPr>
            </w:pPr>
          </w:p>
        </w:tc>
        <w:tc>
          <w:tcPr>
            <w:tcW w:w="1866" w:type="dxa"/>
            <w:noWrap w:val="0"/>
            <w:vAlign w:val="center"/>
          </w:tcPr>
          <w:p w14:paraId="4912BA49">
            <w:pPr>
              <w:pStyle w:val="56"/>
              <w:rPr>
                <w:rFonts w:hint="default" w:cs="Times New Roman"/>
                <w:color w:val="auto"/>
                <w:sz w:val="24"/>
                <w:lang w:val="en-US" w:eastAsia="zh-CN"/>
              </w:rPr>
            </w:pPr>
            <w:r>
              <w:rPr>
                <w:rFonts w:hint="eastAsia"/>
                <w:color w:val="auto"/>
                <w:lang w:val="en-US" w:eastAsia="zh-CN"/>
              </w:rPr>
              <w:t>柴油发电机排放口</w:t>
            </w:r>
          </w:p>
        </w:tc>
        <w:tc>
          <w:tcPr>
            <w:tcW w:w="1357" w:type="dxa"/>
            <w:noWrap w:val="0"/>
            <w:vAlign w:val="center"/>
          </w:tcPr>
          <w:p w14:paraId="18CEB66C">
            <w:pPr>
              <w:pStyle w:val="56"/>
              <w:rPr>
                <w:rFonts w:hint="eastAsia" w:cs="Times New Roman"/>
                <w:bCs/>
                <w:color w:val="auto"/>
                <w:sz w:val="24"/>
              </w:rPr>
            </w:pPr>
            <w:r>
              <w:rPr>
                <w:rFonts w:hint="eastAsia" w:cs="Times New Roman"/>
                <w:bCs/>
                <w:color w:val="auto"/>
                <w:sz w:val="24"/>
              </w:rPr>
              <w:t xml:space="preserve"> SO</w:t>
            </w:r>
            <w:r>
              <w:rPr>
                <w:rFonts w:hint="eastAsia" w:cs="Times New Roman"/>
                <w:bCs/>
                <w:color w:val="auto"/>
                <w:sz w:val="24"/>
                <w:vertAlign w:val="subscript"/>
              </w:rPr>
              <w:t>2</w:t>
            </w:r>
            <w:r>
              <w:rPr>
                <w:rFonts w:hint="eastAsia" w:cs="Times New Roman"/>
                <w:bCs/>
                <w:color w:val="auto"/>
                <w:sz w:val="24"/>
              </w:rPr>
              <w:t>、NO</w:t>
            </w:r>
            <w:r>
              <w:rPr>
                <w:rFonts w:hint="eastAsia" w:cs="Times New Roman"/>
                <w:bCs/>
                <w:color w:val="auto"/>
                <w:sz w:val="24"/>
                <w:vertAlign w:val="subscript"/>
              </w:rPr>
              <w:t>X</w:t>
            </w:r>
            <w:r>
              <w:rPr>
                <w:rFonts w:hint="eastAsia" w:cs="Times New Roman"/>
                <w:bCs/>
                <w:color w:val="auto"/>
                <w:sz w:val="24"/>
              </w:rPr>
              <w:t xml:space="preserve"> 及烟尘浓度</w:t>
            </w:r>
          </w:p>
          <w:p w14:paraId="157C5E3E">
            <w:pPr>
              <w:pStyle w:val="56"/>
              <w:rPr>
                <w:rFonts w:hint="eastAsia" w:cs="Times New Roman"/>
                <w:bCs/>
                <w:color w:val="auto"/>
                <w:sz w:val="24"/>
              </w:rPr>
            </w:pPr>
          </w:p>
        </w:tc>
        <w:tc>
          <w:tcPr>
            <w:tcW w:w="2129" w:type="dxa"/>
            <w:noWrap w:val="0"/>
            <w:vAlign w:val="center"/>
          </w:tcPr>
          <w:p w14:paraId="2EF099DD">
            <w:pPr>
              <w:pStyle w:val="56"/>
              <w:rPr>
                <w:rFonts w:hint="eastAsia" w:eastAsia="宋体" w:cs="Times New Roman"/>
                <w:color w:val="auto"/>
                <w:sz w:val="24"/>
                <w:highlight w:val="none"/>
                <w:lang w:val="en-US" w:eastAsia="zh-CN"/>
              </w:rPr>
            </w:pPr>
            <w:r>
              <w:rPr>
                <w:rFonts w:hint="eastAsia" w:cs="Times New Roman"/>
                <w:color w:val="auto"/>
                <w:sz w:val="24"/>
                <w:highlight w:val="none"/>
              </w:rPr>
              <w:t>引至楼顶</w:t>
            </w:r>
            <w:r>
              <w:rPr>
                <w:rFonts w:hint="eastAsia" w:cs="Times New Roman"/>
                <w:color w:val="auto"/>
                <w:sz w:val="24"/>
                <w:highlight w:val="none"/>
                <w:lang w:val="en-US" w:eastAsia="zh-CN"/>
              </w:rPr>
              <w:t>排放</w:t>
            </w:r>
          </w:p>
        </w:tc>
        <w:tc>
          <w:tcPr>
            <w:tcW w:w="2270" w:type="dxa"/>
            <w:noWrap w:val="0"/>
            <w:vAlign w:val="center"/>
          </w:tcPr>
          <w:p w14:paraId="47EBEA37">
            <w:pPr>
              <w:pStyle w:val="56"/>
              <w:rPr>
                <w:rFonts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b w:val="0"/>
                <w:bCs/>
                <w:color w:val="auto"/>
                <w:sz w:val="24"/>
                <w:szCs w:val="22"/>
                <w:lang w:val="en-US" w:eastAsia="zh-CN"/>
              </w:rPr>
              <w:t>《大气污染物综合排放标准》(GB16927- 1996)表 2 二级标准</w:t>
            </w:r>
          </w:p>
        </w:tc>
      </w:tr>
      <w:tr w14:paraId="2647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1178" w:type="dxa"/>
            <w:vMerge w:val="continue"/>
            <w:noWrap w:val="0"/>
            <w:vAlign w:val="center"/>
          </w:tcPr>
          <w:p w14:paraId="6E2A141A">
            <w:pPr>
              <w:pStyle w:val="56"/>
              <w:rPr>
                <w:rFonts w:hint="eastAsia" w:cs="Times New Roman"/>
                <w:color w:val="auto"/>
                <w:sz w:val="24"/>
              </w:rPr>
            </w:pPr>
          </w:p>
        </w:tc>
        <w:tc>
          <w:tcPr>
            <w:tcW w:w="1866" w:type="dxa"/>
            <w:noWrap w:val="0"/>
            <w:vAlign w:val="center"/>
          </w:tcPr>
          <w:p w14:paraId="54E01E52">
            <w:pPr>
              <w:pStyle w:val="56"/>
              <w:rPr>
                <w:rFonts w:hint="default" w:cs="Times New Roman"/>
                <w:color w:val="auto"/>
                <w:sz w:val="24"/>
                <w:lang w:val="en-US" w:eastAsia="zh-CN"/>
              </w:rPr>
            </w:pPr>
            <w:r>
              <w:rPr>
                <w:rFonts w:hint="eastAsia" w:cs="Times New Roman"/>
                <w:color w:val="auto"/>
                <w:sz w:val="24"/>
                <w:lang w:val="en-US" w:eastAsia="zh-CN"/>
              </w:rPr>
              <w:t>医疗废物间排气口</w:t>
            </w:r>
          </w:p>
        </w:tc>
        <w:tc>
          <w:tcPr>
            <w:tcW w:w="1357" w:type="dxa"/>
            <w:noWrap w:val="0"/>
            <w:vAlign w:val="center"/>
          </w:tcPr>
          <w:p w14:paraId="04A54372">
            <w:pPr>
              <w:pStyle w:val="56"/>
              <w:rPr>
                <w:rFonts w:hint="eastAsia" w:cs="Times New Roman"/>
                <w:bCs/>
                <w:color w:val="auto"/>
                <w:sz w:val="24"/>
              </w:rPr>
            </w:pPr>
            <w:r>
              <w:rPr>
                <w:rFonts w:hint="eastAsia" w:cs="Times New Roman"/>
                <w:bCs/>
                <w:color w:val="auto"/>
                <w:sz w:val="24"/>
              </w:rPr>
              <w:t>臭气及含菌废气</w:t>
            </w:r>
          </w:p>
        </w:tc>
        <w:tc>
          <w:tcPr>
            <w:tcW w:w="2129" w:type="dxa"/>
            <w:noWrap w:val="0"/>
            <w:vAlign w:val="center"/>
          </w:tcPr>
          <w:p w14:paraId="25E39C34">
            <w:pPr>
              <w:pStyle w:val="56"/>
              <w:rPr>
                <w:rFonts w:hint="eastAsia" w:cs="Times New Roman"/>
                <w:color w:val="auto"/>
                <w:sz w:val="24"/>
                <w:highlight w:val="none"/>
              </w:rPr>
            </w:pPr>
            <w:r>
              <w:rPr>
                <w:rFonts w:hint="eastAsia" w:cs="Times New Roman"/>
                <w:color w:val="auto"/>
                <w:sz w:val="24"/>
                <w:highlight w:val="none"/>
              </w:rPr>
              <w:t>经紫外线消毒+活性炭处理后引至屋顶排放</w:t>
            </w:r>
          </w:p>
        </w:tc>
        <w:tc>
          <w:tcPr>
            <w:tcW w:w="2270" w:type="dxa"/>
            <w:noWrap w:val="0"/>
            <w:vAlign w:val="center"/>
          </w:tcPr>
          <w:p w14:paraId="699D31F6">
            <w:pPr>
              <w:pStyle w:val="56"/>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w:t>
            </w:r>
          </w:p>
        </w:tc>
      </w:tr>
      <w:tr w14:paraId="626A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0" w:hRule="atLeast"/>
          <w:jc w:val="center"/>
        </w:trPr>
        <w:tc>
          <w:tcPr>
            <w:tcW w:w="1178" w:type="dxa"/>
            <w:noWrap w:val="0"/>
            <w:vAlign w:val="center"/>
          </w:tcPr>
          <w:p w14:paraId="22F40D25">
            <w:pPr>
              <w:pStyle w:val="56"/>
              <w:rPr>
                <w:rFonts w:cs="Times New Roman"/>
                <w:color w:val="auto"/>
                <w:sz w:val="24"/>
              </w:rPr>
            </w:pPr>
            <w:r>
              <w:rPr>
                <w:rFonts w:hint="eastAsia" w:cs="Times New Roman"/>
                <w:color w:val="auto"/>
                <w:sz w:val="24"/>
                <w:lang w:val="en-US" w:eastAsia="zh-CN"/>
              </w:rPr>
              <w:t>水</w:t>
            </w:r>
            <w:r>
              <w:rPr>
                <w:rFonts w:hint="eastAsia" w:cs="Times New Roman"/>
                <w:color w:val="auto"/>
                <w:sz w:val="24"/>
              </w:rPr>
              <w:t>环境</w:t>
            </w:r>
          </w:p>
        </w:tc>
        <w:tc>
          <w:tcPr>
            <w:tcW w:w="1866" w:type="dxa"/>
            <w:noWrap w:val="0"/>
            <w:vAlign w:val="center"/>
          </w:tcPr>
          <w:p w14:paraId="43849020">
            <w:pPr>
              <w:adjustRightInd w:val="0"/>
              <w:snapToGrid w:val="0"/>
              <w:jc w:val="center"/>
              <w:rPr>
                <w:rFonts w:hint="eastAsia" w:eastAsia="宋体"/>
                <w:color w:val="auto"/>
                <w:sz w:val="24"/>
                <w:lang w:val="en-US" w:eastAsia="zh-CN"/>
              </w:rPr>
            </w:pPr>
            <w:r>
              <w:rPr>
                <w:rFonts w:hint="eastAsia" w:eastAsia="宋体"/>
                <w:color w:val="auto"/>
                <w:sz w:val="24"/>
                <w:lang w:val="en-US" w:eastAsia="zh-CN"/>
              </w:rPr>
              <w:t>综合废水排放口</w:t>
            </w:r>
          </w:p>
          <w:p w14:paraId="3CC89945">
            <w:pPr>
              <w:adjustRightInd w:val="0"/>
              <w:snapToGrid w:val="0"/>
              <w:jc w:val="center"/>
              <w:rPr>
                <w:rFonts w:hint="eastAsia" w:eastAsia="宋体"/>
                <w:color w:val="auto"/>
                <w:sz w:val="24"/>
                <w:lang w:val="en-US" w:eastAsia="zh-CN"/>
              </w:rPr>
            </w:pPr>
            <w:r>
              <w:rPr>
                <w:rFonts w:hint="eastAsia" w:eastAsia="宋体"/>
                <w:color w:val="auto"/>
                <w:sz w:val="24"/>
                <w:lang w:val="en-US" w:eastAsia="zh-CN"/>
              </w:rPr>
              <w:t>（DW001）</w:t>
            </w:r>
          </w:p>
        </w:tc>
        <w:tc>
          <w:tcPr>
            <w:tcW w:w="1357" w:type="dxa"/>
            <w:noWrap w:val="0"/>
            <w:vAlign w:val="center"/>
          </w:tcPr>
          <w:p w14:paraId="10A4A929">
            <w:pPr>
              <w:adjustRightInd w:val="0"/>
              <w:snapToGrid w:val="0"/>
              <w:jc w:val="center"/>
              <w:rPr>
                <w:color w:val="auto"/>
                <w:sz w:val="24"/>
              </w:rPr>
            </w:pPr>
            <w:r>
              <w:rPr>
                <w:color w:val="auto"/>
                <w:sz w:val="24"/>
              </w:rPr>
              <w:t>总</w:t>
            </w:r>
            <w:r>
              <w:rPr>
                <w:rFonts w:hint="eastAsia"/>
                <w:color w:val="auto"/>
                <w:sz w:val="24"/>
              </w:rPr>
              <w:t>余氯</w:t>
            </w:r>
            <w:r>
              <w:rPr>
                <w:rFonts w:hint="eastAsia"/>
                <w:color w:val="auto"/>
                <w:sz w:val="24"/>
                <w:lang w:eastAsia="zh-CN"/>
              </w:rPr>
              <w:t>、</w:t>
            </w:r>
            <w:r>
              <w:rPr>
                <w:color w:val="auto"/>
                <w:sz w:val="24"/>
              </w:rPr>
              <w:t>pH值、化学需氧量、悬浮物、氨氮</w:t>
            </w:r>
            <w:r>
              <w:rPr>
                <w:rFonts w:hint="eastAsia"/>
                <w:color w:val="auto"/>
                <w:sz w:val="24"/>
              </w:rPr>
              <w:t>、</w:t>
            </w:r>
            <w:r>
              <w:rPr>
                <w:color w:val="auto"/>
                <w:sz w:val="24"/>
              </w:rPr>
              <w:t>五日生化需氧量、</w:t>
            </w:r>
            <w:r>
              <w:rPr>
                <w:rFonts w:hint="eastAsia"/>
                <w:color w:val="auto"/>
                <w:sz w:val="24"/>
              </w:rPr>
              <w:t>动植物油</w:t>
            </w:r>
          </w:p>
        </w:tc>
        <w:tc>
          <w:tcPr>
            <w:tcW w:w="2129" w:type="dxa"/>
            <w:noWrap w:val="0"/>
            <w:vAlign w:val="center"/>
          </w:tcPr>
          <w:p w14:paraId="574A7CA2">
            <w:pPr>
              <w:pStyle w:val="56"/>
              <w:rPr>
                <w:rFonts w:hint="eastAsia" w:eastAsia="宋体"/>
                <w:color w:val="auto"/>
                <w:sz w:val="24"/>
                <w:lang w:val="en-US" w:eastAsia="zh-CN"/>
              </w:rPr>
            </w:pPr>
            <w:r>
              <w:rPr>
                <w:rFonts w:hint="default" w:ascii="Times New Roman" w:hAnsi="Times New Roman" w:eastAsia="宋体" w:cs="Times New Roman"/>
                <w:color w:val="auto"/>
                <w:sz w:val="24"/>
                <w:lang w:val="en-US" w:eastAsia="zh-CN"/>
              </w:rPr>
              <w:t>生活污水经化粪池预处理</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特殊医疗废水（如化验室、口腔科废水）经化学沉淀池预处理后，与其他废水一并进入院区污水处理站。餐厨废水经隔油池 + 化粪池预处理后，一并进入处理规模为500t/d的污水处理站处理，达标后由密闭污水槽车清运至青口汽车工业开发区污水处理厂集中处置</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待区域市政污水管网建成投用后，污水处理站出水纳入市政污水管网，最终排入青口新区污水处理厂统一处理。</w:t>
            </w:r>
          </w:p>
        </w:tc>
        <w:tc>
          <w:tcPr>
            <w:tcW w:w="2270" w:type="dxa"/>
            <w:noWrap w:val="0"/>
            <w:vAlign w:val="center"/>
          </w:tcPr>
          <w:p w14:paraId="1C7E31FA">
            <w:pPr>
              <w:jc w:val="center"/>
              <w:rPr>
                <w:color w:val="auto"/>
                <w:sz w:val="24"/>
              </w:rPr>
            </w:pPr>
            <w:r>
              <w:rPr>
                <w:color w:val="auto"/>
                <w:sz w:val="24"/>
              </w:rPr>
              <w:t>《医疗机构水污染物排放标准》（GB18466-2005）预处理标准</w:t>
            </w:r>
          </w:p>
        </w:tc>
      </w:tr>
      <w:tr w14:paraId="4D36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178" w:type="dxa"/>
            <w:noWrap w:val="0"/>
            <w:vAlign w:val="center"/>
          </w:tcPr>
          <w:p w14:paraId="05142159">
            <w:pPr>
              <w:pStyle w:val="56"/>
              <w:rPr>
                <w:rFonts w:cs="Times New Roman"/>
                <w:color w:val="auto"/>
                <w:sz w:val="24"/>
              </w:rPr>
            </w:pPr>
            <w:r>
              <w:rPr>
                <w:rFonts w:cs="Times New Roman"/>
                <w:color w:val="auto"/>
                <w:sz w:val="24"/>
              </w:rPr>
              <w:t>声环境</w:t>
            </w:r>
          </w:p>
        </w:tc>
        <w:tc>
          <w:tcPr>
            <w:tcW w:w="3223" w:type="dxa"/>
            <w:gridSpan w:val="2"/>
            <w:noWrap w:val="0"/>
            <w:vAlign w:val="center"/>
          </w:tcPr>
          <w:p w14:paraId="50A605F8">
            <w:pPr>
              <w:pStyle w:val="56"/>
              <w:rPr>
                <w:rFonts w:cs="Times New Roman"/>
                <w:color w:val="auto"/>
                <w:sz w:val="24"/>
              </w:rPr>
            </w:pPr>
            <w:r>
              <w:rPr>
                <w:rFonts w:hint="eastAsia" w:cs="Times New Roman"/>
                <w:color w:val="auto"/>
                <w:sz w:val="24"/>
              </w:rPr>
              <w:t>人群、</w:t>
            </w:r>
            <w:r>
              <w:rPr>
                <w:rFonts w:cs="Times New Roman"/>
                <w:color w:val="auto"/>
                <w:sz w:val="24"/>
              </w:rPr>
              <w:t>设备噪声</w:t>
            </w:r>
          </w:p>
        </w:tc>
        <w:tc>
          <w:tcPr>
            <w:tcW w:w="2129" w:type="dxa"/>
            <w:noWrap w:val="0"/>
            <w:vAlign w:val="center"/>
          </w:tcPr>
          <w:p w14:paraId="5109519D">
            <w:pPr>
              <w:pStyle w:val="56"/>
              <w:rPr>
                <w:rFonts w:cs="Times New Roman"/>
                <w:color w:val="auto"/>
                <w:sz w:val="24"/>
              </w:rPr>
            </w:pPr>
            <w:r>
              <w:rPr>
                <w:rFonts w:hint="eastAsia" w:cs="Times New Roman"/>
                <w:color w:val="auto"/>
                <w:sz w:val="24"/>
              </w:rPr>
              <w:t>厂区绿化、污水处理站设备为地埋式</w:t>
            </w:r>
          </w:p>
        </w:tc>
        <w:tc>
          <w:tcPr>
            <w:tcW w:w="2270" w:type="dxa"/>
            <w:noWrap w:val="0"/>
            <w:vAlign w:val="center"/>
          </w:tcPr>
          <w:p w14:paraId="1B636FCE">
            <w:pPr>
              <w:pStyle w:val="56"/>
              <w:rPr>
                <w:rFonts w:cs="Times New Roman"/>
                <w:color w:val="auto"/>
                <w:sz w:val="24"/>
              </w:rPr>
            </w:pPr>
            <w:r>
              <w:rPr>
                <w:rFonts w:cs="Times New Roman"/>
                <w:color w:val="auto"/>
                <w:sz w:val="24"/>
              </w:rPr>
              <w:t>工业企业厂界环境噪声排放标准》（GB12348-2008）</w:t>
            </w:r>
            <w:r>
              <w:rPr>
                <w:rFonts w:hint="eastAsia" w:cs="Times New Roman"/>
                <w:color w:val="auto"/>
                <w:sz w:val="24"/>
                <w:lang w:val="en-US" w:eastAsia="zh-CN"/>
              </w:rPr>
              <w:t>2</w:t>
            </w:r>
            <w:r>
              <w:rPr>
                <w:rFonts w:cs="Times New Roman"/>
                <w:color w:val="auto"/>
                <w:sz w:val="24"/>
              </w:rPr>
              <w:t>类标准</w:t>
            </w:r>
          </w:p>
        </w:tc>
      </w:tr>
      <w:tr w14:paraId="03DF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78" w:type="dxa"/>
            <w:noWrap w:val="0"/>
            <w:vAlign w:val="center"/>
          </w:tcPr>
          <w:p w14:paraId="6518F2DE">
            <w:pPr>
              <w:pStyle w:val="56"/>
              <w:rPr>
                <w:rFonts w:cs="Times New Roman"/>
                <w:color w:val="auto"/>
                <w:sz w:val="24"/>
              </w:rPr>
            </w:pPr>
            <w:r>
              <w:rPr>
                <w:rFonts w:cs="Times New Roman"/>
                <w:color w:val="auto"/>
                <w:sz w:val="24"/>
              </w:rPr>
              <w:t>电磁辐射</w:t>
            </w:r>
          </w:p>
        </w:tc>
        <w:tc>
          <w:tcPr>
            <w:tcW w:w="1866" w:type="dxa"/>
            <w:noWrap w:val="0"/>
            <w:vAlign w:val="center"/>
          </w:tcPr>
          <w:p w14:paraId="41CEFD89">
            <w:pPr>
              <w:spacing w:line="360" w:lineRule="auto"/>
              <w:jc w:val="center"/>
              <w:rPr>
                <w:color w:val="auto"/>
                <w:sz w:val="24"/>
              </w:rPr>
            </w:pPr>
            <w:r>
              <w:rPr>
                <w:color w:val="auto"/>
                <w:sz w:val="24"/>
              </w:rPr>
              <w:t>——</w:t>
            </w:r>
          </w:p>
        </w:tc>
        <w:tc>
          <w:tcPr>
            <w:tcW w:w="1357" w:type="dxa"/>
            <w:noWrap w:val="0"/>
            <w:vAlign w:val="center"/>
          </w:tcPr>
          <w:p w14:paraId="22E6A21C">
            <w:pPr>
              <w:spacing w:line="360" w:lineRule="auto"/>
              <w:jc w:val="center"/>
              <w:rPr>
                <w:color w:val="auto"/>
                <w:sz w:val="24"/>
              </w:rPr>
            </w:pPr>
            <w:r>
              <w:rPr>
                <w:color w:val="auto"/>
                <w:sz w:val="24"/>
              </w:rPr>
              <w:t>——</w:t>
            </w:r>
          </w:p>
        </w:tc>
        <w:tc>
          <w:tcPr>
            <w:tcW w:w="2129" w:type="dxa"/>
            <w:noWrap w:val="0"/>
            <w:vAlign w:val="center"/>
          </w:tcPr>
          <w:p w14:paraId="7A44EAED">
            <w:pPr>
              <w:spacing w:line="360" w:lineRule="auto"/>
              <w:jc w:val="center"/>
              <w:rPr>
                <w:color w:val="auto"/>
                <w:sz w:val="24"/>
              </w:rPr>
            </w:pPr>
            <w:r>
              <w:rPr>
                <w:color w:val="auto"/>
                <w:sz w:val="24"/>
              </w:rPr>
              <w:t>——</w:t>
            </w:r>
          </w:p>
        </w:tc>
        <w:tc>
          <w:tcPr>
            <w:tcW w:w="2270" w:type="dxa"/>
            <w:noWrap w:val="0"/>
            <w:vAlign w:val="center"/>
          </w:tcPr>
          <w:p w14:paraId="45989792">
            <w:pPr>
              <w:spacing w:line="360" w:lineRule="auto"/>
              <w:jc w:val="center"/>
              <w:rPr>
                <w:color w:val="auto"/>
                <w:sz w:val="24"/>
              </w:rPr>
            </w:pPr>
            <w:r>
              <w:rPr>
                <w:color w:val="auto"/>
                <w:sz w:val="24"/>
              </w:rPr>
              <w:t>——</w:t>
            </w:r>
          </w:p>
        </w:tc>
      </w:tr>
      <w:tr w14:paraId="70DF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1178" w:type="dxa"/>
            <w:noWrap w:val="0"/>
            <w:vAlign w:val="center"/>
          </w:tcPr>
          <w:p w14:paraId="2E5D65FC">
            <w:pPr>
              <w:pStyle w:val="56"/>
              <w:rPr>
                <w:rFonts w:cs="Times New Roman"/>
                <w:color w:val="auto"/>
                <w:sz w:val="24"/>
              </w:rPr>
            </w:pPr>
            <w:r>
              <w:rPr>
                <w:rFonts w:cs="Times New Roman"/>
                <w:color w:val="auto"/>
                <w:sz w:val="24"/>
              </w:rPr>
              <w:t>固体废物</w:t>
            </w:r>
          </w:p>
        </w:tc>
        <w:tc>
          <w:tcPr>
            <w:tcW w:w="7622" w:type="dxa"/>
            <w:gridSpan w:val="4"/>
            <w:noWrap w:val="0"/>
            <w:vAlign w:val="center"/>
          </w:tcPr>
          <w:p w14:paraId="32576E57">
            <w:pPr>
              <w:keepNext w:val="0"/>
              <w:keepLines w:val="0"/>
              <w:widowControl/>
              <w:suppressLineNumbers w:val="0"/>
              <w:spacing w:line="360" w:lineRule="auto"/>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生活垃圾收集后交由当地环卫部门处置，医疗废物</w:t>
            </w:r>
            <w:r>
              <w:rPr>
                <w:rFonts w:hint="default" w:ascii="Times New Roman" w:hAnsi="Times New Roman" w:cs="Times New Roman"/>
                <w:color w:val="auto"/>
                <w:sz w:val="24"/>
                <w:szCs w:val="24"/>
                <w:lang w:val="en-US" w:eastAsia="zh-CN"/>
              </w:rPr>
              <w:t>经紫外消毒后</w:t>
            </w:r>
            <w:r>
              <w:rPr>
                <w:rFonts w:hint="default" w:ascii="Times New Roman" w:hAnsi="Times New Roman" w:cs="Times New Roman"/>
                <w:color w:val="auto"/>
                <w:sz w:val="24"/>
                <w:szCs w:val="24"/>
              </w:rPr>
              <w:t>在医废暂存间进行分类暂存后委托有资质单位进行清运处</w:t>
            </w:r>
            <w:r>
              <w:rPr>
                <w:rFonts w:hint="default" w:ascii="Times New Roman" w:hAnsi="Times New Roman" w:cs="Times New Roman"/>
                <w:b w:val="0"/>
                <w:bCs w:val="0"/>
                <w:color w:val="auto"/>
                <w:sz w:val="24"/>
                <w:szCs w:val="24"/>
              </w:rPr>
              <w:t>置。</w:t>
            </w:r>
            <w:r>
              <w:rPr>
                <w:rStyle w:val="20"/>
                <w:rFonts w:hint="default" w:ascii="Times New Roman" w:hAnsi="Times New Roman" w:eastAsia="宋体" w:cs="Times New Roman"/>
                <w:b w:val="0"/>
                <w:bCs w:val="0"/>
                <w:color w:val="auto"/>
                <w:kern w:val="0"/>
                <w:sz w:val="24"/>
                <w:szCs w:val="24"/>
                <w:lang w:val="en-US" w:eastAsia="zh-CN" w:bidi="ar"/>
              </w:rPr>
              <w:t>危废暂存间规范化建设及管理要求</w:t>
            </w:r>
            <w:r>
              <w:rPr>
                <w:rFonts w:hint="default" w:ascii="Times New Roman" w:hAnsi="Times New Roman" w:eastAsia="宋体" w:cs="Times New Roman"/>
                <w:b w:val="0"/>
                <w:bCs w:val="0"/>
                <w:color w:val="auto"/>
                <w:kern w:val="0"/>
                <w:sz w:val="24"/>
                <w:szCs w:val="24"/>
                <w:lang w:val="en-US" w:eastAsia="zh-CN" w:bidi="ar"/>
              </w:rPr>
              <w:t>：项目危废暂存间严格按照《危险废物</w:t>
            </w:r>
            <w:r>
              <w:rPr>
                <w:rFonts w:hint="default" w:ascii="Times New Roman" w:hAnsi="Times New Roman" w:eastAsia="宋体" w:cs="Times New Roman"/>
                <w:color w:val="auto"/>
                <w:kern w:val="0"/>
                <w:sz w:val="24"/>
                <w:szCs w:val="24"/>
                <w:lang w:val="en-US" w:eastAsia="zh-CN" w:bidi="ar"/>
              </w:rPr>
              <w:t>贮存污染控制标准》（GB18597-2001）及修改单规范建设，整体为独立密闭空间，具备防雨、防晒、防风、防盗、防渗、防腐“六防”功能。暂存间地面及墙体下部采用防渗、防腐硬化处理，防渗层渗透系数≤1×10cm/s，有效防止废液下渗污染土壤及地下水；室内设置导流沟槽、应急收集池，可有效收集意外渗漏废液，杜绝废液外流。暂存间出入口设置密闭门窗、防雨围挡，配套通风换气设施，保持室内空气流通，降低异味集聚风险。</w:t>
            </w:r>
          </w:p>
          <w:p w14:paraId="641ABA50">
            <w:pPr>
              <w:pStyle w:val="56"/>
              <w:spacing w:line="360" w:lineRule="auto"/>
              <w:jc w:val="left"/>
              <w:rPr>
                <w:rFonts w:cs="Times New Roman"/>
                <w:color w:val="auto"/>
                <w:sz w:val="24"/>
              </w:rPr>
            </w:pPr>
            <w:r>
              <w:rPr>
                <w:rFonts w:hint="eastAsia" w:cs="Times New Roman"/>
                <w:color w:val="auto"/>
                <w:sz w:val="24"/>
              </w:rPr>
              <w:t>盛装的医疗废物达到容器的3/4时使用有效的封口方式严密；储存容器外表面被感染性废物污染时，对被污染处进行消毒处理或者增加一层包装；盛装医疗废物的每个容器外表面有警示标识；运送人员在运送医疗废物时，使用防渗漏、防遗撒、无锐利边角、易于装卸和清洁的专用运送工具。</w:t>
            </w:r>
            <w:r>
              <w:rPr>
                <w:rFonts w:cs="Times New Roman"/>
                <w:color w:val="auto"/>
                <w:sz w:val="24"/>
              </w:rPr>
              <w:t>污泥投加生石灰消毒后</w:t>
            </w:r>
            <w:r>
              <w:rPr>
                <w:rFonts w:hint="eastAsia" w:cs="Times New Roman"/>
                <w:color w:val="auto"/>
                <w:sz w:val="24"/>
              </w:rPr>
              <w:t>装进收集桶内</w:t>
            </w:r>
            <w:r>
              <w:rPr>
                <w:rFonts w:cs="Times New Roman"/>
                <w:color w:val="auto"/>
                <w:sz w:val="24"/>
              </w:rPr>
              <w:t>暂存于</w:t>
            </w:r>
            <w:r>
              <w:rPr>
                <w:rFonts w:hint="eastAsia" w:cs="Times New Roman"/>
                <w:color w:val="auto"/>
                <w:sz w:val="24"/>
              </w:rPr>
              <w:t>危废</w:t>
            </w:r>
            <w:r>
              <w:rPr>
                <w:rFonts w:cs="Times New Roman"/>
                <w:color w:val="auto"/>
                <w:sz w:val="24"/>
              </w:rPr>
              <w:t>暂存间，</w:t>
            </w:r>
            <w:r>
              <w:rPr>
                <w:rFonts w:hint="eastAsia" w:cs="Times New Roman"/>
                <w:color w:val="auto"/>
                <w:sz w:val="24"/>
              </w:rPr>
              <w:t>最终委托资质单位</w:t>
            </w:r>
            <w:r>
              <w:rPr>
                <w:rFonts w:cs="Times New Roman"/>
                <w:color w:val="auto"/>
                <w:sz w:val="24"/>
              </w:rPr>
              <w:t>进行</w:t>
            </w:r>
            <w:r>
              <w:rPr>
                <w:rFonts w:hint="eastAsia" w:cs="Times New Roman"/>
                <w:color w:val="auto"/>
                <w:sz w:val="24"/>
              </w:rPr>
              <w:t>清运</w:t>
            </w:r>
            <w:r>
              <w:rPr>
                <w:rFonts w:cs="Times New Roman"/>
                <w:color w:val="auto"/>
                <w:sz w:val="24"/>
              </w:rPr>
              <w:t>处置</w:t>
            </w:r>
            <w:r>
              <w:rPr>
                <w:rFonts w:hint="eastAsia" w:cs="Times New Roman"/>
                <w:color w:val="auto"/>
                <w:sz w:val="24"/>
              </w:rPr>
              <w:t>。</w:t>
            </w:r>
          </w:p>
        </w:tc>
      </w:tr>
      <w:tr w14:paraId="1474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178" w:type="dxa"/>
            <w:noWrap w:val="0"/>
            <w:vAlign w:val="center"/>
          </w:tcPr>
          <w:p w14:paraId="5E7E321F">
            <w:pPr>
              <w:pStyle w:val="56"/>
              <w:rPr>
                <w:rFonts w:cs="Times New Roman"/>
                <w:color w:val="auto"/>
                <w:sz w:val="24"/>
              </w:rPr>
            </w:pPr>
            <w:r>
              <w:rPr>
                <w:rFonts w:cs="Times New Roman"/>
                <w:color w:val="auto"/>
                <w:sz w:val="24"/>
              </w:rPr>
              <w:t>土壤及地下水</w:t>
            </w:r>
          </w:p>
          <w:p w14:paraId="0B243983">
            <w:pPr>
              <w:pStyle w:val="56"/>
              <w:rPr>
                <w:rFonts w:cs="Times New Roman"/>
                <w:color w:val="auto"/>
                <w:sz w:val="24"/>
              </w:rPr>
            </w:pPr>
            <w:r>
              <w:rPr>
                <w:rFonts w:cs="Times New Roman"/>
                <w:color w:val="auto"/>
                <w:sz w:val="24"/>
              </w:rPr>
              <w:t>污染防治措施</w:t>
            </w:r>
          </w:p>
        </w:tc>
        <w:tc>
          <w:tcPr>
            <w:tcW w:w="7622" w:type="dxa"/>
            <w:gridSpan w:val="4"/>
            <w:noWrap w:val="0"/>
            <w:vAlign w:val="center"/>
          </w:tcPr>
          <w:p w14:paraId="2E998102">
            <w:pPr>
              <w:pStyle w:val="7"/>
              <w:keepNext w:val="0"/>
              <w:keepLines w:val="0"/>
              <w:pageBreakBefore w:val="0"/>
              <w:widowControl/>
              <w:kinsoku/>
              <w:wordWrap/>
              <w:overflowPunct/>
              <w:topLinePunct w:val="0"/>
              <w:autoSpaceDE/>
              <w:autoSpaceDN/>
              <w:bidi w:val="0"/>
              <w:adjustRightInd/>
              <w:snapToGrid w:val="0"/>
              <w:spacing w:before="182" w:after="0" w:line="360" w:lineRule="auto"/>
              <w:ind w:left="117" w:right="108" w:firstLine="480" w:firstLineChars="200"/>
              <w:textAlignment w:val="auto"/>
              <w:rPr>
                <w:rFonts w:ascii="Times New Roman" w:hAnsi="Times New Roman" w:eastAsia="Times New Roman" w:cs="宋体"/>
                <w:color w:val="auto"/>
                <w:kern w:val="2"/>
                <w:sz w:val="24"/>
                <w:szCs w:val="24"/>
                <w:lang w:val="en-US" w:eastAsia="zh-CN" w:bidi="ar-SA"/>
              </w:rPr>
            </w:pPr>
            <w:r>
              <w:rPr>
                <w:rFonts w:ascii="Times New Roman" w:hAnsi="Times New Roman" w:eastAsia="Times New Roman" w:cs="宋体"/>
                <w:color w:val="auto"/>
                <w:kern w:val="2"/>
                <w:sz w:val="24"/>
                <w:szCs w:val="24"/>
                <w:lang w:val="en-US" w:eastAsia="zh-CN" w:bidi="ar-SA"/>
              </w:rPr>
              <w:t>为保护所在区域地下水和土壤环境，建设单位应按照“源头控制、分区防治、污染监控、应急响应” 的原则，采取以下污染防治措施：</w:t>
            </w:r>
          </w:p>
          <w:p w14:paraId="217BA52A">
            <w:pPr>
              <w:pStyle w:val="7"/>
              <w:keepNext w:val="0"/>
              <w:keepLines w:val="0"/>
              <w:pageBreakBefore w:val="0"/>
              <w:widowControl/>
              <w:kinsoku/>
              <w:wordWrap/>
              <w:overflowPunct/>
              <w:topLinePunct w:val="0"/>
              <w:autoSpaceDE/>
              <w:autoSpaceDN/>
              <w:bidi w:val="0"/>
              <w:adjustRightInd/>
              <w:snapToGrid w:val="0"/>
              <w:spacing w:before="0" w:after="0" w:line="360" w:lineRule="auto"/>
              <w:textAlignment w:val="auto"/>
              <w:rPr>
                <w:rFonts w:ascii="Times New Roman" w:hAnsi="Times New Roman" w:eastAsia="Times New Roman" w:cs="宋体"/>
                <w:color w:val="auto"/>
                <w:kern w:val="2"/>
                <w:sz w:val="24"/>
                <w:szCs w:val="24"/>
                <w:lang w:val="en-US" w:eastAsia="zh-CN" w:bidi="ar-SA"/>
              </w:rPr>
            </w:pPr>
            <w:r>
              <w:rPr>
                <w:rFonts w:ascii="Times New Roman" w:hAnsi="Times New Roman" w:eastAsia="Times New Roman" w:cs="宋体"/>
                <w:color w:val="auto"/>
                <w:kern w:val="2"/>
                <w:sz w:val="24"/>
                <w:szCs w:val="24"/>
                <w:lang w:val="en-US" w:eastAsia="zh-CN" w:bidi="ar-SA"/>
              </w:rPr>
              <w:t>①源头控制</w:t>
            </w:r>
          </w:p>
          <w:p w14:paraId="21C1F6F0">
            <w:pPr>
              <w:pStyle w:val="7"/>
              <w:keepNext w:val="0"/>
              <w:keepLines w:val="0"/>
              <w:pageBreakBefore w:val="0"/>
              <w:widowControl/>
              <w:kinsoku/>
              <w:wordWrap/>
              <w:overflowPunct/>
              <w:topLinePunct w:val="0"/>
              <w:autoSpaceDE/>
              <w:autoSpaceDN/>
              <w:bidi w:val="0"/>
              <w:adjustRightInd/>
              <w:snapToGrid w:val="0"/>
              <w:spacing w:before="0" w:after="0" w:line="360" w:lineRule="auto"/>
              <w:ind w:firstLine="480" w:firstLineChars="200"/>
              <w:textAlignment w:val="auto"/>
              <w:rPr>
                <w:rFonts w:ascii="Times New Roman" w:hAnsi="Times New Roman" w:eastAsia="Times New Roman" w:cs="宋体"/>
                <w:color w:val="auto"/>
                <w:kern w:val="2"/>
                <w:sz w:val="24"/>
                <w:szCs w:val="24"/>
                <w:lang w:val="en-US" w:eastAsia="zh-CN" w:bidi="ar-SA"/>
              </w:rPr>
            </w:pPr>
            <w:r>
              <w:rPr>
                <w:rFonts w:ascii="Times New Roman" w:hAnsi="Times New Roman" w:eastAsia="Times New Roman" w:cs="宋体"/>
                <w:color w:val="auto"/>
                <w:kern w:val="2"/>
                <w:sz w:val="24"/>
                <w:szCs w:val="24"/>
                <w:lang w:val="en-US" w:eastAsia="zh-CN" w:bidi="ar-SA"/>
              </w:rPr>
              <w:t>建设单位应根据国家现行相关规范加强环境管理，污水管道、废水处理设施等应选用防渗设备，采取防渗措施，防止污染物“ 跑、冒、滴、漏”现象发生。应建立地下水和土壤污染巡查管理制度，加强对污水管道和污水池的检查，及时发现可能导致污染物跑、冒、滴、漏的因素，采取有效措施避免污染物泄漏。分区防渗要求如下：</w:t>
            </w:r>
          </w:p>
          <w:p w14:paraId="042F01E6">
            <w:pPr>
              <w:pStyle w:val="7"/>
              <w:keepNext w:val="0"/>
              <w:keepLines w:val="0"/>
              <w:pageBreakBefore w:val="0"/>
              <w:widowControl/>
              <w:kinsoku/>
              <w:wordWrap/>
              <w:overflowPunct/>
              <w:topLinePunct w:val="0"/>
              <w:autoSpaceDE/>
              <w:autoSpaceDN/>
              <w:bidi w:val="0"/>
              <w:adjustRightInd/>
              <w:snapToGrid w:val="0"/>
              <w:spacing w:before="0" w:after="0" w:line="360" w:lineRule="auto"/>
              <w:ind w:firstLine="480" w:firstLineChars="200"/>
              <w:textAlignment w:val="auto"/>
              <w:rPr>
                <w:rFonts w:ascii="Times New Roman" w:hAnsi="Times New Roman" w:eastAsia="Times New Roman" w:cs="宋体"/>
                <w:color w:val="auto"/>
                <w:kern w:val="2"/>
                <w:sz w:val="24"/>
                <w:szCs w:val="24"/>
                <w:lang w:val="en-US" w:eastAsia="zh-CN" w:bidi="ar-SA"/>
              </w:rPr>
            </w:pPr>
            <w:r>
              <w:rPr>
                <w:rFonts w:ascii="Times New Roman" w:hAnsi="Times New Roman" w:eastAsia="Times New Roman" w:cs="宋体"/>
                <w:color w:val="auto"/>
                <w:kern w:val="2"/>
                <w:sz w:val="24"/>
                <w:szCs w:val="24"/>
                <w:lang w:val="en-US" w:eastAsia="zh-CN" w:bidi="ar-SA"/>
              </w:rPr>
              <w:t>ⅰ、重点防渗区：本项目地下水重点防渗区主要为医疗废物贮存间、污泥干化间（污泥贮存区）</w:t>
            </w:r>
          </w:p>
          <w:p w14:paraId="5EA440C4">
            <w:pPr>
              <w:pStyle w:val="7"/>
              <w:keepNext w:val="0"/>
              <w:keepLines w:val="0"/>
              <w:pageBreakBefore w:val="0"/>
              <w:widowControl/>
              <w:kinsoku/>
              <w:wordWrap/>
              <w:overflowPunct/>
              <w:topLinePunct w:val="0"/>
              <w:autoSpaceDE/>
              <w:autoSpaceDN/>
              <w:bidi w:val="0"/>
              <w:adjustRightInd/>
              <w:snapToGrid w:val="0"/>
              <w:spacing w:before="0" w:after="0" w:line="360" w:lineRule="auto"/>
              <w:ind w:firstLine="480" w:firstLineChars="200"/>
              <w:textAlignment w:val="auto"/>
              <w:rPr>
                <w:rFonts w:ascii="Times New Roman" w:hAnsi="Times New Roman" w:eastAsia="Times New Roman" w:cs="宋体"/>
                <w:color w:val="auto"/>
                <w:kern w:val="2"/>
                <w:sz w:val="24"/>
                <w:szCs w:val="24"/>
                <w:lang w:val="en-US" w:eastAsia="zh-CN" w:bidi="ar-SA"/>
              </w:rPr>
            </w:pPr>
            <w:r>
              <w:rPr>
                <w:rFonts w:ascii="Times New Roman" w:hAnsi="Times New Roman" w:eastAsia="Times New Roman" w:cs="宋体"/>
                <w:color w:val="auto"/>
                <w:kern w:val="2"/>
                <w:sz w:val="24"/>
                <w:szCs w:val="24"/>
                <w:lang w:val="en-US" w:eastAsia="zh-CN" w:bidi="ar-SA"/>
              </w:rPr>
              <w:t>医疗废物贮存间、污泥干化间（污泥贮存区）防渗要求：基础参照《危险废物贮存污染控制标准》（GB18597-2023）进行防渗设计，可采用抗渗混凝土、高密度聚乙烯膜、钠基膨润土防水毯或其他防渗性能等效的材料。防渗层为至少 1m 厚黏土层（渗透系数≤10-7cm/s），或至少 2mm 厚高密度聚乙烯，或至少 2mm 厚的其它人工材料（渗透系数≤10- 10cm/s）。地面往上 1m高墙裙涂刷聚合物水泥等柔性防水涂料，厚度不应小于 1.0mm。医疗废物按要求采用防渗漏、防锐器穿透的专用包装袋进行分类收集后，存放于密闭的塑料容器内。</w:t>
            </w:r>
          </w:p>
          <w:p w14:paraId="7475C343">
            <w:pPr>
              <w:pStyle w:val="7"/>
              <w:keepNext w:val="0"/>
              <w:keepLines w:val="0"/>
              <w:pageBreakBefore w:val="0"/>
              <w:widowControl/>
              <w:kinsoku/>
              <w:wordWrap/>
              <w:overflowPunct/>
              <w:topLinePunct w:val="0"/>
              <w:autoSpaceDE/>
              <w:autoSpaceDN/>
              <w:bidi w:val="0"/>
              <w:adjustRightInd/>
              <w:snapToGrid w:val="0"/>
              <w:spacing w:before="0" w:after="0" w:line="360" w:lineRule="auto"/>
              <w:ind w:left="6" w:right="80" w:firstLine="0"/>
              <w:jc w:val="both"/>
              <w:textAlignment w:val="auto"/>
              <w:rPr>
                <w:rFonts w:ascii="Times New Roman" w:hAnsi="Times New Roman" w:eastAsia="Times New Roman" w:cs="宋体"/>
                <w:color w:val="auto"/>
                <w:kern w:val="2"/>
                <w:sz w:val="24"/>
                <w:szCs w:val="24"/>
                <w:lang w:val="en-US" w:eastAsia="zh-CN" w:bidi="ar-SA"/>
              </w:rPr>
            </w:pPr>
            <w:r>
              <w:rPr>
                <w:rFonts w:ascii="Times New Roman" w:hAnsi="Times New Roman" w:eastAsia="Times New Roman" w:cs="宋体"/>
                <w:color w:val="auto"/>
                <w:kern w:val="2"/>
                <w:sz w:val="24"/>
                <w:szCs w:val="24"/>
                <w:lang w:val="en-US" w:eastAsia="zh-CN" w:bidi="ar-SA"/>
              </w:rPr>
              <w:t>ⅱ、一般防渗区：本项目地下水一般防渗区主要为隔油池、化粪池、污水处理站（含应急池）、污水管网、一般固废贮存间等。一般防渗区的防渗技术要求为等效黏土防渗层厚度 Mb≥1.5m ，渗透系数 K≤1×10</w:t>
            </w:r>
            <w:r>
              <w:rPr>
                <w:rFonts w:ascii="Times New Roman" w:hAnsi="Times New Roman" w:eastAsia="Times New Roman" w:cs="宋体"/>
                <w:color w:val="auto"/>
                <w:kern w:val="2"/>
                <w:sz w:val="24"/>
                <w:szCs w:val="24"/>
                <w:vertAlign w:val="superscript"/>
                <w:lang w:val="en-US" w:eastAsia="zh-CN" w:bidi="ar-SA"/>
              </w:rPr>
              <w:t>-7</w:t>
            </w:r>
            <w:r>
              <w:rPr>
                <w:rFonts w:ascii="Times New Roman" w:hAnsi="Times New Roman" w:eastAsia="Times New Roman" w:cs="宋体"/>
                <w:color w:val="auto"/>
                <w:kern w:val="2"/>
                <w:sz w:val="24"/>
                <w:szCs w:val="24"/>
                <w:lang w:val="en-US" w:eastAsia="zh-CN" w:bidi="ar-SA"/>
              </w:rPr>
              <w:t>cm/s。</w:t>
            </w:r>
          </w:p>
          <w:p w14:paraId="3A5C63DF">
            <w:pPr>
              <w:pStyle w:val="7"/>
              <w:keepNext w:val="0"/>
              <w:keepLines w:val="0"/>
              <w:pageBreakBefore w:val="0"/>
              <w:widowControl/>
              <w:kinsoku/>
              <w:wordWrap/>
              <w:overflowPunct/>
              <w:topLinePunct w:val="0"/>
              <w:autoSpaceDE/>
              <w:autoSpaceDN/>
              <w:bidi w:val="0"/>
              <w:adjustRightInd/>
              <w:snapToGrid w:val="0"/>
              <w:spacing w:before="0" w:after="0" w:line="360" w:lineRule="auto"/>
              <w:ind w:left="5" w:right="21" w:firstLine="480" w:firstLineChars="200"/>
              <w:textAlignment w:val="auto"/>
              <w:rPr>
                <w:rFonts w:ascii="Times New Roman" w:hAnsi="Times New Roman" w:eastAsia="Times New Roman" w:cs="宋体"/>
                <w:color w:val="auto"/>
                <w:kern w:val="2"/>
                <w:sz w:val="24"/>
                <w:szCs w:val="24"/>
                <w:lang w:val="en-US" w:eastAsia="zh-CN" w:bidi="ar-SA"/>
              </w:rPr>
            </w:pPr>
            <w:r>
              <w:rPr>
                <w:rFonts w:ascii="Times New Roman" w:hAnsi="Times New Roman" w:eastAsia="Times New Roman" w:cs="宋体"/>
                <w:color w:val="auto"/>
                <w:kern w:val="2"/>
                <w:sz w:val="24"/>
                <w:szCs w:val="24"/>
                <w:lang w:val="en-US" w:eastAsia="zh-CN" w:bidi="ar-SA"/>
              </w:rPr>
              <w:t>柴油发电机房防渗要求：地面采用单人工复合衬层作为防渗衬层，人工合成材料应采用高密度聚乙烯膜，厚度不小于 1.5 mm ，并满足 GB/T17643 规定的技术指标要求。采用其他人工合成材料的，其防渗性能至少相当于 1.5 mm 高密度聚乙烯膜的防渗性能；粘土衬层厚度应不小于 0.75 m，且经压实、人工改性等措施处理后的饱和渗透系数不应大于 1.0×10</w:t>
            </w:r>
            <w:r>
              <w:rPr>
                <w:rFonts w:ascii="Times New Roman" w:hAnsi="Times New Roman" w:eastAsia="Times New Roman" w:cs="宋体"/>
                <w:color w:val="auto"/>
                <w:kern w:val="2"/>
                <w:sz w:val="24"/>
                <w:szCs w:val="24"/>
                <w:vertAlign w:val="superscript"/>
                <w:lang w:val="en-US" w:eastAsia="zh-CN" w:bidi="ar-SA"/>
              </w:rPr>
              <w:t xml:space="preserve">-7 </w:t>
            </w:r>
            <w:r>
              <w:rPr>
                <w:rFonts w:ascii="Times New Roman" w:hAnsi="Times New Roman" w:eastAsia="Times New Roman" w:cs="宋体"/>
                <w:color w:val="auto"/>
                <w:kern w:val="2"/>
                <w:sz w:val="24"/>
                <w:szCs w:val="24"/>
                <w:lang w:val="en-US" w:eastAsia="zh-CN" w:bidi="ar-SA"/>
              </w:rPr>
              <w:t>cm/s 。使用其他粘土类防渗衬层材料时，应具有同等以上隔水效力。</w:t>
            </w:r>
          </w:p>
          <w:p w14:paraId="08DDD4DA">
            <w:pPr>
              <w:pStyle w:val="7"/>
              <w:keepNext w:val="0"/>
              <w:keepLines w:val="0"/>
              <w:pageBreakBefore w:val="0"/>
              <w:widowControl/>
              <w:kinsoku/>
              <w:wordWrap/>
              <w:overflowPunct/>
              <w:topLinePunct w:val="0"/>
              <w:autoSpaceDE/>
              <w:autoSpaceDN/>
              <w:bidi w:val="0"/>
              <w:adjustRightInd/>
              <w:snapToGrid w:val="0"/>
              <w:spacing w:before="0" w:after="0" w:line="360" w:lineRule="auto"/>
              <w:ind w:left="8" w:right="80" w:firstLine="0"/>
              <w:textAlignment w:val="auto"/>
              <w:rPr>
                <w:rFonts w:ascii="Times New Roman" w:hAnsi="Times New Roman" w:eastAsia="Times New Roman" w:cs="宋体"/>
                <w:color w:val="auto"/>
                <w:kern w:val="2"/>
                <w:sz w:val="24"/>
                <w:szCs w:val="24"/>
                <w:lang w:val="en-US" w:eastAsia="zh-CN" w:bidi="ar-SA"/>
              </w:rPr>
            </w:pPr>
            <w:r>
              <w:rPr>
                <w:rFonts w:ascii="Times New Roman" w:hAnsi="Times New Roman" w:eastAsia="Times New Roman" w:cs="宋体"/>
                <w:color w:val="auto"/>
                <w:kern w:val="2"/>
                <w:sz w:val="24"/>
                <w:szCs w:val="24"/>
                <w:lang w:val="en-US" w:eastAsia="zh-CN" w:bidi="ar-SA"/>
              </w:rPr>
              <w:t>一般污染防治区水池防渗要求：</w:t>
            </w:r>
          </w:p>
          <w:p w14:paraId="6BC052B5">
            <w:pPr>
              <w:pStyle w:val="7"/>
              <w:keepNext w:val="0"/>
              <w:keepLines w:val="0"/>
              <w:pageBreakBefore w:val="0"/>
              <w:widowControl/>
              <w:kinsoku/>
              <w:wordWrap/>
              <w:overflowPunct/>
              <w:topLinePunct w:val="0"/>
              <w:autoSpaceDE/>
              <w:autoSpaceDN/>
              <w:bidi w:val="0"/>
              <w:adjustRightInd/>
              <w:snapToGrid w:val="0"/>
              <w:spacing w:before="0" w:after="0" w:line="360" w:lineRule="auto"/>
              <w:ind w:left="8" w:right="80" w:firstLine="0"/>
              <w:textAlignment w:val="auto"/>
              <w:rPr>
                <w:rFonts w:ascii="Times New Roman" w:hAnsi="Times New Roman" w:eastAsia="Times New Roman" w:cs="宋体"/>
                <w:color w:val="auto"/>
                <w:kern w:val="2"/>
                <w:sz w:val="24"/>
                <w:szCs w:val="24"/>
                <w:lang w:val="en-US" w:eastAsia="zh-CN" w:bidi="ar-SA"/>
              </w:rPr>
            </w:pPr>
            <w:r>
              <w:rPr>
                <w:rFonts w:ascii="Times New Roman" w:hAnsi="Times New Roman" w:eastAsia="Times New Roman" w:cs="宋体"/>
                <w:color w:val="auto"/>
                <w:kern w:val="2"/>
                <w:sz w:val="24"/>
                <w:szCs w:val="24"/>
                <w:lang w:val="en-US" w:eastAsia="zh-CN" w:bidi="ar-SA"/>
              </w:rPr>
              <w:t>1）结构厚度不应小于 100mm；</w:t>
            </w:r>
          </w:p>
          <w:p w14:paraId="1D6F9F0B">
            <w:pPr>
              <w:pStyle w:val="7"/>
              <w:keepNext w:val="0"/>
              <w:keepLines w:val="0"/>
              <w:pageBreakBefore w:val="0"/>
              <w:widowControl/>
              <w:kinsoku/>
              <w:wordWrap/>
              <w:overflowPunct/>
              <w:topLinePunct w:val="0"/>
              <w:autoSpaceDE/>
              <w:autoSpaceDN/>
              <w:bidi w:val="0"/>
              <w:adjustRightInd/>
              <w:snapToGrid w:val="0"/>
              <w:spacing w:before="0" w:after="0" w:line="360" w:lineRule="auto"/>
              <w:ind w:left="8" w:right="80" w:firstLine="0"/>
              <w:textAlignment w:val="auto"/>
              <w:rPr>
                <w:rFonts w:ascii="Times New Roman" w:hAnsi="Times New Roman" w:eastAsia="Times New Roman" w:cs="宋体"/>
                <w:color w:val="auto"/>
                <w:kern w:val="2"/>
                <w:sz w:val="24"/>
                <w:szCs w:val="24"/>
                <w:lang w:val="en-US" w:eastAsia="zh-CN" w:bidi="ar-SA"/>
              </w:rPr>
            </w:pPr>
            <w:r>
              <w:rPr>
                <w:rFonts w:ascii="Times New Roman" w:hAnsi="Times New Roman" w:eastAsia="Times New Roman" w:cs="宋体"/>
                <w:color w:val="auto"/>
                <w:kern w:val="2"/>
                <w:sz w:val="24"/>
                <w:szCs w:val="24"/>
                <w:lang w:val="en-US" w:eastAsia="zh-CN" w:bidi="ar-SA"/>
              </w:rPr>
              <w:t>2）混凝土的抗渗等级不应低于 P8。</w:t>
            </w:r>
          </w:p>
          <w:p w14:paraId="7E84B685">
            <w:pPr>
              <w:pStyle w:val="7"/>
              <w:keepNext w:val="0"/>
              <w:keepLines w:val="0"/>
              <w:pageBreakBefore w:val="0"/>
              <w:widowControl/>
              <w:kinsoku/>
              <w:wordWrap/>
              <w:overflowPunct/>
              <w:topLinePunct w:val="0"/>
              <w:autoSpaceDE/>
              <w:autoSpaceDN/>
              <w:bidi w:val="0"/>
              <w:adjustRightInd/>
              <w:snapToGrid w:val="0"/>
              <w:spacing w:before="0" w:after="0" w:line="360" w:lineRule="auto"/>
              <w:ind w:left="21" w:right="80" w:firstLine="0"/>
              <w:textAlignment w:val="auto"/>
              <w:rPr>
                <w:rFonts w:ascii="Times New Roman" w:hAnsi="Times New Roman" w:eastAsia="Times New Roman" w:cs="宋体"/>
                <w:color w:val="auto"/>
                <w:kern w:val="2"/>
                <w:sz w:val="24"/>
                <w:szCs w:val="24"/>
                <w:lang w:val="en-US" w:eastAsia="zh-CN" w:bidi="ar-SA"/>
              </w:rPr>
            </w:pPr>
            <w:r>
              <w:rPr>
                <w:rFonts w:ascii="Times New Roman" w:hAnsi="Times New Roman" w:eastAsia="Times New Roman" w:cs="宋体"/>
                <w:color w:val="auto"/>
                <w:kern w:val="2"/>
                <w:sz w:val="24"/>
                <w:szCs w:val="24"/>
                <w:lang w:val="en-US" w:eastAsia="zh-CN" w:bidi="ar-SA"/>
              </w:rPr>
              <w:t>埋地管道防渗要求：采用强度高、腐蚀裕度大的管道材料和高等级防腐材料，加装防渗套管。</w:t>
            </w:r>
          </w:p>
          <w:p w14:paraId="2D73B212">
            <w:pPr>
              <w:pStyle w:val="7"/>
              <w:keepNext w:val="0"/>
              <w:keepLines w:val="0"/>
              <w:pageBreakBefore w:val="0"/>
              <w:widowControl/>
              <w:kinsoku/>
              <w:wordWrap/>
              <w:overflowPunct/>
              <w:topLinePunct w:val="0"/>
              <w:autoSpaceDE/>
              <w:autoSpaceDN/>
              <w:bidi w:val="0"/>
              <w:adjustRightInd/>
              <w:snapToGrid w:val="0"/>
              <w:spacing w:before="0" w:after="0" w:line="360" w:lineRule="auto"/>
              <w:ind w:left="503" w:firstLine="0"/>
              <w:textAlignment w:val="auto"/>
              <w:rPr>
                <w:rFonts w:ascii="Times New Roman" w:hAnsi="Times New Roman" w:eastAsia="Times New Roman" w:cs="宋体"/>
                <w:color w:val="auto"/>
                <w:kern w:val="2"/>
                <w:sz w:val="24"/>
                <w:szCs w:val="24"/>
                <w:lang w:val="en-US" w:eastAsia="zh-CN" w:bidi="ar-SA"/>
              </w:rPr>
            </w:pPr>
            <w:r>
              <w:rPr>
                <w:rFonts w:ascii="Times New Roman" w:hAnsi="Times New Roman" w:eastAsia="Times New Roman" w:cs="宋体"/>
                <w:color w:val="auto"/>
                <w:kern w:val="2"/>
                <w:sz w:val="24"/>
                <w:szCs w:val="24"/>
                <w:lang w:val="en-US" w:eastAsia="zh-CN" w:bidi="ar-SA"/>
              </w:rPr>
              <w:t>ⅲ、简单防渗区</w:t>
            </w:r>
          </w:p>
          <w:p w14:paraId="5AE1ED7F">
            <w:pPr>
              <w:pStyle w:val="7"/>
              <w:keepNext w:val="0"/>
              <w:keepLines w:val="0"/>
              <w:pageBreakBefore w:val="0"/>
              <w:widowControl/>
              <w:kinsoku/>
              <w:wordWrap/>
              <w:overflowPunct/>
              <w:topLinePunct w:val="0"/>
              <w:autoSpaceDE/>
              <w:autoSpaceDN/>
              <w:bidi w:val="0"/>
              <w:adjustRightInd/>
              <w:snapToGrid w:val="0"/>
              <w:spacing w:before="0" w:after="0" w:line="360" w:lineRule="auto"/>
              <w:ind w:left="8" w:right="80" w:firstLine="480" w:firstLineChars="200"/>
              <w:textAlignment w:val="auto"/>
              <w:rPr>
                <w:rFonts w:hint="default" w:eastAsia="宋体" w:cs="Times New Roman"/>
                <w:color w:val="auto"/>
                <w:sz w:val="24"/>
                <w:lang w:val="en-US" w:eastAsia="zh-CN"/>
              </w:rPr>
            </w:pPr>
            <w:r>
              <w:rPr>
                <w:rFonts w:ascii="Times New Roman" w:hAnsi="Times New Roman" w:eastAsia="Times New Roman" w:cs="宋体"/>
                <w:color w:val="auto"/>
                <w:kern w:val="2"/>
                <w:sz w:val="24"/>
                <w:szCs w:val="24"/>
                <w:lang w:val="en-US" w:eastAsia="zh-CN" w:bidi="ar-SA"/>
              </w:rPr>
              <w:t>医疗综合楼、等建筑及院区内部道路等，对于基本上不产生污染的简单防渗区，进行地面硬化处理。</w:t>
            </w:r>
          </w:p>
        </w:tc>
      </w:tr>
      <w:tr w14:paraId="3A62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178" w:type="dxa"/>
            <w:noWrap w:val="0"/>
            <w:vAlign w:val="center"/>
          </w:tcPr>
          <w:p w14:paraId="157055AB">
            <w:pPr>
              <w:pStyle w:val="56"/>
              <w:rPr>
                <w:rFonts w:cs="Times New Roman"/>
                <w:color w:val="auto"/>
                <w:sz w:val="24"/>
              </w:rPr>
            </w:pPr>
            <w:r>
              <w:rPr>
                <w:rFonts w:cs="Times New Roman"/>
                <w:color w:val="auto"/>
                <w:sz w:val="24"/>
              </w:rPr>
              <w:t>生态保护措施</w:t>
            </w:r>
          </w:p>
        </w:tc>
        <w:tc>
          <w:tcPr>
            <w:tcW w:w="7622" w:type="dxa"/>
            <w:gridSpan w:val="4"/>
            <w:noWrap w:val="0"/>
            <w:vAlign w:val="center"/>
          </w:tcPr>
          <w:p w14:paraId="4EDCF2FD">
            <w:pPr>
              <w:pStyle w:val="23"/>
              <w:ind w:firstLine="0"/>
              <w:rPr>
                <w:rFonts w:eastAsia="宋体" w:cs="Times New Roman"/>
                <w:color w:val="auto"/>
                <w:sz w:val="24"/>
                <w:szCs w:val="24"/>
              </w:rPr>
            </w:pPr>
            <w:r>
              <w:rPr>
                <w:color w:val="auto"/>
                <w:sz w:val="24"/>
                <w:szCs w:val="24"/>
              </w:rPr>
              <w:t>项目营运过程中产生的“三废”必须经处理后达标排放，加强厂区管理和对周围环境的保护，切实做到不污染、不破坏、不明显影响周围生态环境。</w:t>
            </w:r>
          </w:p>
        </w:tc>
      </w:tr>
      <w:tr w14:paraId="3D91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1178" w:type="dxa"/>
            <w:noWrap w:val="0"/>
            <w:vAlign w:val="center"/>
          </w:tcPr>
          <w:p w14:paraId="74D20C07">
            <w:pPr>
              <w:pStyle w:val="56"/>
              <w:rPr>
                <w:rFonts w:cs="Times New Roman"/>
                <w:color w:val="auto"/>
                <w:sz w:val="24"/>
              </w:rPr>
            </w:pPr>
            <w:r>
              <w:rPr>
                <w:rFonts w:cs="Times New Roman"/>
                <w:color w:val="auto"/>
                <w:sz w:val="24"/>
              </w:rPr>
              <w:t>环境风险</w:t>
            </w:r>
          </w:p>
          <w:p w14:paraId="73CC6B34">
            <w:pPr>
              <w:pStyle w:val="56"/>
              <w:rPr>
                <w:rFonts w:cs="Times New Roman"/>
                <w:color w:val="auto"/>
                <w:sz w:val="24"/>
              </w:rPr>
            </w:pPr>
            <w:r>
              <w:rPr>
                <w:rFonts w:cs="Times New Roman"/>
                <w:color w:val="auto"/>
                <w:sz w:val="24"/>
              </w:rPr>
              <w:t>防范措施</w:t>
            </w:r>
          </w:p>
        </w:tc>
        <w:tc>
          <w:tcPr>
            <w:tcW w:w="7622" w:type="dxa"/>
            <w:gridSpan w:val="4"/>
            <w:noWrap w:val="0"/>
            <w:vAlign w:val="center"/>
          </w:tcPr>
          <w:p w14:paraId="70566FDA">
            <w:pPr>
              <w:pStyle w:val="56"/>
              <w:spacing w:line="360" w:lineRule="auto"/>
              <w:ind w:firstLine="480" w:firstLineChars="200"/>
              <w:jc w:val="left"/>
              <w:rPr>
                <w:rFonts w:hint="default" w:eastAsia="宋体" w:cs="Times New Roman"/>
                <w:color w:val="auto"/>
                <w:sz w:val="24"/>
                <w:lang w:val="en-US" w:eastAsia="zh-CN"/>
              </w:rPr>
            </w:pPr>
            <w:r>
              <w:rPr>
                <w:rFonts w:cs="Times New Roman"/>
                <w:color w:val="auto"/>
                <w:sz w:val="24"/>
              </w:rPr>
              <w:t>废水事故性排放防范措施</w:t>
            </w:r>
            <w:r>
              <w:rPr>
                <w:rFonts w:hint="eastAsia" w:cs="Times New Roman"/>
                <w:color w:val="auto"/>
                <w:sz w:val="24"/>
              </w:rPr>
              <w:t>：项目污水管、污泥管采用U-PVC管，采用焊接钢管，采用优质防腐涂料进行防腐；加药设备应配置2套，一用一备。</w:t>
            </w:r>
            <w:r>
              <w:rPr>
                <w:rFonts w:hint="eastAsia" w:cs="Times New Roman"/>
                <w:color w:val="auto"/>
                <w:sz w:val="24"/>
                <w:lang w:val="en-US" w:eastAsia="zh-CN"/>
              </w:rPr>
              <w:t>设置应急事故池220m</w:t>
            </w:r>
            <w:r>
              <w:rPr>
                <w:rFonts w:hint="eastAsia" w:cs="Times New Roman"/>
                <w:color w:val="auto"/>
                <w:sz w:val="24"/>
                <w:vertAlign w:val="superscript"/>
                <w:lang w:val="en-US" w:eastAsia="zh-CN"/>
              </w:rPr>
              <w:t>3</w:t>
            </w:r>
            <w:r>
              <w:rPr>
                <w:rFonts w:ascii="Times New Roman" w:hAnsi="Times New Roman" w:cs="Times New Roman"/>
                <w:color w:val="auto"/>
                <w:lang w:eastAsia="zh-CN"/>
              </w:rPr>
              <w:t>。</w:t>
            </w:r>
          </w:p>
          <w:p w14:paraId="6C7E3185">
            <w:pPr>
              <w:pStyle w:val="30"/>
              <w:spacing w:line="360" w:lineRule="auto"/>
              <w:ind w:firstLine="480" w:firstLineChars="200"/>
              <w:rPr>
                <w:rFonts w:hint="eastAsia" w:ascii="Times New Roman" w:hAnsi="Times New Roman" w:cs="Times New Roman"/>
                <w:color w:val="auto"/>
                <w:spacing w:val="-1"/>
                <w:lang w:eastAsia="zh-CN"/>
              </w:rPr>
            </w:pPr>
            <w:r>
              <w:rPr>
                <w:rFonts w:cs="Times New Roman"/>
                <w:color w:val="auto"/>
                <w:lang w:eastAsia="zh-CN"/>
              </w:rPr>
              <w:t>医疗固废风险防范措施</w:t>
            </w:r>
            <w:r>
              <w:rPr>
                <w:rFonts w:hint="eastAsia" w:cs="Times New Roman"/>
                <w:color w:val="auto"/>
                <w:lang w:eastAsia="zh-CN"/>
              </w:rPr>
              <w:t>：</w:t>
            </w:r>
            <w:r>
              <w:rPr>
                <w:rFonts w:ascii="Times New Roman" w:hAnsi="Times New Roman" w:cs="Times New Roman"/>
                <w:color w:val="auto"/>
                <w:spacing w:val="-1"/>
                <w:lang w:eastAsia="zh-CN"/>
              </w:rPr>
              <w:t>合理地规划运输路线及时间，运输时必须谨</w:t>
            </w:r>
            <w:r>
              <w:rPr>
                <w:rFonts w:ascii="Times New Roman" w:hAnsi="Times New Roman" w:cs="Times New Roman"/>
                <w:color w:val="auto"/>
                <w:spacing w:val="-2"/>
                <w:lang w:eastAsia="zh-CN"/>
              </w:rPr>
              <w:t>慎驾驶，以免事故发生</w:t>
            </w:r>
            <w:r>
              <w:rPr>
                <w:rFonts w:hint="eastAsia" w:ascii="Times New Roman" w:hAnsi="Times New Roman" w:cs="Times New Roman"/>
                <w:color w:val="auto"/>
                <w:spacing w:val="-2"/>
                <w:lang w:eastAsia="zh-CN"/>
              </w:rPr>
              <w:t>；</w:t>
            </w:r>
            <w:r>
              <w:rPr>
                <w:rFonts w:ascii="Times New Roman" w:hAnsi="Times New Roman" w:cs="Times New Roman"/>
                <w:color w:val="auto"/>
                <w:spacing w:val="-3"/>
                <w:lang w:eastAsia="zh-CN"/>
              </w:rPr>
              <w:t>医疗固废的装运应做到定车、定人</w:t>
            </w:r>
            <w:r>
              <w:rPr>
                <w:rFonts w:hint="eastAsia" w:ascii="Times New Roman" w:hAnsi="Times New Roman" w:cs="Times New Roman"/>
                <w:color w:val="auto"/>
                <w:spacing w:val="-3"/>
                <w:lang w:eastAsia="zh-CN"/>
              </w:rPr>
              <w:t>；</w:t>
            </w:r>
            <w:r>
              <w:rPr>
                <w:rFonts w:ascii="Times New Roman" w:hAnsi="Times New Roman" w:cs="Times New Roman"/>
                <w:color w:val="auto"/>
                <w:spacing w:val="1"/>
                <w:lang w:eastAsia="zh-CN"/>
              </w:rPr>
              <w:t>被装运的危险物品必须在其外包装的明显</w:t>
            </w:r>
            <w:r>
              <w:rPr>
                <w:rFonts w:ascii="Times New Roman" w:hAnsi="Times New Roman" w:cs="Times New Roman"/>
                <w:color w:val="auto"/>
                <w:lang w:eastAsia="zh-CN"/>
              </w:rPr>
              <w:t>部位按规定粘贴</w:t>
            </w:r>
            <w:r>
              <w:rPr>
                <w:rFonts w:ascii="Times New Roman" w:hAnsi="Times New Roman" w:cs="Times New Roman"/>
                <w:color w:val="auto"/>
                <w:spacing w:val="-1"/>
                <w:lang w:eastAsia="zh-CN"/>
              </w:rPr>
              <w:t>危险物品标志</w:t>
            </w:r>
            <w:r>
              <w:rPr>
                <w:rFonts w:hint="eastAsia" w:ascii="Times New Roman" w:hAnsi="Times New Roman" w:cs="Times New Roman"/>
                <w:color w:val="auto"/>
                <w:spacing w:val="-1"/>
                <w:lang w:eastAsia="zh-CN"/>
              </w:rPr>
              <w:t>。</w:t>
            </w:r>
          </w:p>
          <w:p w14:paraId="7994E2EC">
            <w:pPr>
              <w:pStyle w:val="30"/>
              <w:spacing w:line="360" w:lineRule="auto"/>
              <w:ind w:firstLine="472" w:firstLineChars="200"/>
              <w:rPr>
                <w:rFonts w:ascii="Times New Roman" w:hAnsi="Times New Roman" w:cs="Times New Roman"/>
                <w:color w:val="auto"/>
                <w:lang w:eastAsia="zh-CN"/>
              </w:rPr>
            </w:pPr>
            <w:r>
              <w:rPr>
                <w:rFonts w:ascii="Times New Roman" w:hAnsi="Times New Roman" w:cs="Times New Roman"/>
                <w:color w:val="auto"/>
                <w:spacing w:val="-2"/>
                <w:lang w:eastAsia="zh-CN"/>
              </w:rPr>
              <w:t>次氯酸钠泄漏事故风险防范措施</w:t>
            </w:r>
            <w:r>
              <w:rPr>
                <w:rFonts w:hint="eastAsia" w:ascii="Times New Roman" w:hAnsi="Times New Roman" w:cs="Times New Roman"/>
                <w:color w:val="auto"/>
                <w:spacing w:val="-2"/>
                <w:lang w:eastAsia="zh-CN"/>
              </w:rPr>
              <w:t>：</w:t>
            </w:r>
            <w:r>
              <w:rPr>
                <w:rFonts w:ascii="Times New Roman" w:hAnsi="Times New Roman" w:cs="Times New Roman"/>
                <w:color w:val="auto"/>
                <w:spacing w:val="-2"/>
                <w:lang w:eastAsia="zh-CN"/>
              </w:rPr>
              <w:t>储存于阴凉、通风的库房。远离火种、热源。库温不宜超过30℃。应</w:t>
            </w:r>
            <w:r>
              <w:rPr>
                <w:rFonts w:ascii="Times New Roman" w:hAnsi="Times New Roman" w:cs="Times New Roman"/>
                <w:color w:val="auto"/>
                <w:lang w:eastAsia="zh-CN"/>
              </w:rPr>
              <w:t>与酸类分开存放，切忌混储。应急处理：迅速撤离泄漏污染区人员至安全区，并进行隔离，严格限制出入。</w:t>
            </w:r>
            <w:r>
              <w:rPr>
                <w:rFonts w:ascii="Times New Roman" w:hAnsi="Times New Roman" w:cs="Times New Roman"/>
                <w:color w:val="auto"/>
                <w:spacing w:val="-2"/>
                <w:lang w:eastAsia="zh-CN"/>
              </w:rPr>
              <w:t>小量泄漏：用砂土、蛭石或其它惰性材料吸收。</w:t>
            </w:r>
            <w:r>
              <w:rPr>
                <w:rFonts w:ascii="Times New Roman" w:hAnsi="Times New Roman" w:cs="Times New Roman"/>
                <w:color w:val="auto"/>
                <w:lang w:eastAsia="zh-CN"/>
              </w:rPr>
              <w:t>大量泄漏：构筑围堤或挖坑收容。用泡沫覆盖，降低蒸气灾害。</w:t>
            </w:r>
          </w:p>
          <w:p w14:paraId="186FBD96">
            <w:pPr>
              <w:pStyle w:val="30"/>
              <w:spacing w:line="360" w:lineRule="auto"/>
              <w:ind w:firstLine="472" w:firstLineChars="200"/>
              <w:rPr>
                <w:rFonts w:ascii="Times New Roman" w:hAnsi="Times New Roman" w:cs="Times New Roman"/>
                <w:color w:val="auto"/>
                <w:lang w:eastAsia="zh-CN"/>
              </w:rPr>
            </w:pPr>
            <w:r>
              <w:rPr>
                <w:rFonts w:ascii="Times New Roman" w:hAnsi="Times New Roman" w:cs="Times New Roman"/>
                <w:color w:val="auto"/>
                <w:spacing w:val="-2"/>
                <w:lang w:eastAsia="zh-CN"/>
              </w:rPr>
              <w:t>病毒泄漏传播风险防范措施</w:t>
            </w:r>
            <w:r>
              <w:rPr>
                <w:rFonts w:hint="eastAsia" w:ascii="Times New Roman" w:hAnsi="Times New Roman" w:cs="Times New Roman"/>
                <w:color w:val="auto"/>
                <w:spacing w:val="-2"/>
                <w:lang w:eastAsia="zh-CN"/>
              </w:rPr>
              <w:t>：</w:t>
            </w:r>
            <w:r>
              <w:rPr>
                <w:rFonts w:ascii="Times New Roman" w:hAnsi="Times New Roman" w:cs="Times New Roman"/>
                <w:color w:val="auto"/>
                <w:spacing w:val="-2"/>
                <w:lang w:eastAsia="zh-CN"/>
              </w:rPr>
              <w:t>加强医护人员教育和职业能力，最大限度地杜绝医疗操作失误</w:t>
            </w:r>
            <w:r>
              <w:rPr>
                <w:rFonts w:hint="eastAsia" w:ascii="Times New Roman" w:hAnsi="Times New Roman" w:cs="Times New Roman"/>
                <w:color w:val="auto"/>
                <w:spacing w:val="-2"/>
                <w:lang w:eastAsia="zh-CN"/>
              </w:rPr>
              <w:t>；</w:t>
            </w:r>
            <w:r>
              <w:rPr>
                <w:rFonts w:ascii="Times New Roman" w:hAnsi="Times New Roman" w:cs="Times New Roman"/>
                <w:color w:val="auto"/>
                <w:spacing w:val="-12"/>
                <w:lang w:eastAsia="zh-CN"/>
              </w:rPr>
              <w:t>加强医疗废物收集、暂存设施的管理</w:t>
            </w:r>
            <w:r>
              <w:rPr>
                <w:rFonts w:hint="eastAsia" w:ascii="Times New Roman" w:hAnsi="Times New Roman" w:cs="Times New Roman"/>
                <w:color w:val="auto"/>
                <w:spacing w:val="-12"/>
                <w:lang w:eastAsia="zh-CN"/>
              </w:rPr>
              <w:t>；</w:t>
            </w:r>
            <w:r>
              <w:rPr>
                <w:rFonts w:ascii="Times New Roman" w:hAnsi="Times New Roman" w:cs="Times New Roman"/>
                <w:color w:val="auto"/>
                <w:spacing w:val="1"/>
                <w:lang w:eastAsia="zh-CN"/>
              </w:rPr>
              <w:t>合理</w:t>
            </w:r>
            <w:r>
              <w:rPr>
                <w:rFonts w:hint="eastAsia" w:ascii="Times New Roman" w:hAnsi="Times New Roman" w:cs="Times New Roman"/>
                <w:color w:val="auto"/>
                <w:spacing w:val="1"/>
                <w:lang w:eastAsia="zh-CN"/>
              </w:rPr>
              <w:t>设置</w:t>
            </w:r>
            <w:r>
              <w:rPr>
                <w:rFonts w:ascii="Times New Roman" w:hAnsi="Times New Roman" w:cs="Times New Roman"/>
                <w:color w:val="auto"/>
                <w:spacing w:val="1"/>
                <w:lang w:eastAsia="zh-CN"/>
              </w:rPr>
              <w:t>新风、净化系统，阻断病毒从污</w:t>
            </w:r>
            <w:r>
              <w:rPr>
                <w:rFonts w:ascii="Times New Roman" w:hAnsi="Times New Roman" w:cs="Times New Roman"/>
                <w:color w:val="auto"/>
                <w:lang w:eastAsia="zh-CN"/>
              </w:rPr>
              <w:t>染区向外扩散，提高医院内空气质量。</w:t>
            </w:r>
          </w:p>
          <w:p w14:paraId="7E71A7E9">
            <w:pPr>
              <w:pStyle w:val="7"/>
              <w:spacing w:before="52" w:line="220" w:lineRule="auto"/>
              <w:ind w:left="2" w:firstLine="484" w:firstLineChars="200"/>
              <w:outlineLvl w:val="2"/>
              <w:rPr>
                <w:rFonts w:ascii="Times New Roman" w:hAnsi="Times New Roman" w:eastAsia="宋体" w:cs="Times New Roman"/>
                <w:color w:val="auto"/>
                <w:spacing w:val="1"/>
                <w:kern w:val="2"/>
                <w:sz w:val="24"/>
                <w:szCs w:val="24"/>
                <w:lang w:val="en-US" w:eastAsia="zh-CN" w:bidi="ar-SA"/>
              </w:rPr>
            </w:pPr>
            <w:r>
              <w:rPr>
                <w:rFonts w:hint="eastAsia" w:ascii="Times New Roman" w:hAnsi="Times New Roman" w:eastAsia="宋体" w:cs="Times New Roman"/>
                <w:color w:val="auto"/>
                <w:spacing w:val="1"/>
                <w:kern w:val="2"/>
                <w:sz w:val="24"/>
                <w:szCs w:val="24"/>
                <w:lang w:val="en-US" w:eastAsia="zh-CN" w:bidi="ar-SA"/>
              </w:rPr>
              <w:t>e）</w:t>
            </w:r>
            <w:r>
              <w:rPr>
                <w:rFonts w:ascii="Times New Roman" w:hAnsi="Times New Roman" w:eastAsia="宋体" w:cs="Times New Roman"/>
                <w:color w:val="auto"/>
                <w:spacing w:val="1"/>
                <w:kern w:val="2"/>
                <w:sz w:val="24"/>
                <w:szCs w:val="24"/>
                <w:lang w:val="en-US" w:eastAsia="zh-CN" w:bidi="ar-SA"/>
              </w:rPr>
              <w:t>柴油贮存风险防范措施</w:t>
            </w:r>
          </w:p>
          <w:p w14:paraId="3D2F4C7E">
            <w:pPr>
              <w:pStyle w:val="7"/>
              <w:keepNext w:val="0"/>
              <w:keepLines w:val="0"/>
              <w:pageBreakBefore w:val="0"/>
              <w:widowControl/>
              <w:kinsoku/>
              <w:wordWrap/>
              <w:overflowPunct/>
              <w:topLinePunct w:val="0"/>
              <w:autoSpaceDE/>
              <w:autoSpaceDN/>
              <w:bidi w:val="0"/>
              <w:adjustRightInd/>
              <w:snapToGrid w:val="0"/>
              <w:spacing w:after="0" w:line="361" w:lineRule="auto"/>
              <w:ind w:left="1" w:right="28" w:firstLine="478"/>
              <w:jc w:val="both"/>
              <w:textAlignment w:val="auto"/>
              <w:rPr>
                <w:rFonts w:ascii="Arial"/>
                <w:color w:val="auto"/>
                <w:sz w:val="24"/>
                <w:szCs w:val="24"/>
              </w:rPr>
            </w:pPr>
            <w:r>
              <w:rPr>
                <w:color w:val="auto"/>
                <w:spacing w:val="-2"/>
                <w:sz w:val="24"/>
                <w:szCs w:val="24"/>
              </w:rPr>
              <w:t>柴油泄漏时，迅速撤离泄漏污染区人员至安全区，并进行隔离，严格限制出入。同时切断电或火源。建议应急处理人员戴自给正压式呼吸器，穿消防防护服。尽可能切断</w:t>
            </w:r>
            <w:r>
              <w:rPr>
                <w:color w:val="auto"/>
                <w:spacing w:val="-6"/>
                <w:sz w:val="24"/>
                <w:szCs w:val="24"/>
              </w:rPr>
              <w:t>泄漏源。防止进入下水道、排洪沟等限制性空间。可用</w:t>
            </w:r>
            <w:r>
              <w:rPr>
                <w:color w:val="auto"/>
                <w:spacing w:val="-7"/>
                <w:sz w:val="24"/>
                <w:szCs w:val="24"/>
              </w:rPr>
              <w:t>砂土、蛭石或其它惰性材料吸收，</w:t>
            </w:r>
            <w:r>
              <w:rPr>
                <w:color w:val="auto"/>
                <w:spacing w:val="-1"/>
                <w:sz w:val="24"/>
                <w:szCs w:val="24"/>
              </w:rPr>
              <w:t>后可收集至专用收集器内，回收或运至废物处理场所处置。</w:t>
            </w:r>
          </w:p>
          <w:p w14:paraId="0067DCFE">
            <w:pPr>
              <w:pStyle w:val="7"/>
              <w:keepNext w:val="0"/>
              <w:keepLines w:val="0"/>
              <w:pageBreakBefore w:val="0"/>
              <w:widowControl/>
              <w:kinsoku/>
              <w:wordWrap/>
              <w:overflowPunct/>
              <w:topLinePunct w:val="0"/>
              <w:autoSpaceDE/>
              <w:autoSpaceDN/>
              <w:bidi w:val="0"/>
              <w:adjustRightInd/>
              <w:snapToGrid w:val="0"/>
              <w:spacing w:after="0" w:line="362" w:lineRule="auto"/>
              <w:ind w:left="2" w:right="80" w:firstLine="478"/>
              <w:textAlignment w:val="auto"/>
              <w:rPr>
                <w:rFonts w:hint="eastAsia" w:ascii="Times New Roman" w:hAnsi="Times New Roman" w:cs="Times New Roman"/>
                <w:color w:val="auto"/>
                <w:lang w:eastAsia="zh-CN"/>
              </w:rPr>
            </w:pPr>
            <w:r>
              <w:rPr>
                <w:color w:val="auto"/>
                <w:spacing w:val="-2"/>
                <w:sz w:val="24"/>
                <w:szCs w:val="24"/>
              </w:rPr>
              <w:t>柴油起火情况下，可喷水冷却容器，灭火剂一般使用泡沫、干粉、二氧化碳，不得</w:t>
            </w:r>
            <w:r>
              <w:rPr>
                <w:color w:val="auto"/>
                <w:spacing w:val="-3"/>
                <w:sz w:val="24"/>
                <w:szCs w:val="24"/>
              </w:rPr>
              <w:t>用水灭火</w:t>
            </w:r>
            <w:r>
              <w:rPr>
                <w:rFonts w:hint="eastAsia"/>
                <w:color w:val="auto"/>
                <w:spacing w:val="-3"/>
                <w:sz w:val="24"/>
                <w:szCs w:val="24"/>
                <w:lang w:eastAsia="zh-CN"/>
              </w:rPr>
              <w:t>。</w:t>
            </w:r>
          </w:p>
        </w:tc>
      </w:tr>
      <w:tr w14:paraId="3B5D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jc w:val="center"/>
        </w:trPr>
        <w:tc>
          <w:tcPr>
            <w:tcW w:w="1178" w:type="dxa"/>
            <w:noWrap w:val="0"/>
            <w:vAlign w:val="center"/>
          </w:tcPr>
          <w:p w14:paraId="240958E2">
            <w:pPr>
              <w:pStyle w:val="56"/>
              <w:rPr>
                <w:rFonts w:cs="Times New Roman"/>
                <w:color w:val="auto"/>
                <w:sz w:val="24"/>
              </w:rPr>
            </w:pPr>
            <w:r>
              <w:rPr>
                <w:rFonts w:cs="Times New Roman"/>
                <w:color w:val="auto"/>
                <w:sz w:val="24"/>
              </w:rPr>
              <w:t>其他环境</w:t>
            </w:r>
          </w:p>
          <w:p w14:paraId="79B0EAB7">
            <w:pPr>
              <w:pStyle w:val="56"/>
              <w:rPr>
                <w:rFonts w:cs="Times New Roman"/>
                <w:color w:val="auto"/>
                <w:sz w:val="24"/>
              </w:rPr>
            </w:pPr>
            <w:r>
              <w:rPr>
                <w:rFonts w:cs="Times New Roman"/>
                <w:color w:val="auto"/>
                <w:sz w:val="24"/>
              </w:rPr>
              <w:t>管理要求</w:t>
            </w:r>
          </w:p>
        </w:tc>
        <w:tc>
          <w:tcPr>
            <w:tcW w:w="7622" w:type="dxa"/>
            <w:gridSpan w:val="4"/>
            <w:noWrap w:val="0"/>
            <w:vAlign w:val="center"/>
          </w:tcPr>
          <w:p w14:paraId="75CA50BC">
            <w:pPr>
              <w:numPr>
                <w:ilvl w:val="0"/>
                <w:numId w:val="8"/>
              </w:numPr>
              <w:adjustRightInd w:val="0"/>
              <w:snapToGrid w:val="0"/>
              <w:spacing w:line="360" w:lineRule="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根据《固定污染源排污许可分类管理名录（2019年版）》本项目属于“四十九、卫生84”中</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床位100张</w:t>
            </w:r>
            <w:r>
              <w:rPr>
                <w:rFonts w:hint="default" w:ascii="Times New Roman" w:hAnsi="Times New Roman" w:eastAsia="宋体" w:cs="Times New Roman"/>
                <w:color w:val="auto"/>
                <w:sz w:val="24"/>
                <w:szCs w:val="24"/>
                <w:highlight w:val="none"/>
                <w:lang w:val="en-US" w:eastAsia="zh-CN"/>
              </w:rPr>
              <w:t>以上</w:t>
            </w:r>
            <w:r>
              <w:rPr>
                <w:rFonts w:hint="default" w:ascii="Times New Roman" w:hAnsi="Times New Roman" w:eastAsia="宋体" w:cs="Times New Roman"/>
                <w:color w:val="auto"/>
                <w:sz w:val="24"/>
                <w:szCs w:val="24"/>
                <w:highlight w:val="none"/>
              </w:rPr>
              <w:t>的综合医院8411</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需进行实行简化管理。应当在全国排污许可证管理信息平台填报变更排污登记表，登记基本信息、污染物排放去向、执行的污染物排放标准以及采取的污染防治措施等信息。</w:t>
            </w:r>
          </w:p>
          <w:p w14:paraId="2D6B04D3">
            <w:pPr>
              <w:keepNext w:val="0"/>
              <w:keepLines w:val="0"/>
              <w:widowControl/>
              <w:suppressLineNumbers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kern w:val="0"/>
                <w:sz w:val="24"/>
                <w:szCs w:val="24"/>
                <w:lang w:val="en-US" w:eastAsia="zh-CN" w:bidi="ar"/>
              </w:rPr>
              <w:t>定期检查应急池池体、防渗结构、围堰及防雨设施完好性，排查破损、渗漏、溢流等隐患，保障应急收纳功能完好。常态化管控应急池液位，规范水位巡查记录，禁止空池闲置或废水超量囤积，明确应急启用条件。定期试运行配套导流、抽排设备，确保管网检修、废水超标等突发情况时可正常投用。建立应急池运维台账，如实记录废水收纳时段、水量、水质、启用原因及处置去向，实现全程可追溯。严禁向应急池堆放生活垃圾、建筑垃圾及其他杂物，保持池体及周边整洁，杜绝二次污染。</w:t>
            </w:r>
          </w:p>
          <w:p w14:paraId="28F1FF28">
            <w:pPr>
              <w:keepNext w:val="0"/>
              <w:keepLines w:val="0"/>
              <w:widowControl/>
              <w:suppressLineNumbers w:val="0"/>
              <w:spacing w:line="360" w:lineRule="auto"/>
              <w:jc w:val="left"/>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4"/>
                <w:szCs w:val="24"/>
                <w:highlight w:val="none"/>
                <w:lang w:val="en-US" w:eastAsia="zh-CN"/>
              </w:rPr>
              <w:t>3、</w:t>
            </w:r>
            <w:r>
              <w:rPr>
                <w:rFonts w:ascii="宋体" w:hAnsi="宋体" w:eastAsia="宋体" w:cs="宋体"/>
                <w:color w:val="auto"/>
                <w:sz w:val="24"/>
                <w:szCs w:val="24"/>
              </w:rPr>
              <w:t>在项目产生废水前，将另行合规委托具备资质的槽车运输单位，签订槽车运输合同。</w:t>
            </w:r>
            <w:r>
              <w:rPr>
                <w:rFonts w:hint="default" w:ascii="Times New Roman" w:hAnsi="Times New Roman" w:eastAsia="宋体" w:cs="Times New Roman"/>
                <w:color w:val="auto"/>
                <w:kern w:val="0"/>
                <w:sz w:val="24"/>
                <w:szCs w:val="24"/>
                <w:lang w:val="en-US" w:eastAsia="zh-CN" w:bidi="ar"/>
              </w:rPr>
              <w:t>严格核查转运槽车营运资质、年检证明、密闭防渗检测资料，严禁无证、手续不全、车况不合格车辆参与转运作业。装车前后检查槽车罐体、阀门、密封垫片及防滴漏装置完好性，杜绝运输过程跑冒滴漏。严格执行固定转运路线和转运时段，运输路线避开居民区、水源保护区等环境敏感点，严禁私自改道。外运废水需自检达标后方可转运，留存水质监测数据，严禁超标废水外运。规范落实转运联单及运输台账管理，详细记录转运水量、时间、车辆及人员信息、处置回执等资料，实现一车一档、闭环管控。定期开展作业人员环保及应急培训，配齐堵漏、吸附、围挡等应急物资，熟练掌握废水泄漏应急处置流程。结合项目废水产生量合理调配转运频次及装载量，保障废水及时清运，避免站内积水积压、外溢。</w:t>
            </w:r>
          </w:p>
          <w:p w14:paraId="049E7ACA">
            <w:pPr>
              <w:adjustRightInd w:val="0"/>
              <w:snapToGrid w:val="0"/>
              <w:spacing w:line="360" w:lineRule="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排水系统严格实现彻底分流，禁止混接、错接 （1）污水管网系统：门诊楼、住院楼、职工宿舍生活污水、诊疗医疗废水、检验科废水、食堂餐厨废水单独收集，分别经预处理（化粪池 / 隔油池）后接入院内污水处理站；所有污水管道独立布设，严禁接入雨水管网。 （2）雨水管网系统：屋面雨水、道路广场雨水、绿化雨水单独收集，自成独立系统；雨水口、雨水管沟不得接纳任何生产、生活污水。</w:t>
            </w:r>
          </w:p>
          <w:p w14:paraId="0944C2E7">
            <w:pPr>
              <w:adjustRightInd w:val="0"/>
              <w:snapToGrid w:val="0"/>
              <w:spacing w:line="360" w:lineRule="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、加强生产管理和设施的日常维护及监控工作，保证设施正常运行。</w:t>
            </w:r>
          </w:p>
          <w:p w14:paraId="4B61D678">
            <w:pPr>
              <w:adjustRightInd w:val="0"/>
              <w:snapToGrid w:val="0"/>
              <w:spacing w:line="360" w:lineRule="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、加强环保设施的维护检修，保障环保设施的处理效率。</w:t>
            </w:r>
          </w:p>
          <w:p w14:paraId="4E818411">
            <w:pPr>
              <w:adjustRightInd w:val="0"/>
              <w:snapToGrid w:val="0"/>
              <w:spacing w:line="360" w:lineRule="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7</w:t>
            </w:r>
            <w:r>
              <w:rPr>
                <w:rFonts w:hint="default" w:ascii="Times New Roman" w:hAnsi="Times New Roman" w:cs="Times New Roman"/>
                <w:color w:val="auto"/>
                <w:sz w:val="24"/>
                <w:szCs w:val="24"/>
                <w:highlight w:val="none"/>
              </w:rPr>
              <w:t>、建立、健全生产环保规章制度。</w:t>
            </w:r>
          </w:p>
          <w:p w14:paraId="003757E5">
            <w:pPr>
              <w:pStyle w:val="23"/>
              <w:spacing w:line="360" w:lineRule="auto"/>
              <w:ind w:firstLine="0"/>
              <w:jc w:val="both"/>
              <w:rPr>
                <w:rFonts w:hint="default" w:ascii="宋体" w:hAnsi="宋体" w:eastAsia="宋体"/>
                <w:color w:val="auto"/>
                <w:sz w:val="24"/>
                <w:szCs w:val="24"/>
                <w:lang w:val="en-US" w:eastAsia="zh-CN"/>
              </w:rPr>
            </w:pPr>
            <w:r>
              <w:rPr>
                <w:rFonts w:hint="eastAsia" w:eastAsia="宋体" w:cs="Times New Roman"/>
                <w:color w:val="auto"/>
                <w:sz w:val="24"/>
                <w:szCs w:val="24"/>
                <w:highlight w:val="none"/>
                <w:lang w:val="en-US" w:eastAsia="zh-CN"/>
              </w:rPr>
              <w:t>8</w:t>
            </w:r>
            <w:r>
              <w:rPr>
                <w:rFonts w:hint="default" w:ascii="Times New Roman" w:hAnsi="Times New Roman" w:cs="Times New Roman"/>
                <w:color w:val="auto"/>
                <w:sz w:val="24"/>
                <w:szCs w:val="24"/>
                <w:highlight w:val="none"/>
              </w:rPr>
              <w:t>、严格在岗人员操作管理</w:t>
            </w:r>
            <w:r>
              <w:rPr>
                <w:rFonts w:hint="default" w:ascii="Times New Roman" w:hAnsi="Times New Roman" w:eastAsia="宋体" w:cs="Times New Roman"/>
                <w:color w:val="auto"/>
                <w:sz w:val="24"/>
                <w:szCs w:val="24"/>
                <w:highlight w:val="none"/>
              </w:rPr>
              <w:t>。</w:t>
            </w:r>
          </w:p>
        </w:tc>
      </w:tr>
    </w:tbl>
    <w:p w14:paraId="07ADA16F">
      <w:pPr>
        <w:pStyle w:val="14"/>
        <w:jc w:val="center"/>
        <w:outlineLvl w:val="0"/>
        <w:rPr>
          <w:rFonts w:ascii="Times New Roman" w:hAnsi="Times New Roman" w:eastAsia="黑体"/>
          <w:snapToGrid w:val="0"/>
          <w:color w:val="auto"/>
          <w:sz w:val="30"/>
          <w:szCs w:val="30"/>
        </w:rPr>
      </w:pPr>
      <w:r>
        <w:rPr>
          <w:rFonts w:ascii="Times New Roman" w:hAnsi="Times New Roman"/>
          <w:snapToGrid w:val="0"/>
          <w:color w:val="auto"/>
        </w:rPr>
        <w:br w:type="page"/>
      </w:r>
      <w:bookmarkStart w:id="18" w:name="_Toc12105"/>
      <w:bookmarkStart w:id="19" w:name="_Toc11068"/>
      <w:r>
        <w:rPr>
          <w:rStyle w:val="44"/>
          <w:color w:val="auto"/>
        </w:rPr>
        <w:drawing>
          <wp:anchor distT="0" distB="0" distL="114300" distR="114300" simplePos="0" relativeHeight="251663360" behindDoc="0" locked="0" layoutInCell="1" allowOverlap="1">
            <wp:simplePos x="0" y="0"/>
            <wp:positionH relativeFrom="column">
              <wp:posOffset>-800100</wp:posOffset>
            </wp:positionH>
            <wp:positionV relativeFrom="paragraph">
              <wp:posOffset>-890905</wp:posOffset>
            </wp:positionV>
            <wp:extent cx="7054215" cy="10170160"/>
            <wp:effectExtent l="0" t="0" r="13335" b="2540"/>
            <wp:wrapNone/>
            <wp:docPr id="10" name="图片 4" descr="8db3b7a9c7de01e503c64e18ada855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8db3b7a9c7de01e503c64e18ada8551e"/>
                    <pic:cNvPicPr>
                      <a:picLocks noChangeAspect="1"/>
                    </pic:cNvPicPr>
                  </pic:nvPicPr>
                  <pic:blipFill>
                    <a:blip r:embed="rId22"/>
                    <a:stretch>
                      <a:fillRect/>
                    </a:stretch>
                  </pic:blipFill>
                  <pic:spPr>
                    <a:xfrm>
                      <a:off x="0" y="0"/>
                      <a:ext cx="7054215" cy="10170160"/>
                    </a:xfrm>
                    <a:prstGeom prst="rect">
                      <a:avLst/>
                    </a:prstGeom>
                    <a:noFill/>
                    <a:ln>
                      <a:noFill/>
                    </a:ln>
                  </pic:spPr>
                </pic:pic>
              </a:graphicData>
            </a:graphic>
          </wp:anchor>
        </w:drawing>
      </w:r>
      <w:r>
        <w:rPr>
          <w:rStyle w:val="44"/>
          <w:color w:val="auto"/>
        </w:rPr>
        <w:t>六、结论</w:t>
      </w:r>
      <w:bookmarkEnd w:id="18"/>
      <w:bookmarkEnd w:id="19"/>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89C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55BA4061">
            <w:pPr>
              <w:spacing w:line="360" w:lineRule="auto"/>
              <w:ind w:firstLine="480" w:firstLineChars="200"/>
              <w:rPr>
                <w:sz w:val="24"/>
                <w:szCs w:val="32"/>
              </w:rPr>
            </w:pPr>
            <w:r>
              <w:rPr>
                <w:sz w:val="24"/>
                <w:szCs w:val="32"/>
              </w:rPr>
              <w:t>本项目的建设符合国家有关产业政策，选址与城市总体规划及城镇建设规划要求相符。项目正常</w:t>
            </w:r>
            <w:r>
              <w:rPr>
                <w:rFonts w:hint="eastAsia"/>
                <w:sz w:val="24"/>
                <w:szCs w:val="32"/>
              </w:rPr>
              <w:t>运营</w:t>
            </w:r>
            <w:r>
              <w:rPr>
                <w:sz w:val="24"/>
                <w:szCs w:val="32"/>
              </w:rPr>
              <w:t>时对周边水、大气、噪声、固废环境的影响较小，水、大气、声环境质量基本可维持在现状水平，满足环境功能的要求。因此，本评价认为，该项目的建设在采取环保措施，落实环保“三同时”制度，加强环境管理前提下，从环境保护角度分析，本项目建设是可行的。</w:t>
            </w:r>
          </w:p>
          <w:p w14:paraId="0D2033FF">
            <w:pPr>
              <w:spacing w:line="360" w:lineRule="auto"/>
              <w:ind w:firstLine="480" w:firstLineChars="200"/>
              <w:rPr>
                <w:rFonts w:hint="eastAsia"/>
                <w:sz w:val="24"/>
                <w:szCs w:val="32"/>
                <w:lang w:val="en-US" w:eastAsia="zh-CN"/>
              </w:rPr>
            </w:pPr>
            <w:r>
              <w:rPr>
                <w:rFonts w:hint="eastAsia"/>
                <w:sz w:val="24"/>
                <w:szCs w:val="32"/>
                <w:lang w:val="en-US" w:eastAsia="zh-CN"/>
              </w:rPr>
              <w:t xml:space="preserve">                                                 </w:t>
            </w:r>
          </w:p>
          <w:p w14:paraId="7F18BBD5">
            <w:pPr>
              <w:spacing w:line="360" w:lineRule="auto"/>
              <w:ind w:firstLine="480" w:firstLineChars="200"/>
              <w:rPr>
                <w:rFonts w:hint="eastAsia"/>
                <w:sz w:val="24"/>
                <w:szCs w:val="32"/>
                <w:lang w:val="en-US" w:eastAsia="zh-CN"/>
              </w:rPr>
            </w:pPr>
          </w:p>
          <w:p w14:paraId="0BAA9131">
            <w:pPr>
              <w:spacing w:line="360" w:lineRule="auto"/>
              <w:ind w:firstLine="480" w:firstLineChars="200"/>
              <w:jc w:val="right"/>
              <w:rPr>
                <w:rFonts w:hint="eastAsia"/>
                <w:sz w:val="24"/>
                <w:szCs w:val="32"/>
                <w:lang w:val="en-US" w:eastAsia="zh-CN"/>
              </w:rPr>
            </w:pPr>
          </w:p>
          <w:p w14:paraId="093E2775">
            <w:pPr>
              <w:spacing w:line="360" w:lineRule="auto"/>
              <w:ind w:firstLine="480" w:firstLineChars="200"/>
              <w:jc w:val="right"/>
              <w:rPr>
                <w:rFonts w:hint="eastAsia"/>
                <w:sz w:val="24"/>
                <w:szCs w:val="32"/>
                <w:lang w:val="en-US" w:eastAsia="zh-CN"/>
              </w:rPr>
            </w:pPr>
            <w:r>
              <w:rPr>
                <w:rFonts w:hint="eastAsia"/>
                <w:sz w:val="24"/>
                <w:szCs w:val="32"/>
                <w:lang w:val="en-US" w:eastAsia="zh-CN"/>
              </w:rPr>
              <w:t>福证通（福州市）环保科技有限公司</w:t>
            </w:r>
          </w:p>
          <w:p w14:paraId="61A92B1E">
            <w:pPr>
              <w:spacing w:line="360" w:lineRule="auto"/>
              <w:ind w:firstLine="480" w:firstLineChars="200"/>
              <w:jc w:val="right"/>
              <w:rPr>
                <w:rFonts w:hint="default"/>
                <w:sz w:val="24"/>
                <w:szCs w:val="32"/>
                <w:lang w:val="en-US" w:eastAsia="zh-CN"/>
              </w:rPr>
            </w:pPr>
            <w:r>
              <w:rPr>
                <w:rFonts w:hint="eastAsia"/>
                <w:sz w:val="24"/>
                <w:szCs w:val="32"/>
                <w:lang w:val="en-US" w:eastAsia="zh-CN"/>
              </w:rPr>
              <w:t>2026年6月</w:t>
            </w:r>
          </w:p>
        </w:tc>
      </w:tr>
    </w:tbl>
    <w:p w14:paraId="71A31F84">
      <w:pPr>
        <w:jc w:val="center"/>
        <w:rPr>
          <w:rFonts w:eastAsia="黑体"/>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9A69B05">
      <w:pPr>
        <w:pStyle w:val="7"/>
        <w:bidi w:val="0"/>
        <w:jc w:val="center"/>
        <w:rPr>
          <w:sz w:val="32"/>
          <w:szCs w:val="36"/>
        </w:rPr>
      </w:pPr>
      <w:r>
        <w:rPr>
          <w:sz w:val="32"/>
          <w:szCs w:val="36"/>
        </w:rPr>
        <w:t>建设项目污染物排放量汇总表单位：t/a</w:t>
      </w:r>
    </w:p>
    <w:tbl>
      <w:tblPr>
        <w:tblStyle w:val="17"/>
        <w:tblW w:w="1408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519"/>
        <w:gridCol w:w="1558"/>
      </w:tblGrid>
      <w:tr w14:paraId="4DFEE6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14:paraId="55BA1AB9">
            <w:pPr>
              <w:pStyle w:val="57"/>
              <w:spacing w:beforeLines="0" w:afterLines="0" w:line="240" w:lineRule="auto"/>
              <w:jc w:val="right"/>
              <w:rPr>
                <w:rFonts w:ascii="Times New Roman" w:eastAsia="黑体"/>
                <w:snapToGrid w:val="0"/>
                <w:color w:val="auto"/>
                <w:spacing w:val="-6"/>
                <w:kern w:val="21"/>
                <w:szCs w:val="21"/>
              </w:rPr>
            </w:pPr>
            <w:r>
              <w:rPr>
                <w:rFonts w:ascii="Times New Roman" w:eastAsia="黑体"/>
                <w:snapToGrid w:val="0"/>
                <w:color w:val="auto"/>
                <w:spacing w:val="-6"/>
                <w:kern w:val="21"/>
                <w:szCs w:val="21"/>
              </w:rPr>
              <w:t>项目</w:t>
            </w:r>
          </w:p>
          <w:p w14:paraId="4A9E5A36">
            <w:pPr>
              <w:pStyle w:val="57"/>
              <w:spacing w:beforeLines="0" w:afterLines="0" w:line="240" w:lineRule="auto"/>
              <w:jc w:val="left"/>
              <w:rPr>
                <w:rFonts w:ascii="Times New Roman" w:eastAsia="黑体"/>
                <w:snapToGrid w:val="0"/>
                <w:color w:val="auto"/>
                <w:spacing w:val="-6"/>
                <w:kern w:val="21"/>
                <w:szCs w:val="21"/>
              </w:rPr>
            </w:pPr>
            <w:r>
              <w:rPr>
                <w:rFonts w:ascii="Times New Roman" w:eastAsia="黑体"/>
                <w:snapToGrid w:val="0"/>
                <w:color w:val="auto"/>
                <w:spacing w:val="-6"/>
                <w:kern w:val="21"/>
                <w:szCs w:val="21"/>
              </w:rPr>
              <w:t>分类</w:t>
            </w:r>
          </w:p>
        </w:tc>
        <w:tc>
          <w:tcPr>
            <w:tcW w:w="1417" w:type="dxa"/>
            <w:noWrap w:val="0"/>
            <w:tcMar>
              <w:left w:w="28" w:type="dxa"/>
              <w:right w:w="28" w:type="dxa"/>
            </w:tcMar>
            <w:vAlign w:val="center"/>
          </w:tcPr>
          <w:p w14:paraId="19268288">
            <w:pPr>
              <w:pStyle w:val="57"/>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污染物名称</w:t>
            </w:r>
          </w:p>
        </w:tc>
        <w:tc>
          <w:tcPr>
            <w:tcW w:w="1701" w:type="dxa"/>
            <w:noWrap w:val="0"/>
            <w:tcMar>
              <w:left w:w="28" w:type="dxa"/>
              <w:right w:w="28" w:type="dxa"/>
            </w:tcMar>
            <w:vAlign w:val="center"/>
          </w:tcPr>
          <w:p w14:paraId="246A2EF9">
            <w:pPr>
              <w:pStyle w:val="57"/>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现有工程</w:t>
            </w:r>
          </w:p>
          <w:p w14:paraId="7C37CBC7">
            <w:pPr>
              <w:pStyle w:val="57"/>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排放量（固体废物产生量）</w:t>
            </w: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1 \* GB3 \* MERGEFORMAT </w:instrText>
            </w:r>
            <w:r>
              <w:rPr>
                <w:rFonts w:ascii="Times New Roman" w:eastAsia="黑体"/>
                <w:snapToGrid w:val="0"/>
                <w:color w:val="auto"/>
                <w:spacing w:val="-6"/>
                <w:kern w:val="21"/>
                <w:szCs w:val="21"/>
              </w:rPr>
              <w:fldChar w:fldCharType="separate"/>
            </w:r>
            <w:r>
              <w:rPr>
                <w:rFonts w:ascii="Times New Roman" w:eastAsia="黑体"/>
                <w:color w:val="auto"/>
                <w:kern w:val="2"/>
                <w:szCs w:val="21"/>
              </w:rPr>
              <w:t>①</w:t>
            </w:r>
            <w:r>
              <w:rPr>
                <w:rFonts w:ascii="Times New Roman" w:eastAsia="黑体"/>
                <w:snapToGrid w:val="0"/>
                <w:color w:val="auto"/>
                <w:spacing w:val="-6"/>
                <w:kern w:val="21"/>
                <w:szCs w:val="21"/>
              </w:rPr>
              <w:fldChar w:fldCharType="end"/>
            </w:r>
          </w:p>
        </w:tc>
        <w:tc>
          <w:tcPr>
            <w:tcW w:w="1276" w:type="dxa"/>
            <w:noWrap w:val="0"/>
            <w:tcMar>
              <w:left w:w="28" w:type="dxa"/>
              <w:right w:w="28" w:type="dxa"/>
            </w:tcMar>
            <w:vAlign w:val="center"/>
          </w:tcPr>
          <w:p w14:paraId="67DBA603">
            <w:pPr>
              <w:pStyle w:val="57"/>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现有工程</w:t>
            </w:r>
          </w:p>
          <w:p w14:paraId="07779C7F">
            <w:pPr>
              <w:pStyle w:val="57"/>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许可排放量</w:t>
            </w:r>
          </w:p>
          <w:p w14:paraId="537B3930">
            <w:pPr>
              <w:pStyle w:val="57"/>
              <w:spacing w:beforeLines="0" w:afterLines="0"/>
              <w:rPr>
                <w:rFonts w:ascii="Times New Roman" w:eastAsia="黑体"/>
                <w:snapToGrid w:val="0"/>
                <w:color w:val="auto"/>
                <w:spacing w:val="-6"/>
                <w:kern w:val="21"/>
                <w:szCs w:val="21"/>
              </w:rPr>
            </w:pP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2 \* GB3 \* MERGEFORMAT </w:instrText>
            </w:r>
            <w:r>
              <w:rPr>
                <w:rFonts w:ascii="Times New Roman" w:eastAsia="黑体"/>
                <w:snapToGrid w:val="0"/>
                <w:color w:val="auto"/>
                <w:spacing w:val="-6"/>
                <w:kern w:val="21"/>
                <w:szCs w:val="21"/>
              </w:rPr>
              <w:fldChar w:fldCharType="separate"/>
            </w:r>
            <w:r>
              <w:rPr>
                <w:rFonts w:ascii="Times New Roman" w:eastAsia="黑体"/>
                <w:snapToGrid w:val="0"/>
                <w:color w:val="auto"/>
                <w:spacing w:val="-6"/>
                <w:kern w:val="21"/>
                <w:szCs w:val="21"/>
              </w:rPr>
              <w:t>②</w:t>
            </w:r>
            <w:r>
              <w:rPr>
                <w:rFonts w:ascii="Times New Roman" w:eastAsia="黑体"/>
                <w:snapToGrid w:val="0"/>
                <w:color w:val="auto"/>
                <w:spacing w:val="-6"/>
                <w:kern w:val="21"/>
                <w:szCs w:val="21"/>
              </w:rPr>
              <w:fldChar w:fldCharType="end"/>
            </w:r>
          </w:p>
        </w:tc>
        <w:tc>
          <w:tcPr>
            <w:tcW w:w="1701" w:type="dxa"/>
            <w:noWrap w:val="0"/>
            <w:tcMar>
              <w:left w:w="28" w:type="dxa"/>
              <w:right w:w="28" w:type="dxa"/>
            </w:tcMar>
            <w:vAlign w:val="center"/>
          </w:tcPr>
          <w:p w14:paraId="717244DB">
            <w:pPr>
              <w:pStyle w:val="57"/>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在建工程</w:t>
            </w:r>
          </w:p>
          <w:p w14:paraId="4DE8E0D1">
            <w:pPr>
              <w:pStyle w:val="57"/>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排放量（固体废物产生量）</w:t>
            </w: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3 \* GB3 \* MERGEFORMAT </w:instrText>
            </w:r>
            <w:r>
              <w:rPr>
                <w:rFonts w:ascii="Times New Roman" w:eastAsia="黑体"/>
                <w:snapToGrid w:val="0"/>
                <w:color w:val="auto"/>
                <w:spacing w:val="-6"/>
                <w:kern w:val="21"/>
                <w:szCs w:val="21"/>
              </w:rPr>
              <w:fldChar w:fldCharType="separate"/>
            </w:r>
            <w:r>
              <w:rPr>
                <w:rFonts w:ascii="Times New Roman" w:eastAsia="黑体"/>
                <w:color w:val="auto"/>
                <w:kern w:val="2"/>
                <w:szCs w:val="21"/>
              </w:rPr>
              <w:t>③</w:t>
            </w:r>
            <w:r>
              <w:rPr>
                <w:rFonts w:ascii="Times New Roman" w:eastAsia="黑体"/>
                <w:snapToGrid w:val="0"/>
                <w:color w:val="auto"/>
                <w:spacing w:val="-6"/>
                <w:kern w:val="21"/>
                <w:szCs w:val="21"/>
              </w:rPr>
              <w:fldChar w:fldCharType="end"/>
            </w:r>
          </w:p>
        </w:tc>
        <w:tc>
          <w:tcPr>
            <w:tcW w:w="1559" w:type="dxa"/>
            <w:noWrap w:val="0"/>
            <w:tcMar>
              <w:left w:w="28" w:type="dxa"/>
              <w:right w:w="28" w:type="dxa"/>
            </w:tcMar>
            <w:vAlign w:val="center"/>
          </w:tcPr>
          <w:p w14:paraId="0FEF6AB0">
            <w:pPr>
              <w:pStyle w:val="57"/>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本项目</w:t>
            </w:r>
          </w:p>
          <w:p w14:paraId="6EB857C6">
            <w:pPr>
              <w:pStyle w:val="57"/>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排放量（固体废物产生量）</w:t>
            </w: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4 \* GB3 \* MERGEFORMAT </w:instrText>
            </w:r>
            <w:r>
              <w:rPr>
                <w:rFonts w:ascii="Times New Roman" w:eastAsia="黑体"/>
                <w:snapToGrid w:val="0"/>
                <w:color w:val="auto"/>
                <w:spacing w:val="-6"/>
                <w:kern w:val="21"/>
                <w:szCs w:val="21"/>
              </w:rPr>
              <w:fldChar w:fldCharType="separate"/>
            </w:r>
            <w:r>
              <w:rPr>
                <w:rFonts w:ascii="Times New Roman" w:eastAsia="黑体"/>
                <w:color w:val="auto"/>
                <w:kern w:val="2"/>
                <w:szCs w:val="21"/>
              </w:rPr>
              <w:t>④</w:t>
            </w:r>
            <w:r>
              <w:rPr>
                <w:rFonts w:ascii="Times New Roman" w:eastAsia="黑体"/>
                <w:snapToGrid w:val="0"/>
                <w:color w:val="auto"/>
                <w:spacing w:val="-6"/>
                <w:kern w:val="21"/>
                <w:szCs w:val="21"/>
              </w:rPr>
              <w:fldChar w:fldCharType="end"/>
            </w:r>
          </w:p>
        </w:tc>
        <w:tc>
          <w:tcPr>
            <w:tcW w:w="1761" w:type="dxa"/>
            <w:noWrap w:val="0"/>
            <w:tcMar>
              <w:left w:w="28" w:type="dxa"/>
              <w:right w:w="28" w:type="dxa"/>
            </w:tcMar>
            <w:vAlign w:val="center"/>
          </w:tcPr>
          <w:p w14:paraId="29DD4BF3">
            <w:pPr>
              <w:pStyle w:val="57"/>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以新带老削减量</w:t>
            </w:r>
          </w:p>
          <w:p w14:paraId="0B8FCA6C">
            <w:pPr>
              <w:pStyle w:val="57"/>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（新建项目不填）</w:t>
            </w:r>
            <w:r>
              <w:rPr>
                <w:rFonts w:ascii="Times New Roman" w:eastAsia="黑体"/>
                <w:snapToGrid w:val="0"/>
                <w:color w:val="auto"/>
                <w:spacing w:val="-16"/>
                <w:kern w:val="21"/>
                <w:szCs w:val="21"/>
              </w:rPr>
              <w:fldChar w:fldCharType="begin"/>
            </w:r>
            <w:r>
              <w:rPr>
                <w:rFonts w:ascii="Times New Roman" w:eastAsia="黑体"/>
                <w:snapToGrid w:val="0"/>
                <w:color w:val="auto"/>
                <w:spacing w:val="-16"/>
                <w:kern w:val="21"/>
                <w:szCs w:val="21"/>
              </w:rPr>
              <w:instrText xml:space="preserve"> = 5 \* GB3 \* MERGEFORMAT </w:instrText>
            </w:r>
            <w:r>
              <w:rPr>
                <w:rFonts w:ascii="Times New Roman" w:eastAsia="黑体"/>
                <w:snapToGrid w:val="0"/>
                <w:color w:val="auto"/>
                <w:spacing w:val="-16"/>
                <w:kern w:val="21"/>
                <w:szCs w:val="21"/>
              </w:rPr>
              <w:fldChar w:fldCharType="separate"/>
            </w:r>
            <w:r>
              <w:rPr>
                <w:rFonts w:ascii="Times New Roman" w:eastAsia="黑体"/>
                <w:color w:val="auto"/>
                <w:kern w:val="2"/>
                <w:szCs w:val="21"/>
              </w:rPr>
              <w:t>⑤</w:t>
            </w:r>
            <w:r>
              <w:rPr>
                <w:rFonts w:ascii="Times New Roman" w:eastAsia="黑体"/>
                <w:snapToGrid w:val="0"/>
                <w:color w:val="auto"/>
                <w:spacing w:val="-16"/>
                <w:kern w:val="21"/>
                <w:szCs w:val="21"/>
              </w:rPr>
              <w:fldChar w:fldCharType="end"/>
            </w:r>
          </w:p>
        </w:tc>
        <w:tc>
          <w:tcPr>
            <w:tcW w:w="1519" w:type="dxa"/>
            <w:noWrap w:val="0"/>
            <w:tcMar>
              <w:left w:w="28" w:type="dxa"/>
              <w:right w:w="28" w:type="dxa"/>
            </w:tcMar>
            <w:vAlign w:val="center"/>
          </w:tcPr>
          <w:p w14:paraId="345D28FA">
            <w:pPr>
              <w:pStyle w:val="57"/>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本项目建成后</w:t>
            </w:r>
          </w:p>
          <w:p w14:paraId="3BE5E68C">
            <w:pPr>
              <w:pStyle w:val="57"/>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全厂排放量（固体废物产生量）</w:t>
            </w:r>
            <w:r>
              <w:rPr>
                <w:rFonts w:ascii="Times New Roman" w:eastAsia="黑体"/>
                <w:snapToGrid w:val="0"/>
                <w:color w:val="auto"/>
                <w:spacing w:val="-16"/>
                <w:kern w:val="21"/>
                <w:szCs w:val="21"/>
              </w:rPr>
              <w:fldChar w:fldCharType="begin"/>
            </w:r>
            <w:r>
              <w:rPr>
                <w:rFonts w:ascii="Times New Roman" w:eastAsia="黑体"/>
                <w:snapToGrid w:val="0"/>
                <w:color w:val="auto"/>
                <w:spacing w:val="-16"/>
                <w:kern w:val="21"/>
                <w:szCs w:val="21"/>
              </w:rPr>
              <w:instrText xml:space="preserve"> = 6 \* GB3 \* MERGEFORMAT </w:instrText>
            </w:r>
            <w:r>
              <w:rPr>
                <w:rFonts w:ascii="Times New Roman" w:eastAsia="黑体"/>
                <w:snapToGrid w:val="0"/>
                <w:color w:val="auto"/>
                <w:spacing w:val="-16"/>
                <w:kern w:val="21"/>
                <w:szCs w:val="21"/>
              </w:rPr>
              <w:fldChar w:fldCharType="separate"/>
            </w:r>
            <w:r>
              <w:rPr>
                <w:rFonts w:ascii="Times New Roman" w:eastAsia="黑体"/>
                <w:color w:val="auto"/>
                <w:kern w:val="2"/>
                <w:szCs w:val="21"/>
              </w:rPr>
              <w:t>⑥</w:t>
            </w:r>
            <w:r>
              <w:rPr>
                <w:rFonts w:ascii="Times New Roman" w:eastAsia="黑体"/>
                <w:snapToGrid w:val="0"/>
                <w:color w:val="auto"/>
                <w:spacing w:val="-16"/>
                <w:kern w:val="21"/>
                <w:szCs w:val="21"/>
              </w:rPr>
              <w:fldChar w:fldCharType="end"/>
            </w:r>
          </w:p>
        </w:tc>
        <w:tc>
          <w:tcPr>
            <w:tcW w:w="1558" w:type="dxa"/>
            <w:noWrap w:val="0"/>
            <w:tcMar>
              <w:left w:w="28" w:type="dxa"/>
              <w:right w:w="28" w:type="dxa"/>
            </w:tcMar>
            <w:vAlign w:val="center"/>
          </w:tcPr>
          <w:p w14:paraId="1394DD27">
            <w:pPr>
              <w:pStyle w:val="57"/>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变化量</w:t>
            </w:r>
          </w:p>
          <w:p w14:paraId="75979C00">
            <w:pPr>
              <w:pStyle w:val="57"/>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7 \* GB3 \* MERGEFORMAT </w:instrText>
            </w:r>
            <w:r>
              <w:rPr>
                <w:rFonts w:ascii="Times New Roman" w:eastAsia="黑体"/>
                <w:snapToGrid w:val="0"/>
                <w:color w:val="auto"/>
                <w:spacing w:val="-6"/>
                <w:kern w:val="21"/>
                <w:szCs w:val="21"/>
              </w:rPr>
              <w:fldChar w:fldCharType="separate"/>
            </w:r>
            <w:r>
              <w:rPr>
                <w:rFonts w:ascii="Times New Roman" w:eastAsia="黑体"/>
                <w:color w:val="auto"/>
                <w:kern w:val="2"/>
                <w:szCs w:val="21"/>
              </w:rPr>
              <w:t>⑦</w:t>
            </w:r>
            <w:r>
              <w:rPr>
                <w:rFonts w:ascii="Times New Roman" w:eastAsia="黑体"/>
                <w:snapToGrid w:val="0"/>
                <w:color w:val="auto"/>
                <w:spacing w:val="-6"/>
                <w:kern w:val="21"/>
                <w:szCs w:val="21"/>
              </w:rPr>
              <w:fldChar w:fldCharType="end"/>
            </w:r>
          </w:p>
        </w:tc>
      </w:tr>
      <w:tr w14:paraId="2B66D6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588" w:type="dxa"/>
            <w:vMerge w:val="restart"/>
            <w:noWrap w:val="0"/>
            <w:vAlign w:val="center"/>
          </w:tcPr>
          <w:p w14:paraId="0678FAE4">
            <w:pPr>
              <w:pStyle w:val="57"/>
              <w:spacing w:beforeLines="0" w:afterLines="0" w:line="240" w:lineRule="auto"/>
              <w:rPr>
                <w:rFonts w:ascii="Times New Roman"/>
                <w:snapToGrid w:val="0"/>
                <w:color w:val="auto"/>
                <w:kern w:val="21"/>
                <w:szCs w:val="21"/>
              </w:rPr>
            </w:pPr>
            <w:r>
              <w:rPr>
                <w:rFonts w:ascii="Times New Roman"/>
                <w:snapToGrid w:val="0"/>
                <w:color w:val="auto"/>
                <w:kern w:val="21"/>
                <w:szCs w:val="21"/>
              </w:rPr>
              <w:t>废气</w:t>
            </w:r>
          </w:p>
        </w:tc>
        <w:tc>
          <w:tcPr>
            <w:tcW w:w="1417" w:type="dxa"/>
            <w:noWrap w:val="0"/>
            <w:vAlign w:val="center"/>
          </w:tcPr>
          <w:p w14:paraId="73D770D8">
            <w:pPr>
              <w:keepNext w:val="0"/>
              <w:keepLines w:val="0"/>
              <w:widowControl/>
              <w:suppressLineNumbers w:val="0"/>
              <w:jc w:val="center"/>
              <w:textAlignment w:val="center"/>
              <w:rPr>
                <w:rFonts w:cs="Times New Roman"/>
                <w:color w:val="auto"/>
              </w:rPr>
            </w:pPr>
            <w:r>
              <w:rPr>
                <w:rFonts w:hint="default" w:ascii="Times New Roman" w:hAnsi="Times New Roman" w:eastAsia="宋体" w:cs="Times New Roman"/>
                <w:i w:val="0"/>
                <w:iCs w:val="0"/>
                <w:color w:val="000000"/>
                <w:kern w:val="0"/>
                <w:sz w:val="22"/>
                <w:szCs w:val="22"/>
                <w:u w:val="none"/>
                <w:lang w:val="en-US" w:eastAsia="zh-CN" w:bidi="ar"/>
              </w:rPr>
              <w:t>NH</w:t>
            </w:r>
            <w:r>
              <w:rPr>
                <w:rFonts w:hint="default" w:ascii="Times New Roman" w:hAnsi="Times New Roman" w:eastAsia="宋体" w:cs="Times New Roman"/>
                <w:i w:val="0"/>
                <w:iCs w:val="0"/>
                <w:color w:val="000000"/>
                <w:kern w:val="0"/>
                <w:sz w:val="22"/>
                <w:szCs w:val="22"/>
                <w:u w:val="none"/>
                <w:vertAlign w:val="subscript"/>
                <w:lang w:val="en-US" w:eastAsia="zh-CN" w:bidi="ar"/>
              </w:rPr>
              <w:t>3</w:t>
            </w:r>
          </w:p>
        </w:tc>
        <w:tc>
          <w:tcPr>
            <w:tcW w:w="1701" w:type="dxa"/>
            <w:noWrap w:val="0"/>
            <w:vAlign w:val="center"/>
          </w:tcPr>
          <w:p w14:paraId="474A1CF6">
            <w:pPr>
              <w:keepNext w:val="0"/>
              <w:keepLines w:val="0"/>
              <w:widowControl/>
              <w:suppressLineNumbers w:val="0"/>
              <w:jc w:val="center"/>
              <w:textAlignment w:val="center"/>
              <w:rPr>
                <w:rFonts w:ascii="Times New Roman" w:hAnsi="Times New Roman"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0.00691</w:t>
            </w:r>
          </w:p>
        </w:tc>
        <w:tc>
          <w:tcPr>
            <w:tcW w:w="1276" w:type="dxa"/>
            <w:noWrap w:val="0"/>
            <w:vAlign w:val="center"/>
          </w:tcPr>
          <w:p w14:paraId="77219C39">
            <w:pPr>
              <w:jc w:val="center"/>
              <w:rPr>
                <w:color w:val="auto"/>
                <w:kern w:val="2"/>
                <w:sz w:val="21"/>
                <w:szCs w:val="21"/>
                <w:lang w:val="en-US" w:eastAsia="zh-CN" w:bidi="ar-SA"/>
              </w:rPr>
            </w:pPr>
            <w:r>
              <w:rPr>
                <w:rFonts w:hint="eastAsia" w:cs="Times New Roman"/>
                <w:color w:val="auto"/>
                <w:sz w:val="21"/>
                <w:szCs w:val="21"/>
                <w:lang w:val="en-US" w:eastAsia="zh-CN"/>
              </w:rPr>
              <w:t>/</w:t>
            </w:r>
          </w:p>
        </w:tc>
        <w:tc>
          <w:tcPr>
            <w:tcW w:w="1701" w:type="dxa"/>
            <w:noWrap w:val="0"/>
            <w:vAlign w:val="center"/>
          </w:tcPr>
          <w:p w14:paraId="54550B4A">
            <w:pPr>
              <w:jc w:val="center"/>
              <w:rPr>
                <w:rFonts w:ascii="Times New Roman" w:hAnsi="Times New Roman" w:cs="Times New Roman"/>
                <w:color w:val="auto"/>
                <w:kern w:val="2"/>
                <w:sz w:val="21"/>
                <w:szCs w:val="21"/>
                <w:lang w:val="en-US" w:eastAsia="zh-CN" w:bidi="ar-SA"/>
              </w:rPr>
            </w:pPr>
            <w:r>
              <w:rPr>
                <w:rFonts w:hint="eastAsia" w:cs="Times New Roman"/>
                <w:color w:val="auto"/>
                <w:sz w:val="21"/>
                <w:szCs w:val="21"/>
                <w:lang w:val="en-US" w:eastAsia="zh-CN"/>
              </w:rPr>
              <w:t>/</w:t>
            </w:r>
          </w:p>
        </w:tc>
        <w:tc>
          <w:tcPr>
            <w:tcW w:w="1559" w:type="dxa"/>
            <w:noWrap w:val="0"/>
            <w:vAlign w:val="center"/>
          </w:tcPr>
          <w:p w14:paraId="35EC43C5">
            <w:pPr>
              <w:keepNext w:val="0"/>
              <w:keepLines w:val="0"/>
              <w:widowControl/>
              <w:suppressLineNumbers w:val="0"/>
              <w:jc w:val="center"/>
              <w:textAlignment w:val="center"/>
              <w:rPr>
                <w:rFonts w:hint="default"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0.00228</w:t>
            </w:r>
          </w:p>
        </w:tc>
        <w:tc>
          <w:tcPr>
            <w:tcW w:w="1761" w:type="dxa"/>
            <w:noWrap w:val="0"/>
            <w:vAlign w:val="center"/>
          </w:tcPr>
          <w:p w14:paraId="554D60FE">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0.00691</w:t>
            </w:r>
          </w:p>
        </w:tc>
        <w:tc>
          <w:tcPr>
            <w:tcW w:w="1519" w:type="dxa"/>
            <w:noWrap w:val="0"/>
            <w:vAlign w:val="center"/>
          </w:tcPr>
          <w:p w14:paraId="67189817">
            <w:pPr>
              <w:keepNext w:val="0"/>
              <w:keepLines w:val="0"/>
              <w:widowControl/>
              <w:suppressLineNumbers w:val="0"/>
              <w:jc w:val="center"/>
              <w:textAlignment w:val="center"/>
              <w:rPr>
                <w:rFonts w:hint="default"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0.00228</w:t>
            </w:r>
          </w:p>
        </w:tc>
        <w:tc>
          <w:tcPr>
            <w:tcW w:w="1558" w:type="dxa"/>
            <w:noWrap w:val="0"/>
            <w:vAlign w:val="center"/>
          </w:tcPr>
          <w:p w14:paraId="6E6700C7">
            <w:pPr>
              <w:keepNext w:val="0"/>
              <w:keepLines w:val="0"/>
              <w:widowControl/>
              <w:suppressLineNumbers w:val="0"/>
              <w:jc w:val="center"/>
              <w:textAlignment w:val="center"/>
              <w:rPr>
                <w:rFonts w:hint="default" w:cs="Times New Roman"/>
                <w:color w:val="auto"/>
                <w:sz w:val="21"/>
                <w:szCs w:val="21"/>
                <w:lang w:val="en-US"/>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0.00228</w:t>
            </w:r>
          </w:p>
        </w:tc>
      </w:tr>
      <w:tr w14:paraId="76E27C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88" w:type="dxa"/>
            <w:vMerge w:val="continue"/>
            <w:noWrap w:val="0"/>
            <w:vAlign w:val="center"/>
          </w:tcPr>
          <w:p w14:paraId="03B6D770">
            <w:pPr>
              <w:pStyle w:val="57"/>
              <w:spacing w:beforeLines="0" w:afterLines="0" w:line="240" w:lineRule="auto"/>
              <w:rPr>
                <w:rFonts w:ascii="Times New Roman"/>
                <w:snapToGrid w:val="0"/>
                <w:color w:val="auto"/>
                <w:kern w:val="21"/>
                <w:szCs w:val="21"/>
              </w:rPr>
            </w:pPr>
          </w:p>
        </w:tc>
        <w:tc>
          <w:tcPr>
            <w:tcW w:w="1417" w:type="dxa"/>
            <w:noWrap w:val="0"/>
            <w:vAlign w:val="center"/>
          </w:tcPr>
          <w:p w14:paraId="42E78098">
            <w:pPr>
              <w:keepNext w:val="0"/>
              <w:keepLines w:val="0"/>
              <w:widowControl/>
              <w:suppressLineNumbers w:val="0"/>
              <w:jc w:val="center"/>
              <w:textAlignment w:val="center"/>
              <w:rPr>
                <w:rFonts w:ascii="Times New Roman" w:hAnsi="Times New Roman" w:cs="Times New Roman"/>
                <w:color w:val="auto"/>
                <w:kern w:val="2"/>
                <w:sz w:val="21"/>
                <w:szCs w:val="24"/>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H</w:t>
            </w:r>
            <w:r>
              <w:rPr>
                <w:rFonts w:hint="default" w:ascii="Times New Roman" w:hAnsi="Times New Roman" w:eastAsia="宋体" w:cs="Times New Roman"/>
                <w:i w:val="0"/>
                <w:iCs w:val="0"/>
                <w:color w:val="000000"/>
                <w:kern w:val="0"/>
                <w:sz w:val="22"/>
                <w:szCs w:val="22"/>
                <w:u w:val="none"/>
                <w:vertAlign w:val="subscript"/>
                <w:lang w:val="en-US" w:eastAsia="zh-CN" w:bidi="ar"/>
              </w:rPr>
              <w:t>2</w:t>
            </w:r>
            <w:r>
              <w:rPr>
                <w:rFonts w:hint="default" w:ascii="Times New Roman" w:hAnsi="Times New Roman" w:eastAsia="宋体" w:cs="Times New Roman"/>
                <w:i w:val="0"/>
                <w:iCs w:val="0"/>
                <w:color w:val="000000"/>
                <w:kern w:val="0"/>
                <w:sz w:val="22"/>
                <w:szCs w:val="22"/>
                <w:u w:val="none"/>
                <w:lang w:val="en-US" w:eastAsia="zh-CN" w:bidi="ar"/>
              </w:rPr>
              <w:t>S</w:t>
            </w:r>
          </w:p>
        </w:tc>
        <w:tc>
          <w:tcPr>
            <w:tcW w:w="1701" w:type="dxa"/>
            <w:noWrap w:val="0"/>
            <w:vAlign w:val="center"/>
          </w:tcPr>
          <w:p w14:paraId="534AFC7D">
            <w:pPr>
              <w:keepNext w:val="0"/>
              <w:keepLines w:val="0"/>
              <w:widowControl/>
              <w:suppressLineNumbers w:val="0"/>
              <w:jc w:val="center"/>
              <w:textAlignment w:val="center"/>
              <w:rPr>
                <w:rFonts w:ascii="Times New Roman" w:hAnsi="Times New Roman"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0.000268</w:t>
            </w:r>
          </w:p>
        </w:tc>
        <w:tc>
          <w:tcPr>
            <w:tcW w:w="1276" w:type="dxa"/>
            <w:noWrap w:val="0"/>
            <w:vAlign w:val="center"/>
          </w:tcPr>
          <w:p w14:paraId="05951957">
            <w:pPr>
              <w:jc w:val="center"/>
              <w:rPr>
                <w:color w:val="auto"/>
                <w:kern w:val="2"/>
                <w:sz w:val="21"/>
                <w:szCs w:val="21"/>
                <w:lang w:val="en-US" w:eastAsia="zh-CN" w:bidi="ar-SA"/>
              </w:rPr>
            </w:pPr>
            <w:r>
              <w:rPr>
                <w:rFonts w:hint="eastAsia" w:cs="Times New Roman"/>
                <w:color w:val="auto"/>
                <w:sz w:val="21"/>
                <w:szCs w:val="21"/>
                <w:lang w:val="en-US" w:eastAsia="zh-CN"/>
              </w:rPr>
              <w:t>/</w:t>
            </w:r>
          </w:p>
        </w:tc>
        <w:tc>
          <w:tcPr>
            <w:tcW w:w="1701" w:type="dxa"/>
            <w:noWrap w:val="0"/>
            <w:vAlign w:val="center"/>
          </w:tcPr>
          <w:p w14:paraId="710DBB33">
            <w:pPr>
              <w:jc w:val="center"/>
              <w:rPr>
                <w:rFonts w:ascii="Times New Roman" w:hAnsi="Times New Roman" w:cs="Times New Roman"/>
                <w:color w:val="auto"/>
                <w:kern w:val="2"/>
                <w:sz w:val="21"/>
                <w:szCs w:val="21"/>
                <w:lang w:val="en-US" w:eastAsia="zh-CN" w:bidi="ar-SA"/>
              </w:rPr>
            </w:pPr>
            <w:r>
              <w:rPr>
                <w:rFonts w:hint="eastAsia" w:cs="Times New Roman"/>
                <w:color w:val="auto"/>
                <w:sz w:val="21"/>
                <w:szCs w:val="21"/>
                <w:lang w:val="en-US" w:eastAsia="zh-CN"/>
              </w:rPr>
              <w:t>/</w:t>
            </w:r>
          </w:p>
        </w:tc>
        <w:tc>
          <w:tcPr>
            <w:tcW w:w="1559" w:type="dxa"/>
            <w:noWrap w:val="0"/>
            <w:vAlign w:val="center"/>
          </w:tcPr>
          <w:p w14:paraId="683C36B4">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0.00009</w:t>
            </w:r>
          </w:p>
        </w:tc>
        <w:tc>
          <w:tcPr>
            <w:tcW w:w="1761" w:type="dxa"/>
            <w:noWrap w:val="0"/>
            <w:vAlign w:val="center"/>
          </w:tcPr>
          <w:p w14:paraId="5341FB11">
            <w:pPr>
              <w:keepNext w:val="0"/>
              <w:keepLines w:val="0"/>
              <w:widowControl/>
              <w:suppressLineNumbers w:val="0"/>
              <w:jc w:val="center"/>
              <w:textAlignment w:val="center"/>
              <w:rPr>
                <w:rFonts w:ascii="Times New Roman" w:hAnsi="Times New Roman"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0.000268</w:t>
            </w:r>
          </w:p>
        </w:tc>
        <w:tc>
          <w:tcPr>
            <w:tcW w:w="1519" w:type="dxa"/>
            <w:noWrap w:val="0"/>
            <w:vAlign w:val="center"/>
          </w:tcPr>
          <w:p w14:paraId="1DAB4F0F">
            <w:pPr>
              <w:keepNext w:val="0"/>
              <w:keepLines w:val="0"/>
              <w:widowControl/>
              <w:suppressLineNumbers w:val="0"/>
              <w:jc w:val="center"/>
              <w:textAlignment w:val="center"/>
              <w:rPr>
                <w:rFonts w:ascii="Times New Roman" w:hAnsi="Times New Roman"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0.00009</w:t>
            </w:r>
          </w:p>
        </w:tc>
        <w:tc>
          <w:tcPr>
            <w:tcW w:w="1558" w:type="dxa"/>
            <w:noWrap w:val="0"/>
            <w:vAlign w:val="center"/>
          </w:tcPr>
          <w:p w14:paraId="624F2983">
            <w:pPr>
              <w:keepNext w:val="0"/>
              <w:keepLines w:val="0"/>
              <w:widowControl/>
              <w:suppressLineNumbers w:val="0"/>
              <w:jc w:val="center"/>
              <w:textAlignment w:val="center"/>
              <w:rPr>
                <w:rFonts w:hint="eastAsia" w:eastAsia="宋体" w:cs="Times New Roman"/>
                <w:color w:val="auto"/>
                <w:spacing w:val="-2"/>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0.00009</w:t>
            </w:r>
          </w:p>
        </w:tc>
      </w:tr>
      <w:tr w14:paraId="4B7AE5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588" w:type="dxa"/>
            <w:vMerge w:val="continue"/>
            <w:noWrap w:val="0"/>
            <w:vAlign w:val="center"/>
          </w:tcPr>
          <w:p w14:paraId="294BE2C1">
            <w:pPr>
              <w:pStyle w:val="57"/>
              <w:spacing w:beforeLines="0" w:afterLines="0" w:line="240" w:lineRule="auto"/>
              <w:rPr>
                <w:rFonts w:ascii="Times New Roman"/>
                <w:snapToGrid w:val="0"/>
                <w:color w:val="auto"/>
                <w:kern w:val="21"/>
                <w:szCs w:val="21"/>
              </w:rPr>
            </w:pPr>
          </w:p>
        </w:tc>
        <w:tc>
          <w:tcPr>
            <w:tcW w:w="1417" w:type="dxa"/>
            <w:noWrap w:val="0"/>
            <w:vAlign w:val="center"/>
          </w:tcPr>
          <w:p w14:paraId="7A177818">
            <w:pPr>
              <w:keepNext w:val="0"/>
              <w:keepLines w:val="0"/>
              <w:widowControl/>
              <w:suppressLineNumbers w:val="0"/>
              <w:jc w:val="center"/>
              <w:textAlignment w:val="center"/>
              <w:rPr>
                <w:rFonts w:cs="Times New Roman"/>
                <w:color w:val="auto"/>
              </w:rPr>
            </w:pPr>
            <w:r>
              <w:rPr>
                <w:rFonts w:hint="eastAsia" w:ascii="宋体" w:hAnsi="宋体" w:eastAsia="宋体" w:cs="宋体"/>
                <w:i w:val="0"/>
                <w:iCs w:val="0"/>
                <w:color w:val="000000"/>
                <w:kern w:val="0"/>
                <w:sz w:val="21"/>
                <w:szCs w:val="21"/>
                <w:u w:val="none"/>
                <w:lang w:val="en-US" w:eastAsia="zh-CN" w:bidi="ar"/>
              </w:rPr>
              <w:t>油烟</w:t>
            </w:r>
          </w:p>
        </w:tc>
        <w:tc>
          <w:tcPr>
            <w:tcW w:w="1701" w:type="dxa"/>
            <w:noWrap w:val="0"/>
            <w:vAlign w:val="center"/>
          </w:tcPr>
          <w:p w14:paraId="1A223AF8">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0.00996</w:t>
            </w:r>
          </w:p>
        </w:tc>
        <w:tc>
          <w:tcPr>
            <w:tcW w:w="1276" w:type="dxa"/>
            <w:noWrap w:val="0"/>
            <w:vAlign w:val="center"/>
          </w:tcPr>
          <w:p w14:paraId="078BA943">
            <w:pPr>
              <w:jc w:val="center"/>
              <w:rPr>
                <w:color w:val="auto"/>
                <w:sz w:val="21"/>
                <w:szCs w:val="21"/>
              </w:rPr>
            </w:pPr>
            <w:r>
              <w:rPr>
                <w:rFonts w:hint="eastAsia" w:cs="Times New Roman"/>
                <w:color w:val="auto"/>
                <w:sz w:val="21"/>
                <w:szCs w:val="21"/>
                <w:lang w:val="en-US" w:eastAsia="zh-CN"/>
              </w:rPr>
              <w:t>/</w:t>
            </w:r>
          </w:p>
        </w:tc>
        <w:tc>
          <w:tcPr>
            <w:tcW w:w="1701" w:type="dxa"/>
            <w:noWrap w:val="0"/>
            <w:vAlign w:val="center"/>
          </w:tcPr>
          <w:p w14:paraId="0DB711C1">
            <w:pPr>
              <w:jc w:val="center"/>
              <w:rPr>
                <w:rFonts w:cs="Times New Roman"/>
                <w:color w:val="auto"/>
                <w:sz w:val="21"/>
                <w:szCs w:val="21"/>
              </w:rPr>
            </w:pPr>
            <w:r>
              <w:rPr>
                <w:rFonts w:hint="eastAsia" w:cs="Times New Roman"/>
                <w:color w:val="auto"/>
                <w:sz w:val="21"/>
                <w:szCs w:val="21"/>
                <w:lang w:val="en-US" w:eastAsia="zh-CN"/>
              </w:rPr>
              <w:t>/</w:t>
            </w:r>
          </w:p>
        </w:tc>
        <w:tc>
          <w:tcPr>
            <w:tcW w:w="1559" w:type="dxa"/>
            <w:noWrap w:val="0"/>
            <w:vAlign w:val="center"/>
          </w:tcPr>
          <w:p w14:paraId="20A39A30">
            <w:pPr>
              <w:keepNext w:val="0"/>
              <w:keepLines w:val="0"/>
              <w:widowControl/>
              <w:suppressLineNumbers w:val="0"/>
              <w:jc w:val="center"/>
              <w:textAlignment w:val="center"/>
              <w:rPr>
                <w:rFonts w:hint="default"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0.00996</w:t>
            </w:r>
          </w:p>
        </w:tc>
        <w:tc>
          <w:tcPr>
            <w:tcW w:w="1761" w:type="dxa"/>
            <w:noWrap w:val="0"/>
            <w:vAlign w:val="center"/>
          </w:tcPr>
          <w:p w14:paraId="1AA943E4">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0.00996</w:t>
            </w:r>
          </w:p>
        </w:tc>
        <w:tc>
          <w:tcPr>
            <w:tcW w:w="1519" w:type="dxa"/>
            <w:noWrap w:val="0"/>
            <w:vAlign w:val="center"/>
          </w:tcPr>
          <w:p w14:paraId="3DCCED32">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0.00996</w:t>
            </w:r>
          </w:p>
        </w:tc>
        <w:tc>
          <w:tcPr>
            <w:tcW w:w="1558" w:type="dxa"/>
            <w:noWrap w:val="0"/>
            <w:vAlign w:val="center"/>
          </w:tcPr>
          <w:p w14:paraId="73566FC0">
            <w:pPr>
              <w:keepNext w:val="0"/>
              <w:keepLines w:val="0"/>
              <w:widowControl/>
              <w:suppressLineNumbers w:val="0"/>
              <w:jc w:val="center"/>
              <w:textAlignment w:val="center"/>
              <w:rPr>
                <w:rFonts w:cs="Times New Roman"/>
                <w:color w:val="auto"/>
                <w:sz w:val="21"/>
                <w:szCs w:val="21"/>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0.00996</w:t>
            </w:r>
          </w:p>
        </w:tc>
      </w:tr>
      <w:tr w14:paraId="47F599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88" w:type="dxa"/>
            <w:vMerge w:val="restart"/>
            <w:shd w:val="clear" w:color="auto" w:fill="auto"/>
            <w:noWrap w:val="0"/>
            <w:vAlign w:val="center"/>
          </w:tcPr>
          <w:p w14:paraId="3B070A69">
            <w:pPr>
              <w:pStyle w:val="57"/>
              <w:spacing w:beforeLines="0" w:afterLines="0" w:line="240" w:lineRule="auto"/>
              <w:rPr>
                <w:rFonts w:ascii="Times New Roman"/>
                <w:snapToGrid w:val="0"/>
                <w:color w:val="auto"/>
                <w:kern w:val="21"/>
                <w:szCs w:val="21"/>
              </w:rPr>
            </w:pPr>
            <w:r>
              <w:rPr>
                <w:rFonts w:ascii="Times New Roman"/>
                <w:snapToGrid w:val="0"/>
                <w:color w:val="auto"/>
                <w:kern w:val="21"/>
                <w:szCs w:val="21"/>
              </w:rPr>
              <w:t>废水</w:t>
            </w:r>
          </w:p>
        </w:tc>
        <w:tc>
          <w:tcPr>
            <w:tcW w:w="1417" w:type="dxa"/>
            <w:shd w:val="clear" w:color="auto" w:fill="auto"/>
            <w:noWrap w:val="0"/>
            <w:vAlign w:val="center"/>
          </w:tcPr>
          <w:p w14:paraId="4EBFF660">
            <w:pPr>
              <w:jc w:val="center"/>
              <w:rPr>
                <w:snapToGrid w:val="0"/>
                <w:color w:val="auto"/>
                <w:kern w:val="21"/>
                <w:szCs w:val="21"/>
              </w:rPr>
            </w:pPr>
            <w:r>
              <w:rPr>
                <w:rFonts w:hint="eastAsia"/>
                <w:color w:val="auto"/>
              </w:rPr>
              <w:t>废水</w:t>
            </w:r>
          </w:p>
        </w:tc>
        <w:tc>
          <w:tcPr>
            <w:tcW w:w="1701" w:type="dxa"/>
            <w:shd w:val="clear" w:color="auto" w:fill="auto"/>
            <w:noWrap w:val="0"/>
            <w:vAlign w:val="center"/>
          </w:tcPr>
          <w:p w14:paraId="1B039464">
            <w:pPr>
              <w:keepNext w:val="0"/>
              <w:keepLines w:val="0"/>
              <w:widowControl/>
              <w:suppressLineNumbers w:val="0"/>
              <w:jc w:val="center"/>
              <w:textAlignment w:val="center"/>
              <w:rPr>
                <w:rFonts w:hint="default"/>
                <w:snapToGrid w:val="0"/>
                <w:color w:val="auto"/>
                <w:kern w:val="21"/>
                <w:sz w:val="21"/>
                <w:szCs w:val="21"/>
                <w:lang w:val="en-US"/>
              </w:rPr>
            </w:pPr>
            <w:r>
              <w:rPr>
                <w:rFonts w:hint="eastAsia" w:ascii="Times New Roman" w:hAnsi="Times New Roman" w:eastAsia="宋体" w:cs="Times New Roman"/>
                <w:i w:val="0"/>
                <w:iCs w:val="0"/>
                <w:color w:val="000000"/>
                <w:kern w:val="0"/>
                <w:sz w:val="21"/>
                <w:szCs w:val="21"/>
                <w:u w:val="none"/>
                <w:lang w:val="en-US" w:eastAsia="zh-CN" w:bidi="ar"/>
              </w:rPr>
              <w:t>23000</w:t>
            </w:r>
          </w:p>
        </w:tc>
        <w:tc>
          <w:tcPr>
            <w:tcW w:w="1276" w:type="dxa"/>
            <w:shd w:val="clear" w:color="auto" w:fill="auto"/>
            <w:noWrap w:val="0"/>
            <w:vAlign w:val="center"/>
          </w:tcPr>
          <w:p w14:paraId="7AB93722">
            <w:pPr>
              <w:jc w:val="center"/>
              <w:rPr>
                <w:snapToGrid w:val="0"/>
                <w:color w:val="auto"/>
                <w:kern w:val="21"/>
                <w:sz w:val="21"/>
                <w:szCs w:val="21"/>
              </w:rPr>
            </w:pPr>
            <w:r>
              <w:rPr>
                <w:rFonts w:hint="eastAsia" w:cs="Times New Roman"/>
                <w:color w:val="auto"/>
                <w:sz w:val="21"/>
                <w:szCs w:val="21"/>
                <w:lang w:val="en-US" w:eastAsia="zh-CN"/>
              </w:rPr>
              <w:t>/</w:t>
            </w:r>
          </w:p>
        </w:tc>
        <w:tc>
          <w:tcPr>
            <w:tcW w:w="1701" w:type="dxa"/>
            <w:shd w:val="clear" w:color="auto" w:fill="auto"/>
            <w:noWrap w:val="0"/>
            <w:vAlign w:val="center"/>
          </w:tcPr>
          <w:p w14:paraId="7075635A">
            <w:pPr>
              <w:jc w:val="center"/>
              <w:rPr>
                <w:rFonts w:cs="Times New Roman"/>
                <w:color w:val="auto"/>
                <w:sz w:val="21"/>
                <w:szCs w:val="21"/>
              </w:rPr>
            </w:pPr>
            <w:r>
              <w:rPr>
                <w:rFonts w:hint="eastAsia" w:cs="Times New Roman"/>
                <w:color w:val="auto"/>
                <w:sz w:val="21"/>
                <w:szCs w:val="21"/>
                <w:lang w:val="en-US" w:eastAsia="zh-CN"/>
              </w:rPr>
              <w:t>/</w:t>
            </w:r>
          </w:p>
        </w:tc>
        <w:tc>
          <w:tcPr>
            <w:tcW w:w="1559" w:type="dxa"/>
            <w:shd w:val="clear" w:color="auto" w:fill="FFFFFF"/>
            <w:noWrap w:val="0"/>
            <w:vAlign w:val="center"/>
          </w:tcPr>
          <w:p w14:paraId="0ED2DB08">
            <w:pPr>
              <w:keepNext w:val="0"/>
              <w:keepLines w:val="0"/>
              <w:widowControl/>
              <w:suppressLineNumbers w:val="0"/>
              <w:jc w:val="center"/>
              <w:textAlignment w:val="center"/>
              <w:rPr>
                <w:rFonts w:hint="default" w:eastAsia="宋体"/>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65143.01</w:t>
            </w:r>
          </w:p>
        </w:tc>
        <w:tc>
          <w:tcPr>
            <w:tcW w:w="1761" w:type="dxa"/>
            <w:noWrap w:val="0"/>
            <w:vAlign w:val="center"/>
          </w:tcPr>
          <w:p w14:paraId="514B3A21">
            <w:pPr>
              <w:keepNext w:val="0"/>
              <w:keepLines w:val="0"/>
              <w:widowControl/>
              <w:suppressLineNumbers w:val="0"/>
              <w:jc w:val="center"/>
              <w:textAlignment w:val="center"/>
              <w:rPr>
                <w:rFonts w:hint="default" w:cs="Times New Roman"/>
                <w:color w:val="auto"/>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Times New Roman" w:hAnsi="Times New Roman" w:eastAsia="宋体" w:cs="Times New Roman"/>
                <w:i w:val="0"/>
                <w:iCs w:val="0"/>
                <w:color w:val="000000"/>
                <w:kern w:val="0"/>
                <w:sz w:val="21"/>
                <w:szCs w:val="21"/>
                <w:u w:val="none"/>
                <w:lang w:val="en-US" w:eastAsia="zh-CN" w:bidi="ar"/>
              </w:rPr>
              <w:t>3000</w:t>
            </w:r>
          </w:p>
        </w:tc>
        <w:tc>
          <w:tcPr>
            <w:tcW w:w="1519" w:type="dxa"/>
            <w:noWrap w:val="0"/>
            <w:vAlign w:val="center"/>
          </w:tcPr>
          <w:p w14:paraId="2E46385E">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65143.01</w:t>
            </w:r>
          </w:p>
        </w:tc>
        <w:tc>
          <w:tcPr>
            <w:tcW w:w="1558" w:type="dxa"/>
            <w:noWrap w:val="0"/>
            <w:vAlign w:val="center"/>
          </w:tcPr>
          <w:p w14:paraId="59B0915A">
            <w:pPr>
              <w:keepNext w:val="0"/>
              <w:keepLines w:val="0"/>
              <w:widowControl/>
              <w:suppressLineNumbers w:val="0"/>
              <w:jc w:val="center"/>
              <w:textAlignment w:val="center"/>
              <w:rPr>
                <w:rFonts w:cs="Times New Roman"/>
                <w:color w:val="auto"/>
                <w:sz w:val="21"/>
                <w:szCs w:val="21"/>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65143.01</w:t>
            </w:r>
          </w:p>
        </w:tc>
      </w:tr>
      <w:tr w14:paraId="476CBF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588" w:type="dxa"/>
            <w:vMerge w:val="continue"/>
            <w:noWrap w:val="0"/>
            <w:vAlign w:val="center"/>
          </w:tcPr>
          <w:p w14:paraId="6293E8C9">
            <w:pPr>
              <w:pStyle w:val="57"/>
              <w:spacing w:beforeLines="0" w:afterLines="0" w:line="240" w:lineRule="auto"/>
              <w:rPr>
                <w:rFonts w:ascii="Times New Roman"/>
                <w:snapToGrid w:val="0"/>
                <w:color w:val="auto"/>
                <w:kern w:val="21"/>
                <w:szCs w:val="21"/>
              </w:rPr>
            </w:pPr>
          </w:p>
        </w:tc>
        <w:tc>
          <w:tcPr>
            <w:tcW w:w="1417" w:type="dxa"/>
            <w:noWrap w:val="0"/>
            <w:vAlign w:val="center"/>
          </w:tcPr>
          <w:p w14:paraId="088C7C38">
            <w:pPr>
              <w:jc w:val="center"/>
              <w:rPr>
                <w:snapToGrid w:val="0"/>
                <w:color w:val="auto"/>
                <w:kern w:val="21"/>
                <w:szCs w:val="21"/>
              </w:rPr>
            </w:pPr>
            <w:r>
              <w:rPr>
                <w:rFonts w:hint="eastAsia"/>
                <w:color w:val="auto"/>
              </w:rPr>
              <w:t>COD</w:t>
            </w:r>
          </w:p>
        </w:tc>
        <w:tc>
          <w:tcPr>
            <w:tcW w:w="1701" w:type="dxa"/>
            <w:noWrap w:val="0"/>
            <w:vAlign w:val="center"/>
          </w:tcPr>
          <w:p w14:paraId="4E4B0212">
            <w:pPr>
              <w:keepNext w:val="0"/>
              <w:keepLines w:val="0"/>
              <w:widowControl/>
              <w:suppressLineNumbers w:val="0"/>
              <w:jc w:val="center"/>
              <w:textAlignment w:val="center"/>
              <w:rPr>
                <w:snapToGrid w:val="0"/>
                <w:color w:val="auto"/>
                <w:kern w:val="21"/>
                <w:sz w:val="21"/>
                <w:szCs w:val="21"/>
              </w:rPr>
            </w:pPr>
            <w:r>
              <w:rPr>
                <w:rFonts w:hint="default" w:ascii="Times New Roman" w:hAnsi="Times New Roman" w:eastAsia="宋体" w:cs="Times New Roman"/>
                <w:i w:val="0"/>
                <w:iCs w:val="0"/>
                <w:color w:val="000000"/>
                <w:kern w:val="0"/>
                <w:sz w:val="21"/>
                <w:szCs w:val="21"/>
                <w:u w:val="none"/>
                <w:lang w:val="en-US" w:eastAsia="zh-CN" w:bidi="ar"/>
              </w:rPr>
              <w:t>0.71</w:t>
            </w:r>
          </w:p>
        </w:tc>
        <w:tc>
          <w:tcPr>
            <w:tcW w:w="1276" w:type="dxa"/>
            <w:noWrap w:val="0"/>
            <w:vAlign w:val="center"/>
          </w:tcPr>
          <w:p w14:paraId="5725CCFF">
            <w:pPr>
              <w:jc w:val="center"/>
              <w:rPr>
                <w:snapToGrid w:val="0"/>
                <w:color w:val="auto"/>
                <w:kern w:val="21"/>
                <w:sz w:val="21"/>
                <w:szCs w:val="21"/>
              </w:rPr>
            </w:pPr>
            <w:r>
              <w:rPr>
                <w:rFonts w:hint="eastAsia" w:cs="Times New Roman"/>
                <w:color w:val="auto"/>
                <w:sz w:val="21"/>
                <w:szCs w:val="21"/>
                <w:lang w:val="en-US" w:eastAsia="zh-CN"/>
              </w:rPr>
              <w:t>/</w:t>
            </w:r>
          </w:p>
        </w:tc>
        <w:tc>
          <w:tcPr>
            <w:tcW w:w="1701" w:type="dxa"/>
            <w:noWrap w:val="0"/>
            <w:vAlign w:val="center"/>
          </w:tcPr>
          <w:p w14:paraId="73FE0D44">
            <w:pPr>
              <w:jc w:val="center"/>
              <w:rPr>
                <w:rFonts w:cs="Times New Roman"/>
                <w:color w:val="auto"/>
                <w:sz w:val="21"/>
                <w:szCs w:val="21"/>
              </w:rPr>
            </w:pPr>
            <w:r>
              <w:rPr>
                <w:rFonts w:hint="eastAsia" w:cs="Times New Roman"/>
                <w:color w:val="auto"/>
                <w:sz w:val="21"/>
                <w:szCs w:val="21"/>
                <w:lang w:val="en-US" w:eastAsia="zh-CN"/>
              </w:rPr>
              <w:t>/</w:t>
            </w:r>
          </w:p>
        </w:tc>
        <w:tc>
          <w:tcPr>
            <w:tcW w:w="1559" w:type="dxa"/>
            <w:noWrap w:val="0"/>
            <w:vAlign w:val="center"/>
          </w:tcPr>
          <w:p w14:paraId="60A61D7A">
            <w:pPr>
              <w:keepNext w:val="0"/>
              <w:keepLines w:val="0"/>
              <w:widowControl/>
              <w:suppressLineNumbers w:val="0"/>
              <w:jc w:val="center"/>
              <w:textAlignment w:val="center"/>
              <w:rPr>
                <w:rFonts w:hint="default" w:cs="Times New Roman"/>
                <w:color w:val="auto"/>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0.32</w:t>
            </w:r>
          </w:p>
        </w:tc>
        <w:tc>
          <w:tcPr>
            <w:tcW w:w="1761" w:type="dxa"/>
            <w:noWrap w:val="0"/>
            <w:vAlign w:val="center"/>
          </w:tcPr>
          <w:p w14:paraId="2EABDDA5">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0.71</w:t>
            </w:r>
          </w:p>
        </w:tc>
        <w:tc>
          <w:tcPr>
            <w:tcW w:w="1519" w:type="dxa"/>
            <w:noWrap w:val="0"/>
            <w:vAlign w:val="center"/>
          </w:tcPr>
          <w:p w14:paraId="3945DFE3">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0.32</w:t>
            </w:r>
          </w:p>
        </w:tc>
        <w:tc>
          <w:tcPr>
            <w:tcW w:w="1558" w:type="dxa"/>
            <w:noWrap w:val="0"/>
            <w:vAlign w:val="center"/>
          </w:tcPr>
          <w:p w14:paraId="35259E0B">
            <w:pPr>
              <w:keepNext w:val="0"/>
              <w:keepLines w:val="0"/>
              <w:widowControl/>
              <w:suppressLineNumbers w:val="0"/>
              <w:jc w:val="center"/>
              <w:textAlignment w:val="center"/>
              <w:rPr>
                <w:rFonts w:cs="Times New Roman"/>
                <w:color w:val="auto"/>
                <w:sz w:val="21"/>
                <w:szCs w:val="21"/>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0.32</w:t>
            </w:r>
          </w:p>
        </w:tc>
      </w:tr>
      <w:tr w14:paraId="18D80A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88" w:type="dxa"/>
            <w:vMerge w:val="continue"/>
            <w:noWrap w:val="0"/>
            <w:vAlign w:val="center"/>
          </w:tcPr>
          <w:p w14:paraId="78496336">
            <w:pPr>
              <w:pStyle w:val="57"/>
              <w:spacing w:beforeLines="0" w:afterLines="0" w:line="240" w:lineRule="auto"/>
              <w:rPr>
                <w:rFonts w:ascii="Times New Roman"/>
                <w:snapToGrid w:val="0"/>
                <w:color w:val="auto"/>
                <w:kern w:val="21"/>
                <w:szCs w:val="21"/>
              </w:rPr>
            </w:pPr>
          </w:p>
        </w:tc>
        <w:tc>
          <w:tcPr>
            <w:tcW w:w="1417" w:type="dxa"/>
            <w:noWrap w:val="0"/>
            <w:vAlign w:val="center"/>
          </w:tcPr>
          <w:p w14:paraId="73D13C0C">
            <w:pPr>
              <w:pStyle w:val="56"/>
              <w:rPr>
                <w:rFonts w:cs="Times New Roman"/>
                <w:color w:val="auto"/>
              </w:rPr>
            </w:pPr>
            <w:r>
              <w:rPr>
                <w:rFonts w:hint="eastAsia" w:cs="Times New Roman"/>
                <w:color w:val="auto"/>
              </w:rPr>
              <w:t>BOD</w:t>
            </w:r>
            <w:r>
              <w:rPr>
                <w:rFonts w:hint="eastAsia" w:cs="Times New Roman"/>
                <w:color w:val="auto"/>
                <w:vertAlign w:val="subscript"/>
              </w:rPr>
              <w:t>5</w:t>
            </w:r>
          </w:p>
        </w:tc>
        <w:tc>
          <w:tcPr>
            <w:tcW w:w="1701" w:type="dxa"/>
            <w:noWrap w:val="0"/>
            <w:vAlign w:val="center"/>
          </w:tcPr>
          <w:p w14:paraId="4CC0C802">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0.07</w:t>
            </w:r>
          </w:p>
        </w:tc>
        <w:tc>
          <w:tcPr>
            <w:tcW w:w="1276" w:type="dxa"/>
            <w:noWrap w:val="0"/>
            <w:vAlign w:val="center"/>
          </w:tcPr>
          <w:p w14:paraId="064574D0">
            <w:pPr>
              <w:jc w:val="center"/>
              <w:rPr>
                <w:color w:val="auto"/>
                <w:sz w:val="21"/>
                <w:szCs w:val="21"/>
              </w:rPr>
            </w:pPr>
            <w:r>
              <w:rPr>
                <w:rFonts w:hint="eastAsia" w:cs="Times New Roman"/>
                <w:color w:val="auto"/>
                <w:sz w:val="21"/>
                <w:szCs w:val="21"/>
                <w:lang w:val="en-US" w:eastAsia="zh-CN"/>
              </w:rPr>
              <w:t>/</w:t>
            </w:r>
          </w:p>
        </w:tc>
        <w:tc>
          <w:tcPr>
            <w:tcW w:w="1701" w:type="dxa"/>
            <w:noWrap w:val="0"/>
            <w:vAlign w:val="center"/>
          </w:tcPr>
          <w:p w14:paraId="07289132">
            <w:pPr>
              <w:jc w:val="center"/>
              <w:rPr>
                <w:rFonts w:cs="Times New Roman"/>
                <w:color w:val="auto"/>
                <w:sz w:val="21"/>
                <w:szCs w:val="21"/>
              </w:rPr>
            </w:pPr>
            <w:r>
              <w:rPr>
                <w:rFonts w:hint="eastAsia" w:cs="Times New Roman"/>
                <w:color w:val="auto"/>
                <w:sz w:val="21"/>
                <w:szCs w:val="21"/>
                <w:lang w:val="en-US" w:eastAsia="zh-CN"/>
              </w:rPr>
              <w:t>/</w:t>
            </w:r>
          </w:p>
        </w:tc>
        <w:tc>
          <w:tcPr>
            <w:tcW w:w="1559" w:type="dxa"/>
            <w:noWrap w:val="0"/>
            <w:vAlign w:val="center"/>
          </w:tcPr>
          <w:p w14:paraId="7671B0E3">
            <w:pPr>
              <w:keepNext w:val="0"/>
              <w:keepLines w:val="0"/>
              <w:widowControl/>
              <w:suppressLineNumbers w:val="0"/>
              <w:jc w:val="center"/>
              <w:textAlignment w:val="center"/>
              <w:rPr>
                <w:rFonts w:hint="default"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0.04</w:t>
            </w:r>
          </w:p>
        </w:tc>
        <w:tc>
          <w:tcPr>
            <w:tcW w:w="1761" w:type="dxa"/>
            <w:noWrap w:val="0"/>
            <w:vAlign w:val="center"/>
          </w:tcPr>
          <w:p w14:paraId="4569C2F6">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0.07</w:t>
            </w:r>
          </w:p>
        </w:tc>
        <w:tc>
          <w:tcPr>
            <w:tcW w:w="1519" w:type="dxa"/>
            <w:noWrap w:val="0"/>
            <w:vAlign w:val="center"/>
          </w:tcPr>
          <w:p w14:paraId="5CB1FB06">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0.04</w:t>
            </w:r>
          </w:p>
        </w:tc>
        <w:tc>
          <w:tcPr>
            <w:tcW w:w="1558" w:type="dxa"/>
            <w:noWrap w:val="0"/>
            <w:vAlign w:val="center"/>
          </w:tcPr>
          <w:p w14:paraId="4789E8C5">
            <w:pPr>
              <w:keepNext w:val="0"/>
              <w:keepLines w:val="0"/>
              <w:widowControl/>
              <w:suppressLineNumbers w:val="0"/>
              <w:jc w:val="center"/>
              <w:textAlignment w:val="center"/>
              <w:rPr>
                <w:rFonts w:cs="Times New Roman"/>
                <w:color w:val="auto"/>
                <w:sz w:val="21"/>
                <w:szCs w:val="21"/>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0.04</w:t>
            </w:r>
          </w:p>
        </w:tc>
      </w:tr>
      <w:tr w14:paraId="543A3F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88" w:type="dxa"/>
            <w:vMerge w:val="continue"/>
            <w:noWrap w:val="0"/>
            <w:vAlign w:val="center"/>
          </w:tcPr>
          <w:p w14:paraId="117DF517">
            <w:pPr>
              <w:pStyle w:val="57"/>
              <w:spacing w:beforeLines="0" w:afterLines="0" w:line="240" w:lineRule="auto"/>
              <w:rPr>
                <w:rFonts w:ascii="Times New Roman"/>
                <w:snapToGrid w:val="0"/>
                <w:color w:val="auto"/>
                <w:kern w:val="21"/>
                <w:szCs w:val="21"/>
              </w:rPr>
            </w:pPr>
          </w:p>
        </w:tc>
        <w:tc>
          <w:tcPr>
            <w:tcW w:w="1417" w:type="dxa"/>
            <w:noWrap w:val="0"/>
            <w:vAlign w:val="center"/>
          </w:tcPr>
          <w:p w14:paraId="23E76980">
            <w:pPr>
              <w:adjustRightInd w:val="0"/>
              <w:snapToGrid w:val="0"/>
              <w:jc w:val="center"/>
              <w:rPr>
                <w:color w:val="auto"/>
                <w:szCs w:val="21"/>
              </w:rPr>
            </w:pPr>
            <w:r>
              <w:rPr>
                <w:rFonts w:hint="eastAsia"/>
                <w:color w:val="auto"/>
                <w:szCs w:val="21"/>
              </w:rPr>
              <w:t>SS</w:t>
            </w:r>
          </w:p>
        </w:tc>
        <w:tc>
          <w:tcPr>
            <w:tcW w:w="1701" w:type="dxa"/>
            <w:noWrap w:val="0"/>
            <w:vAlign w:val="center"/>
          </w:tcPr>
          <w:p w14:paraId="005CBC63">
            <w:pPr>
              <w:keepNext w:val="0"/>
              <w:keepLines w:val="0"/>
              <w:widowControl/>
              <w:suppressLineNumbers w:val="0"/>
              <w:jc w:val="center"/>
              <w:textAlignment w:val="center"/>
              <w:rPr>
                <w:b/>
                <w:bCs/>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0.27</w:t>
            </w:r>
          </w:p>
        </w:tc>
        <w:tc>
          <w:tcPr>
            <w:tcW w:w="1276" w:type="dxa"/>
            <w:noWrap w:val="0"/>
            <w:vAlign w:val="center"/>
          </w:tcPr>
          <w:p w14:paraId="0801D670">
            <w:pPr>
              <w:jc w:val="center"/>
              <w:rPr>
                <w:color w:val="auto"/>
                <w:sz w:val="21"/>
                <w:szCs w:val="21"/>
              </w:rPr>
            </w:pPr>
            <w:r>
              <w:rPr>
                <w:rFonts w:hint="eastAsia" w:cs="Times New Roman"/>
                <w:color w:val="auto"/>
                <w:sz w:val="21"/>
                <w:szCs w:val="21"/>
                <w:lang w:val="en-US" w:eastAsia="zh-CN"/>
              </w:rPr>
              <w:t>/</w:t>
            </w:r>
          </w:p>
        </w:tc>
        <w:tc>
          <w:tcPr>
            <w:tcW w:w="1701" w:type="dxa"/>
            <w:noWrap w:val="0"/>
            <w:vAlign w:val="center"/>
          </w:tcPr>
          <w:p w14:paraId="255FA479">
            <w:pPr>
              <w:jc w:val="center"/>
              <w:rPr>
                <w:rFonts w:cs="Times New Roman"/>
                <w:color w:val="auto"/>
                <w:sz w:val="21"/>
                <w:szCs w:val="21"/>
              </w:rPr>
            </w:pPr>
            <w:r>
              <w:rPr>
                <w:rFonts w:hint="eastAsia" w:cs="Times New Roman"/>
                <w:color w:val="auto"/>
                <w:sz w:val="21"/>
                <w:szCs w:val="21"/>
                <w:lang w:val="en-US" w:eastAsia="zh-CN"/>
              </w:rPr>
              <w:t>/</w:t>
            </w:r>
          </w:p>
        </w:tc>
        <w:tc>
          <w:tcPr>
            <w:tcW w:w="1559" w:type="dxa"/>
            <w:noWrap w:val="0"/>
            <w:vAlign w:val="center"/>
          </w:tcPr>
          <w:p w14:paraId="71B154BD">
            <w:pPr>
              <w:keepNext w:val="0"/>
              <w:keepLines w:val="0"/>
              <w:widowControl/>
              <w:suppressLineNumbers w:val="0"/>
              <w:jc w:val="center"/>
              <w:textAlignment w:val="center"/>
              <w:rPr>
                <w:rFonts w:hint="default"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0.03</w:t>
            </w:r>
          </w:p>
        </w:tc>
        <w:tc>
          <w:tcPr>
            <w:tcW w:w="1761" w:type="dxa"/>
            <w:noWrap w:val="0"/>
            <w:vAlign w:val="center"/>
          </w:tcPr>
          <w:p w14:paraId="4FD17964">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0.27</w:t>
            </w:r>
          </w:p>
        </w:tc>
        <w:tc>
          <w:tcPr>
            <w:tcW w:w="1519" w:type="dxa"/>
            <w:noWrap w:val="0"/>
            <w:vAlign w:val="center"/>
          </w:tcPr>
          <w:p w14:paraId="23E4217E">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0.03</w:t>
            </w:r>
          </w:p>
        </w:tc>
        <w:tc>
          <w:tcPr>
            <w:tcW w:w="1558" w:type="dxa"/>
            <w:noWrap w:val="0"/>
            <w:vAlign w:val="center"/>
          </w:tcPr>
          <w:p w14:paraId="20BD763C">
            <w:pPr>
              <w:keepNext w:val="0"/>
              <w:keepLines w:val="0"/>
              <w:widowControl/>
              <w:suppressLineNumbers w:val="0"/>
              <w:jc w:val="center"/>
              <w:textAlignment w:val="center"/>
              <w:rPr>
                <w:rFonts w:cs="Times New Roman"/>
                <w:color w:val="auto"/>
                <w:sz w:val="21"/>
                <w:szCs w:val="21"/>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0.03</w:t>
            </w:r>
          </w:p>
        </w:tc>
      </w:tr>
      <w:tr w14:paraId="5CBCC6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588" w:type="dxa"/>
            <w:vMerge w:val="continue"/>
            <w:noWrap w:val="0"/>
            <w:vAlign w:val="center"/>
          </w:tcPr>
          <w:p w14:paraId="7733C0DA">
            <w:pPr>
              <w:pStyle w:val="57"/>
              <w:spacing w:beforeLines="0" w:afterLines="0" w:line="240" w:lineRule="auto"/>
              <w:rPr>
                <w:rFonts w:ascii="Times New Roman"/>
                <w:snapToGrid w:val="0"/>
                <w:color w:val="auto"/>
                <w:kern w:val="21"/>
                <w:szCs w:val="21"/>
              </w:rPr>
            </w:pPr>
          </w:p>
        </w:tc>
        <w:tc>
          <w:tcPr>
            <w:tcW w:w="1417" w:type="dxa"/>
            <w:noWrap w:val="0"/>
            <w:vAlign w:val="center"/>
          </w:tcPr>
          <w:p w14:paraId="07665DF8">
            <w:pPr>
              <w:jc w:val="center"/>
              <w:rPr>
                <w:color w:val="auto"/>
              </w:rPr>
            </w:pPr>
            <w:r>
              <w:rPr>
                <w:color w:val="auto"/>
                <w:szCs w:val="21"/>
              </w:rPr>
              <w:t>NH</w:t>
            </w:r>
            <w:r>
              <w:rPr>
                <w:color w:val="auto"/>
                <w:szCs w:val="21"/>
                <w:vertAlign w:val="subscript"/>
              </w:rPr>
              <w:t>3</w:t>
            </w:r>
            <w:r>
              <w:rPr>
                <w:color w:val="auto"/>
                <w:szCs w:val="21"/>
              </w:rPr>
              <w:t>-N</w:t>
            </w:r>
          </w:p>
        </w:tc>
        <w:tc>
          <w:tcPr>
            <w:tcW w:w="1701" w:type="dxa"/>
            <w:noWrap w:val="0"/>
            <w:vAlign w:val="center"/>
          </w:tcPr>
          <w:p w14:paraId="7AC5C6AC">
            <w:pPr>
              <w:keepNext w:val="0"/>
              <w:keepLines w:val="0"/>
              <w:widowControl/>
              <w:suppressLineNumbers w:val="0"/>
              <w:jc w:val="center"/>
              <w:textAlignment w:val="center"/>
              <w:rPr>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0.29</w:t>
            </w:r>
          </w:p>
        </w:tc>
        <w:tc>
          <w:tcPr>
            <w:tcW w:w="1276" w:type="dxa"/>
            <w:noWrap w:val="0"/>
            <w:vAlign w:val="center"/>
          </w:tcPr>
          <w:p w14:paraId="2E690A6B">
            <w:pPr>
              <w:jc w:val="center"/>
              <w:rPr>
                <w:color w:val="auto"/>
                <w:sz w:val="21"/>
                <w:szCs w:val="21"/>
              </w:rPr>
            </w:pPr>
            <w:r>
              <w:rPr>
                <w:rFonts w:hint="eastAsia" w:cs="Times New Roman"/>
                <w:color w:val="auto"/>
                <w:sz w:val="21"/>
                <w:szCs w:val="21"/>
                <w:lang w:val="en-US" w:eastAsia="zh-CN"/>
              </w:rPr>
              <w:t>/</w:t>
            </w:r>
          </w:p>
        </w:tc>
        <w:tc>
          <w:tcPr>
            <w:tcW w:w="1701" w:type="dxa"/>
            <w:noWrap w:val="0"/>
            <w:vAlign w:val="center"/>
          </w:tcPr>
          <w:p w14:paraId="240980CF">
            <w:pPr>
              <w:jc w:val="center"/>
              <w:rPr>
                <w:rFonts w:cs="Times New Roman"/>
                <w:color w:val="auto"/>
                <w:sz w:val="21"/>
                <w:szCs w:val="21"/>
              </w:rPr>
            </w:pPr>
            <w:r>
              <w:rPr>
                <w:rFonts w:hint="eastAsia" w:cs="Times New Roman"/>
                <w:color w:val="auto"/>
                <w:sz w:val="21"/>
                <w:szCs w:val="21"/>
                <w:lang w:val="en-US" w:eastAsia="zh-CN"/>
              </w:rPr>
              <w:t>/</w:t>
            </w:r>
          </w:p>
        </w:tc>
        <w:tc>
          <w:tcPr>
            <w:tcW w:w="1559" w:type="dxa"/>
            <w:noWrap w:val="0"/>
            <w:vAlign w:val="center"/>
          </w:tcPr>
          <w:p w14:paraId="2D5D10BC">
            <w:pPr>
              <w:keepNext w:val="0"/>
              <w:keepLines w:val="0"/>
              <w:widowControl/>
              <w:suppressLineNumbers w:val="0"/>
              <w:jc w:val="center"/>
              <w:textAlignment w:val="center"/>
              <w:rPr>
                <w:rFonts w:hint="default"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1761" w:type="dxa"/>
            <w:noWrap w:val="0"/>
            <w:vAlign w:val="center"/>
          </w:tcPr>
          <w:p w14:paraId="17CF5626">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0.29</w:t>
            </w:r>
          </w:p>
        </w:tc>
        <w:tc>
          <w:tcPr>
            <w:tcW w:w="1519" w:type="dxa"/>
            <w:noWrap w:val="0"/>
            <w:vAlign w:val="center"/>
          </w:tcPr>
          <w:p w14:paraId="0079C246">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1558" w:type="dxa"/>
            <w:noWrap w:val="0"/>
            <w:vAlign w:val="center"/>
          </w:tcPr>
          <w:p w14:paraId="371891F3">
            <w:pPr>
              <w:keepNext w:val="0"/>
              <w:keepLines w:val="0"/>
              <w:widowControl/>
              <w:suppressLineNumbers w:val="0"/>
              <w:jc w:val="center"/>
              <w:textAlignment w:val="center"/>
              <w:rPr>
                <w:rFonts w:cs="Times New Roman"/>
                <w:color w:val="auto"/>
                <w:sz w:val="21"/>
                <w:szCs w:val="21"/>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0.05</w:t>
            </w:r>
          </w:p>
        </w:tc>
      </w:tr>
      <w:tr w14:paraId="5EB416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88" w:type="dxa"/>
            <w:vMerge w:val="continue"/>
            <w:noWrap w:val="0"/>
            <w:vAlign w:val="center"/>
          </w:tcPr>
          <w:p w14:paraId="4DFACBF1">
            <w:pPr>
              <w:pStyle w:val="57"/>
              <w:spacing w:beforeLines="0" w:afterLines="0" w:line="240" w:lineRule="auto"/>
              <w:rPr>
                <w:rFonts w:ascii="Times New Roman"/>
                <w:snapToGrid w:val="0"/>
                <w:color w:val="auto"/>
                <w:kern w:val="21"/>
                <w:szCs w:val="21"/>
              </w:rPr>
            </w:pPr>
          </w:p>
        </w:tc>
        <w:tc>
          <w:tcPr>
            <w:tcW w:w="1417" w:type="dxa"/>
            <w:noWrap w:val="0"/>
            <w:vAlign w:val="center"/>
          </w:tcPr>
          <w:p w14:paraId="6027BB10">
            <w:pPr>
              <w:jc w:val="center"/>
              <w:rPr>
                <w:color w:val="auto"/>
                <w:szCs w:val="21"/>
              </w:rPr>
            </w:pPr>
            <w:r>
              <w:rPr>
                <w:color w:val="auto"/>
                <w:spacing w:val="-2"/>
                <w:sz w:val="21"/>
                <w:szCs w:val="21"/>
              </w:rPr>
              <w:t>动植物油</w:t>
            </w:r>
          </w:p>
        </w:tc>
        <w:tc>
          <w:tcPr>
            <w:tcW w:w="1701" w:type="dxa"/>
            <w:noWrap w:val="0"/>
            <w:vAlign w:val="center"/>
          </w:tcPr>
          <w:p w14:paraId="740B54D1">
            <w:pPr>
              <w:keepNext w:val="0"/>
              <w:keepLines w:val="0"/>
              <w:widowControl/>
              <w:suppressLineNumbers w:val="0"/>
              <w:jc w:val="center"/>
              <w:textAlignment w:val="center"/>
              <w:rPr>
                <w:rFonts w:ascii="Times New Roman" w:hAnsi="Times New Roman"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0.004</w:t>
            </w:r>
          </w:p>
        </w:tc>
        <w:tc>
          <w:tcPr>
            <w:tcW w:w="1276" w:type="dxa"/>
            <w:noWrap w:val="0"/>
            <w:vAlign w:val="center"/>
          </w:tcPr>
          <w:p w14:paraId="5E6DEE8E">
            <w:pPr>
              <w:jc w:val="center"/>
              <w:rPr>
                <w:color w:val="auto"/>
                <w:kern w:val="2"/>
                <w:sz w:val="21"/>
                <w:szCs w:val="21"/>
                <w:lang w:val="en-US" w:eastAsia="zh-CN" w:bidi="ar-SA"/>
              </w:rPr>
            </w:pPr>
            <w:r>
              <w:rPr>
                <w:rFonts w:hint="eastAsia" w:cs="Times New Roman"/>
                <w:color w:val="auto"/>
                <w:sz w:val="21"/>
                <w:szCs w:val="21"/>
                <w:lang w:val="en-US" w:eastAsia="zh-CN"/>
              </w:rPr>
              <w:t>/</w:t>
            </w:r>
          </w:p>
        </w:tc>
        <w:tc>
          <w:tcPr>
            <w:tcW w:w="1701" w:type="dxa"/>
            <w:noWrap w:val="0"/>
            <w:vAlign w:val="center"/>
          </w:tcPr>
          <w:p w14:paraId="02F74FCE">
            <w:pPr>
              <w:jc w:val="center"/>
              <w:rPr>
                <w:rFonts w:ascii="Times New Roman" w:hAnsi="Times New Roman" w:cs="Times New Roman"/>
                <w:color w:val="auto"/>
                <w:kern w:val="2"/>
                <w:sz w:val="21"/>
                <w:szCs w:val="21"/>
                <w:lang w:val="en-US" w:eastAsia="zh-CN" w:bidi="ar-SA"/>
              </w:rPr>
            </w:pPr>
            <w:r>
              <w:rPr>
                <w:rFonts w:hint="eastAsia" w:cs="Times New Roman"/>
                <w:color w:val="auto"/>
                <w:sz w:val="21"/>
                <w:szCs w:val="21"/>
                <w:lang w:val="en-US" w:eastAsia="zh-CN"/>
              </w:rPr>
              <w:t>/</w:t>
            </w:r>
          </w:p>
        </w:tc>
        <w:tc>
          <w:tcPr>
            <w:tcW w:w="1559" w:type="dxa"/>
            <w:noWrap w:val="0"/>
            <w:vAlign w:val="center"/>
          </w:tcPr>
          <w:p w14:paraId="3B8A71F9">
            <w:pPr>
              <w:keepNext w:val="0"/>
              <w:keepLines w:val="0"/>
              <w:widowControl/>
              <w:suppressLineNumbers w:val="0"/>
              <w:jc w:val="center"/>
              <w:textAlignment w:val="center"/>
              <w:rPr>
                <w:rFonts w:hint="default"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1761" w:type="dxa"/>
            <w:noWrap w:val="0"/>
            <w:vAlign w:val="center"/>
          </w:tcPr>
          <w:p w14:paraId="54F7972A">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0.004</w:t>
            </w:r>
          </w:p>
        </w:tc>
        <w:tc>
          <w:tcPr>
            <w:tcW w:w="1519" w:type="dxa"/>
            <w:noWrap w:val="0"/>
            <w:vAlign w:val="center"/>
          </w:tcPr>
          <w:p w14:paraId="52639588">
            <w:pPr>
              <w:keepNext w:val="0"/>
              <w:keepLines w:val="0"/>
              <w:widowControl/>
              <w:suppressLineNumbers w:val="0"/>
              <w:jc w:val="center"/>
              <w:textAlignment w:val="center"/>
              <w:rPr>
                <w:rFonts w:hint="eastAsia"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1558" w:type="dxa"/>
            <w:noWrap w:val="0"/>
            <w:vAlign w:val="center"/>
          </w:tcPr>
          <w:p w14:paraId="332DC707">
            <w:pPr>
              <w:keepNext w:val="0"/>
              <w:keepLines w:val="0"/>
              <w:widowControl/>
              <w:suppressLineNumbers w:val="0"/>
              <w:jc w:val="center"/>
              <w:textAlignment w:val="center"/>
              <w:rPr>
                <w:rFonts w:hint="eastAsia" w:cs="Times New Roman"/>
                <w:color w:val="auto"/>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0.05</w:t>
            </w:r>
          </w:p>
        </w:tc>
      </w:tr>
      <w:tr w14:paraId="7FCA29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3879C735">
            <w:pPr>
              <w:pStyle w:val="57"/>
              <w:spacing w:beforeLines="0" w:afterLines="0" w:line="240" w:lineRule="auto"/>
              <w:rPr>
                <w:rFonts w:ascii="Times New Roman"/>
                <w:snapToGrid w:val="0"/>
                <w:color w:val="auto"/>
                <w:kern w:val="21"/>
                <w:szCs w:val="21"/>
              </w:rPr>
            </w:pPr>
          </w:p>
        </w:tc>
        <w:tc>
          <w:tcPr>
            <w:tcW w:w="1417" w:type="dxa"/>
            <w:noWrap w:val="0"/>
            <w:vAlign w:val="center"/>
          </w:tcPr>
          <w:p w14:paraId="3BCA4F0B">
            <w:pPr>
              <w:pStyle w:val="56"/>
              <w:rPr>
                <w:rFonts w:cs="Times New Roman"/>
                <w:color w:val="auto"/>
              </w:rPr>
            </w:pPr>
            <w:r>
              <w:rPr>
                <w:rFonts w:hint="eastAsia" w:cs="Times New Roman"/>
                <w:color w:val="auto"/>
              </w:rPr>
              <w:t>粪大肠菌群数（</w:t>
            </w:r>
            <w:r>
              <w:rPr>
                <w:rFonts w:cs="Times New Roman"/>
                <w:color w:val="auto"/>
                <w:szCs w:val="21"/>
              </w:rPr>
              <w:t>个/</w:t>
            </w:r>
            <w:r>
              <w:rPr>
                <w:rFonts w:hint="eastAsia" w:cs="Times New Roman"/>
                <w:color w:val="auto"/>
                <w:szCs w:val="21"/>
              </w:rPr>
              <w:t>a</w:t>
            </w:r>
            <w:r>
              <w:rPr>
                <w:rFonts w:hint="eastAsia" w:cs="Times New Roman"/>
                <w:color w:val="auto"/>
              </w:rPr>
              <w:t>）</w:t>
            </w:r>
          </w:p>
        </w:tc>
        <w:tc>
          <w:tcPr>
            <w:tcW w:w="1701" w:type="dxa"/>
            <w:noWrap w:val="0"/>
            <w:vAlign w:val="center"/>
          </w:tcPr>
          <w:p w14:paraId="595CCBA0">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326</w:t>
            </w:r>
          </w:p>
        </w:tc>
        <w:tc>
          <w:tcPr>
            <w:tcW w:w="1276" w:type="dxa"/>
            <w:noWrap w:val="0"/>
            <w:vAlign w:val="center"/>
          </w:tcPr>
          <w:p w14:paraId="35295796">
            <w:pPr>
              <w:jc w:val="center"/>
              <w:rPr>
                <w:color w:val="auto"/>
                <w:sz w:val="21"/>
                <w:szCs w:val="21"/>
              </w:rPr>
            </w:pPr>
            <w:r>
              <w:rPr>
                <w:rFonts w:hint="eastAsia" w:cs="Times New Roman"/>
                <w:color w:val="auto"/>
                <w:sz w:val="21"/>
                <w:szCs w:val="21"/>
                <w:lang w:val="en-US" w:eastAsia="zh-CN"/>
              </w:rPr>
              <w:t>/</w:t>
            </w:r>
          </w:p>
        </w:tc>
        <w:tc>
          <w:tcPr>
            <w:tcW w:w="1701" w:type="dxa"/>
            <w:noWrap w:val="0"/>
            <w:vAlign w:val="center"/>
          </w:tcPr>
          <w:p w14:paraId="1C342DE7">
            <w:pPr>
              <w:jc w:val="center"/>
              <w:rPr>
                <w:rFonts w:cs="Times New Roman"/>
                <w:color w:val="auto"/>
                <w:sz w:val="21"/>
                <w:szCs w:val="21"/>
              </w:rPr>
            </w:pPr>
            <w:r>
              <w:rPr>
                <w:rFonts w:hint="eastAsia" w:cs="Times New Roman"/>
                <w:color w:val="auto"/>
                <w:sz w:val="21"/>
                <w:szCs w:val="21"/>
                <w:lang w:val="en-US" w:eastAsia="zh-CN"/>
              </w:rPr>
              <w:t>/</w:t>
            </w:r>
          </w:p>
        </w:tc>
        <w:tc>
          <w:tcPr>
            <w:tcW w:w="1559" w:type="dxa"/>
            <w:noWrap w:val="0"/>
            <w:vAlign w:val="center"/>
          </w:tcPr>
          <w:p w14:paraId="49E5C72F">
            <w:pPr>
              <w:keepNext w:val="0"/>
              <w:keepLines w:val="0"/>
              <w:widowControl/>
              <w:suppressLineNumbers w:val="0"/>
              <w:jc w:val="center"/>
              <w:textAlignment w:val="center"/>
              <w:rPr>
                <w:rFonts w:hint="default"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1.6×10</w:t>
            </w:r>
            <w:r>
              <w:rPr>
                <w:rFonts w:hint="default" w:ascii="Times New Roman" w:hAnsi="Times New Roman" w:eastAsia="宋体" w:cs="Times New Roman"/>
                <w:i w:val="0"/>
                <w:iCs w:val="0"/>
                <w:color w:val="000000"/>
                <w:kern w:val="0"/>
                <w:sz w:val="21"/>
                <w:szCs w:val="21"/>
                <w:u w:val="none"/>
                <w:vertAlign w:val="superscript"/>
                <w:lang w:val="en-US" w:eastAsia="zh-CN" w:bidi="ar"/>
              </w:rPr>
              <w:t>4</w:t>
            </w:r>
          </w:p>
        </w:tc>
        <w:tc>
          <w:tcPr>
            <w:tcW w:w="1761" w:type="dxa"/>
            <w:noWrap w:val="0"/>
            <w:vAlign w:val="center"/>
          </w:tcPr>
          <w:p w14:paraId="7D7E4C2A">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326</w:t>
            </w:r>
          </w:p>
        </w:tc>
        <w:tc>
          <w:tcPr>
            <w:tcW w:w="1519" w:type="dxa"/>
            <w:noWrap w:val="0"/>
            <w:vAlign w:val="center"/>
          </w:tcPr>
          <w:p w14:paraId="22B879BA">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1.6×10</w:t>
            </w:r>
            <w:r>
              <w:rPr>
                <w:rFonts w:hint="default" w:ascii="Times New Roman" w:hAnsi="Times New Roman" w:eastAsia="宋体" w:cs="Times New Roman"/>
                <w:i w:val="0"/>
                <w:iCs w:val="0"/>
                <w:color w:val="000000"/>
                <w:kern w:val="0"/>
                <w:sz w:val="21"/>
                <w:szCs w:val="21"/>
                <w:u w:val="none"/>
                <w:vertAlign w:val="superscript"/>
                <w:lang w:val="en-US" w:eastAsia="zh-CN" w:bidi="ar"/>
              </w:rPr>
              <w:t>4</w:t>
            </w:r>
          </w:p>
        </w:tc>
        <w:tc>
          <w:tcPr>
            <w:tcW w:w="1558" w:type="dxa"/>
            <w:noWrap w:val="0"/>
            <w:vAlign w:val="center"/>
          </w:tcPr>
          <w:p w14:paraId="54B50174">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1.6×10</w:t>
            </w:r>
            <w:r>
              <w:rPr>
                <w:rFonts w:hint="default" w:ascii="Times New Roman" w:hAnsi="Times New Roman" w:eastAsia="宋体" w:cs="Times New Roman"/>
                <w:i w:val="0"/>
                <w:iCs w:val="0"/>
                <w:color w:val="000000"/>
                <w:kern w:val="0"/>
                <w:sz w:val="21"/>
                <w:szCs w:val="21"/>
                <w:u w:val="none"/>
                <w:vertAlign w:val="superscript"/>
                <w:lang w:val="en-US" w:eastAsia="zh-CN" w:bidi="ar"/>
              </w:rPr>
              <w:t>4</w:t>
            </w:r>
          </w:p>
        </w:tc>
      </w:tr>
      <w:tr w14:paraId="2A501E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0"/>
            <w:vAlign w:val="center"/>
          </w:tcPr>
          <w:p w14:paraId="5AC8D2B8">
            <w:pPr>
              <w:pStyle w:val="57"/>
              <w:spacing w:beforeLines="0" w:afterLines="0" w:line="240" w:lineRule="auto"/>
              <w:rPr>
                <w:rFonts w:hAnsi="宋体" w:cs="宋体"/>
                <w:snapToGrid w:val="0"/>
                <w:color w:val="auto"/>
                <w:kern w:val="21"/>
                <w:szCs w:val="21"/>
              </w:rPr>
            </w:pPr>
            <w:r>
              <w:rPr>
                <w:rFonts w:hint="eastAsia" w:hAnsi="宋体" w:cs="宋体"/>
                <w:snapToGrid w:val="0"/>
                <w:color w:val="auto"/>
                <w:kern w:val="21"/>
                <w:szCs w:val="21"/>
              </w:rPr>
              <w:t>一般工业</w:t>
            </w:r>
          </w:p>
          <w:p w14:paraId="42B4BB06">
            <w:pPr>
              <w:pStyle w:val="57"/>
              <w:spacing w:beforeLines="0" w:afterLines="0" w:line="240" w:lineRule="auto"/>
              <w:rPr>
                <w:rFonts w:ascii="Times New Roman"/>
                <w:snapToGrid w:val="0"/>
                <w:color w:val="auto"/>
                <w:kern w:val="21"/>
                <w:szCs w:val="21"/>
              </w:rPr>
            </w:pPr>
            <w:r>
              <w:rPr>
                <w:rFonts w:hint="eastAsia" w:hAnsi="宋体" w:cs="宋体"/>
                <w:snapToGrid w:val="0"/>
                <w:color w:val="auto"/>
                <w:kern w:val="21"/>
                <w:szCs w:val="21"/>
              </w:rPr>
              <w:t>固体废物</w:t>
            </w:r>
          </w:p>
        </w:tc>
        <w:tc>
          <w:tcPr>
            <w:tcW w:w="1417" w:type="dxa"/>
            <w:noWrap w:val="0"/>
            <w:vAlign w:val="center"/>
          </w:tcPr>
          <w:p w14:paraId="0EE27F39">
            <w:pPr>
              <w:widowControl/>
              <w:jc w:val="center"/>
              <w:textAlignment w:val="center"/>
              <w:rPr>
                <w:snapToGrid w:val="0"/>
                <w:color w:val="auto"/>
                <w:kern w:val="21"/>
                <w:szCs w:val="21"/>
              </w:rPr>
            </w:pPr>
            <w:r>
              <w:rPr>
                <w:color w:val="auto"/>
                <w:kern w:val="0"/>
                <w:szCs w:val="21"/>
                <w:lang w:bidi="ar"/>
              </w:rPr>
              <w:t>生活垃圾</w:t>
            </w:r>
          </w:p>
        </w:tc>
        <w:tc>
          <w:tcPr>
            <w:tcW w:w="1701" w:type="dxa"/>
            <w:noWrap w:val="0"/>
            <w:vAlign w:val="center"/>
          </w:tcPr>
          <w:p w14:paraId="7DA75690">
            <w:pPr>
              <w:jc w:val="center"/>
              <w:rPr>
                <w:rFonts w:hint="default" w:eastAsia="宋体"/>
                <w:snapToGrid w:val="0"/>
                <w:color w:val="auto"/>
                <w:kern w:val="21"/>
                <w:sz w:val="21"/>
                <w:szCs w:val="21"/>
                <w:lang w:val="en-US" w:eastAsia="zh-CN"/>
              </w:rPr>
            </w:pPr>
            <w:r>
              <w:rPr>
                <w:rFonts w:hint="eastAsia"/>
                <w:color w:val="auto"/>
                <w:sz w:val="21"/>
                <w:szCs w:val="21"/>
                <w:lang w:val="en-US" w:eastAsia="zh-CN"/>
              </w:rPr>
              <w:t>200</w:t>
            </w:r>
          </w:p>
        </w:tc>
        <w:tc>
          <w:tcPr>
            <w:tcW w:w="1276" w:type="dxa"/>
            <w:noWrap w:val="0"/>
            <w:vAlign w:val="center"/>
          </w:tcPr>
          <w:p w14:paraId="63C555C5">
            <w:pPr>
              <w:jc w:val="center"/>
              <w:rPr>
                <w:snapToGrid w:val="0"/>
                <w:color w:val="auto"/>
                <w:kern w:val="21"/>
                <w:sz w:val="21"/>
                <w:szCs w:val="21"/>
              </w:rPr>
            </w:pPr>
            <w:r>
              <w:rPr>
                <w:rFonts w:hint="eastAsia" w:cs="Times New Roman"/>
                <w:color w:val="auto"/>
                <w:sz w:val="21"/>
                <w:szCs w:val="21"/>
                <w:lang w:val="en-US" w:eastAsia="zh-CN"/>
              </w:rPr>
              <w:t>/</w:t>
            </w:r>
          </w:p>
        </w:tc>
        <w:tc>
          <w:tcPr>
            <w:tcW w:w="1701" w:type="dxa"/>
            <w:noWrap w:val="0"/>
            <w:vAlign w:val="center"/>
          </w:tcPr>
          <w:p w14:paraId="32ED4BF2">
            <w:pPr>
              <w:jc w:val="center"/>
              <w:rPr>
                <w:rFonts w:cs="Times New Roman"/>
                <w:color w:val="auto"/>
                <w:sz w:val="21"/>
                <w:szCs w:val="21"/>
              </w:rPr>
            </w:pPr>
            <w:r>
              <w:rPr>
                <w:rFonts w:hint="eastAsia" w:cs="Times New Roman"/>
                <w:color w:val="auto"/>
                <w:sz w:val="21"/>
                <w:szCs w:val="21"/>
                <w:lang w:val="en-US" w:eastAsia="zh-CN"/>
              </w:rPr>
              <w:t>/</w:t>
            </w:r>
          </w:p>
        </w:tc>
        <w:tc>
          <w:tcPr>
            <w:tcW w:w="1559" w:type="dxa"/>
            <w:noWrap w:val="0"/>
            <w:vAlign w:val="center"/>
          </w:tcPr>
          <w:p w14:paraId="7DD67C71">
            <w:pPr>
              <w:pStyle w:val="56"/>
              <w:jc w:val="center"/>
              <w:rPr>
                <w:rFonts w:hint="default" w:eastAsia="宋体" w:cs="Times New Roman"/>
                <w:color w:val="auto"/>
                <w:sz w:val="21"/>
                <w:szCs w:val="21"/>
                <w:lang w:val="en-US" w:eastAsia="zh-CN"/>
              </w:rPr>
            </w:pPr>
            <w:r>
              <w:rPr>
                <w:rFonts w:hint="eastAsia" w:cs="Times New Roman"/>
                <w:color w:val="auto"/>
                <w:sz w:val="21"/>
                <w:szCs w:val="21"/>
                <w:lang w:val="en-US" w:eastAsia="zh-CN"/>
              </w:rPr>
              <w:t>/</w:t>
            </w:r>
          </w:p>
        </w:tc>
        <w:tc>
          <w:tcPr>
            <w:tcW w:w="1761" w:type="dxa"/>
            <w:noWrap w:val="0"/>
            <w:vAlign w:val="center"/>
          </w:tcPr>
          <w:p w14:paraId="36EE54EC">
            <w:pPr>
              <w:jc w:val="center"/>
              <w:rPr>
                <w:rFonts w:cs="Times New Roman"/>
                <w:color w:val="auto"/>
                <w:sz w:val="21"/>
                <w:szCs w:val="21"/>
              </w:rPr>
            </w:pPr>
            <w:r>
              <w:rPr>
                <w:rFonts w:hint="eastAsia" w:cs="Times New Roman"/>
                <w:color w:val="auto"/>
                <w:sz w:val="21"/>
                <w:szCs w:val="21"/>
                <w:lang w:val="en-US" w:eastAsia="zh-CN"/>
              </w:rPr>
              <w:t>/</w:t>
            </w:r>
          </w:p>
        </w:tc>
        <w:tc>
          <w:tcPr>
            <w:tcW w:w="1519" w:type="dxa"/>
            <w:noWrap w:val="0"/>
            <w:vAlign w:val="center"/>
          </w:tcPr>
          <w:p w14:paraId="21B8456C">
            <w:pPr>
              <w:pStyle w:val="56"/>
              <w:jc w:val="center"/>
              <w:rPr>
                <w:rFonts w:hint="default" w:cs="Times New Roman"/>
                <w:color w:val="auto"/>
                <w:sz w:val="21"/>
                <w:szCs w:val="21"/>
                <w:lang w:val="en-US"/>
              </w:rPr>
            </w:pPr>
            <w:r>
              <w:rPr>
                <w:rFonts w:hint="eastAsia" w:cs="Times New Roman"/>
                <w:color w:val="auto"/>
                <w:sz w:val="21"/>
                <w:szCs w:val="21"/>
                <w:lang w:val="en-US" w:eastAsia="zh-CN"/>
              </w:rPr>
              <w:t>200</w:t>
            </w:r>
          </w:p>
        </w:tc>
        <w:tc>
          <w:tcPr>
            <w:tcW w:w="1558" w:type="dxa"/>
            <w:noWrap w:val="0"/>
            <w:vAlign w:val="center"/>
          </w:tcPr>
          <w:p w14:paraId="272C3B75">
            <w:pPr>
              <w:pStyle w:val="56"/>
              <w:jc w:val="center"/>
              <w:rPr>
                <w:rFonts w:cs="Times New Roman"/>
                <w:color w:val="auto"/>
                <w:sz w:val="21"/>
                <w:szCs w:val="21"/>
              </w:rPr>
            </w:pPr>
            <w:r>
              <w:rPr>
                <w:rFonts w:hint="eastAsia" w:cs="Times New Roman"/>
                <w:color w:val="auto"/>
                <w:sz w:val="21"/>
                <w:szCs w:val="21"/>
                <w:lang w:val="en-US" w:eastAsia="zh-CN"/>
              </w:rPr>
              <w:t>/</w:t>
            </w:r>
          </w:p>
        </w:tc>
      </w:tr>
      <w:tr w14:paraId="034078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588" w:type="dxa"/>
            <w:vMerge w:val="restart"/>
            <w:noWrap w:val="0"/>
            <w:vAlign w:val="center"/>
          </w:tcPr>
          <w:p w14:paraId="7FB2AE5D">
            <w:pPr>
              <w:pStyle w:val="57"/>
              <w:spacing w:beforeLines="0" w:afterLines="0" w:line="240" w:lineRule="auto"/>
              <w:rPr>
                <w:rFonts w:ascii="Times New Roman"/>
                <w:snapToGrid w:val="0"/>
                <w:color w:val="auto"/>
                <w:kern w:val="21"/>
                <w:szCs w:val="21"/>
              </w:rPr>
            </w:pPr>
            <w:r>
              <w:rPr>
                <w:rFonts w:ascii="Times New Roman"/>
                <w:snapToGrid w:val="0"/>
                <w:color w:val="auto"/>
                <w:kern w:val="21"/>
                <w:szCs w:val="21"/>
              </w:rPr>
              <w:t>危险废物</w:t>
            </w:r>
          </w:p>
        </w:tc>
        <w:tc>
          <w:tcPr>
            <w:tcW w:w="1417" w:type="dxa"/>
            <w:noWrap w:val="0"/>
            <w:vAlign w:val="center"/>
          </w:tcPr>
          <w:p w14:paraId="76B2A60D">
            <w:pPr>
              <w:widowControl/>
              <w:jc w:val="center"/>
              <w:textAlignment w:val="center"/>
              <w:rPr>
                <w:snapToGrid w:val="0"/>
                <w:color w:val="auto"/>
                <w:kern w:val="21"/>
                <w:szCs w:val="21"/>
              </w:rPr>
            </w:pPr>
            <w:r>
              <w:rPr>
                <w:rFonts w:hint="eastAsia"/>
                <w:color w:val="auto"/>
                <w:kern w:val="0"/>
                <w:szCs w:val="21"/>
                <w:lang w:bidi="ar"/>
              </w:rPr>
              <w:t>医疗废物</w:t>
            </w:r>
          </w:p>
        </w:tc>
        <w:tc>
          <w:tcPr>
            <w:tcW w:w="1701" w:type="dxa"/>
            <w:noWrap w:val="0"/>
            <w:vAlign w:val="center"/>
          </w:tcPr>
          <w:p w14:paraId="4C9DDBCC">
            <w:pPr>
              <w:keepNext w:val="0"/>
              <w:keepLines w:val="0"/>
              <w:widowControl/>
              <w:suppressLineNumbers w:val="0"/>
              <w:jc w:val="center"/>
              <w:textAlignment w:val="center"/>
              <w:rPr>
                <w:snapToGrid w:val="0"/>
                <w:color w:val="auto"/>
                <w:kern w:val="21"/>
                <w:sz w:val="21"/>
                <w:szCs w:val="21"/>
              </w:rPr>
            </w:pPr>
            <w:r>
              <w:rPr>
                <w:rFonts w:hint="default" w:ascii="Times New Roman" w:hAnsi="Times New Roman" w:eastAsia="宋体" w:cs="Times New Roman"/>
                <w:i w:val="0"/>
                <w:iCs w:val="0"/>
                <w:color w:val="000000"/>
                <w:kern w:val="0"/>
                <w:sz w:val="21"/>
                <w:szCs w:val="21"/>
                <w:u w:val="none"/>
                <w:lang w:val="en-US" w:eastAsia="zh-CN" w:bidi="ar"/>
              </w:rPr>
              <w:t>21.06</w:t>
            </w:r>
          </w:p>
        </w:tc>
        <w:tc>
          <w:tcPr>
            <w:tcW w:w="1276" w:type="dxa"/>
            <w:noWrap w:val="0"/>
            <w:vAlign w:val="center"/>
          </w:tcPr>
          <w:p w14:paraId="6C26520C">
            <w:pPr>
              <w:jc w:val="center"/>
              <w:rPr>
                <w:snapToGrid w:val="0"/>
                <w:color w:val="auto"/>
                <w:kern w:val="21"/>
                <w:sz w:val="21"/>
                <w:szCs w:val="21"/>
              </w:rPr>
            </w:pPr>
            <w:r>
              <w:rPr>
                <w:rFonts w:hint="eastAsia" w:cs="Times New Roman"/>
                <w:color w:val="auto"/>
                <w:sz w:val="21"/>
                <w:szCs w:val="21"/>
                <w:lang w:val="en-US" w:eastAsia="zh-CN"/>
              </w:rPr>
              <w:t>/</w:t>
            </w:r>
          </w:p>
        </w:tc>
        <w:tc>
          <w:tcPr>
            <w:tcW w:w="1701" w:type="dxa"/>
            <w:noWrap w:val="0"/>
            <w:vAlign w:val="center"/>
          </w:tcPr>
          <w:p w14:paraId="61D31674">
            <w:pPr>
              <w:jc w:val="center"/>
              <w:rPr>
                <w:rFonts w:cs="Times New Roman"/>
                <w:color w:val="auto"/>
                <w:sz w:val="21"/>
                <w:szCs w:val="21"/>
              </w:rPr>
            </w:pPr>
            <w:r>
              <w:rPr>
                <w:rFonts w:hint="eastAsia" w:cs="Times New Roman"/>
                <w:color w:val="auto"/>
                <w:sz w:val="21"/>
                <w:szCs w:val="21"/>
                <w:lang w:val="en-US" w:eastAsia="zh-CN"/>
              </w:rPr>
              <w:t>/</w:t>
            </w:r>
          </w:p>
        </w:tc>
        <w:tc>
          <w:tcPr>
            <w:tcW w:w="1559" w:type="dxa"/>
            <w:noWrap w:val="0"/>
            <w:vAlign w:val="center"/>
          </w:tcPr>
          <w:p w14:paraId="1C3FC169">
            <w:pPr>
              <w:keepNext w:val="0"/>
              <w:keepLines w:val="0"/>
              <w:widowControl/>
              <w:suppressLineNumbers w:val="0"/>
              <w:jc w:val="center"/>
              <w:textAlignment w:val="center"/>
              <w:rPr>
                <w:rFonts w:hint="default"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26.06</w:t>
            </w:r>
          </w:p>
        </w:tc>
        <w:tc>
          <w:tcPr>
            <w:tcW w:w="1761" w:type="dxa"/>
            <w:noWrap w:val="0"/>
            <w:vAlign w:val="center"/>
          </w:tcPr>
          <w:p w14:paraId="4EB078F9">
            <w:pPr>
              <w:jc w:val="center"/>
              <w:rPr>
                <w:rFonts w:cs="Times New Roman"/>
                <w:color w:val="auto"/>
                <w:sz w:val="21"/>
                <w:szCs w:val="21"/>
              </w:rPr>
            </w:pPr>
            <w:r>
              <w:rPr>
                <w:rFonts w:hint="eastAsia" w:cs="Times New Roman"/>
                <w:color w:val="auto"/>
                <w:sz w:val="21"/>
                <w:szCs w:val="21"/>
                <w:lang w:val="en-US" w:eastAsia="zh-CN"/>
              </w:rPr>
              <w:t>/</w:t>
            </w:r>
          </w:p>
        </w:tc>
        <w:tc>
          <w:tcPr>
            <w:tcW w:w="1519" w:type="dxa"/>
            <w:noWrap w:val="0"/>
            <w:vAlign w:val="center"/>
          </w:tcPr>
          <w:p w14:paraId="71E5BE36">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47.12</w:t>
            </w:r>
          </w:p>
        </w:tc>
        <w:tc>
          <w:tcPr>
            <w:tcW w:w="1558" w:type="dxa"/>
            <w:noWrap w:val="0"/>
            <w:vAlign w:val="center"/>
          </w:tcPr>
          <w:p w14:paraId="0D9A2CFA">
            <w:pPr>
              <w:keepNext w:val="0"/>
              <w:keepLines w:val="0"/>
              <w:widowControl/>
              <w:suppressLineNumbers w:val="0"/>
              <w:jc w:val="center"/>
              <w:textAlignment w:val="center"/>
              <w:rPr>
                <w:rFonts w:cs="Times New Roman"/>
                <w:color w:val="auto"/>
                <w:sz w:val="21"/>
                <w:szCs w:val="21"/>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26.06</w:t>
            </w:r>
          </w:p>
        </w:tc>
      </w:tr>
      <w:tr w14:paraId="007791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588" w:type="dxa"/>
            <w:vMerge w:val="continue"/>
            <w:noWrap w:val="0"/>
            <w:vAlign w:val="center"/>
          </w:tcPr>
          <w:p w14:paraId="09F1E5A4">
            <w:pPr>
              <w:pStyle w:val="57"/>
              <w:spacing w:beforeLines="0" w:afterLines="0" w:line="240" w:lineRule="auto"/>
              <w:rPr>
                <w:rFonts w:ascii="Times New Roman"/>
                <w:snapToGrid w:val="0"/>
                <w:color w:val="auto"/>
                <w:kern w:val="21"/>
                <w:szCs w:val="21"/>
              </w:rPr>
            </w:pPr>
          </w:p>
        </w:tc>
        <w:tc>
          <w:tcPr>
            <w:tcW w:w="1417" w:type="dxa"/>
            <w:noWrap w:val="0"/>
            <w:vAlign w:val="center"/>
          </w:tcPr>
          <w:p w14:paraId="6A23F869">
            <w:pPr>
              <w:widowControl/>
              <w:jc w:val="center"/>
              <w:textAlignment w:val="center"/>
              <w:rPr>
                <w:snapToGrid w:val="0"/>
                <w:color w:val="auto"/>
                <w:kern w:val="21"/>
                <w:szCs w:val="21"/>
              </w:rPr>
            </w:pPr>
            <w:r>
              <w:rPr>
                <w:rFonts w:hint="eastAsia"/>
                <w:color w:val="auto"/>
                <w:kern w:val="0"/>
                <w:szCs w:val="21"/>
                <w:lang w:bidi="ar"/>
              </w:rPr>
              <w:t>污水处理站污泥</w:t>
            </w:r>
          </w:p>
        </w:tc>
        <w:tc>
          <w:tcPr>
            <w:tcW w:w="1701" w:type="dxa"/>
            <w:noWrap w:val="0"/>
            <w:vAlign w:val="center"/>
          </w:tcPr>
          <w:p w14:paraId="3908B08B">
            <w:pPr>
              <w:keepNext w:val="0"/>
              <w:keepLines w:val="0"/>
              <w:widowControl/>
              <w:suppressLineNumbers w:val="0"/>
              <w:jc w:val="center"/>
              <w:textAlignment w:val="center"/>
              <w:rPr>
                <w:snapToGrid w:val="0"/>
                <w:color w:val="auto"/>
                <w:kern w:val="21"/>
                <w:sz w:val="21"/>
                <w:szCs w:val="21"/>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276" w:type="dxa"/>
            <w:noWrap w:val="0"/>
            <w:vAlign w:val="center"/>
          </w:tcPr>
          <w:p w14:paraId="3623F265">
            <w:pPr>
              <w:jc w:val="center"/>
              <w:rPr>
                <w:snapToGrid w:val="0"/>
                <w:color w:val="auto"/>
                <w:kern w:val="21"/>
                <w:sz w:val="21"/>
                <w:szCs w:val="21"/>
              </w:rPr>
            </w:pPr>
            <w:r>
              <w:rPr>
                <w:rFonts w:hint="eastAsia" w:cs="Times New Roman"/>
                <w:color w:val="auto"/>
                <w:sz w:val="21"/>
                <w:szCs w:val="21"/>
                <w:lang w:val="en-US" w:eastAsia="zh-CN"/>
              </w:rPr>
              <w:t>/</w:t>
            </w:r>
          </w:p>
        </w:tc>
        <w:tc>
          <w:tcPr>
            <w:tcW w:w="1701" w:type="dxa"/>
            <w:noWrap w:val="0"/>
            <w:vAlign w:val="center"/>
          </w:tcPr>
          <w:p w14:paraId="793FB2A2">
            <w:pPr>
              <w:jc w:val="center"/>
              <w:rPr>
                <w:rFonts w:cs="Times New Roman"/>
                <w:color w:val="auto"/>
                <w:sz w:val="21"/>
                <w:szCs w:val="21"/>
              </w:rPr>
            </w:pPr>
            <w:r>
              <w:rPr>
                <w:rFonts w:hint="eastAsia" w:cs="Times New Roman"/>
                <w:color w:val="auto"/>
                <w:sz w:val="21"/>
                <w:szCs w:val="21"/>
                <w:lang w:val="en-US" w:eastAsia="zh-CN"/>
              </w:rPr>
              <w:t>/</w:t>
            </w:r>
          </w:p>
        </w:tc>
        <w:tc>
          <w:tcPr>
            <w:tcW w:w="1559" w:type="dxa"/>
            <w:noWrap w:val="0"/>
            <w:vAlign w:val="center"/>
          </w:tcPr>
          <w:p w14:paraId="6A95D36F">
            <w:pPr>
              <w:keepNext w:val="0"/>
              <w:keepLines w:val="0"/>
              <w:widowControl/>
              <w:suppressLineNumbers w:val="0"/>
              <w:jc w:val="center"/>
              <w:textAlignment w:val="center"/>
              <w:rPr>
                <w:rFonts w:hint="eastAsia" w:eastAsia="宋体" w:cs="Times New Roman"/>
                <w:color w:val="auto"/>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23.24</w:t>
            </w:r>
          </w:p>
        </w:tc>
        <w:tc>
          <w:tcPr>
            <w:tcW w:w="1761" w:type="dxa"/>
            <w:noWrap w:val="0"/>
            <w:vAlign w:val="center"/>
          </w:tcPr>
          <w:p w14:paraId="1F031442">
            <w:pPr>
              <w:jc w:val="center"/>
              <w:rPr>
                <w:rFonts w:cs="Times New Roman"/>
                <w:color w:val="auto"/>
                <w:sz w:val="21"/>
                <w:szCs w:val="21"/>
              </w:rPr>
            </w:pPr>
            <w:r>
              <w:rPr>
                <w:rFonts w:hint="eastAsia" w:cs="Times New Roman"/>
                <w:color w:val="auto"/>
                <w:sz w:val="21"/>
                <w:szCs w:val="21"/>
                <w:lang w:val="en-US" w:eastAsia="zh-CN"/>
              </w:rPr>
              <w:t>/</w:t>
            </w:r>
          </w:p>
        </w:tc>
        <w:tc>
          <w:tcPr>
            <w:tcW w:w="1519" w:type="dxa"/>
            <w:noWrap w:val="0"/>
            <w:vAlign w:val="center"/>
          </w:tcPr>
          <w:p w14:paraId="6113119F">
            <w:pPr>
              <w:keepNext w:val="0"/>
              <w:keepLines w:val="0"/>
              <w:widowControl/>
              <w:suppressLineNumbers w:val="0"/>
              <w:jc w:val="center"/>
              <w:textAlignment w:val="center"/>
              <w:rPr>
                <w:rFonts w:cs="Times New Roman"/>
                <w:color w:val="auto"/>
                <w:sz w:val="21"/>
                <w:szCs w:val="21"/>
              </w:rPr>
            </w:pPr>
            <w:r>
              <w:rPr>
                <w:rFonts w:hint="default" w:ascii="Times New Roman" w:hAnsi="Times New Roman" w:eastAsia="宋体" w:cs="Times New Roman"/>
                <w:i w:val="0"/>
                <w:iCs w:val="0"/>
                <w:color w:val="000000"/>
                <w:kern w:val="0"/>
                <w:sz w:val="21"/>
                <w:szCs w:val="21"/>
                <w:u w:val="none"/>
                <w:lang w:val="en-US" w:eastAsia="zh-CN" w:bidi="ar"/>
              </w:rPr>
              <w:t>29.24</w:t>
            </w:r>
          </w:p>
        </w:tc>
        <w:tc>
          <w:tcPr>
            <w:tcW w:w="1558" w:type="dxa"/>
            <w:noWrap w:val="0"/>
            <w:vAlign w:val="center"/>
          </w:tcPr>
          <w:p w14:paraId="20668521">
            <w:pPr>
              <w:keepNext w:val="0"/>
              <w:keepLines w:val="0"/>
              <w:widowControl/>
              <w:suppressLineNumbers w:val="0"/>
              <w:jc w:val="center"/>
              <w:textAlignment w:val="center"/>
              <w:rPr>
                <w:rFonts w:cs="Times New Roman"/>
                <w:color w:val="auto"/>
                <w:sz w:val="21"/>
                <w:szCs w:val="21"/>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23.24</w:t>
            </w:r>
          </w:p>
        </w:tc>
      </w:tr>
      <w:tr w14:paraId="42CC71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588" w:type="dxa"/>
            <w:vMerge w:val="continue"/>
            <w:noWrap w:val="0"/>
            <w:vAlign w:val="center"/>
          </w:tcPr>
          <w:p w14:paraId="2035D408">
            <w:pPr>
              <w:pStyle w:val="57"/>
              <w:spacing w:beforeLines="0" w:afterLines="0" w:line="240" w:lineRule="auto"/>
              <w:rPr>
                <w:rFonts w:ascii="Times New Roman"/>
                <w:snapToGrid w:val="0"/>
                <w:color w:val="auto"/>
                <w:kern w:val="21"/>
                <w:szCs w:val="21"/>
              </w:rPr>
            </w:pPr>
          </w:p>
        </w:tc>
        <w:tc>
          <w:tcPr>
            <w:tcW w:w="1417" w:type="dxa"/>
            <w:noWrap w:val="0"/>
            <w:vAlign w:val="center"/>
          </w:tcPr>
          <w:p w14:paraId="5A69F43A">
            <w:pPr>
              <w:widowControl/>
              <w:jc w:val="center"/>
              <w:textAlignment w:val="center"/>
              <w:rPr>
                <w:rFonts w:hint="default" w:eastAsia="宋体"/>
                <w:color w:val="auto"/>
                <w:kern w:val="0"/>
                <w:szCs w:val="21"/>
                <w:lang w:val="en-US" w:eastAsia="zh-CN" w:bidi="ar"/>
              </w:rPr>
            </w:pPr>
            <w:r>
              <w:rPr>
                <w:rFonts w:hint="eastAsia"/>
                <w:color w:val="auto"/>
                <w:kern w:val="0"/>
                <w:szCs w:val="21"/>
                <w:lang w:val="en-US" w:eastAsia="zh-CN" w:bidi="ar"/>
              </w:rPr>
              <w:t>废活性炭</w:t>
            </w:r>
          </w:p>
        </w:tc>
        <w:tc>
          <w:tcPr>
            <w:tcW w:w="1701" w:type="dxa"/>
            <w:noWrap w:val="0"/>
            <w:vAlign w:val="center"/>
          </w:tcPr>
          <w:p w14:paraId="02975A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276" w:type="dxa"/>
            <w:noWrap w:val="0"/>
            <w:vAlign w:val="center"/>
          </w:tcPr>
          <w:p w14:paraId="2CEDB014">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1701" w:type="dxa"/>
            <w:noWrap w:val="0"/>
            <w:vAlign w:val="center"/>
          </w:tcPr>
          <w:p w14:paraId="544FE763">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1559" w:type="dxa"/>
            <w:noWrap w:val="0"/>
            <w:vAlign w:val="center"/>
          </w:tcPr>
          <w:p w14:paraId="137125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1761" w:type="dxa"/>
            <w:noWrap w:val="0"/>
            <w:vAlign w:val="center"/>
          </w:tcPr>
          <w:p w14:paraId="4AB565AE">
            <w:pPr>
              <w:jc w:val="center"/>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1519" w:type="dxa"/>
            <w:noWrap w:val="0"/>
            <w:vAlign w:val="center"/>
          </w:tcPr>
          <w:p w14:paraId="657757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1558" w:type="dxa"/>
            <w:noWrap w:val="0"/>
            <w:vAlign w:val="center"/>
          </w:tcPr>
          <w:p w14:paraId="5ACB8A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r>
      <w:tr w14:paraId="38BBBE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588" w:type="dxa"/>
            <w:vMerge w:val="continue"/>
            <w:noWrap w:val="0"/>
            <w:vAlign w:val="center"/>
          </w:tcPr>
          <w:p w14:paraId="1CEA62E9">
            <w:pPr>
              <w:pStyle w:val="57"/>
              <w:spacing w:beforeLines="0" w:afterLines="0" w:line="240" w:lineRule="auto"/>
              <w:rPr>
                <w:rFonts w:ascii="Times New Roman"/>
                <w:snapToGrid w:val="0"/>
                <w:color w:val="auto"/>
                <w:kern w:val="21"/>
                <w:szCs w:val="21"/>
              </w:rPr>
            </w:pPr>
          </w:p>
        </w:tc>
        <w:tc>
          <w:tcPr>
            <w:tcW w:w="1417" w:type="dxa"/>
            <w:noWrap w:val="0"/>
            <w:vAlign w:val="center"/>
          </w:tcPr>
          <w:p w14:paraId="52E4A287">
            <w:pPr>
              <w:widowControl/>
              <w:jc w:val="center"/>
              <w:textAlignment w:val="center"/>
              <w:rPr>
                <w:rFonts w:hint="default" w:eastAsia="宋体"/>
                <w:color w:val="auto"/>
                <w:kern w:val="0"/>
                <w:szCs w:val="21"/>
                <w:lang w:val="en-US" w:eastAsia="zh-CN" w:bidi="ar"/>
              </w:rPr>
            </w:pPr>
            <w:r>
              <w:rPr>
                <w:rFonts w:hint="eastAsia"/>
                <w:color w:val="auto"/>
                <w:kern w:val="0"/>
                <w:szCs w:val="21"/>
                <w:lang w:val="en-US" w:eastAsia="zh-CN" w:bidi="ar"/>
              </w:rPr>
              <w:t>废弃灯管</w:t>
            </w:r>
          </w:p>
        </w:tc>
        <w:tc>
          <w:tcPr>
            <w:tcW w:w="1701" w:type="dxa"/>
            <w:noWrap w:val="0"/>
            <w:vAlign w:val="center"/>
          </w:tcPr>
          <w:p w14:paraId="18BC6F0F">
            <w:pPr>
              <w:keepNext w:val="0"/>
              <w:keepLines w:val="0"/>
              <w:widowControl/>
              <w:suppressLineNumbers w:val="0"/>
              <w:jc w:val="center"/>
              <w:textAlignment w:val="center"/>
              <w:rPr>
                <w:snapToGrid w:val="0"/>
                <w:color w:val="auto"/>
                <w:kern w:val="21"/>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276" w:type="dxa"/>
            <w:noWrap w:val="0"/>
            <w:vAlign w:val="center"/>
          </w:tcPr>
          <w:p w14:paraId="37352241">
            <w:pPr>
              <w:jc w:val="center"/>
              <w:rPr>
                <w:snapToGrid w:val="0"/>
                <w:color w:val="auto"/>
                <w:kern w:val="21"/>
                <w:sz w:val="21"/>
                <w:szCs w:val="21"/>
                <w:lang w:val="en-US" w:eastAsia="zh-CN" w:bidi="ar-SA"/>
              </w:rPr>
            </w:pPr>
            <w:r>
              <w:rPr>
                <w:rFonts w:hint="eastAsia" w:cs="Times New Roman"/>
                <w:color w:val="auto"/>
                <w:sz w:val="21"/>
                <w:szCs w:val="21"/>
                <w:lang w:val="en-US" w:eastAsia="zh-CN"/>
              </w:rPr>
              <w:t>/</w:t>
            </w:r>
          </w:p>
        </w:tc>
        <w:tc>
          <w:tcPr>
            <w:tcW w:w="1701" w:type="dxa"/>
            <w:noWrap w:val="0"/>
            <w:vAlign w:val="center"/>
          </w:tcPr>
          <w:p w14:paraId="654ED7F3">
            <w:pPr>
              <w:jc w:val="center"/>
              <w:rPr>
                <w:rFonts w:ascii="Times New Roman" w:hAnsi="Times New Roman" w:cs="Times New Roman"/>
                <w:color w:val="auto"/>
                <w:kern w:val="2"/>
                <w:sz w:val="21"/>
                <w:szCs w:val="21"/>
                <w:lang w:val="en-US" w:eastAsia="zh-CN" w:bidi="ar-SA"/>
              </w:rPr>
            </w:pPr>
            <w:r>
              <w:rPr>
                <w:rFonts w:hint="eastAsia" w:cs="Times New Roman"/>
                <w:color w:val="auto"/>
                <w:sz w:val="21"/>
                <w:szCs w:val="21"/>
                <w:lang w:val="en-US" w:eastAsia="zh-CN"/>
              </w:rPr>
              <w:t>/</w:t>
            </w:r>
          </w:p>
        </w:tc>
        <w:tc>
          <w:tcPr>
            <w:tcW w:w="1559" w:type="dxa"/>
            <w:noWrap w:val="0"/>
            <w:vAlign w:val="center"/>
          </w:tcPr>
          <w:p w14:paraId="560285F3">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0.4712</w:t>
            </w:r>
          </w:p>
        </w:tc>
        <w:tc>
          <w:tcPr>
            <w:tcW w:w="1761" w:type="dxa"/>
            <w:noWrap w:val="0"/>
            <w:vAlign w:val="center"/>
          </w:tcPr>
          <w:p w14:paraId="78A7DA3D">
            <w:pPr>
              <w:jc w:val="center"/>
              <w:rPr>
                <w:rFonts w:ascii="Times New Roman" w:hAnsi="Times New Roman" w:cs="Times New Roman"/>
                <w:color w:val="auto"/>
                <w:kern w:val="2"/>
                <w:sz w:val="21"/>
                <w:szCs w:val="21"/>
                <w:lang w:val="en-US" w:eastAsia="zh-CN" w:bidi="ar-SA"/>
              </w:rPr>
            </w:pPr>
            <w:r>
              <w:rPr>
                <w:rFonts w:hint="eastAsia" w:cs="Times New Roman"/>
                <w:color w:val="auto"/>
                <w:sz w:val="21"/>
                <w:szCs w:val="21"/>
                <w:lang w:val="en-US" w:eastAsia="zh-CN"/>
              </w:rPr>
              <w:t>/</w:t>
            </w:r>
          </w:p>
        </w:tc>
        <w:tc>
          <w:tcPr>
            <w:tcW w:w="1519" w:type="dxa"/>
            <w:noWrap w:val="0"/>
            <w:vAlign w:val="center"/>
          </w:tcPr>
          <w:p w14:paraId="42EDB6E0">
            <w:pPr>
              <w:keepNext w:val="0"/>
              <w:keepLines w:val="0"/>
              <w:widowControl/>
              <w:suppressLineNumbers w:val="0"/>
              <w:jc w:val="center"/>
              <w:textAlignment w:val="center"/>
              <w:rPr>
                <w:rFonts w:hint="eastAsia" w:ascii="Times New Roman" w:hAnsi="Times New Roman"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0.4712</w:t>
            </w:r>
          </w:p>
        </w:tc>
        <w:tc>
          <w:tcPr>
            <w:tcW w:w="1558" w:type="dxa"/>
            <w:noWrap w:val="0"/>
            <w:vAlign w:val="center"/>
          </w:tcPr>
          <w:p w14:paraId="1ED26763">
            <w:pPr>
              <w:keepNext w:val="0"/>
              <w:keepLines w:val="0"/>
              <w:widowControl/>
              <w:suppressLineNumbers w:val="0"/>
              <w:jc w:val="center"/>
              <w:textAlignment w:val="center"/>
              <w:rPr>
                <w:rFonts w:hint="eastAsia" w:ascii="Times New Roman" w:hAnsi="Times New Roman" w:cs="Times New Roman"/>
                <w:color w:val="auto"/>
                <w:kern w:val="2"/>
                <w:sz w:val="21"/>
                <w:szCs w:val="21"/>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0.4712</w:t>
            </w:r>
          </w:p>
        </w:tc>
      </w:tr>
    </w:tbl>
    <w:p w14:paraId="235DF622">
      <w:pPr>
        <w:pStyle w:val="57"/>
        <w:spacing w:before="249" w:beforeLines="80" w:after="31"/>
        <w:jc w:val="left"/>
        <w:rPr>
          <w:rFonts w:eastAsia="黑体"/>
          <w:color w:val="auto"/>
        </w:rPr>
        <w:sectPr>
          <w:footerReference r:id="rId5"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r>
        <w:rPr>
          <w:rFonts w:ascii="Times New Roman"/>
          <w:snapToGrid w:val="0"/>
          <w:color w:val="000000"/>
          <w:kern w:val="21"/>
          <w:szCs w:val="21"/>
        </w:rPr>
        <w:t>注：</w:t>
      </w:r>
      <w:r>
        <w:rPr>
          <w:rFonts w:ascii="Times New Roman"/>
          <w:snapToGrid w:val="0"/>
          <w:color w:val="000000"/>
          <w:spacing w:val="-16"/>
          <w:kern w:val="21"/>
          <w:szCs w:val="21"/>
        </w:rPr>
        <w:fldChar w:fldCharType="begin"/>
      </w:r>
      <w:r>
        <w:rPr>
          <w:rFonts w:ascii="Times New Roman"/>
          <w:snapToGrid w:val="0"/>
          <w:color w:val="000000"/>
          <w:spacing w:val="-16"/>
          <w:kern w:val="21"/>
          <w:szCs w:val="21"/>
        </w:rPr>
        <w:instrText xml:space="preserve"> = 6 \* GB3 \* MERGEFORMAT </w:instrText>
      </w:r>
      <w:r>
        <w:rPr>
          <w:rFonts w:ascii="Times New Roman"/>
          <w:snapToGrid w:val="0"/>
          <w:color w:val="000000"/>
          <w:spacing w:val="-16"/>
          <w:kern w:val="21"/>
          <w:szCs w:val="21"/>
        </w:rPr>
        <w:fldChar w:fldCharType="separate"/>
      </w:r>
      <w:r>
        <w:rPr>
          <w:rFonts w:ascii="Times New Roman"/>
          <w:color w:val="000000"/>
          <w:szCs w:val="21"/>
        </w:rPr>
        <w:t>⑥</w:t>
      </w:r>
      <w:r>
        <w:rPr>
          <w:rFonts w:ascii="Times New Roman"/>
          <w:snapToGrid w:val="0"/>
          <w:color w:val="000000"/>
          <w:spacing w:val="-16"/>
          <w:kern w:val="21"/>
          <w:szCs w:val="21"/>
        </w:rPr>
        <w:fldChar w:fldCharType="end"/>
      </w:r>
      <w:r>
        <w:rPr>
          <w:rFonts w:ascii="Times New Roman"/>
          <w:snapToGrid w:val="0"/>
          <w:color w:val="000000"/>
          <w:spacing w:val="-1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1 \* GB3 \* MERGEFORMAT </w:instrText>
      </w:r>
      <w:r>
        <w:rPr>
          <w:rFonts w:ascii="Times New Roman"/>
          <w:snapToGrid w:val="0"/>
          <w:color w:val="000000"/>
          <w:spacing w:val="-6"/>
          <w:kern w:val="21"/>
          <w:szCs w:val="21"/>
        </w:rPr>
        <w:fldChar w:fldCharType="separate"/>
      </w:r>
      <w:r>
        <w:rPr>
          <w:rFonts w:ascii="Times New Roman"/>
          <w:color w:val="000000"/>
          <w:szCs w:val="21"/>
        </w:rPr>
        <w:t>①</w:t>
      </w:r>
      <w:r>
        <w:rPr>
          <w:rFonts w:ascii="Times New Roman"/>
          <w:snapToGrid w:val="0"/>
          <w:color w:val="000000"/>
          <w:spacing w:val="-6"/>
          <w:kern w:val="21"/>
          <w:szCs w:val="21"/>
        </w:rPr>
        <w:fldChar w:fldCharType="end"/>
      </w:r>
      <w:r>
        <w:rPr>
          <w:rFonts w:ascii="Times New Roman"/>
          <w:snapToGrid w:val="0"/>
          <w:color w:val="000000"/>
          <w:spacing w:val="-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3 \* GB3 \* MERGEFORMAT </w:instrText>
      </w:r>
      <w:r>
        <w:rPr>
          <w:rFonts w:ascii="Times New Roman"/>
          <w:snapToGrid w:val="0"/>
          <w:color w:val="000000"/>
          <w:spacing w:val="-6"/>
          <w:kern w:val="21"/>
          <w:szCs w:val="21"/>
        </w:rPr>
        <w:fldChar w:fldCharType="separate"/>
      </w:r>
      <w:r>
        <w:rPr>
          <w:rFonts w:ascii="Times New Roman"/>
          <w:color w:val="000000"/>
          <w:szCs w:val="21"/>
        </w:rPr>
        <w:t>③</w:t>
      </w:r>
      <w:r>
        <w:rPr>
          <w:rFonts w:ascii="Times New Roman"/>
          <w:snapToGrid w:val="0"/>
          <w:color w:val="000000"/>
          <w:spacing w:val="-6"/>
          <w:kern w:val="21"/>
          <w:szCs w:val="21"/>
        </w:rPr>
        <w:fldChar w:fldCharType="end"/>
      </w:r>
      <w:r>
        <w:rPr>
          <w:rFonts w:ascii="Times New Roman"/>
          <w:snapToGrid w:val="0"/>
          <w:color w:val="000000"/>
          <w:spacing w:val="-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4 \* GB3 \* MERGEFORMAT </w:instrText>
      </w:r>
      <w:r>
        <w:rPr>
          <w:rFonts w:ascii="Times New Roman"/>
          <w:snapToGrid w:val="0"/>
          <w:color w:val="000000"/>
          <w:spacing w:val="-6"/>
          <w:kern w:val="21"/>
          <w:szCs w:val="21"/>
        </w:rPr>
        <w:fldChar w:fldCharType="separate"/>
      </w:r>
      <w:r>
        <w:rPr>
          <w:rFonts w:ascii="Times New Roman"/>
          <w:color w:val="000000"/>
          <w:szCs w:val="21"/>
        </w:rPr>
        <w:t>④</w:t>
      </w:r>
      <w:r>
        <w:rPr>
          <w:rFonts w:ascii="Times New Roman"/>
          <w:snapToGrid w:val="0"/>
          <w:color w:val="000000"/>
          <w:spacing w:val="-6"/>
          <w:kern w:val="21"/>
          <w:szCs w:val="21"/>
        </w:rPr>
        <w:fldChar w:fldCharType="end"/>
      </w:r>
      <w:r>
        <w:rPr>
          <w:rFonts w:ascii="Times New Roman"/>
          <w:snapToGrid w:val="0"/>
          <w:color w:val="000000"/>
          <w:spacing w:val="-6"/>
          <w:kern w:val="21"/>
          <w:szCs w:val="21"/>
        </w:rPr>
        <w:t>-</w:t>
      </w:r>
      <w:r>
        <w:rPr>
          <w:rFonts w:ascii="Times New Roman"/>
          <w:snapToGrid w:val="0"/>
          <w:color w:val="000000"/>
          <w:spacing w:val="-16"/>
          <w:kern w:val="21"/>
          <w:szCs w:val="21"/>
        </w:rPr>
        <w:fldChar w:fldCharType="begin"/>
      </w:r>
      <w:r>
        <w:rPr>
          <w:rFonts w:ascii="Times New Roman"/>
          <w:snapToGrid w:val="0"/>
          <w:color w:val="000000"/>
          <w:spacing w:val="-16"/>
          <w:kern w:val="21"/>
          <w:szCs w:val="21"/>
        </w:rPr>
        <w:instrText xml:space="preserve"> = 5 \* GB3 \* MERGEFORMAT </w:instrText>
      </w:r>
      <w:r>
        <w:rPr>
          <w:rFonts w:ascii="Times New Roman"/>
          <w:snapToGrid w:val="0"/>
          <w:color w:val="000000"/>
          <w:spacing w:val="-16"/>
          <w:kern w:val="21"/>
          <w:szCs w:val="21"/>
        </w:rPr>
        <w:fldChar w:fldCharType="separate"/>
      </w:r>
      <w:r>
        <w:rPr>
          <w:rFonts w:ascii="Times New Roman"/>
          <w:color w:val="000000"/>
          <w:szCs w:val="21"/>
        </w:rPr>
        <w:t>⑤</w:t>
      </w:r>
      <w:r>
        <w:rPr>
          <w:rFonts w:ascii="Times New Roman"/>
          <w:snapToGrid w:val="0"/>
          <w:color w:val="000000"/>
          <w:spacing w:val="-16"/>
          <w:kern w:val="21"/>
          <w:szCs w:val="21"/>
        </w:rPr>
        <w:fldChar w:fldCharType="end"/>
      </w:r>
      <w:r>
        <w:rPr>
          <w:rFonts w:ascii="Times New Roman"/>
          <w:snapToGrid w:val="0"/>
          <w:color w:val="000000"/>
          <w:spacing w:val="-1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7 \* GB3 \* MERGEFORMAT </w:instrText>
      </w:r>
      <w:r>
        <w:rPr>
          <w:rFonts w:ascii="Times New Roman"/>
          <w:snapToGrid w:val="0"/>
          <w:color w:val="000000"/>
          <w:spacing w:val="-6"/>
          <w:kern w:val="21"/>
          <w:szCs w:val="21"/>
        </w:rPr>
        <w:fldChar w:fldCharType="separate"/>
      </w:r>
      <w:r>
        <w:rPr>
          <w:rFonts w:ascii="Times New Roman"/>
          <w:color w:val="000000"/>
          <w:szCs w:val="21"/>
        </w:rPr>
        <w:t>⑦</w:t>
      </w:r>
      <w:r>
        <w:rPr>
          <w:rFonts w:ascii="Times New Roman"/>
          <w:snapToGrid w:val="0"/>
          <w:color w:val="000000"/>
          <w:spacing w:val="-6"/>
          <w:kern w:val="21"/>
          <w:szCs w:val="21"/>
        </w:rPr>
        <w:fldChar w:fldCharType="end"/>
      </w:r>
      <w:r>
        <w:rPr>
          <w:rFonts w:ascii="Times New Roman"/>
          <w:snapToGrid w:val="0"/>
          <w:color w:val="000000"/>
          <w:spacing w:val="-6"/>
          <w:kern w:val="21"/>
          <w:szCs w:val="21"/>
        </w:rPr>
        <w:t>=</w:t>
      </w:r>
      <w:r>
        <w:rPr>
          <w:rFonts w:ascii="Times New Roman"/>
          <w:snapToGrid w:val="0"/>
          <w:color w:val="000000"/>
          <w:spacing w:val="-16"/>
          <w:kern w:val="21"/>
          <w:szCs w:val="21"/>
        </w:rPr>
        <w:fldChar w:fldCharType="begin"/>
      </w:r>
      <w:r>
        <w:rPr>
          <w:rFonts w:ascii="Times New Roman"/>
          <w:snapToGrid w:val="0"/>
          <w:color w:val="000000"/>
          <w:spacing w:val="-16"/>
          <w:kern w:val="21"/>
          <w:szCs w:val="21"/>
        </w:rPr>
        <w:instrText xml:space="preserve"> = 6 \* GB3 \* MERGEFORMAT </w:instrText>
      </w:r>
      <w:r>
        <w:rPr>
          <w:rFonts w:ascii="Times New Roman"/>
          <w:snapToGrid w:val="0"/>
          <w:color w:val="000000"/>
          <w:spacing w:val="-16"/>
          <w:kern w:val="21"/>
          <w:szCs w:val="21"/>
        </w:rPr>
        <w:fldChar w:fldCharType="separate"/>
      </w:r>
      <w:r>
        <w:rPr>
          <w:rFonts w:ascii="Times New Roman"/>
          <w:color w:val="000000"/>
          <w:szCs w:val="21"/>
        </w:rPr>
        <w:t>⑥</w:t>
      </w:r>
      <w:r>
        <w:rPr>
          <w:rFonts w:ascii="Times New Roman"/>
          <w:snapToGrid w:val="0"/>
          <w:color w:val="000000"/>
          <w:spacing w:val="-16"/>
          <w:kern w:val="21"/>
          <w:szCs w:val="21"/>
        </w:rPr>
        <w:fldChar w:fldCharType="end"/>
      </w:r>
      <w:r>
        <w:rPr>
          <w:rFonts w:ascii="Times New Roman"/>
          <w:snapToGrid w:val="0"/>
          <w:color w:val="000000"/>
          <w:spacing w:val="-1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1 \* GB3 \* MERGEFORMAT </w:instrText>
      </w:r>
      <w:r>
        <w:rPr>
          <w:rFonts w:ascii="Times New Roman"/>
          <w:snapToGrid w:val="0"/>
          <w:color w:val="000000"/>
          <w:spacing w:val="-6"/>
          <w:kern w:val="21"/>
          <w:szCs w:val="21"/>
        </w:rPr>
        <w:fldChar w:fldCharType="separate"/>
      </w:r>
      <w:r>
        <w:rPr>
          <w:rFonts w:ascii="Times New Roman"/>
          <w:color w:val="000000"/>
          <w:szCs w:val="21"/>
        </w:rPr>
        <w:t>①</w:t>
      </w:r>
      <w:r>
        <w:rPr>
          <w:rFonts w:ascii="Times New Roman"/>
          <w:snapToGrid w:val="0"/>
          <w:color w:val="000000"/>
          <w:spacing w:val="-6"/>
          <w:kern w:val="21"/>
          <w:szCs w:val="21"/>
        </w:rPr>
        <w:fldChar w:fldCharType="end"/>
      </w:r>
    </w:p>
    <w:p w14:paraId="10CE6A48">
      <w:r>
        <w:rPr>
          <w:rStyle w:val="44"/>
          <w:rFonts w:hint="eastAsia" w:ascii="Times New Roman" w:hAnsi="Times New Roman" w:eastAsia="宋体" w:cs="Times New Roman"/>
          <w:b/>
          <w:sz w:val="24"/>
          <w:szCs w:val="24"/>
          <w:lang w:val="en-US" w:eastAsia="zh-CN" w:bidi="ar-SA"/>
        </w:rPr>
        <w:drawing>
          <wp:anchor distT="0" distB="0" distL="114300" distR="114300" simplePos="0" relativeHeight="251665408" behindDoc="0" locked="0" layoutInCell="1" allowOverlap="1">
            <wp:simplePos x="0" y="0"/>
            <wp:positionH relativeFrom="column">
              <wp:posOffset>-316230</wp:posOffset>
            </wp:positionH>
            <wp:positionV relativeFrom="paragraph">
              <wp:posOffset>-78740</wp:posOffset>
            </wp:positionV>
            <wp:extent cx="6051550" cy="7850505"/>
            <wp:effectExtent l="0" t="0" r="6350" b="17145"/>
            <wp:wrapNone/>
            <wp:docPr id="17" name="图片 6" descr="f25e4b1f106c6e422cecf3715553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descr="f25e4b1f106c6e422cecf37155531296"/>
                    <pic:cNvPicPr>
                      <a:picLocks noChangeAspect="1"/>
                    </pic:cNvPicPr>
                  </pic:nvPicPr>
                  <pic:blipFill>
                    <a:blip r:embed="rId23"/>
                    <a:srcRect t="4474" r="2686"/>
                    <a:stretch>
                      <a:fillRect/>
                    </a:stretch>
                  </pic:blipFill>
                  <pic:spPr>
                    <a:xfrm>
                      <a:off x="0" y="0"/>
                      <a:ext cx="6051550" cy="7850505"/>
                    </a:xfrm>
                    <a:prstGeom prst="rect">
                      <a:avLst/>
                    </a:prstGeom>
                    <a:noFill/>
                    <a:ln>
                      <a:noFill/>
                    </a:ln>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瀹嬩綋">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5SW77cqp+SimSun">
    <w:altName w:val="宋体"/>
    <w:panose1 w:val="02010600030101010101"/>
    <w:charset w:val="86"/>
    <w:family w:val="auto"/>
    <w:pitch w:val="default"/>
    <w:sig w:usb0="00000000" w:usb1="00000000" w:usb2="00000006" w:usb3="00000000" w:csb0="00040001" w:csb1="00000000"/>
  </w:font>
  <w:font w:name="TimesNewRomanPSMT">
    <w:altName w:val="Times New Roman"/>
    <w:panose1 w:val="00000000000000000000"/>
    <w:charset w:val="00"/>
    <w:family w:val="auto"/>
    <w:pitch w:val="default"/>
    <w:sig w:usb0="00000000" w:usb1="00000000" w:usb2="00000000" w:usb3="00000000" w:csb0="00040001" w:csb1="00000000"/>
  </w:font>
  <w:font w:name="serif">
    <w:altName w:val="方正公文小标宋"/>
    <w:panose1 w:val="00000000000000000000"/>
    <w:charset w:val="00"/>
    <w:family w:val="auto"/>
    <w:pitch w:val="default"/>
    <w:sig w:usb0="00000000" w:usb1="00000000" w:usb2="00000000" w:usb3="00000000" w:csb0="00040001" w:csb1="00000000"/>
  </w:font>
  <w:font w:name="Noto Sans SC">
    <w:altName w:val="宋体"/>
    <w:panose1 w:val="020B0200000000000000"/>
    <w:charset w:val="86"/>
    <w:family w:val="auto"/>
    <w:pitch w:val="default"/>
    <w:sig w:usb0="00000000" w:usb1="00000000" w:usb2="00000016" w:usb3="00000000" w:csb0="60060107" w:csb1="00000000"/>
  </w:font>
  <w:font w:name="Segoe UI Emoji">
    <w:panose1 w:val="020B0502040204020203"/>
    <w:charset w:val="00"/>
    <w:family w:val="auto"/>
    <w:pitch w:val="default"/>
    <w:sig w:usb0="00000001" w:usb1="02000000" w:usb2="00000000" w:usb3="00000000" w:csb0="00000001" w:csb1="0000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0B6C6">
    <w:pPr>
      <w:pStyle w:val="11"/>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EB5C0C">
                          <w:pPr>
                            <w:pStyle w:val="11"/>
                          </w:pPr>
                          <w:r>
                            <w:fldChar w:fldCharType="begin"/>
                          </w:r>
                          <w:r>
                            <w:instrText xml:space="preserve"> PAGE  \* MERGEFORMAT </w:instrText>
                          </w:r>
                          <w:r>
                            <w:fldChar w:fldCharType="separate"/>
                          </w:r>
                          <w:r>
                            <w:t>I</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30EB5C0C">
                    <w:pPr>
                      <w:pStyle w:val="11"/>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A770B">
    <w:pPr>
      <w:pStyle w:val="11"/>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F7F593">
                          <w:pPr>
                            <w:pStyle w:val="11"/>
                          </w:pPr>
                          <w:r>
                            <w:fldChar w:fldCharType="begin"/>
                          </w:r>
                          <w:r>
                            <w:instrText xml:space="preserve"> PAGE  \* MERGEFORMAT </w:instrText>
                          </w:r>
                          <w:r>
                            <w:fldChar w:fldCharType="separate"/>
                          </w:r>
                          <w:r>
                            <w:t>VIII</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03F7F593">
                    <w:pPr>
                      <w:pStyle w:val="11"/>
                    </w:pPr>
                    <w:r>
                      <w:fldChar w:fldCharType="begin"/>
                    </w:r>
                    <w:r>
                      <w:instrText xml:space="preserve"> PAGE  \* MERGEFORMAT </w:instrText>
                    </w:r>
                    <w:r>
                      <w:fldChar w:fldCharType="separate"/>
                    </w:r>
                    <w:r>
                      <w:t>VIII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00363">
    <w:pPr>
      <w:pStyle w:val="11"/>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554F31">
                          <w:pPr>
                            <w:pStyle w:val="11"/>
                          </w:pPr>
                          <w:r>
                            <w:fldChar w:fldCharType="begin"/>
                          </w:r>
                          <w:r>
                            <w:instrText xml:space="preserve"> PAGE  \* MERGEFORMAT </w:instrText>
                          </w:r>
                          <w:r>
                            <w:fldChar w:fldCharType="separate"/>
                          </w:r>
                          <w:r>
                            <w:t>LXXXVIII</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03554F31">
                    <w:pPr>
                      <w:pStyle w:val="11"/>
                    </w:pPr>
                    <w:r>
                      <w:fldChar w:fldCharType="begin"/>
                    </w:r>
                    <w:r>
                      <w:instrText xml:space="preserve"> PAGE  \* MERGEFORMAT </w:instrText>
                    </w:r>
                    <w:r>
                      <w:fldChar w:fldCharType="separate"/>
                    </w:r>
                    <w:r>
                      <w:t>LXXXVIII</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591953"/>
    <w:multiLevelType w:val="singleLevel"/>
    <w:tmpl w:val="C2591953"/>
    <w:lvl w:ilvl="0" w:tentative="0">
      <w:start w:val="1"/>
      <w:numFmt w:val="decimal"/>
      <w:suff w:val="nothing"/>
      <w:lvlText w:val="%1、"/>
      <w:lvlJc w:val="left"/>
    </w:lvl>
  </w:abstractNum>
  <w:abstractNum w:abstractNumId="1">
    <w:nsid w:val="D5C95C3E"/>
    <w:multiLevelType w:val="singleLevel"/>
    <w:tmpl w:val="D5C95C3E"/>
    <w:lvl w:ilvl="0" w:tentative="0">
      <w:start w:val="1"/>
      <w:numFmt w:val="chineseCounting"/>
      <w:suff w:val="nothing"/>
      <w:lvlText w:val="%1、"/>
      <w:lvlJc w:val="left"/>
      <w:rPr>
        <w:rFonts w:hint="eastAsia"/>
      </w:rPr>
    </w:lvl>
  </w:abstractNum>
  <w:abstractNum w:abstractNumId="2">
    <w:nsid w:val="D98422A4"/>
    <w:multiLevelType w:val="singleLevel"/>
    <w:tmpl w:val="D98422A4"/>
    <w:lvl w:ilvl="0" w:tentative="0">
      <w:start w:val="2"/>
      <w:numFmt w:val="decimal"/>
      <w:suff w:val="nothing"/>
      <w:lvlText w:val="（%1）"/>
      <w:lvlJc w:val="left"/>
    </w:lvl>
  </w:abstractNum>
  <w:abstractNum w:abstractNumId="3">
    <w:nsid w:val="043E685F"/>
    <w:multiLevelType w:val="singleLevel"/>
    <w:tmpl w:val="043E685F"/>
    <w:lvl w:ilvl="0" w:tentative="0">
      <w:start w:val="5"/>
      <w:numFmt w:val="decimal"/>
      <w:suff w:val="nothing"/>
      <w:lvlText w:val="%1、"/>
      <w:lvlJc w:val="left"/>
    </w:lvl>
  </w:abstractNum>
  <w:abstractNum w:abstractNumId="4">
    <w:nsid w:val="04F7977E"/>
    <w:multiLevelType w:val="singleLevel"/>
    <w:tmpl w:val="04F7977E"/>
    <w:lvl w:ilvl="0" w:tentative="0">
      <w:start w:val="2"/>
      <w:numFmt w:val="chineseCounting"/>
      <w:suff w:val="nothing"/>
      <w:lvlText w:val="%1、"/>
      <w:lvlJc w:val="left"/>
      <w:rPr>
        <w:rFonts w:hint="eastAsia"/>
      </w:rPr>
    </w:lvl>
  </w:abstractNum>
  <w:abstractNum w:abstractNumId="5">
    <w:nsid w:val="60FC0260"/>
    <w:multiLevelType w:val="singleLevel"/>
    <w:tmpl w:val="60FC0260"/>
    <w:lvl w:ilvl="0" w:tentative="0">
      <w:start w:val="2"/>
      <w:numFmt w:val="decimal"/>
      <w:suff w:val="nothing"/>
      <w:lvlText w:val="（%1）"/>
      <w:lvlJc w:val="left"/>
    </w:lvl>
  </w:abstractNum>
  <w:abstractNum w:abstractNumId="6">
    <w:nsid w:val="614BD4C5"/>
    <w:multiLevelType w:val="singleLevel"/>
    <w:tmpl w:val="614BD4C5"/>
    <w:lvl w:ilvl="0" w:tentative="0">
      <w:start w:val="2"/>
      <w:numFmt w:val="chineseCounting"/>
      <w:suff w:val="nothing"/>
      <w:lvlText w:val="%1、"/>
      <w:lvlJc w:val="left"/>
      <w:rPr>
        <w:rFonts w:hint="eastAsia"/>
      </w:rPr>
    </w:lvl>
  </w:abstractNum>
  <w:abstractNum w:abstractNumId="7">
    <w:nsid w:val="6D389788"/>
    <w:multiLevelType w:val="singleLevel"/>
    <w:tmpl w:val="6D389788"/>
    <w:lvl w:ilvl="0" w:tentative="0">
      <w:start w:val="5"/>
      <w:numFmt w:val="decimal"/>
      <w:suff w:val="nothing"/>
      <w:lvlText w:val="（%1）"/>
      <w:lvlJc w:val="left"/>
    </w:lvl>
  </w:abstractNum>
  <w:num w:numId="1">
    <w:abstractNumId w:val="3"/>
  </w:num>
  <w:num w:numId="2">
    <w:abstractNumId w:val="6"/>
  </w:num>
  <w:num w:numId="3">
    <w:abstractNumId w:val="5"/>
  </w:num>
  <w:num w:numId="4">
    <w:abstractNumId w:val="7"/>
  </w:num>
  <w:num w:numId="5">
    <w:abstractNumId w:val="1"/>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BE039C"/>
    <w:rsid w:val="0CE95A3D"/>
    <w:rsid w:val="19B463E0"/>
    <w:rsid w:val="68BE0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1"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99"/>
    <w:pPr>
      <w:keepNext/>
      <w:overflowPunct w:val="0"/>
      <w:snapToGrid w:val="0"/>
      <w:spacing w:before="120" w:after="160" w:line="260" w:lineRule="auto"/>
      <w:ind w:left="431" w:hanging="431"/>
      <w:jc w:val="center"/>
      <w:outlineLvl w:val="0"/>
    </w:pPr>
    <w:rPr>
      <w:rFonts w:ascii="Times New Roman" w:hAnsi="Times New Roman" w:eastAsia="黑体"/>
      <w:b/>
      <w:bCs/>
      <w:color w:val="000000"/>
      <w:kern w:val="44"/>
      <w:sz w:val="30"/>
      <w:szCs w:val="30"/>
    </w:rPr>
  </w:style>
  <w:style w:type="paragraph" w:styleId="3">
    <w:name w:val="heading 2"/>
    <w:basedOn w:val="1"/>
    <w:next w:val="1"/>
    <w:qFormat/>
    <w:uiPriority w:val="1"/>
    <w:pPr>
      <w:ind w:left="700"/>
      <w:outlineLvl w:val="1"/>
    </w:pPr>
    <w:rPr>
      <w:rFonts w:ascii="宋体" w:hAnsi="宋体" w:eastAsia="宋体" w:cs="宋体"/>
      <w:b/>
      <w:bCs/>
      <w:sz w:val="24"/>
      <w:szCs w:val="24"/>
      <w:lang w:val="zh-CN" w:eastAsia="zh-CN" w:bidi="zh-CN"/>
    </w:rPr>
  </w:style>
  <w:style w:type="paragraph" w:styleId="4">
    <w:name w:val="heading 3"/>
    <w:basedOn w:val="1"/>
    <w:next w:val="1"/>
    <w:link w:val="42"/>
    <w:qFormat/>
    <w:uiPriority w:val="0"/>
    <w:pPr>
      <w:keepNext/>
      <w:keepLines/>
      <w:adjustRightInd w:val="0"/>
      <w:snapToGrid w:val="0"/>
      <w:spacing w:beforeLines="0" w:afterLines="0" w:line="360" w:lineRule="auto"/>
      <w:outlineLvl w:val="2"/>
    </w:pPr>
    <w:rPr>
      <w:rFonts w:ascii="Times New Roman" w:hAnsi="Times New Roman" w:eastAsia="宋体"/>
      <w:b/>
      <w:color w:val="000000"/>
      <w:sz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 w:val="24"/>
      <w:szCs w:val="20"/>
    </w:rPr>
  </w:style>
  <w:style w:type="paragraph" w:styleId="6">
    <w:name w:val="annotation text"/>
    <w:basedOn w:val="1"/>
    <w:semiHidden/>
    <w:qFormat/>
    <w:uiPriority w:val="0"/>
    <w:pPr>
      <w:jc w:val="left"/>
    </w:pPr>
    <w:rPr>
      <w:kern w:val="0"/>
      <w:sz w:val="24"/>
      <w:szCs w:val="20"/>
    </w:rPr>
  </w:style>
  <w:style w:type="paragraph" w:styleId="7">
    <w:name w:val="Body Text"/>
    <w:basedOn w:val="1"/>
    <w:qFormat/>
    <w:uiPriority w:val="0"/>
    <w:pPr>
      <w:widowControl/>
      <w:snapToGrid w:val="0"/>
      <w:spacing w:before="60" w:after="160" w:line="259" w:lineRule="auto"/>
      <w:ind w:right="113"/>
    </w:pPr>
    <w:rPr>
      <w:kern w:val="0"/>
      <w:sz w:val="18"/>
      <w:szCs w:val="20"/>
    </w:rPr>
  </w:style>
  <w:style w:type="paragraph" w:styleId="8">
    <w:name w:val="Body Text Indent"/>
    <w:basedOn w:val="1"/>
    <w:next w:val="9"/>
    <w:qFormat/>
    <w:uiPriority w:val="0"/>
    <w:pPr>
      <w:spacing w:after="120"/>
      <w:ind w:left="420" w:leftChars="200"/>
    </w:pPr>
    <w:rPr>
      <w:kern w:val="0"/>
      <w:sz w:val="24"/>
      <w:szCs w:val="20"/>
    </w:rPr>
  </w:style>
  <w:style w:type="paragraph" w:styleId="9">
    <w:name w:val="Balloon Text"/>
    <w:basedOn w:val="1"/>
    <w:next w:val="7"/>
    <w:semiHidden/>
    <w:qFormat/>
    <w:uiPriority w:val="0"/>
    <w:rPr>
      <w:kern w:val="0"/>
      <w:sz w:val="18"/>
      <w:szCs w:val="20"/>
    </w:rPr>
  </w:style>
  <w:style w:type="paragraph" w:styleId="10">
    <w:name w:val="Plain Text"/>
    <w:basedOn w:val="1"/>
    <w:qFormat/>
    <w:uiPriority w:val="0"/>
    <w:pPr>
      <w:spacing w:line="240" w:lineRule="atLeast"/>
    </w:pPr>
    <w:rPr>
      <w:rFonts w:ascii="宋体" w:hAnsi="Courier New"/>
      <w:sz w:val="28"/>
    </w:r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kern w:val="0"/>
      <w:sz w:val="18"/>
      <w:szCs w:val="20"/>
    </w:rPr>
  </w:style>
  <w:style w:type="paragraph" w:styleId="13">
    <w:name w:val="toc 1"/>
    <w:basedOn w:val="1"/>
    <w:next w:val="1"/>
    <w:qFormat/>
    <w:uiPriority w:val="0"/>
  </w:style>
  <w:style w:type="paragraph" w:styleId="14">
    <w:name w:val="Normal (Web)"/>
    <w:basedOn w:val="1"/>
    <w:qFormat/>
    <w:uiPriority w:val="0"/>
    <w:pPr>
      <w:keepNext/>
      <w:widowControl w:val="0"/>
      <w:spacing w:beforeAutospacing="1" w:after="100" w:afterAutospacing="1"/>
      <w:jc w:val="left"/>
    </w:pPr>
    <w:rPr>
      <w:rFonts w:ascii="宋体" w:hAnsi="宋体" w:eastAsia="宋体"/>
      <w:kern w:val="0"/>
      <w:sz w:val="24"/>
      <w:szCs w:val="20"/>
    </w:rPr>
  </w:style>
  <w:style w:type="paragraph" w:styleId="15">
    <w:name w:val="Body Text First Indent"/>
    <w:basedOn w:val="7"/>
    <w:next w:val="1"/>
    <w:qFormat/>
    <w:uiPriority w:val="0"/>
    <w:pPr>
      <w:spacing w:before="0" w:beforeLines="0" w:line="480" w:lineRule="atLeast"/>
      <w:ind w:firstLine="420" w:firstLineChars="100"/>
    </w:pPr>
  </w:style>
  <w:style w:type="paragraph" w:styleId="16">
    <w:name w:val="Body Text First Indent 2"/>
    <w:basedOn w:val="8"/>
    <w:next w:val="15"/>
    <w:qFormat/>
    <w:uiPriority w:val="0"/>
    <w:pPr>
      <w:ind w:firstLine="420" w:firstLineChars="200"/>
    </w:pPr>
  </w:style>
  <w:style w:type="table" w:styleId="18">
    <w:name w:val="Table Grid"/>
    <w:basedOn w:val="17"/>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0"/>
    <w:rPr>
      <w:b/>
    </w:rPr>
  </w:style>
  <w:style w:type="character" w:styleId="21">
    <w:name w:val="annotation reference"/>
    <w:semiHidden/>
    <w:qFormat/>
    <w:uiPriority w:val="0"/>
    <w:rPr>
      <w:sz w:val="21"/>
    </w:rPr>
  </w:style>
  <w:style w:type="paragraph" w:customStyle="1" w:styleId="22">
    <w:name w:val="WPSOffice手动目录 1"/>
    <w:qFormat/>
    <w:uiPriority w:val="0"/>
    <w:rPr>
      <w:rFonts w:ascii="Times New Roman" w:hAnsi="Times New Roman" w:eastAsia="宋体" w:cs="Times New Roman"/>
      <w:lang w:val="en-US" w:eastAsia="zh-CN" w:bidi="ar-SA"/>
    </w:rPr>
  </w:style>
  <w:style w:type="paragraph" w:customStyle="1" w:styleId="23">
    <w:name w:val="报告表正文"/>
    <w:basedOn w:val="1"/>
    <w:qFormat/>
    <w:uiPriority w:val="0"/>
    <w:pPr>
      <w:wordWrap w:val="0"/>
      <w:topLinePunct/>
      <w:adjustRightInd w:val="0"/>
      <w:spacing w:line="360" w:lineRule="auto"/>
      <w:ind w:left="0" w:right="0" w:firstLine="488"/>
      <w:jc w:val="left"/>
      <w:textAlignment w:val="baseline"/>
    </w:pPr>
    <w:rPr>
      <w:rFonts w:ascii="Times New Roman" w:hAnsi="Times New Roman" w:eastAsia="Times New Roman" w:cs="宋体"/>
      <w:szCs w:val="20"/>
    </w:rPr>
  </w:style>
  <w:style w:type="paragraph" w:customStyle="1" w:styleId="24">
    <w:name w:val="样式 标题 1 + 四号 段前: 0 磅 段后: 0 磅 行距: 1.5 倍行距"/>
    <w:basedOn w:val="25"/>
    <w:next w:val="1"/>
    <w:qFormat/>
    <w:uiPriority w:val="0"/>
    <w:pPr>
      <w:spacing w:line="360" w:lineRule="auto"/>
      <w:jc w:val="center"/>
    </w:pPr>
    <w:rPr>
      <w:rFonts w:hAnsi="黑体" w:eastAsia="宋体"/>
      <w:sz w:val="21"/>
    </w:rPr>
  </w:style>
  <w:style w:type="paragraph" w:customStyle="1" w:styleId="25">
    <w:name w:val="1正文"/>
    <w:basedOn w:val="1"/>
    <w:qFormat/>
    <w:uiPriority w:val="0"/>
    <w:pPr>
      <w:spacing w:line="500" w:lineRule="exact"/>
      <w:ind w:firstLine="588" w:firstLineChars="196"/>
    </w:pPr>
    <w:rPr>
      <w:rFonts w:eastAsia="楷体_GB2312"/>
      <w:sz w:val="30"/>
      <w:szCs w:val="30"/>
    </w:rPr>
  </w:style>
  <w:style w:type="paragraph" w:customStyle="1" w:styleId="26">
    <w:name w:val="0正文"/>
    <w:basedOn w:val="8"/>
    <w:unhideWhenUsed/>
    <w:qFormat/>
    <w:uiPriority w:val="0"/>
    <w:pPr>
      <w:widowControl w:val="0"/>
      <w:spacing w:line="360" w:lineRule="auto"/>
      <w:ind w:firstLine="720" w:firstLineChars="200"/>
    </w:pPr>
    <w:rPr>
      <w:sz w:val="24"/>
      <w:szCs w:val="22"/>
      <w:lang w:val="en-US" w:eastAsia="zh-CN" w:bidi="ar-SA"/>
    </w:rPr>
  </w:style>
  <w:style w:type="paragraph" w:customStyle="1" w:styleId="27">
    <w:name w:val="CM11"/>
    <w:basedOn w:val="1"/>
    <w:next w:val="1"/>
    <w:qFormat/>
    <w:uiPriority w:val="0"/>
    <w:pPr>
      <w:autoSpaceDE w:val="0"/>
      <w:autoSpaceDN w:val="0"/>
      <w:adjustRightInd w:val="0"/>
      <w:spacing w:line="520" w:lineRule="atLeast"/>
      <w:ind w:firstLine="0"/>
      <w:jc w:val="left"/>
    </w:pPr>
    <w:rPr>
      <w:rFonts w:ascii="宋体" w:eastAsia="宋体"/>
      <w:kern w:val="0"/>
      <w:sz w:val="24"/>
    </w:rPr>
  </w:style>
  <w:style w:type="paragraph" w:customStyle="1" w:styleId="28">
    <w:name w:val="111表格"/>
    <w:basedOn w:val="1"/>
    <w:qFormat/>
    <w:uiPriority w:val="0"/>
    <w:pPr>
      <w:autoSpaceDE w:val="0"/>
      <w:autoSpaceDN w:val="0"/>
      <w:adjustRightInd w:val="0"/>
      <w:snapToGrid w:val="0"/>
      <w:spacing w:line="360" w:lineRule="auto"/>
      <w:ind w:firstLine="200" w:firstLineChars="200"/>
    </w:pPr>
    <w:rPr>
      <w:rFonts w:cs="宋体"/>
      <w:kern w:val="0"/>
      <w:szCs w:val="21"/>
    </w:rPr>
  </w:style>
  <w:style w:type="paragraph" w:customStyle="1" w:styleId="29">
    <w:name w:val="10、表格内容"/>
    <w:basedOn w:val="7"/>
    <w:qFormat/>
    <w:uiPriority w:val="0"/>
    <w:pPr>
      <w:widowControl w:val="0"/>
      <w:adjustRightInd w:val="0"/>
      <w:spacing w:before="0" w:after="0" w:line="280" w:lineRule="exact"/>
      <w:ind w:right="0"/>
      <w:jc w:val="center"/>
    </w:pPr>
    <w:rPr>
      <w:color w:val="000000"/>
      <w:kern w:val="2"/>
      <w:sz w:val="21"/>
      <w:szCs w:val="24"/>
    </w:rPr>
  </w:style>
  <w:style w:type="paragraph" w:customStyle="1" w:styleId="30">
    <w:name w:val="Table Text"/>
    <w:basedOn w:val="1"/>
    <w:semiHidden/>
    <w:qFormat/>
    <w:uiPriority w:val="0"/>
    <w:rPr>
      <w:rFonts w:ascii="宋体" w:hAnsi="宋体" w:eastAsia="宋体" w:cs="宋体"/>
      <w:sz w:val="24"/>
      <w:szCs w:val="24"/>
      <w:lang w:val="en-US" w:eastAsia="en-US" w:bidi="ar-SA"/>
    </w:rPr>
  </w:style>
  <w:style w:type="paragraph" w:customStyle="1" w:styleId="31">
    <w:name w:val="11111表土"/>
    <w:basedOn w:val="1"/>
    <w:qFormat/>
    <w:uiPriority w:val="0"/>
    <w:pPr>
      <w:widowControl/>
      <w:adjustRightInd w:val="0"/>
      <w:snapToGrid w:val="0"/>
      <w:jc w:val="center"/>
    </w:pPr>
    <w:rPr>
      <w:rFonts w:ascii="Times New Roman" w:hAnsi="Times New Roman" w:eastAsia="黑体"/>
      <w:kern w:val="0"/>
      <w:sz w:val="24"/>
      <w:szCs w:val="24"/>
    </w:rPr>
  </w:style>
  <w:style w:type="table" w:customStyle="1" w:styleId="32">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33">
    <w:name w:val="君邦正文"/>
    <w:qFormat/>
    <w:uiPriority w:val="0"/>
    <w:pPr>
      <w:spacing w:line="360" w:lineRule="auto"/>
      <w:ind w:left="-4" w:leftChars="-2" w:firstLine="480" w:firstLineChars="200"/>
      <w:jc w:val="both"/>
    </w:pPr>
    <w:rPr>
      <w:rFonts w:ascii="宋体" w:hAnsi="宋体" w:eastAsia="宋体" w:cs="Times New Roman"/>
      <w:kern w:val="2"/>
      <w:sz w:val="24"/>
      <w:lang w:val="en-US" w:eastAsia="zh-CN" w:bidi="ar-SA"/>
    </w:rPr>
  </w:style>
  <w:style w:type="paragraph" w:customStyle="1" w:styleId="34">
    <w:name w:val="a表格"/>
    <w:basedOn w:val="1"/>
    <w:qFormat/>
    <w:uiPriority w:val="0"/>
    <w:pPr>
      <w:snapToGrid w:val="0"/>
      <w:ind w:firstLine="0"/>
      <w:jc w:val="center"/>
    </w:pPr>
    <w:rPr>
      <w:rFonts w:ascii="Times New Roman" w:hAnsi="Times New Roman" w:eastAsia="宋体" w:cs="Times New Roman"/>
      <w:sz w:val="21"/>
      <w:szCs w:val="24"/>
    </w:rPr>
  </w:style>
  <w:style w:type="paragraph" w:customStyle="1" w:styleId="35">
    <w:name w:val="表格文字"/>
    <w:basedOn w:val="1"/>
    <w:next w:val="1"/>
    <w:qFormat/>
    <w:uiPriority w:val="0"/>
    <w:pPr>
      <w:ind w:firstLine="0"/>
      <w:jc w:val="center"/>
    </w:pPr>
    <w:rPr>
      <w:rFonts w:eastAsia="宋体"/>
      <w:sz w:val="18"/>
      <w:szCs w:val="18"/>
    </w:rPr>
  </w:style>
  <w:style w:type="paragraph" w:customStyle="1" w:styleId="36">
    <w:name w:val="表格内文字"/>
    <w:basedOn w:val="1"/>
    <w:qFormat/>
    <w:uiPriority w:val="0"/>
    <w:pPr>
      <w:tabs>
        <w:tab w:val="left" w:pos="0"/>
      </w:tabs>
      <w:adjustRightInd w:val="0"/>
      <w:snapToGrid w:val="0"/>
      <w:jc w:val="center"/>
    </w:pPr>
    <w:rPr>
      <w:szCs w:val="21"/>
    </w:rPr>
  </w:style>
  <w:style w:type="paragraph" w:customStyle="1" w:styleId="37">
    <w:name w:val="标题3"/>
    <w:basedOn w:val="1"/>
    <w:qFormat/>
    <w:uiPriority w:val="0"/>
    <w:pPr>
      <w:spacing w:line="360" w:lineRule="auto"/>
      <w:outlineLvl w:val="2"/>
    </w:pPr>
    <w:rPr>
      <w:b/>
      <w:sz w:val="24"/>
    </w:rPr>
  </w:style>
  <w:style w:type="paragraph" w:customStyle="1" w:styleId="38">
    <w:name w:val="表头 ylp"/>
    <w:basedOn w:val="1"/>
    <w:qFormat/>
    <w:uiPriority w:val="0"/>
    <w:pPr>
      <w:adjustRightInd w:val="0"/>
      <w:snapToGrid w:val="0"/>
      <w:spacing w:before="50" w:beforeLines="50"/>
      <w:jc w:val="center"/>
    </w:pPr>
    <w:rPr>
      <w:rFonts w:ascii="Times New Roman" w:hAnsi="Times New Roman" w:eastAsia="黑体"/>
      <w:sz w:val="24"/>
      <w:lang w:bidi="he-IL"/>
    </w:rPr>
  </w:style>
  <w:style w:type="paragraph" w:customStyle="1" w:styleId="39">
    <w:name w:val="111正文格式111"/>
    <w:basedOn w:val="40"/>
    <w:qFormat/>
    <w:uiPriority w:val="0"/>
    <w:pPr>
      <w:adjustRightInd w:val="0"/>
      <w:snapToGrid w:val="0"/>
    </w:pPr>
    <w:rPr>
      <w:bCs/>
      <w:lang w:val="en-US" w:eastAsia="zh-CN"/>
    </w:rPr>
  </w:style>
  <w:style w:type="paragraph" w:customStyle="1" w:styleId="40">
    <w:name w:val="正文的格式"/>
    <w:basedOn w:val="1"/>
    <w:qFormat/>
    <w:uiPriority w:val="99"/>
    <w:pPr>
      <w:spacing w:line="360" w:lineRule="auto"/>
      <w:ind w:firstLine="200" w:firstLineChars="200"/>
    </w:pPr>
    <w:rPr>
      <w:rFonts w:ascii="Times New Roman" w:hAnsi="Times New Roman"/>
      <w:sz w:val="24"/>
      <w:szCs w:val="24"/>
    </w:rPr>
  </w:style>
  <w:style w:type="table" w:customStyle="1" w:styleId="41">
    <w:name w:val="样式6"/>
    <w:basedOn w:val="17"/>
    <w:qFormat/>
    <w:uiPriority w:val="99"/>
    <w:pPr>
      <w:jc w:val="center"/>
    </w:pPr>
    <w:rPr>
      <w:rFonts w:ascii="Times New Roman" w:hAnsi="Times New Roman"/>
    </w:rPr>
    <w:tblPr>
      <w:tblBorders>
        <w:top w:val="single" w:color="auto" w:sz="12" w:space="0"/>
        <w:bottom w:val="single" w:color="auto" w:sz="12" w:space="0"/>
        <w:insideH w:val="single" w:color="auto" w:sz="4" w:space="0"/>
        <w:insideV w:val="single" w:color="auto" w:sz="4" w:space="0"/>
      </w:tblBorders>
      <w:tblCellMar>
        <w:left w:w="0" w:type="dxa"/>
        <w:right w:w="0" w:type="dxa"/>
      </w:tblCellMar>
    </w:tblPr>
    <w:tcPr>
      <w:vAlign w:val="center"/>
    </w:tcPr>
  </w:style>
  <w:style w:type="character" w:customStyle="1" w:styleId="42">
    <w:name w:val="标题 3 字符"/>
    <w:link w:val="4"/>
    <w:qFormat/>
    <w:uiPriority w:val="0"/>
    <w:rPr>
      <w:rFonts w:ascii="Times New Roman" w:hAnsi="Times New Roman" w:eastAsia="宋体"/>
      <w:b/>
      <w:color w:val="000000"/>
      <w:sz w:val="28"/>
    </w:rPr>
  </w:style>
  <w:style w:type="paragraph" w:customStyle="1" w:styleId="43">
    <w:name w:val="表哥的格式"/>
    <w:basedOn w:val="1"/>
    <w:qFormat/>
    <w:uiPriority w:val="0"/>
    <w:pPr>
      <w:autoSpaceDE w:val="0"/>
      <w:autoSpaceDN w:val="0"/>
      <w:adjustRightInd w:val="0"/>
      <w:snapToGrid w:val="0"/>
      <w:jc w:val="center"/>
    </w:pPr>
    <w:rPr>
      <w:rFonts w:ascii="Times New Roman" w:hAnsi="Times New Roman"/>
      <w:kern w:val="0"/>
      <w:sz w:val="21"/>
      <w:szCs w:val="21"/>
    </w:rPr>
  </w:style>
  <w:style w:type="character" w:customStyle="1" w:styleId="44">
    <w:name w:val="标题 1 Char1"/>
    <w:link w:val="2"/>
    <w:qFormat/>
    <w:uiPriority w:val="99"/>
    <w:rPr>
      <w:rFonts w:ascii="Times New Roman" w:hAnsi="Times New Roman" w:eastAsia="黑体"/>
      <w:b/>
      <w:bCs/>
      <w:color w:val="000000"/>
      <w:kern w:val="44"/>
      <w:sz w:val="30"/>
      <w:szCs w:val="30"/>
    </w:rPr>
  </w:style>
  <w:style w:type="character" w:customStyle="1" w:styleId="45">
    <w:name w:val="black3"/>
    <w:qFormat/>
    <w:uiPriority w:val="0"/>
    <w:rPr>
      <w:rFonts w:hint="eastAsia" w:ascii="宋体" w:hAnsi="宋体" w:eastAsia="宋体"/>
      <w:color w:val="000000"/>
      <w:sz w:val="18"/>
      <w:szCs w:val="18"/>
      <w:u w:val="none"/>
    </w:rPr>
  </w:style>
  <w:style w:type="paragraph" w:customStyle="1" w:styleId="46">
    <w:name w:val="正文2"/>
    <w:basedOn w:val="1"/>
    <w:qFormat/>
    <w:uiPriority w:val="0"/>
    <w:pPr>
      <w:adjustRightInd w:val="0"/>
      <w:snapToGrid w:val="0"/>
      <w:spacing w:line="440" w:lineRule="atLeast"/>
      <w:ind w:firstLine="567"/>
    </w:pPr>
    <w:rPr>
      <w:sz w:val="24"/>
      <w:szCs w:val="20"/>
    </w:rPr>
  </w:style>
  <w:style w:type="paragraph" w:customStyle="1" w:styleId="47">
    <w:name w:val="首行缩进正文"/>
    <w:basedOn w:val="1"/>
    <w:qFormat/>
    <w:uiPriority w:val="0"/>
    <w:pPr>
      <w:spacing w:line="360" w:lineRule="auto"/>
      <w:ind w:firstLine="480" w:firstLineChars="200"/>
    </w:pPr>
    <w:rPr>
      <w:sz w:val="24"/>
    </w:rPr>
  </w:style>
  <w:style w:type="paragraph" w:customStyle="1" w:styleId="48">
    <w:name w:val="中文报告书样式"/>
    <w:basedOn w:val="1"/>
    <w:qFormat/>
    <w:uiPriority w:val="0"/>
    <w:pPr>
      <w:adjustRightInd w:val="0"/>
      <w:spacing w:line="480" w:lineRule="atLeast"/>
      <w:ind w:firstLine="482"/>
      <w:textAlignment w:val="baseline"/>
    </w:pPr>
    <w:rPr>
      <w:kern w:val="24"/>
      <w:sz w:val="24"/>
      <w:szCs w:val="20"/>
    </w:rPr>
  </w:style>
  <w:style w:type="paragraph" w:customStyle="1" w:styleId="49">
    <w:name w:val="正文_15"/>
    <w:qFormat/>
    <w:uiPriority w:val="0"/>
    <w:pPr>
      <w:widowControl w:val="0"/>
      <w:jc w:val="both"/>
    </w:pPr>
    <w:rPr>
      <w:rFonts w:ascii="Calibri" w:hAnsi="Calibri" w:eastAsia="宋体" w:cs="Times New Roman"/>
      <w:kern w:val="2"/>
      <w:sz w:val="21"/>
      <w:lang w:val="en-US" w:eastAsia="zh-CN" w:bidi="ar-SA"/>
    </w:rPr>
  </w:style>
  <w:style w:type="paragraph" w:customStyle="1" w:styleId="50">
    <w:name w:val="正文_13"/>
    <w:qFormat/>
    <w:uiPriority w:val="0"/>
    <w:pPr>
      <w:widowControl w:val="0"/>
      <w:jc w:val="both"/>
    </w:pPr>
    <w:rPr>
      <w:rFonts w:ascii="Calibri" w:hAnsi="Calibri" w:eastAsia="宋体" w:cs="Times New Roman"/>
      <w:kern w:val="2"/>
      <w:sz w:val="21"/>
      <w:lang w:val="en-US" w:eastAsia="zh-CN" w:bidi="ar-SA"/>
    </w:rPr>
  </w:style>
  <w:style w:type="paragraph" w:customStyle="1" w:styleId="51">
    <w:name w:val="正文_16"/>
    <w:qFormat/>
    <w:uiPriority w:val="0"/>
    <w:pPr>
      <w:widowControl w:val="0"/>
      <w:jc w:val="both"/>
    </w:pPr>
    <w:rPr>
      <w:rFonts w:ascii="Calibri" w:hAnsi="Calibri" w:eastAsia="宋体" w:cs="Times New Roman"/>
      <w:kern w:val="2"/>
      <w:sz w:val="21"/>
      <w:lang w:val="en-US" w:eastAsia="zh-CN" w:bidi="ar-SA"/>
    </w:rPr>
  </w:style>
  <w:style w:type="paragraph" w:customStyle="1" w:styleId="52">
    <w:name w:val="正文_23"/>
    <w:qFormat/>
    <w:uiPriority w:val="0"/>
    <w:pPr>
      <w:widowControl w:val="0"/>
      <w:jc w:val="both"/>
    </w:pPr>
    <w:rPr>
      <w:rFonts w:ascii="Calibri" w:hAnsi="Calibri" w:eastAsia="宋体" w:cs="Times New Roman"/>
      <w:kern w:val="2"/>
      <w:sz w:val="21"/>
      <w:lang w:val="en-US" w:eastAsia="zh-CN" w:bidi="ar-SA"/>
    </w:rPr>
  </w:style>
  <w:style w:type="character" w:customStyle="1" w:styleId="53">
    <w:name w:val="font12"/>
    <w:basedOn w:val="19"/>
    <w:qFormat/>
    <w:uiPriority w:val="0"/>
    <w:rPr>
      <w:rFonts w:hint="eastAsia" w:ascii="宋体" w:hAnsi="宋体" w:eastAsia="宋体" w:cs="宋体"/>
      <w:color w:val="000000"/>
      <w:sz w:val="21"/>
      <w:szCs w:val="21"/>
      <w:u w:val="none"/>
    </w:rPr>
  </w:style>
  <w:style w:type="paragraph" w:customStyle="1" w:styleId="54">
    <w:name w:val=" Char Char Char1 Char"/>
    <w:basedOn w:val="1"/>
    <w:qFormat/>
    <w:uiPriority w:val="0"/>
    <w:rPr>
      <w:szCs w:val="24"/>
    </w:rPr>
  </w:style>
  <w:style w:type="character" w:customStyle="1" w:styleId="55">
    <w:name w:val="font111"/>
    <w:basedOn w:val="19"/>
    <w:qFormat/>
    <w:uiPriority w:val="0"/>
    <w:rPr>
      <w:rFonts w:hint="default" w:ascii="Times New Roman" w:hAnsi="Times New Roman" w:cs="Times New Roman"/>
      <w:color w:val="000000"/>
      <w:sz w:val="21"/>
      <w:szCs w:val="21"/>
      <w:u w:val="none"/>
      <w:vertAlign w:val="superscript"/>
    </w:rPr>
  </w:style>
  <w:style w:type="paragraph" w:customStyle="1" w:styleId="56">
    <w:name w:val="报告表表格"/>
    <w:basedOn w:val="1"/>
    <w:qFormat/>
    <w:uiPriority w:val="0"/>
    <w:pPr>
      <w:jc w:val="center"/>
    </w:pPr>
    <w:rPr>
      <w:rFonts w:ascii="Times New Roman" w:hAnsi="Times New Roman" w:cs="宋体"/>
      <w:sz w:val="21"/>
    </w:rPr>
  </w:style>
  <w:style w:type="paragraph" w:customStyle="1" w:styleId="57">
    <w:name w:val="表格"/>
    <w:basedOn w:val="1"/>
    <w:next w:val="1"/>
    <w:qFormat/>
    <w:uiPriority w:val="0"/>
    <w:pPr>
      <w:adjustRightInd w:val="0"/>
      <w:snapToGrid w:val="0"/>
      <w:spacing w:beforeLines="10" w:afterLines="10" w:line="259" w:lineRule="auto"/>
      <w:jc w:val="center"/>
    </w:pPr>
    <w:rPr>
      <w:rFonts w:ascii="宋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emf"/><Relationship Id="rId13" Type="http://schemas.openxmlformats.org/officeDocument/2006/relationships/oleObject" Target="embeddings/oleObject1.bin"/><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34d92b49-e804-4097-8120-5c24a71c4cc9</errorID>
      <errorWord>(2024)99号</errorWord>
      <group>L1_Knowledge</group>
      <groupName>知识性问题</groupName>
      <ability>L2_Knowledge</ability>
      <abilityName>其他知识</abilityName>
      <candidateList>
        <item>〔2024〕99号</item>
      </candidateList>
      <explain>发文字号格式错误。</explain>
      <paraID>3CA341D8</paraID>
      <start>5</start>
      <end>14</end>
      <status>unmodified</status>
      <modifiedWord/>
      <trackRevisions>false</trackRevisions>
    </reviewItem>
    <reviewItem>
      <errorID>264aee6e-bae5-48cf-bb31-415bb444c242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67DFFDFB</paraID>
      <start>0</start>
      <end>2</end>
      <status>unmodified</status>
      <modifiedWord/>
      <trackRevisions>false</trackRevisions>
    </reviewItem>
    <reviewItem>
      <errorID>0ff3492b-5457-4e80-a029-6d29ee089e10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72599090</paraID>
      <start>0</start>
      <end>2</end>
      <status>unmodified</status>
      <modifiedWord/>
      <trackRevisions>false</trackRevisions>
    </reviewItem>
    <reviewItem>
      <errorID>30711a6f-e2bf-4770-9641-85329d6c5101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62328E2E</paraID>
      <start>31</start>
      <end>32</end>
      <status>unmodified</status>
      <modifiedWord/>
      <trackRevisions>false</trackRevisions>
    </reviewItem>
    <reviewItem>
      <errorID>58eb2165-74c6-4f3a-86f2-f70841b614e0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565759EE</paraID>
      <start>125</start>
      <end>126</end>
      <status>unmodified</status>
      <modifiedWord/>
      <trackRevisions>false</trackRevisions>
    </reviewItem>
    <reviewItem>
      <errorID>688727fe-90ce-4582-a3d4-eda330ee1737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310BA975</paraID>
      <start>0</start>
      <end>2</end>
      <status>unmodified</status>
      <modifiedWord/>
      <trackRevisions>false</trackRevisions>
    </reviewItem>
    <reviewItem>
      <errorID>f7b40307-48be-4ec6-a010-71686293a810</errorID>
      <errorWord>《限制用地项目目录》（2012年本）</errorWord>
      <group>L1_Knowledge</group>
      <groupName>知识性问题</groupName>
      <ability>L2_Knowledge</ability>
      <abilityName>其他知识</abilityName>
      <candidateList>
        <item>《限制用地项目目录（2012年本）》</item>
      </candidateList>
      <explain>疑似政策文件、法律法规名称等书写不规范，请注意检查。</explain>
      <paraID>6F11CD8A</paraID>
      <start>89</start>
      <end>107</end>
      <status>unmodified</status>
      <modifiedWord/>
      <trackRevisions>false</trackRevisions>
    </reviewItem>
    <reviewItem>
      <errorID>866fc1e6-105b-4d7e-80df-cef1e11a178c</errorID>
      <errorWord>《禁止用地项目目录》（2012年本）</errorWord>
      <group>L1_Knowledge</group>
      <groupName>知识性问题</groupName>
      <ability>L2_Knowledge</ability>
      <abilityName>其他知识</abilityName>
      <candidateList>
        <item>《禁止用地项目目录（2012年本）》</item>
      </candidateList>
      <explain>疑似政策文件、法律法规名称等书写不规范，请注意检查。</explain>
      <paraID>6F11CD8A</paraID>
      <start>108</start>
      <end>126</end>
      <status>unmodified</status>
      <modifiedWord/>
      <trackRevisions>false</trackRevisions>
    </reviewItem>
    <reviewItem>
      <errorID>bb1eb3eb-2c1b-4101-9e9e-0a5fc5333f6f</errorID>
      <errorWord>（</errorWord>
      <group>L1_Punc</group>
      <groupName>标点问题</groupName>
      <ability>L2_Punc_CN</ability>
      <abilityName>标点符号问题</abilityName>
      <candidateList/>
      <explain>同一形式括号套用。</explain>
      <paraID>6F11CD8A</paraID>
      <start>201</start>
      <end>202</end>
      <status>unmodified</status>
      <modifiedWord/>
      <trackRevisions>false</trackRevisions>
    </reviewItem>
    <reviewItem>
      <errorID>069b2ea2-e9a4-4443-ae07-ecbc9eb00c4d</errorID>
      <errorWord>(2024)99号</errorWord>
      <group>L1_Knowledge</group>
      <groupName>知识性问题</groupName>
      <ability>L2_Knowledge</ability>
      <abilityName>其他知识</abilityName>
      <candidateList>
        <item>〔2024〕99号</item>
      </candidateList>
      <explain>发文字号格式错误。</explain>
      <paraID>6F11CD8A</paraID>
      <start>207</start>
      <end>216</end>
      <status>unmodified</status>
      <modifiedWord/>
      <trackRevisions>false</trackRevisions>
    </reviewItem>
    <reviewItem>
      <errorID>3f42de9a-3485-4802-9a89-68d2c18c9d8a</errorID>
      <errorWord>）</errorWord>
      <group>L1_Punc</group>
      <groupName>标点问题</groupName>
      <ability>L2_Punc_CN</ability>
      <abilityName>标点符号问题</abilityName>
      <candidateList/>
      <explain>同一形式括号套用。</explain>
      <paraID>6F11CD8A</paraID>
      <start>216</start>
      <end>217</end>
      <status>unmodified</status>
      <modifiedWord/>
      <trackRevisions>false</trackRevisions>
    </reviewItem>
    <reviewItem>
      <errorID>8c2952d8-e1fe-4c3e-a785-62c2dc68b156</errorID>
      <errorWord>(</errorWord>
      <group>L1_Format</group>
      <groupName>格式问题</groupName>
      <ability>L2_HalfPunc_CN</ability>
      <abilityName>全半角问题</abilityName>
      <candidateList>
        <item>（</item>
      </candidateList>
      <explain>文本全半角错误。</explain>
      <paraID>6F11CD8A</paraID>
      <start>217</start>
      <end>218</end>
      <status>unmodified</status>
      <modifiedWord/>
      <trackRevisions>false</trackRevisions>
    </reviewItem>
    <reviewItem>
      <errorID>dbbcd5fe-fa87-4b69-b275-1f0d4303a727</errorID>
      <errorWord>)</errorWord>
      <group>L1_Format</group>
      <groupName>格式问题</groupName>
      <ability>L2_HalfPunc_CN</ability>
      <abilityName>全半角问题</abilityName>
      <candidateList>
        <item>）</item>
      </candidateList>
      <explain>文本全半角错误。</explain>
      <paraID>6F11CD8A</paraID>
      <start>223</start>
      <end>224</end>
      <status>unmodified</status>
      <modifiedWord/>
      <trackRevisions>false</trackRevisions>
    </reviewItem>
    <reviewItem>
      <errorID>102f71f4-620a-46a4-ae8b-21eead466634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78F1DEA8</paraID>
      <start>0</start>
      <end>2</end>
      <status>unmodified</status>
      <modifiedWord/>
      <trackRevisions>false</trackRevisions>
    </reviewItem>
    <reviewItem>
      <errorID>d5c5c00e-9719-4278-9566-b7b3c8108e1f</errorID>
      <errorWord>(</errorWord>
      <group>L1_Format</group>
      <groupName>格式问题</groupName>
      <ability>L2_HalfPunc_CN</ability>
      <abilityName>全半角问题</abilityName>
      <candidateList>
        <item>（</item>
      </candidateList>
      <explain>文本全半角错误。</explain>
      <paraID>4AE61EA5</paraID>
      <start>81</start>
      <end>82</end>
      <status>unmodified</status>
      <modifiedWord/>
      <trackRevisions>false</trackRevisions>
    </reviewItem>
    <reviewItem>
      <errorID>abb852b2-b76a-4c95-a490-6cf242150464</errorID>
      <errorWord>)</errorWord>
      <group>L1_Format</group>
      <groupName>格式问题</groupName>
      <ability>L2_HalfPunc_CN</ability>
      <abilityName>全半角问题</abilityName>
      <candidateList>
        <item>）</item>
      </candidateList>
      <explain>文本全半角错误。</explain>
      <paraID>4AE61EA5</paraID>
      <start>111</start>
      <end>112</end>
      <status>unmodified</status>
      <modifiedWord/>
      <trackRevisions>false</trackRevisions>
    </reviewItem>
    <reviewItem>
      <errorID>d2501b83-92a3-42ea-8f68-7460ab5cf990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14D42505</paraID>
      <start>0</start>
      <end>2</end>
      <status>unmodified</status>
      <modifiedWord/>
      <trackRevisions>false</trackRevisions>
    </reviewItem>
    <reviewItem>
      <errorID>74e17e2e-a802-45c0-9c7c-d8fd9daa0350</errorID>
      <errorWord>三线一单</errorWord>
      <group>L1_Political</group>
      <groupName>政治性问题</groupName>
      <ability>L2_Keyword</ability>
      <abilityName>固定表述</abilityName>
      <candidateList>
        <item>“三线一单”</item>
      </candidateList>
      <explain>注意检查当前固定表述标点是否使用规范。</explain>
      <paraID>4912FFFE</paraID>
      <start>75</start>
      <end>79</end>
      <status>unmodified</status>
      <modifiedWord/>
      <trackRevisions>false</trackRevisions>
    </reviewItem>
    <reviewItem>
      <errorID>092c9d0a-fc9e-46bb-9fc2-e8d717063b1c</errorID>
      <errorWord>（</errorWord>
      <group>L1_Format</group>
      <groupName>格式问题</groupName>
      <ability>L2_HalfPunc_CN</ability>
      <abilityName>全半角问题</abilityName>
      <candidateList>
        <item>(</item>
      </candidateList>
      <explain>文本全半角错误。</explain>
      <paraID>37C37ACB</paraID>
      <start>0</start>
      <end>1</end>
      <status>unmodified</status>
      <modifiedWord/>
      <trackRevisions>false</trackRevisions>
    </reviewItem>
    <reviewItem>
      <errorID>cc3a95c4-62ca-40d0-b298-0787aafb3783</errorID>
      <errorWord>）</errorWord>
      <group>L1_Format</group>
      <groupName>格式问题</groupName>
      <ability>L2_HalfPunc_CN</ability>
      <abilityName>全半角问题</abilityName>
      <candidateList>
        <item>)</item>
      </candidateList>
      <explain>文本全半角错误。</explain>
      <paraID>37C37ACB</paraID>
      <start>14</start>
      <end>15</end>
      <status>unmodified</status>
      <modifiedWord/>
      <trackRevisions>false</trackRevisions>
    </reviewItem>
    <reviewItem>
      <errorID>5a115eca-df59-408d-b08b-57d87b665c3c</errorID>
      <errorWord>污水处理厂污水处理厂</errorWord>
      <group>L1_Word</group>
      <groupName>字词问题</groupName>
      <ability>L2_Typo</ability>
      <abilityName>字词错误</abilityName>
      <candidateList>
        <item>污水处理厂</item>
      </candidateList>
      <explain/>
      <paraID>7DBBC7C9</paraID>
      <start>41</start>
      <end>46</end>
      <status>modified</status>
      <modifiedWord>污水处理厂</modifiedWord>
      <trackRevisions>false</trackRevisions>
    </reviewItem>
    <reviewItem>
      <errorID>eb849e40-e5ae-433b-86a4-6b4ad1308604</errorID>
      <errorWord>其它能源</errorWord>
      <group>L1_Word</group>
      <groupName>字词问题</groupName>
      <ability>L2_Alias</ability>
      <abilityName>也作/曾用词</abilityName>
      <candidateList>
        <item>其他能源</item>
      </candidateList>
      <explain>词汇[其它能源]为不规范表述或旧称，其规范书面表述为[其他能源]。</explain>
      <paraID>48AD2760</paraID>
      <start>45</start>
      <end>49</end>
      <status>modified</status>
      <modifiedWord>其他能源</modifiedWord>
      <trackRevisions>false</trackRevisions>
    </reviewItem>
    <reviewItem>
      <errorID>c011bee6-3fd1-4325-8688-4004da3f226f</errorID>
      <errorWord>(</errorWord>
      <group>L1_Format</group>
      <groupName>格式问题</groupName>
      <ability>L2_HalfPunc_CN</ability>
      <abilityName>全半角问题</abilityName>
      <candidateList>
        <item>（</item>
      </candidateList>
      <explain>文本全半角错误。</explain>
      <paraID>4061B09C</paraID>
      <start>11</start>
      <end>12</end>
      <status>unmodified</status>
      <modifiedWord/>
      <trackRevisions>false</trackRevisions>
    </reviewItem>
    <reviewItem>
      <errorID>23dc81f9-eb8a-4515-883e-1f3ca022b324</errorID>
      <errorWord>)</errorWord>
      <group>L1_Format</group>
      <groupName>格式问题</groupName>
      <ability>L2_HalfPunc_CN</ability>
      <abilityName>全半角问题</abilityName>
      <candidateList>
        <item>）</item>
      </candidateList>
      <explain>文本全半角错误。</explain>
      <paraID>4061B09C</paraID>
      <start>23</start>
      <end>24</end>
      <status>unmodified</status>
      <modifiedWord/>
      <trackRevisions>false</trackRevisions>
    </reviewItem>
    <reviewItem>
      <errorID>a4e49236-ef61-404c-8a8d-d5d8698ea894</errorID>
      <errorWord>临近</errorWord>
      <group>L1_Word</group>
      <groupName>字词问题</groupName>
      <ability>L2_Typo</ability>
      <abilityName>字词错误</abilityName>
      <candidateList>
        <item>邻近</item>
      </candidateList>
      <explain/>
      <paraID>4061B09C</paraID>
      <start>81</start>
      <end>83</end>
      <status>modified</status>
      <modifiedWord>邻近</modifiedWord>
      <trackRevisions>false</trackRevisions>
    </reviewItem>
    <reviewItem>
      <errorID>e5962e44-7a0e-4302-a04a-8deee3820870</errorID>
      <errorWord>约20多万</errorWord>
      <group>L1_Word</group>
      <groupName>字词问题</groupName>
      <ability>L2_Typo</ability>
      <abilityName>字词错误</abilityName>
      <candidateList>
        <item>20多万</item>
      </candidateList>
      <explain/>
      <paraID>4061B09C</paraID>
      <start>92</start>
      <end>97</end>
      <status>unmodified</status>
      <modifiedWord/>
      <trackRevisions>false</trackRevisions>
    </reviewItem>
    <reviewItem>
      <errorID>5b873106-e144-4a58-bc8c-d0bc3f1a933d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4061B09C</paraID>
      <start>108</start>
      <end>109</end>
      <status>unmodified</status>
      <modifiedWord/>
      <trackRevisions>false</trackRevisions>
    </reviewItem>
    <reviewItem>
      <errorID>7199355f-d31a-42eb-87f4-519eee65dfc0</errorID>
      <errorWord>目前现状</errorWord>
      <group>L1_Word</group>
      <groupName>字词问题</groupName>
      <ability>L2_Typo</ability>
      <abilityName>字词错误</abilityName>
      <candidateList>
        <item>现状</item>
      </candidateList>
      <explain/>
      <paraID>24048830</paraID>
      <start>45</start>
      <end>47</end>
      <status>modified</status>
      <modifiedWord>现状</modifiedWord>
      <trackRevisions>false</trackRevisions>
    </reviewItem>
    <reviewItem>
      <errorID>6a5c7f21-0c25-4deb-8f56-85e18607b1e6</errorID>
      <errorWord>每个</errorWord>
      <group>L1_Word</group>
      <groupName>字词问题</groupName>
      <ability>L2_Typo</ability>
      <abilityName>字词错误</abilityName>
      <candidateList>
        <item>每张</item>
      </candidateList>
      <explain/>
      <paraID>24048830</paraID>
      <start>212</start>
      <end>214</end>
      <status>modified</status>
      <modifiedWord>每张</modifiedWord>
      <trackRevisions>false</trackRevisions>
    </reviewItem>
    <reviewItem>
      <errorID>694c818b-a4a1-45c2-9225-ddfa11e71c20</errorID>
      <errorWord>设</errorWord>
      <group>L1_Word</group>
      <groupName>字词问题</groupName>
      <ability>L2_Typo</ability>
      <abilityName>字词错误</abilityName>
      <candidateList>
        <item>设将</item>
      </candidateList>
      <explain/>
      <paraID>13775F0C</paraID>
      <start>4</start>
      <end>6</end>
      <status>modified</status>
      <modifiedWord>设将</modifiedWord>
      <trackRevisions>false</trackRevisions>
    </reviewItem>
    <reviewItem>
      <errorID>1bcca7b2-fea4-40f8-8e31-a60f2c41809f</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31A781A4</paraID>
      <start>113</start>
      <end>119</end>
      <status>modified</status>
      <modifiedWord>）及其他有关</modifiedWord>
      <trackRevisions>false</trackRevisions>
    </reviewItem>
    <reviewItem>
      <errorID>5842939e-01ce-4d4d-8a92-6c60922cf2b1</errorID>
      <errorWord>:</errorWord>
      <group>L1_Format</group>
      <groupName>格式问题</groupName>
      <ability>L2_HalfPunc_CN</ability>
      <abilityName>全半角问题</abilityName>
      <candidateList>
        <item>：</item>
      </candidateList>
      <explain>文本全半角错误。</explain>
      <paraID>5170A9A9</paraID>
      <start>10</start>
      <end>11</end>
      <status>unmodified</status>
      <modifiedWord/>
      <trackRevisions>false</trackRevisions>
    </reviewItem>
    <reviewItem>
      <errorID>0b64a4cf-d780-45cc-b938-cc4dd10ff205</errorID>
      <errorWord>;</errorWord>
      <group>L1_Format</group>
      <groupName>格式问题</groupName>
      <ability>L2_HalfPunc_CN</ability>
      <abilityName>全半角问题</abilityName>
      <candidateList>
        <item>；</item>
      </candidateList>
      <explain>文本全半角错误。</explain>
      <paraID>6335C096</paraID>
      <start>40</start>
      <end>41</end>
      <status>unmodified</status>
      <modifiedWord/>
      <trackRevisions>false</trackRevisions>
    </reviewItem>
    <reviewItem>
      <errorID>9bf526d3-fe1c-4aab-992e-013509168ee2</errorID>
      <errorWord>相立</errorWord>
      <group>L1_Word</group>
      <groupName>字词问题</groupName>
      <ability>L2_Typo</ability>
      <abilityName>字词错误</abilityName>
      <candidateList>
        <item>相应</item>
      </candidateList>
      <explain>存在字形相近字词的误用。</explain>
      <paraID>4B8EAB97</paraID>
      <start>66</start>
      <end>68</end>
      <status>modified</status>
      <modifiedWord>相应</modifiedWord>
      <trackRevisions>false</trackRevisions>
    </reviewItem>
    <reviewItem>
      <errorID>549d70e2-8260-4625-bbcf-0e9da3eb6de9</errorID>
      <errorWord>;</errorWord>
      <group>L1_Format</group>
      <groupName>格式问题</groupName>
      <ability>L2_HalfPunc_CN</ability>
      <abilityName>全半角问题</abilityName>
      <candidateList>
        <item>；</item>
      </candidateList>
      <explain>文本全半角错误。</explain>
      <paraID>4B8EAB97</paraID>
      <start>74</start>
      <end>75</end>
      <status>unmodified</status>
      <modifiedWord/>
      <trackRevisions>false</trackRevisions>
    </reviewItem>
    <reviewItem>
      <errorID>17b07b0a-57c6-4f0f-98a6-862d5d034f7d</errorID>
      <errorWord>;</errorWord>
      <group>L1_Format</group>
      <groupName>格式问题</groupName>
      <ability>L2_HalfPunc_CN</ability>
      <abilityName>全半角问题</abilityName>
      <candidateList>
        <item>；</item>
      </candidateList>
      <explain>文本全半角错误。</explain>
      <paraID>3CB23626</paraID>
      <start>101</start>
      <end>102</end>
      <status>unmodified</status>
      <modifiedWord/>
      <trackRevisions>false</trackRevisions>
    </reviewItem>
    <reviewItem>
      <errorID>2f348fca-cdb7-4d88-ad66-c6e8fd1f3f7c</errorID>
      <errorWord>衣</errorWord>
      <group>L1_Word</group>
      <groupName>字词问题</groupName>
      <ability>L2_Typo</ability>
      <abilityName>字词错误</abilityName>
      <candidateList>
        <item>衣室</item>
      </candidateList>
      <explain/>
      <paraID>10053880</paraID>
      <start>55</start>
      <end>57</end>
      <status>modified</status>
      <modifiedWord>衣室</modifiedWord>
      <trackRevisions>false</trackRevisions>
    </reviewItem>
    <reviewItem>
      <errorID>dfa4b202-cab7-4b5d-b510-807e4392220e</errorID>
      <errorWord>衣</errorWord>
      <group>L1_Word</group>
      <groupName>字词问题</groupName>
      <ability>L2_Typo</ability>
      <abilityName>字词错误</abilityName>
      <candidateList>
        <item>衣室</item>
      </candidateList>
      <explain/>
      <paraID> 65087B7</paraID>
      <start>35</start>
      <end>37</end>
      <status>modified</status>
      <modifiedWord>衣室</modifiedWord>
      <trackRevisions>false</trackRevisions>
    </reviewItem>
    <reviewItem>
      <errorID>b4ae6132-5665-4ec2-88e2-afd05f4facff</errorID>
      <errorWord>~</errorWord>
      <group>L1_Format</group>
      <groupName>格式问题</groupName>
      <ability>L2_HalfPunc_CN</ability>
      <abilityName>全半角问题</abilityName>
      <candidateList>
        <item>～</item>
      </candidateList>
      <explain>文本全半角错误。</explain>
      <paraID>342F5823</paraID>
      <start>1</start>
      <end>2</end>
      <status>unmodified</status>
      <modifiedWord/>
      <trackRevisions>false</trackRevisions>
    </reviewItem>
    <reviewItem>
      <errorID>101c6ac4-2b2a-4bcc-a194-9cf47c801e9f</errorID>
      <errorWord>~</errorWord>
      <group>L1_Format</group>
      <groupName>格式问题</groupName>
      <ability>L2_HalfPunc_CN</ability>
      <abilityName>全半角问题</abilityName>
      <candidateList>
        <item>～</item>
      </candidateList>
      <explain>文本全半角错误。</explain>
      <paraID>507DA39A</paraID>
      <start>1</start>
      <end>2</end>
      <status>unmodified</status>
      <modifiedWord/>
      <trackRevisions>false</trackRevisions>
    </reviewItem>
    <reviewItem>
      <errorID>6f122633-6479-44ca-aac3-ad0e1019e7c2</errorID>
      <errorWord>;</errorWord>
      <group>L1_Format</group>
      <groupName>格式问题</groupName>
      <ability>L2_HalfPunc_CN</ability>
      <abilityName>全半角问题</abilityName>
      <candidateList>
        <item>；</item>
      </candidateList>
      <explain>文本全半角错误。</explain>
      <paraID> 5D9692C</paraID>
      <start>40</start>
      <end>41</end>
      <status>unmodified</status>
      <modifiedWord/>
      <trackRevisions>false</trackRevisions>
    </reviewItem>
    <reviewItem>
      <errorID>66b79fea-dc13-48f0-809c-852997676cd6</errorID>
      <errorWord>诸罐</errorWord>
      <group>L1_Word</group>
      <groupName>字词问题</groupName>
      <ability>L2_Typo</ability>
      <abilityName>字词错误</abilityName>
      <candidateList>
        <item>贮罐</item>
      </candidateList>
      <explain>存在发音相同字词的误用。</explain>
      <paraID>1F1FCC05</paraID>
      <start>10</start>
      <end>12</end>
      <status>modified</status>
      <modifiedWord>贮罐</modifiedWord>
      <trackRevisions>false</trackRevisions>
    </reviewItem>
    <reviewItem>
      <errorID>fecf94ee-bba3-4238-a2c5-2725d4defa8a</errorID>
      <errorWord>;</errorWord>
      <group>L1_Format</group>
      <groupName>格式问题</groupName>
      <ability>L2_HalfPunc_CN</ability>
      <abilityName>全半角问题</abilityName>
      <candidateList>
        <item>；</item>
      </candidateList>
      <explain>文本全半角错误。</explain>
      <paraID>33950E6E</paraID>
      <start>8</start>
      <end>9</end>
      <status>unmodified</status>
      <modifiedWord/>
      <trackRevisions>false</trackRevisions>
    </reviewItem>
    <reviewItem>
      <errorID>cac49c58-9972-4908-82c5-3add2faf3316</errorID>
      <errorWord>~</errorWord>
      <group>L1_Format</group>
      <groupName>格式问题</groupName>
      <ability>L2_HalfPunc_CN</ability>
      <abilityName>全半角问题</abilityName>
      <candidateList>
        <item>～</item>
      </candidateList>
      <explain>文本全半角错误。</explain>
      <paraID>33950E6E</paraID>
      <start>10</start>
      <end>11</end>
      <status>unmodified</status>
      <modifiedWord/>
      <trackRevisions>false</trackRevisions>
    </reviewItem>
    <reviewItem>
      <errorID>8a215113-54d5-47e9-af85-4ab5bccdcb24</errorID>
      <errorWord>、</errorWord>
      <group>L1_Word</group>
      <groupName>字词问题</groupName>
      <ability>L2_Typo</ability>
      <abilityName>字词错误</abilityName>
      <candidateList>
        <item>、一</item>
      </candidateList>
      <explain/>
      <paraID>5212833A</paraID>
      <start>28</start>
      <end>30</end>
      <status>modified</status>
      <modifiedWord>、一</modifiedWord>
      <trackRevisions>false</trackRevisions>
    </reviewItem>
    <reviewItem>
      <errorID>632cd596-8c7e-44c1-8165-e26298d7bc44</errorID>
      <errorWord>。、</errorWord>
      <group>L1_Punc</group>
      <groupName>标点问题</groupName>
      <ability>L2_Punc_CN</ability>
      <abilityName>标点符号问题</abilityName>
      <candidateList>
        <item>。</item>
      </candidateList>
      <explain/>
      <paraID>5212833A</paraID>
      <start>98</start>
      <end>100</end>
      <status>unmodified</status>
      <modifiedWord/>
      <trackRevisions>false</trackRevisions>
    </reviewItem>
    <reviewItem>
      <errorID>b80ce3ad-4f8f-4806-8a68-805b66b2e272</errorID>
      <errorWord>(</errorWord>
      <group>L1_Format</group>
      <groupName>格式问题</groupName>
      <ability>L2_HalfPunc_CN</ability>
      <abilityName>全半角问题</abilityName>
      <candidateList>
        <item>（</item>
      </candidateList>
      <explain>文本全半角错误。</explain>
      <paraID>4A58801F</paraID>
      <start>23</start>
      <end>24</end>
      <status>unmodified</status>
      <modifiedWord/>
      <trackRevisions>false</trackRevisions>
    </reviewItem>
    <reviewItem>
      <errorID>c63eee6a-06f2-4412-8b4e-8cf2e30c0b8d</errorID>
      <errorWord>)</errorWord>
      <group>L1_Format</group>
      <groupName>格式问题</groupName>
      <ability>L2_HalfPunc_CN</ability>
      <abilityName>全半角问题</abilityName>
      <candidateList>
        <item>）</item>
      </candidateList>
      <explain>文本全半角错误。</explain>
      <paraID>4A58801F</paraID>
      <start>36</start>
      <end>37</end>
      <status>unmodified</status>
      <modifiedWord/>
      <trackRevisions>false</trackRevisions>
    </reviewItem>
    <reviewItem>
      <errorID>7bc23780-7eb2-4c7d-80bc-af0cc22844d2</errorID>
      <errorWord>(</errorWord>
      <group>L1_Format</group>
      <groupName>格式问题</groupName>
      <ability>L2_HalfPunc_CN</ability>
      <abilityName>全半角问题</abilityName>
      <candidateList>
        <item>（</item>
      </candidateList>
      <explain>文本全半角错误。</explain>
      <paraID> DCC8D48</paraID>
      <start>7</start>
      <end>8</end>
      <status>unmodified</status>
      <modifiedWord/>
      <trackRevisions>false</trackRevisions>
    </reviewItem>
    <reviewItem>
      <errorID>3d1615ed-9dc0-4d5a-86b5-9f64ac9ab126</errorID>
      <errorWord>)</errorWord>
      <group>L1_Format</group>
      <groupName>格式问题</groupName>
      <ability>L2_HalfPunc_CN</ability>
      <abilityName>全半角问题</abilityName>
      <candidateList>
        <item>）</item>
      </candidateList>
      <explain>文本全半角错误。</explain>
      <paraID> DCC8D48</paraID>
      <start>10</start>
      <end>11</end>
      <status>unmodified</status>
      <modifiedWord/>
      <trackRevisions>false</trackRevisions>
    </reviewItem>
    <reviewItem>
      <errorID>fd7131f5-40d7-48ff-a15f-ca17280afc9b</errorID>
      <errorWord>接受</errorWord>
      <group>L1_Word</group>
      <groupName>字词问题</groupName>
      <ability>L2_Typo</ability>
      <abilityName>字词错误</abilityName>
      <candidateList>
        <item>接收</item>
      </candidateList>
      <explain/>
      <paraID>21426506</paraID>
      <start>2</start>
      <end>4</end>
      <status>modified</status>
      <modifiedWord>接收</modifiedWord>
      <trackRevisions>false</trackRevisions>
    </reviewItem>
    <reviewItem>
      <errorID>5bb16ab0-6720-46f3-85ff-024cd4c641fe</errorID>
      <errorWord>(</errorWord>
      <group>L1_Format</group>
      <groupName>格式问题</groupName>
      <ability>L2_HalfPunc_CN</ability>
      <abilityName>全半角问题</abilityName>
      <candidateList>
        <item>（</item>
      </candidateList>
      <explain>文本全半角错误。</explain>
      <paraID> 7E3226F</paraID>
      <start>5</start>
      <end>6</end>
      <status>unmodified</status>
      <modifiedWord/>
      <trackRevisions>false</trackRevisions>
    </reviewItem>
    <reviewItem>
      <errorID>f37bd3e3-b740-4af6-ac4b-435d403757ff</errorID>
      <errorWord>)</errorWord>
      <group>L1_Format</group>
      <groupName>格式问题</groupName>
      <ability>L2_HalfPunc_CN</ability>
      <abilityName>全半角问题</abilityName>
      <candidateList>
        <item>）</item>
      </candidateList>
      <explain>文本全半角错误。</explain>
      <paraID> 7E3226F</paraID>
      <start>8</start>
      <end>9</end>
      <status>unmodified</status>
      <modifiedWord/>
      <trackRevisions>false</trackRevisions>
    </reviewItem>
    <reviewItem>
      <errorID>5efbd99c-7950-4462-9d59-e5ceb0c3d88a</errorID>
      <errorWord>(</errorWord>
      <group>L1_Format</group>
      <groupName>格式问题</groupName>
      <ability>L2_HalfPunc_CN</ability>
      <abilityName>全半角问题</abilityName>
      <candidateList>
        <item>（</item>
      </candidateList>
      <explain>文本全半角错误。</explain>
      <paraID>73C1FF8E</paraID>
      <start>3</start>
      <end>4</end>
      <status>unmodified</status>
      <modifiedWord/>
      <trackRevisions>false</trackRevisions>
    </reviewItem>
    <reviewItem>
      <errorID>a12b147b-91a2-4738-a3e3-b0d504701f88</errorID>
      <errorWord>)</errorWord>
      <group>L1_Format</group>
      <groupName>格式问题</groupName>
      <ability>L2_HalfPunc_CN</ability>
      <abilityName>全半角问题</abilityName>
      <candidateList>
        <item>）</item>
      </candidateList>
      <explain>文本全半角错误。</explain>
      <paraID>73C1FF8E</paraID>
      <start>6</start>
      <end>7</end>
      <status>unmodified</status>
      <modifiedWord/>
      <trackRevisions>false</trackRevisions>
    </reviewItem>
    <reviewItem>
      <errorID>be90d02b-5172-4d3b-9b1d-80f87d7d51b7</errorID>
      <errorWord>(</errorWord>
      <group>L1_Format</group>
      <groupName>格式问题</groupName>
      <ability>L2_HalfPunc_CN</ability>
      <abilityName>全半角问题</abilityName>
      <candidateList>
        <item>（</item>
      </candidateList>
      <explain>文本全半角错误。</explain>
      <paraID>4C69DF65</paraID>
      <start>3</start>
      <end>4</end>
      <status>unmodified</status>
      <modifiedWord/>
      <trackRevisions>false</trackRevisions>
    </reviewItem>
    <reviewItem>
      <errorID>d5f68012-028b-4a21-88fc-b1affb9e96e8</errorID>
      <errorWord>)</errorWord>
      <group>L1_Format</group>
      <groupName>格式问题</groupName>
      <ability>L2_HalfPunc_CN</ability>
      <abilityName>全半角问题</abilityName>
      <candidateList>
        <item>）</item>
      </candidateList>
      <explain>文本全半角错误。</explain>
      <paraID>4C69DF65</paraID>
      <start>6</start>
      <end>7</end>
      <status>unmodified</status>
      <modifiedWord/>
      <trackRevisions>false</trackRevisions>
    </reviewItem>
    <reviewItem>
      <errorID>a78c5221-5bb2-40a6-8035-b13873e96463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4BAABA8C</paraID>
      <start>63</start>
      <end>64</end>
      <status>unmodified</status>
      <modifiedWord/>
      <trackRevisions>false</trackRevisions>
    </reviewItem>
    <reviewItem>
      <errorID>00761048-e83c-4466-b22c-520450cab3ca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203FAA99</paraID>
      <start>49</start>
      <end>50</end>
      <status>unmodified</status>
      <modifiedWord/>
      <trackRevisions>false</trackRevisions>
    </reviewItem>
    <reviewItem>
      <errorID>6452354f-70a4-4eee-a192-c24b5e5d5957</errorID>
      <errorWord>约为</errorWord>
      <group>L1_Word</group>
      <groupName>字词问题</groupName>
      <ability>L2_Typo</ability>
      <abilityName>字词错误</abilityName>
      <candidateList>
        <item>约</item>
      </candidateList>
      <explain/>
      <paraID>6F83F716</paraID>
      <start>36</start>
      <end>37</end>
      <status>modified</status>
      <modifiedWord>约</modifiedWord>
      <trackRevisions>false</trackRevisions>
    </reviewItem>
    <reviewItem>
      <errorID>4e2a2e14-96f8-4aa5-811c-6e5dc42c3580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14C3B8D1</paraID>
      <start>0</start>
      <end>3</end>
      <status>unmodified</status>
      <modifiedWord/>
      <trackRevisions>false</trackRevisions>
    </reviewItem>
    <reviewItem>
      <errorID>0b688090-e947-4533-ae63-fab4ed9c94ae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21FF1D61</paraID>
      <start>0</start>
      <end>3</end>
      <status>unmodified</status>
      <modifiedWord/>
      <trackRevisions>false</trackRevisions>
    </reviewItem>
    <reviewItem>
      <errorID>6f48cb2e-58bf-45e9-935a-ff009753790a</errorID>
      <errorWord>程</errorWord>
      <group>L1_Word</group>
      <groupName>字词问题</groupName>
      <ability>L2_Typo</ability>
      <abilityName>字词错误</abilityName>
      <candidateList>
        <item>程中</item>
      </candidateList>
      <explain/>
      <paraID>21FF1D61</paraID>
      <start>9</start>
      <end>11</end>
      <status>modified</status>
      <modifiedWord>程中</modifiedWord>
      <trackRevisions>false</trackRevisions>
    </reviewItem>
    <reviewItem>
      <errorID>eec1a070-9d72-405b-8d93-c47080bc146d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2A3CAA7B</paraID>
      <start>0</start>
      <end>3</end>
      <status>unmodified</status>
      <modifiedWord/>
      <trackRevisions>false</trackRevisions>
    </reviewItem>
    <reviewItem>
      <errorID>f5751ae2-608c-4a36-a5d5-30e35cddf157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5A788975</paraID>
      <start>0</start>
      <end>3</end>
      <status>unmodified</status>
      <modifiedWord/>
      <trackRevisions>false</trackRevisions>
    </reviewItem>
    <reviewItem>
      <errorID>ef240c11-8373-43f7-8318-3b82028a223f</errorID>
      <errorWord>（</errorWord>
      <group>L1_Format</group>
      <groupName>格式问题</groupName>
      <ability>L2_HalfPunc_CN</ability>
      <abilityName>全半角问题</abilityName>
      <candidateList>
        <item>(</item>
      </candidateList>
      <explain>文本全半角错误。</explain>
      <paraID>7B101EFC</paraID>
      <start>3</start>
      <end>4</end>
      <status>unmodified</status>
      <modifiedWord/>
      <trackRevisions>false</trackRevisions>
    </reviewItem>
    <reviewItem>
      <errorID>a130f61c-cdd4-40f8-9e68-70f76928317c</errorID>
      <errorWord>）</errorWord>
      <group>L1_Format</group>
      <groupName>格式问题</groupName>
      <ability>L2_HalfPunc_CN</ability>
      <abilityName>全半角问题</abilityName>
      <candidateList>
        <item>)</item>
      </candidateList>
      <explain>文本全半角错误。</explain>
      <paraID>7B101EFC</paraID>
      <start>5</start>
      <end>6</end>
      <status>unmodified</status>
      <modifiedWord/>
      <trackRevisions>false</trackRevisions>
    </reviewItem>
    <reviewItem>
      <errorID>377374eb-da56-471f-bebe-3124ac3849aa</errorID>
      <errorWord>1980年代</errorWord>
      <group>L1_Knowledge</group>
      <groupName>知识性问题</groupName>
      <ability>L2_Time</ability>
      <abilityName>日期时间</abilityName>
      <candidateList>
        <item>20世纪80年代</item>
      </candidateList>
      <explain>年代表述建议使用世纪+年代的格式。</explain>
      <paraID>15CBA04B</paraID>
      <start>25</start>
      <end>31</end>
      <status>unmodified</status>
      <modifiedWord/>
      <trackRevisions>false</trackRevisions>
    </reviewItem>
    <reviewItem>
      <errorID>a03e95c8-2b93-40ec-a84d-d137c465a558</errorID>
      <errorWord>（</errorWord>
      <group>L1_Punc</group>
      <groupName>标点问题</groupName>
      <ability>L2_Punc_CN</ability>
      <abilityName>标点符号问题</abilityName>
      <candidateList/>
      <explain>同一形式括号套用。</explain>
      <paraID> 11C31D9</paraID>
      <start>77</start>
      <end>78</end>
      <status>unmodified</status>
      <modifiedWord/>
      <trackRevisions>false</trackRevisions>
    </reviewItem>
    <reviewItem>
      <errorID>31965859-8580-45df-b4f4-d44becefdee9</errorID>
      <errorWord>）</errorWord>
      <group>L1_Punc</group>
      <groupName>标点问题</groupName>
      <ability>L2_Punc_CN</ability>
      <abilityName>标点符号问题</abilityName>
      <candidateList/>
      <explain>同一形式括号套用。</explain>
      <paraID> 11C31D9</paraID>
      <start>82</start>
      <end>83</end>
      <status>unmodified</status>
      <modifiedWord/>
      <trackRevisions>false</trackRevisions>
    </reviewItem>
    <reviewItem>
      <errorID>ab167103-e5a8-46d7-bbf4-0db4e09708ea</errorID>
      <errorWord>进</errorWord>
      <group>L1_Word</group>
      <groupName>字词问题</groupName>
      <ability>L2_Typo</ability>
      <abilityName>字词错误</abilityName>
      <candidateList>
        <item>经</item>
      </candidateList>
      <explain>存在发音相近字词的误用。</explain>
      <paraID>329EF609</paraID>
      <start>22</start>
      <end>23</end>
      <status>modified</status>
      <modifiedWord>经</modifiedWord>
      <trackRevisions>false</trackRevisions>
    </reviewItem>
    <reviewItem>
      <errorID>3d9c7242-bf8e-410f-822c-f84a14c7f376</errorID>
      <errorWord>进</errorWord>
      <group>L1_Word</group>
      <groupName>字词问题</groupName>
      <ability>L2_Typo</ability>
      <abilityName>字词错误</abilityName>
      <candidateList>
        <item>经</item>
      </candidateList>
      <explain>存在发音相近字词的误用。</explain>
      <paraID>5B8AFE62</paraID>
      <start>25</start>
      <end>26</end>
      <status>modified</status>
      <modifiedWord>经</modifiedWord>
      <trackRevisions>false</trackRevisions>
    </reviewItem>
    <reviewItem>
      <errorID>76aa9b6f-ce3f-40cd-88e9-795c89670e79</errorID>
      <errorWord>,</errorWord>
      <group>L1_Format</group>
      <groupName>格式问题</groupName>
      <ability>L2_HalfPunc_CN</ability>
      <abilityName>全半角问题</abilityName>
      <candidateList>
        <item>，</item>
      </candidateList>
      <explain>文本全半角错误。</explain>
      <paraID>2240C55D</paraID>
      <start>11</start>
      <end>12</end>
      <status>unmodified</status>
      <modifiedWord/>
      <trackRevisions>false</trackRevisions>
    </reviewItem>
    <reviewItem>
      <errorID>cff0495b-70b0-4b4a-b578-2fd0f7039b57</errorID>
      <errorWord>（</errorWord>
      <group>L1_Punc</group>
      <groupName>标点问题</groupName>
      <ability>L2_Punc_CN</ability>
      <abilityName>标点符号问题</abilityName>
      <candidateList/>
      <explain>同一形式括号套用。</explain>
      <paraID>4AF81E90</paraID>
      <start>7</start>
      <end>8</end>
      <status>unmodified</status>
      <modifiedWord/>
      <trackRevisions>false</trackRevisions>
    </reviewItem>
    <reviewItem>
      <errorID>d64e58ad-2464-44ce-a032-af013ed3f4a5</errorID>
      <errorWord>）</errorWord>
      <group>L1_Punc</group>
      <groupName>标点问题</groupName>
      <ability>L2_Punc_CN</ability>
      <abilityName>标点符号问题</abilityName>
      <candidateList/>
      <explain>同一形式括号套用。</explain>
      <paraID>4AF81E90</paraID>
      <start>9</start>
      <end>10</end>
      <status>unmodified</status>
      <modifiedWord/>
      <trackRevisions>false</trackRevisions>
    </reviewItem>
    <reviewItem>
      <errorID>5c23ece9-e3d5-4233-af33-a60f6cfc75a5</errorID>
      <errorWord>（</errorWord>
      <group>L1_Punc</group>
      <groupName>标点问题</groupName>
      <ability>L2_Punc_CN</ability>
      <abilityName>标点符号问题</abilityName>
      <candidateList/>
      <explain>同一形式括号套用。</explain>
      <paraID>23E5576A</paraID>
      <start>12</start>
      <end>13</end>
      <status>unmodified</status>
      <modifiedWord/>
      <trackRevisions>false</trackRevisions>
    </reviewItem>
    <reviewItem>
      <errorID>b9210cfa-fdc7-4cec-a177-a835cac462cb</errorID>
      <errorWord>）</errorWord>
      <group>L1_Punc</group>
      <groupName>标点问题</groupName>
      <ability>L2_Punc_CN</ability>
      <abilityName>标点符号问题</abilityName>
      <candidateList/>
      <explain>同一形式括号套用。</explain>
      <paraID>23E5576A</paraID>
      <start>14</start>
      <end>15</end>
      <status>unmodified</status>
      <modifiedWord/>
      <trackRevisions>false</trackRevisions>
    </reviewItem>
    <reviewItem>
      <errorID>6e057c48-1beb-4298-b7d6-a32b33278401</errorID>
      <errorWord>进</errorWord>
      <group>L1_Word</group>
      <groupName>字词问题</groupName>
      <ability>L2_Typo</ability>
      <abilityName>字词错误</abilityName>
      <candidateList>
        <item>经</item>
      </candidateList>
      <explain>存在发音相近字词的误用。</explain>
      <paraID>51E1C71E</paraID>
      <start>22</start>
      <end>23</end>
      <status>modified</status>
      <modifiedWord>经</modifiedWord>
      <trackRevisions>false</trackRevisions>
    </reviewItem>
    <reviewItem>
      <errorID>db17d6c3-6f85-401c-aaa4-acb0371b2114</errorID>
      <errorWord>其它</errorWord>
      <group>L1_Word</group>
      <groupName>字词问题</groupName>
      <ability>L2_Alias</ability>
      <abilityName>也作/曾用词</abilityName>
      <candidateList>
        <item>其他</item>
      </candidateList>
      <explain>词汇[其它]为不规范表述或旧称，其规范书面表述为[其他]。</explain>
      <paraID>637D27C3</paraID>
      <start>0</start>
      <end>2</end>
      <status>modified</status>
      <modifiedWord>其他</modifiedWord>
      <trackRevisions>false</trackRevisions>
    </reviewItem>
    <reviewItem>
      <errorID>53d572bc-14ac-4746-908d-6311472dd2b3</errorID>
      <errorWord>及以</errorWord>
      <group>L1_Word</group>
      <groupName>字词问题</groupName>
      <ability>L2_Typo</ability>
      <abilityName>字词错误</abilityName>
      <candidateList>
        <item>及</item>
      </candidateList>
      <explain/>
      <paraID>4C6CD1F5</paraID>
      <start>9</start>
      <end>10</end>
      <status>modified</status>
      <modifiedWord>及</modifiedWord>
      <trackRevisions>false</trackRevisions>
    </reviewItem>
    <reviewItem>
      <errorID>ac0c8b09-a5f3-4c9e-aa67-5151cedaa2a5</errorID>
      <errorWord>，</errorWord>
      <group>L1_Word</group>
      <groupName>字词问题</groupName>
      <ability>L2_Typo</ability>
      <abilityName>字词错误</abilityName>
      <candidateList>
        <item>，将</item>
      </candidateList>
      <explain/>
      <paraID>15A74982</paraID>
      <start>24</start>
      <end>25</end>
      <status>unmodified</status>
      <modifiedWord/>
      <trackRevisions>false</trackRevisions>
    </reviewItem>
    <reviewItem>
      <errorID>0b089083-94b5-40fb-857d-d83d3709fdf7</errorID>
      <errorWord>[2014]30号</errorWord>
      <group>L1_Knowledge</group>
      <groupName>知识性问题</groupName>
      <ability>L2_Knowledge</ability>
      <abilityName>其他知识</abilityName>
      <candidateList>
        <item>〔2014〕30号</item>
      </candidateList>
      <explain>发文字号格式错误。</explain>
      <paraID>4DB7F881</paraID>
      <start>27</start>
      <end>36</end>
      <status>unmodified</status>
      <modifiedWord/>
      <trackRevisions>false</trackRevisions>
    </reviewItem>
    <reviewItem>
      <errorID>8a40b6cf-ec9f-4a9b-8b1c-792d6359b293</errorID>
      <errorWord>[2006]133号</errorWord>
      <group>L1_Knowledge</group>
      <groupName>知识性问题</groupName>
      <ability>L2_Knowledge</ability>
      <abilityName>其他知识</abilityName>
      <candidateList>
        <item>〔2006〕133号</item>
      </candidateList>
      <explain>发文字号格式错误。</explain>
      <paraID>747BB346</paraID>
      <start>53</start>
      <end>63</end>
      <status>unmodified</status>
      <modifiedWord/>
      <trackRevisions>false</trackRevisions>
    </reviewItem>
    <reviewItem>
      <errorID>aa6fe528-3a43-488c-8c27-ec6026fc6997</errorID>
      <errorWord>-</errorWord>
      <group>L1_Format</group>
      <groupName>格式问题</groupName>
      <ability>L2_HalfPunc_CN</ability>
      <abilityName>全半角问题</abilityName>
      <candidateList>
        <item>－</item>
      </candidateList>
      <explain>文本全半角错误。</explain>
      <paraID>747BB346</paraID>
      <start>98</start>
      <end>99</end>
      <status>unmodified</status>
      <modifiedWord/>
      <trackRevisions>false</trackRevisions>
    </reviewItem>
    <reviewItem>
      <errorID>b61a4ffd-024d-4cb4-9daf-645edaa8d9b0</errorID>
      <errorWord>III类</errorWord>
      <group>L1_Knowledge</group>
      <groupName>知识性问题</groupName>
      <ability>L2_Knowledge</ability>
      <abilityName>其他知识</abilityName>
      <candidateList>
        <item>Ⅲ类</item>
      </candidateList>
      <explain>中文环境下罗马数字格式错误。</explain>
      <paraID>747BB346</paraID>
      <start>133</start>
      <end>137</end>
      <status>unmodified</status>
      <modifiedWord/>
      <trackRevisions>false</trackRevisions>
    </reviewItem>
    <reviewItem>
      <errorID>ef6d8f54-36da-4314-84ec-be16d479ef87</errorID>
      <errorWord>III类</errorWord>
      <group>L1_Knowledge</group>
      <groupName>知识性问题</groupName>
      <ability>L2_Knowledge</ability>
      <abilityName>其他知识</abilityName>
      <candidateList>
        <item>Ⅲ类</item>
      </candidateList>
      <explain>中文环境下罗马数字格式错误。</explain>
      <paraID>747BB346</paraID>
      <start>183</start>
      <end>187</end>
      <status>unmodified</status>
      <modifiedWord/>
      <trackRevisions>false</trackRevisions>
    </reviewItem>
    <reviewItem>
      <errorID>dd0ff9d6-8890-4c88-a657-81ced2ac48e7</errorID>
      <errorWord>-</errorWord>
      <group>L1_Format</group>
      <groupName>格式问题</groupName>
      <ability>L2_HalfPunc_CN</ability>
      <abilityName>全半角问题</abilityName>
      <candidateList>
        <item>－</item>
      </candidateList>
      <explain>文本全半角错误。</explain>
      <paraID>747BB346</paraID>
      <start>222</start>
      <end>223</end>
      <status>unmodified</status>
      <modifiedWord/>
      <trackRevisions>false</trackRevisions>
    </reviewItem>
    <reviewItem>
      <errorID>cf0587e1-c19f-4a52-b71f-558a2d323621</errorID>
      <errorWord>(</errorWord>
      <group>L1_Format</group>
      <groupName>格式问题</groupName>
      <ability>L2_HalfPunc_CN</ability>
      <abilityName>全半角问题</abilityName>
      <candidateList>
        <item>（</item>
      </candidateList>
      <explain>文本全半角错误。</explain>
      <paraID>747BB346</paraID>
      <start>287</start>
      <end>288</end>
      <status>unmodified</status>
      <modifiedWord/>
      <trackRevisions>false</trackRevisions>
    </reviewItem>
    <reviewItem>
      <errorID>69f9d493-f8c4-4875-82a0-f780c08bebd9</errorID>
      <errorWord>)</errorWord>
      <group>L1_Format</group>
      <groupName>格式问题</groupName>
      <ability>L2_HalfPunc_CN</ability>
      <abilityName>全半角问题</abilityName>
      <candidateList>
        <item>）</item>
      </candidateList>
      <explain>文本全半角错误。</explain>
      <paraID>747BB346</paraID>
      <start>299</start>
      <end>300</end>
      <status>unmodified</status>
      <modifiedWord/>
      <trackRevisions>false</trackRevisions>
    </reviewItem>
    <reviewItem>
      <errorID>c9360f70-6da8-4fbe-99d8-81eea6ae57e8</errorID>
      <errorWord>(</errorWord>
      <group>L1_Format</group>
      <groupName>格式问题</groupName>
      <ability>L2_HalfPunc_CN</ability>
      <abilityName>全半角问题</abilityName>
      <candidateList>
        <item>（</item>
      </candidateList>
      <explain>文本全半角错误。</explain>
      <paraID>61F04CD9</paraID>
      <start>2</start>
      <end>3</end>
      <status>unmodified</status>
      <modifiedWord/>
      <trackRevisions>false</trackRevisions>
    </reviewItem>
    <reviewItem>
      <errorID>6af6110d-7342-4051-8c2b-16fb9836f8c4</errorID>
      <errorWord>)</errorWord>
      <group>L1_Format</group>
      <groupName>格式问题</groupName>
      <ability>L2_HalfPunc_CN</ability>
      <abilityName>全半角问题</abilityName>
      <candidateList>
        <item>）</item>
      </candidateList>
      <explain>文本全半角错误。</explain>
      <paraID>61F04CD9</paraID>
      <start>6</start>
      <end>7</end>
      <status>unmodified</status>
      <modifiedWord/>
      <trackRevisions>false</trackRevisions>
    </reviewItem>
    <reviewItem>
      <errorID>c1ed8be7-36cd-4025-b334-7abf60fa2015</errorID>
      <errorWord>～</errorWord>
      <group>L1_Format</group>
      <groupName>格式问题</groupName>
      <ability>L2_HalfPunc_CN</ability>
      <abilityName>全半角问题</abilityName>
      <candidateList>
        <item>~</item>
      </candidateList>
      <explain>文本全半角错误。</explain>
      <paraID>4E129859</paraID>
      <start>1</start>
      <end>2</end>
      <status>unmodified</status>
      <modifiedWord/>
      <trackRevisions>false</trackRevisions>
    </reviewItem>
    <reviewItem>
      <errorID>cfe78c68-a388-4868-971c-4bf366d59912</errorID>
      <errorWord>(</errorWord>
      <group>L1_Format</group>
      <groupName>格式问题</groupName>
      <ability>L2_HalfPunc_CN</ability>
      <abilityName>全半角问题</abilityName>
      <candidateList>
        <item>（</item>
      </candidateList>
      <explain>文本全半角错误。</explain>
      <paraID>4EFD3541</paraID>
      <start>3</start>
      <end>4</end>
      <status>unmodified</status>
      <modifiedWord/>
      <trackRevisions>false</trackRevisions>
    </reviewItem>
    <reviewItem>
      <errorID>1defc497-1b9b-4501-bbaf-1b68defa77ae</errorID>
      <errorWord>)</errorWord>
      <group>L1_Format</group>
      <groupName>格式问题</groupName>
      <ability>L2_HalfPunc_CN</ability>
      <abilityName>全半角问题</abilityName>
      <candidateList>
        <item>）</item>
      </candidateList>
      <explain>文本全半角错误。</explain>
      <paraID>4EFD3541</paraID>
      <start>6</start>
      <end>7</end>
      <status>unmodified</status>
      <modifiedWord/>
      <trackRevisions>false</trackRevisions>
    </reviewItem>
    <reviewItem>
      <errorID>50b95cf3-6217-4d3d-96fc-e3435b2db0c7</errorID>
      <errorWord>纳人</errorWord>
      <group>L1_Word</group>
      <groupName>字词问题</groupName>
      <ability>L2_Typo</ability>
      <abilityName>字词错误</abilityName>
      <candidateList>
        <item>纳入</item>
      </candidateList>
      <explain/>
      <paraID>33CF221D</paraID>
      <start>38</start>
      <end>40</end>
      <status>modified</status>
      <modifiedWord>纳入</modifiedWord>
      <trackRevisions>false</trackRevisions>
    </reviewItem>
    <reviewItem>
      <errorID>ab5e1225-b5a3-4d7c-952c-b2c2613149e5</errorID>
      <errorWord>(</errorWord>
      <group>L1_Format</group>
      <groupName>格式问题</groupName>
      <ability>L2_HalfPunc_CN</ability>
      <abilityName>全半角问题</abilityName>
      <candidateList>
        <item>（</item>
      </candidateList>
      <explain>文本全半角错误。</explain>
      <paraID>33CF221D</paraID>
      <start>73</start>
      <end>74</end>
      <status>unmodified</status>
      <modifiedWord/>
      <trackRevisions>false</trackRevisions>
    </reviewItem>
    <reviewItem>
      <errorID>c599773e-e8be-4a37-9b10-35b80f0ca0e5</errorID>
      <errorWord>)</errorWord>
      <group>L1_Format</group>
      <groupName>格式问题</groupName>
      <ability>L2_HalfPunc_CN</ability>
      <abilityName>全半角问题</abilityName>
      <candidateList>
        <item>）</item>
      </candidateList>
      <explain>文本全半角错误。</explain>
      <paraID>33CF221D</paraID>
      <start>85</start>
      <end>86</end>
      <status>unmodified</status>
      <modifiedWord/>
      <trackRevisions>false</trackRevisions>
    </reviewItem>
    <reviewItem>
      <errorID>37e29d08-f19b-46fa-86d2-6a84809523e2</errorID>
      <errorWord>(</errorWord>
      <group>L1_Format</group>
      <groupName>格式问题</groupName>
      <ability>L2_HalfPunc_CN</ability>
      <abilityName>全半角问题</abilityName>
      <candidateList>
        <item>（</item>
      </candidateList>
      <explain>文本全半角错误。</explain>
      <paraID>33CF221D</paraID>
      <start>99</start>
      <end>100</end>
      <status>unmodified</status>
      <modifiedWord/>
      <trackRevisions>false</trackRevisions>
    </reviewItem>
    <reviewItem>
      <errorID>1af9648c-2072-4ad1-9327-20c494b81488</errorID>
      <errorWord>)</errorWord>
      <group>L1_Format</group>
      <groupName>格式问题</groupName>
      <ability>L2_HalfPunc_CN</ability>
      <abilityName>全半角问题</abilityName>
      <candidateList>
        <item>）</item>
      </candidateList>
      <explain>文本全半角错误。</explain>
      <paraID>33CF221D</paraID>
      <start>102</start>
      <end>103</end>
      <status>unmodified</status>
      <modifiedWord/>
      <trackRevisions>false</trackRevisions>
    </reviewItem>
    <reviewItem>
      <errorID>6817f91b-ef51-4fcc-abaa-20d926b90b11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33CF221D</paraID>
      <start>104</start>
      <end>105</end>
      <status>unmodified</status>
      <modifiedWord/>
      <trackRevisions>false</trackRevisions>
    </reviewItem>
    <reviewItem>
      <errorID>b8849d48-9f7b-4e45-a41c-e4be5786117d</errorID>
      <errorWord>(2011]22号</errorWord>
      <group>L1_Knowledge</group>
      <groupName>知识性问题</groupName>
      <ability>L2_Knowledge</ability>
      <abilityName>其他知识</abilityName>
      <candidateList>
        <item>〔2011〕22号</item>
      </candidateList>
      <explain>发文字号格式错误。</explain>
      <paraID>33CF221D</paraID>
      <start>107</start>
      <end>116</end>
      <status>unmodified</status>
      <modifiedWord/>
      <trackRevisions>false</trackRevisions>
    </reviewItem>
    <reviewItem>
      <errorID>e8a0cc9f-2fa5-46be-a1e3-f3629a39fa9e</errorID>
      <errorWord>)</errorWord>
      <group>L1_Format</group>
      <groupName>格式问题</groupName>
      <ability>L2_HalfPunc_CN</ability>
      <abilityName>全半角问题</abilityName>
      <candidateList>
        <item>）</item>
      </candidateList>
      <explain>文本全半角错误。</explain>
      <paraID>33CF221D</paraID>
      <start>116</start>
      <end>117</end>
      <status>unmodified</status>
      <modifiedWord/>
      <trackRevisions>false</trackRevisions>
    </reviewItem>
    <reviewItem>
      <errorID>2cd8b232-182b-48f5-bb07-043c7d2c71f5</errorID>
      <errorWord>;</errorWord>
      <group>L1_Format</group>
      <groupName>格式问题</groupName>
      <ability>L2_HalfPunc_CN</ability>
      <abilityName>全半角问题</abilityName>
      <candidateList>
        <item>；</item>
      </candidateList>
      <explain>文本全半角错误。</explain>
      <paraID>33CF221D</paraID>
      <start>151</start>
      <end>152</end>
      <status>unmodified</status>
      <modifiedWord/>
      <trackRevisions>false</trackRevisions>
    </reviewItem>
    <reviewItem>
      <errorID>678e4415-65cf-4e05-af40-00cac463b30a</errorID>
      <errorWord>;</errorWord>
      <group>L1_Format</group>
      <groupName>格式问题</groupName>
      <ability>L2_HalfPunc_CN</ability>
      <abilityName>全半角问题</abilityName>
      <candidateList>
        <item>；</item>
      </candidateList>
      <explain>文本全半角错误。</explain>
      <paraID>33CF221D</paraID>
      <start>179</start>
      <end>180</end>
      <status>unmodified</status>
      <modifiedWord/>
      <trackRevisions>false</trackRevisions>
    </reviewItem>
    <reviewItem>
      <errorID>f0d09d56-2d0b-4deb-a5c2-342748820be0</errorID>
      <errorWord>~</errorWord>
      <group>L1_Format</group>
      <groupName>格式问题</groupName>
      <ability>L2_HalfPunc_CN</ability>
      <abilityName>全半角问题</abilityName>
      <candidateList>
        <item>～</item>
      </candidateList>
      <explain>文本全半角错误。</explain>
      <paraID>1422556C</paraID>
      <start>33</start>
      <end>34</end>
      <status>unmodified</status>
      <modifiedWord/>
      <trackRevisions>false</trackRevisions>
    </reviewItem>
    <reviewItem>
      <errorID>383fa1ae-fc83-417e-868c-19f2105adc60</errorID>
      <errorWord>;</errorWord>
      <group>L1_Format</group>
      <groupName>格式问题</groupName>
      <ability>L2_HalfPunc_CN</ability>
      <abilityName>全半角问题</abilityName>
      <candidateList>
        <item>；</item>
      </candidateList>
      <explain>文本全半角错误。</explain>
      <paraID>1422556C</paraID>
      <start>57</start>
      <end>58</end>
      <status>unmodified</status>
      <modifiedWord/>
      <trackRevisions>false</trackRevisions>
    </reviewItem>
    <reviewItem>
      <errorID>319fbf3d-265c-4949-978d-f33b3c6f4416</errorID>
      <errorWord>II类</errorWord>
      <group>L1_Knowledge</group>
      <groupName>知识性问题</groupName>
      <ability>L2_Knowledge</ability>
      <abilityName>其他知识</abilityName>
      <candidateList>
        <item>Ⅱ类</item>
      </candidateList>
      <explain>中文环境下罗马数字格式错误。</explain>
      <paraID>1422556C</paraID>
      <start>62</start>
      <end>65</end>
      <status>unmodified</status>
      <modifiedWord/>
      <trackRevisions>false</trackRevisions>
    </reviewItem>
    <reviewItem>
      <errorID>18dda2b4-f5ac-43cd-a066-0e59ec84ffbd</errorID>
      <errorWord>;</errorWord>
      <group>L1_Format</group>
      <groupName>格式问题</groupName>
      <ability>L2_HalfPunc_CN</ability>
      <abilityName>全半角问题</abilityName>
      <candidateList>
        <item>；</item>
      </candidateList>
      <explain>文本全半角错误。</explain>
      <paraID>1422556C</paraID>
      <start>87</start>
      <end>88</end>
      <status>unmodified</status>
      <modifiedWord/>
      <trackRevisions>false</trackRevisions>
    </reviewItem>
    <reviewItem>
      <errorID>d9984c79-73c9-4965-aa97-5c63df80fddd</errorID>
      <errorWord>IV类</errorWord>
      <group>L1_Knowledge</group>
      <groupName>知识性问题</groupName>
      <ability>L2_Knowledge</ability>
      <abilityName>其他知识</abilityName>
      <candidateList>
        <item>Ⅳ类</item>
      </candidateList>
      <explain>中文环境下罗马数字格式错误。</explain>
      <paraID>1422556C</paraID>
      <start>88</start>
      <end>91</end>
      <status>unmodified</status>
      <modifiedWord/>
      <trackRevisions>false</trackRevisions>
    </reviewItem>
    <reviewItem>
      <errorID>118a7434-6070-4028-ac31-75d984eaf5ce</errorID>
      <errorWord>;</errorWord>
      <group>L1_Format</group>
      <groupName>格式问题</groupName>
      <ability>L2_HalfPunc_CN</ability>
      <abilityName>全半角问题</abilityName>
      <candidateList>
        <item>；</item>
      </candidateList>
      <explain>文本全半角错误。</explain>
      <paraID>1422556C</paraID>
      <start>96</start>
      <end>97</end>
      <status>unmodified</status>
      <modifiedWord/>
      <trackRevisions>false</trackRevisions>
    </reviewItem>
    <reviewItem>
      <errorID>f7f2f110-c2de-42ff-a79c-098df0a404af</errorID>
      <errorWord>(</errorWord>
      <group>L1_Format</group>
      <groupName>格式问题</groupName>
      <ability>L2_HalfPunc_CN</ability>
      <abilityName>全半角问题</abilityName>
      <candidateList>
        <item>（</item>
      </candidateList>
      <explain>文本全半角错误。</explain>
      <paraID> 48BDA3F</paraID>
      <start>20</start>
      <end>21</end>
      <status>unmodified</status>
      <modifiedWord/>
      <trackRevisions>false</trackRevisions>
    </reviewItem>
    <reviewItem>
      <errorID>47fc6808-8836-4246-bf63-5a1391048570</errorID>
      <errorWord>)(</errorWord>
      <group>L1_Format</group>
      <groupName>格式问题</groupName>
      <ability>L2_HalfPunc_CN</ability>
      <abilityName>全半角问题</abilityName>
      <candidateList>
        <item>）（</item>
      </candidateList>
      <explain>文本全半角错误。</explain>
      <paraID> 48BDA3F</paraID>
      <start>26</start>
      <end>28</end>
      <status>unmodified</status>
      <modifiedWord/>
      <trackRevisions>false</trackRevisions>
    </reviewItem>
    <reviewItem>
      <errorID>147dd2aa-012c-467e-ac84-1fb4f77a3b48</errorID>
      <errorWord>)</errorWord>
      <group>L1_Format</group>
      <groupName>格式问题</groupName>
      <ability>L2_HalfPunc_CN</ability>
      <abilityName>全半角问题</abilityName>
      <candidateList>
        <item>）</item>
      </candidateList>
      <explain>文本全半角错误。</explain>
      <paraID> 48BDA3F</paraID>
      <start>30</start>
      <end>31</end>
      <status>unmodified</status>
      <modifiedWord/>
      <trackRevisions>false</trackRevisions>
    </reviewItem>
    <reviewItem>
      <errorID>03d5fd50-87ec-4061-b711-02eba0343e3f</errorID>
      <errorWord>(</errorWord>
      <group>L1_Format</group>
      <groupName>格式问题</groupName>
      <ability>L2_HalfPunc_CN</ability>
      <abilityName>全半角问题</abilityName>
      <candidateList>
        <item>（</item>
      </candidateList>
      <explain>文本全半角错误。</explain>
      <paraID> 48BDA3F</paraID>
      <start>32</start>
      <end>33</end>
      <status>unmodified</status>
      <modifiedWord/>
      <trackRevisions>false</trackRevisions>
    </reviewItem>
    <reviewItem>
      <errorID>b93c377c-50d2-465b-bea6-df9d840eec72</errorID>
      <errorWord>)</errorWord>
      <group>L1_Format</group>
      <groupName>格式问题</groupName>
      <ability>L2_HalfPunc_CN</ability>
      <abilityName>全半角问题</abilityName>
      <candidateList>
        <item>）</item>
      </candidateList>
      <explain>文本全半角错误。</explain>
      <paraID>4BBF2F0C</paraID>
      <start>11</start>
      <end>12</end>
      <status>unmodified</status>
      <modifiedWord/>
      <trackRevisions>false</trackRevisions>
    </reviewItem>
    <reviewItem>
      <errorID>cd78b583-5197-4aaa-bdd6-7a52965f1a29</errorID>
      <errorWord>(</errorWord>
      <group>L1_Format</group>
      <groupName>格式问题</groupName>
      <ability>L2_HalfPunc_CN</ability>
      <abilityName>全半角问题</abilityName>
      <candidateList>
        <item>（</item>
      </candidateList>
      <explain>文本全半角错误。</explain>
      <paraID>4BBF2F0C</paraID>
      <start>73</start>
      <end>74</end>
      <status>unmodified</status>
      <modifiedWord/>
      <trackRevisions>false</trackRevisions>
    </reviewItem>
    <reviewItem>
      <errorID>3bc39743-376a-4cf9-a000-bcc6cfff1c8e</errorID>
      <errorWord>)</errorWord>
      <group>L1_Format</group>
      <groupName>格式问题</groupName>
      <ability>L2_HalfPunc_CN</ability>
      <abilityName>全半角问题</abilityName>
      <candidateList>
        <item>）</item>
      </candidateList>
      <explain>文本全半角错误。</explain>
      <paraID>4BBF2F0C</paraID>
      <start>87</start>
      <end>88</end>
      <status>unmodified</status>
      <modifiedWord/>
      <trackRevisions>false</trackRevisions>
    </reviewItem>
    <reviewItem>
      <errorID>00510f3d-e569-4b1a-8a7b-be926558f5eb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4BBF2F0C</paraID>
      <start>122</start>
      <end>123</end>
      <status>unmodified</status>
      <modifiedWord/>
      <trackRevisions>false</trackRevisions>
    </reviewItem>
    <reviewItem>
      <errorID>f47af4e4-3ae9-4f59-9e83-eb01523cafa7</errorID>
      <errorWord>（</errorWord>
      <group>L1_Punc</group>
      <groupName>标点问题</groupName>
      <ability>L2_Punc_CN</ability>
      <abilityName>标点符号问题</abilityName>
      <candidateList/>
      <explain>同一形式括号套用。</explain>
      <paraID>321BD6E2</paraID>
      <start>7</start>
      <end>8</end>
      <status>unmodified</status>
      <modifiedWord/>
      <trackRevisions>false</trackRevisions>
    </reviewItem>
    <reviewItem>
      <errorID>5ab86906-0a2e-4888-8969-6c9c8540b1be</errorID>
      <errorWord>）</errorWord>
      <group>L1_Punc</group>
      <groupName>标点问题</groupName>
      <ability>L2_Punc_CN</ability>
      <abilityName>标点符号问题</abilityName>
      <candidateList/>
      <explain>同一形式括号套用。</explain>
      <paraID>321BD6E2</paraID>
      <start>9</start>
      <end>10</end>
      <status>unmodified</status>
      <modifiedWord/>
      <trackRevisions>false</trackRevisions>
    </reviewItem>
    <reviewItem>
      <errorID>44796833-1721-4bb5-9dca-76d4eacf49b4</errorID>
      <errorWord>（</errorWord>
      <group>L1_Punc</group>
      <groupName>标点问题</groupName>
      <ability>L2_Punc_CN</ability>
      <abilityName>标点符号问题</abilityName>
      <candidateList/>
      <explain>同一形式括号套用。</explain>
      <paraID>50B6511B</paraID>
      <start>12</start>
      <end>13</end>
      <status>unmodified</status>
      <modifiedWord/>
      <trackRevisions>false</trackRevisions>
    </reviewItem>
    <reviewItem>
      <errorID>5c1da601-6c04-4ebc-971a-e7f8051fb574</errorID>
      <errorWord>）</errorWord>
      <group>L1_Punc</group>
      <groupName>标点问题</groupName>
      <ability>L2_Punc_CN</ability>
      <abilityName>标点符号问题</abilityName>
      <candidateList/>
      <explain>同一形式括号套用。</explain>
      <paraID>50B6511B</paraID>
      <start>14</start>
      <end>15</end>
      <status>unmodified</status>
      <modifiedWord/>
      <trackRevisions>false</trackRevisions>
    </reviewItem>
    <reviewItem>
      <errorID>d5032c1e-cc85-4ee0-aeb6-945ff086904f</errorID>
      <errorWord>(</errorWord>
      <group>L1_Format</group>
      <groupName>格式问题</groupName>
      <ability>L2_HalfPunc_CN</ability>
      <abilityName>全半角问题</abilityName>
      <candidateList>
        <item>（</item>
      </candidateList>
      <explain>文本全半角错误。</explain>
      <paraID>69B74828</paraID>
      <start>4</start>
      <end>5</end>
      <status>unmodified</status>
      <modifiedWord/>
      <trackRevisions>false</trackRevisions>
    </reviewItem>
    <reviewItem>
      <errorID>b12d1906-0373-429e-be9d-979af138b93b</errorID>
      <errorWord>)</errorWord>
      <group>L1_Format</group>
      <groupName>格式问题</groupName>
      <ability>L2_HalfPunc_CN</ability>
      <abilityName>全半角问题</abilityName>
      <candidateList>
        <item>）</item>
      </candidateList>
      <explain>文本全半角错误。</explain>
      <paraID>69B74828</paraID>
      <start>6</start>
      <end>7</end>
      <status>unmodified</status>
      <modifiedWord/>
      <trackRevisions>false</trackRevisions>
    </reviewItem>
    <reviewItem>
      <errorID>ee9affa1-9300-4654-9f38-14018a8f6a89</errorID>
      <errorWord>达</errorWord>
      <group>L1_Word</group>
      <groupName>字词问题</groupName>
      <ability>L2_Typo</ability>
      <abilityName>字词错误</abilityName>
      <candidateList>
        <item>达到</item>
      </candidateList>
      <explain/>
      <paraID>46079B54</paraID>
      <start>19</start>
      <end>21</end>
      <status>modified</status>
      <modifiedWord>达到</modifiedWord>
      <trackRevisions>false</trackRevisions>
    </reviewItem>
    <reviewItem>
      <errorID>d55ab57d-12c8-4843-a062-47856e38989e</errorID>
      <errorWord>~</errorWord>
      <group>L1_Format</group>
      <groupName>格式问题</groupName>
      <ability>L2_HalfPunc_CN</ability>
      <abilityName>全半角问题</abilityName>
      <candidateList>
        <item>～</item>
      </candidateList>
      <explain>文本全半角错误。</explain>
      <paraID>76B18968</paraID>
      <start>49</start>
      <end>50</end>
      <status>unmodified</status>
      <modifiedWord/>
      <trackRevisions>false</trackRevisions>
    </reviewItem>
    <reviewItem>
      <errorID>24636bed-85cc-4983-9fdb-fc1123ec2307</errorID>
      <errorWord>污水厂</errorWord>
      <group>L1_Word</group>
      <groupName>字词问题</groupName>
      <ability>L2_Typo</ability>
      <abilityName>字词错误</abilityName>
      <candidateList>
        <item>污水处理厂</item>
      </candidateList>
      <explain/>
      <paraID>736FDFA8</paraID>
      <start>6</start>
      <end>11</end>
      <status>modified</status>
      <modifiedWord>污水处理厂</modifiedWord>
      <trackRevisions>false</trackRevisions>
    </reviewItem>
    <reviewItem>
      <errorID>2800fd2a-0d2d-41c8-b0e4-e52ee3a67235</errorID>
      <errorWord>(</errorWord>
      <group>L1_Format</group>
      <groupName>格式问题</groupName>
      <ability>L2_HalfPunc_CN</ability>
      <abilityName>全半角问题</abilityName>
      <candidateList>
        <item>（</item>
      </candidateList>
      <explain>文本全半角错误。</explain>
      <paraID>736FDFA8</paraID>
      <start>18</start>
      <end>19</end>
      <status>unmodified</status>
      <modifiedWord/>
      <trackRevisions>false</trackRevisions>
    </reviewItem>
    <reviewItem>
      <errorID>f013a0b9-0bed-44f1-b61b-28d6921a1535</errorID>
      <errorWord>)</errorWord>
      <group>L1_Format</group>
      <groupName>格式问题</groupName>
      <ability>L2_HalfPunc_CN</ability>
      <abilityName>全半角问题</abilityName>
      <candidateList>
        <item>）</item>
      </candidateList>
      <explain>文本全半角错误。</explain>
      <paraID>736FDFA8</paraID>
      <start>27</start>
      <end>28</end>
      <status>unmodified</status>
      <modifiedWord/>
      <trackRevisions>false</trackRevisions>
    </reviewItem>
    <reviewItem>
      <errorID>3093e565-e0be-4f08-8da2-38f2c7e68cea</errorID>
      <errorWord>(</errorWord>
      <group>L1_Format</group>
      <groupName>格式问题</groupName>
      <ability>L2_HalfPunc_CN</ability>
      <abilityName>全半角问题</abilityName>
      <candidateList>
        <item>（</item>
      </candidateList>
      <explain>文本全半角错误。</explain>
      <paraID>4072166A</paraID>
      <start>3</start>
      <end>4</end>
      <status>unmodified</status>
      <modifiedWord/>
      <trackRevisions>false</trackRevisions>
    </reviewItem>
    <reviewItem>
      <errorID>d64480d5-53a4-4ac8-8afe-c9efa250ce26</errorID>
      <errorWord>)</errorWord>
      <group>L1_Format</group>
      <groupName>格式问题</groupName>
      <ability>L2_HalfPunc_CN</ability>
      <abilityName>全半角问题</abilityName>
      <candidateList>
        <item>）</item>
      </candidateList>
      <explain>文本全半角错误。</explain>
      <paraID>4072166A</paraID>
      <start>7</start>
      <end>8</end>
      <status>unmodified</status>
      <modifiedWord/>
      <trackRevisions>false</trackRevisions>
    </reviewItem>
    <reviewItem>
      <errorID>d66a2dff-5bb7-468d-a7dd-2da04418a2b8</errorID>
      <errorWord>(</errorWord>
      <group>L1_Format</group>
      <groupName>格式问题</groupName>
      <ability>L2_HalfPunc_CN</ability>
      <abilityName>全半角问题</abilityName>
      <candidateList>
        <item>（</item>
      </candidateList>
      <explain>文本全半角错误。</explain>
      <paraID>5DFB32E7</paraID>
      <start>3</start>
      <end>4</end>
      <status>unmodified</status>
      <modifiedWord/>
      <trackRevisions>false</trackRevisions>
    </reviewItem>
    <reviewItem>
      <errorID>c380ccb3-cd77-44bd-9131-1770fbc347bb</errorID>
      <errorWord>)</errorWord>
      <group>L1_Format</group>
      <groupName>格式问题</groupName>
      <ability>L2_HalfPunc_CN</ability>
      <abilityName>全半角问题</abilityName>
      <candidateList>
        <item>）</item>
      </candidateList>
      <explain>文本全半角错误。</explain>
      <paraID>5DFB32E7</paraID>
      <start>7</start>
      <end>8</end>
      <status>unmodified</status>
      <modifiedWord/>
      <trackRevisions>false</trackRevisions>
    </reviewItem>
    <reviewItem>
      <errorID>b71ef910-4a66-4875-b310-259fe5870fe1</errorID>
      <errorWord>(</errorWord>
      <group>L1_Format</group>
      <groupName>格式问题</groupName>
      <ability>L2_HalfPunc_CN</ability>
      <abilityName>全半角问题</abilityName>
      <candidateList>
        <item>（</item>
      </candidateList>
      <explain>文本全半角错误。</explain>
      <paraID> 85B88E9</paraID>
      <start>19</start>
      <end>20</end>
      <status>unmodified</status>
      <modifiedWord/>
      <trackRevisions>false</trackRevisions>
    </reviewItem>
    <reviewItem>
      <errorID>db32f4ba-0a2d-4c33-b011-680104839d8f</errorID>
      <errorWord>(</errorWord>
      <group>L1_Format</group>
      <groupName>格式问题</groupName>
      <ability>L2_HalfPunc_CN</ability>
      <abilityName>全半角问题</abilityName>
      <candidateList>
        <item>（</item>
      </candidateList>
      <explain>文本全半角错误。</explain>
      <paraID>4E42DFD5</paraID>
      <start>2</start>
      <end>3</end>
      <status>unmodified</status>
      <modifiedWord/>
      <trackRevisions>false</trackRevisions>
    </reviewItem>
    <reviewItem>
      <errorID>8562ce82-d142-4953-92f4-7bee008fade9</errorID>
      <errorWord>)</errorWord>
      <group>L1_Format</group>
      <groupName>格式问题</groupName>
      <ability>L2_HalfPunc_CN</ability>
      <abilityName>全半角问题</abilityName>
      <candidateList>
        <item>）</item>
      </candidateList>
      <explain>文本全半角错误。</explain>
      <paraID>4E42DFD5</paraID>
      <start>8</start>
      <end>9</end>
      <status>unmodified</status>
      <modifiedWord/>
      <trackRevisions>false</trackRevisions>
    </reviewItem>
    <reviewItem>
      <errorID>ac014177-8435-4ca1-b134-61e2e04057ed</errorID>
      <errorWord>《</errorWord>
      <group>L1_Punc</group>
      <groupName>标点问题</groupName>
      <ability>L2_Punc_CN</ability>
      <abilityName>标点符号问题</abilityName>
      <candidateList/>
      <explain>同一形式括号套用。</explain>
      <paraID>20359FC5</paraID>
      <start>24</start>
      <end>25</end>
      <status>unmodified</status>
      <modifiedWord/>
      <trackRevisions>false</trackRevisions>
    </reviewItem>
    <reviewItem>
      <errorID>6d605fc4-a6eb-4d2c-b18d-282d5b2458bc</errorID>
      <errorWord>》</errorWord>
      <group>L1_Punc</group>
      <groupName>标点问题</groupName>
      <ability>L2_Punc_CN</ability>
      <abilityName>标点符号问题</abilityName>
      <candidateList/>
      <explain>同一形式括号套用。</explain>
      <paraID>20359FC5</paraID>
      <start>36</start>
      <end>37</end>
      <status>unmodified</status>
      <modifiedWord/>
      <trackRevisions>false</trackRevisions>
    </reviewItem>
    <reviewItem>
      <errorID>6e9c542a-8ef8-40cc-ae3c-1fb59cc162ac</errorID>
      <errorWord>(</errorWord>
      <group>L1_Format</group>
      <groupName>格式问题</groupName>
      <ability>L2_HalfPunc_CN</ability>
      <abilityName>全半角问题</abilityName>
      <candidateList>
        <item>（</item>
      </candidateList>
      <explain>文本全半角错误。</explain>
      <paraID>20359FC5</paraID>
      <start>37</start>
      <end>38</end>
      <status>unmodified</status>
      <modifiedWord/>
      <trackRevisions>false</trackRevisions>
    </reviewItem>
    <reviewItem>
      <errorID>6fd4ab50-95ad-4f4f-981c-0731ba58e20b</errorID>
      <errorWord>)</errorWord>
      <group>L1_Format</group>
      <groupName>格式问题</groupName>
      <ability>L2_HalfPunc_CN</ability>
      <abilityName>全半角问题</abilityName>
      <candidateList>
        <item>）</item>
      </candidateList>
      <explain>文本全半角错误。</explain>
      <paraID>20359FC5</paraID>
      <start>51</start>
      <end>52</end>
      <status>unmodified</status>
      <modifiedWord/>
      <trackRevisions>false</trackRevisions>
    </reviewItem>
    <reviewItem>
      <errorID>e5288941-1af7-4133-b5d8-0b68239afa28</errorID>
      <errorWord>(</errorWord>
      <group>L1_Format</group>
      <groupName>格式问题</groupName>
      <ability>L2_HalfPunc_CN</ability>
      <abilityName>全半角问题</abilityName>
      <candidateList>
        <item>（</item>
      </candidateList>
      <explain>文本全半角错误。</explain>
      <paraID>20359FC5</paraID>
      <start>96</start>
      <end>97</end>
      <status>unmodified</status>
      <modifiedWord/>
      <trackRevisions>false</trackRevisions>
    </reviewItem>
    <reviewItem>
      <errorID>32decd3a-c3ab-40ae-9b59-17dee56b418e</errorID>
      <errorWord>)</errorWord>
      <group>L1_Format</group>
      <groupName>格式问题</groupName>
      <ability>L2_HalfPunc_CN</ability>
      <abilityName>全半角问题</abilityName>
      <candidateList>
        <item>）</item>
      </candidateList>
      <explain>文本全半角错误。</explain>
      <paraID>20359FC5</paraID>
      <start>110</start>
      <end>111</end>
      <status>unmodified</status>
      <modifiedWord/>
      <trackRevisions>false</trackRevisions>
    </reviewItem>
    <reviewItem>
      <errorID>77c2b6f1-7f05-4b47-b0a2-06b93e1516f4</errorID>
      <errorWord>(</errorWord>
      <group>L1_Format</group>
      <groupName>格式问题</groupName>
      <ability>L2_HalfPunc_CN</ability>
      <abilityName>全半角问题</abilityName>
      <candidateList>
        <item>（</item>
      </candidateList>
      <explain>文本全半角错误。</explain>
      <paraID>20359FC5</paraID>
      <start>175</start>
      <end>176</end>
      <status>unmodified</status>
      <modifiedWord/>
      <trackRevisions>false</trackRevisions>
    </reviewItem>
    <reviewItem>
      <errorID>0c2bd8f1-4c3f-47af-9b6c-13c3943b5e80</errorID>
      <errorWord>)</errorWord>
      <group>L1_Format</group>
      <groupName>格式问题</groupName>
      <ability>L2_HalfPunc_CN</ability>
      <abilityName>全半角问题</abilityName>
      <candidateList>
        <item>）</item>
      </candidateList>
      <explain>文本全半角错误。</explain>
      <paraID>20359FC5</paraID>
      <start>189</start>
      <end>190</end>
      <status>unmodified</status>
      <modifiedWord/>
      <trackRevisions>false</trackRevisions>
    </reviewItem>
    <reviewItem>
      <errorID>4af8c369-5ff6-4589-a581-732e5896a6c7</errorID>
      <errorWord>（</errorWord>
      <group>L1_Format</group>
      <groupName>格式问题</groupName>
      <ability>L2_HalfPunc_CN</ability>
      <abilityName>全半角问题</abilityName>
      <candidateList>
        <item>(</item>
      </candidateList>
      <explain>文本全半角错误。</explain>
      <paraID>16C4B5E6</paraID>
      <start>2</start>
      <end>3</end>
      <status>unmodified</status>
      <modifiedWord/>
      <trackRevisions>false</trackRevisions>
    </reviewItem>
    <reviewItem>
      <errorID>6f5ec9a1-b386-4036-89de-71e2c76a4640</errorID>
      <errorWord>）</errorWord>
      <group>L1_Format</group>
      <groupName>格式问题</groupName>
      <ability>L2_HalfPunc_CN</ability>
      <abilityName>全半角问题</abilityName>
      <candidateList>
        <item>)</item>
      </candidateList>
      <explain>文本全半角错误。</explain>
      <paraID>16C4B5E6</paraID>
      <start>4</start>
      <end>5</end>
      <status>unmodified</status>
      <modifiedWord/>
      <trackRevisions>false</trackRevisions>
    </reviewItem>
    <reviewItem>
      <errorID>4abca1ae-09a4-4828-a3c1-8ae455132746</errorID>
      <errorWord>（</errorWord>
      <group>L1_Format</group>
      <groupName>格式问题</groupName>
      <ability>L2_HalfPunc_CN</ability>
      <abilityName>全半角问题</abilityName>
      <candidateList>
        <item>(</item>
      </candidateList>
      <explain>文本全半角错误。</explain>
      <paraID> F9E8383</paraID>
      <start>2</start>
      <end>3</end>
      <status>unmodified</status>
      <modifiedWord/>
      <trackRevisions>false</trackRevisions>
    </reviewItem>
    <reviewItem>
      <errorID>608f92d9-65ff-44ee-aa24-a0aef4fe20c6</errorID>
      <errorWord>）</errorWord>
      <group>L1_Format</group>
      <groupName>格式问题</groupName>
      <ability>L2_HalfPunc_CN</ability>
      <abilityName>全半角问题</abilityName>
      <candidateList>
        <item>)</item>
      </candidateList>
      <explain>文本全半角错误。</explain>
      <paraID> F9E8383</paraID>
      <start>4</start>
      <end>5</end>
      <status>unmodified</status>
      <modifiedWord/>
      <trackRevisions>false</trackRevisions>
    </reviewItem>
    <reviewItem>
      <errorID>90cee009-7436-499f-8379-b104efd18d2d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5D8484A6</paraID>
      <start>35</start>
      <end>38</end>
      <status>unmodified</status>
      <modifiedWord/>
      <trackRevisions>false</trackRevisions>
    </reviewItem>
    <reviewItem>
      <errorID>b60d3a65-9cdd-4996-8a4a-182309a8d744</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5D8484A6</paraID>
      <start>124</start>
      <end>127</end>
      <status>unmodified</status>
      <modifiedWord/>
      <trackRevisions>false</trackRevisions>
    </reviewItem>
    <reviewItem>
      <errorID>d5294d88-3f2c-4ff2-8cfe-0e2a9a3efc2b</errorID>
      <errorWord>:</errorWord>
      <group>L1_Format</group>
      <groupName>格式问题</groupName>
      <ability>L2_HalfPunc_CN</ability>
      <abilityName>全半角问题</abilityName>
      <candidateList>
        <item>：</item>
      </candidateList>
      <explain>文本全半角错误。</explain>
      <paraID>756C174A</paraID>
      <start>72</start>
      <end>73</end>
      <status>unmodified</status>
      <modifiedWord/>
      <trackRevisions>false</trackRevisions>
    </reviewItem>
    <reviewItem>
      <errorID>f3d68b01-bd1e-42ba-97d1-8e3fe37197b2</errorID>
      <errorWord>[2016]54号</errorWord>
      <group>L1_Knowledge</group>
      <groupName>知识性问题</groupName>
      <ability>L2_Knowledge</ability>
      <abilityName>其他知识</abilityName>
      <candidateList>
        <item>〔2016〕54号</item>
      </candidateList>
      <explain>发文字号格式错误。</explain>
      <paraID>226749BC</paraID>
      <start>33</start>
      <end>42</end>
      <status>unmodified</status>
      <modifiedWord/>
      <trackRevisions>false</trackRevisions>
    </reviewItem>
    <reviewItem>
      <errorID>8d8ae316-b575-4adc-9225-2b160c9fdc6b</errorID>
      <errorWord>[2017]22号</errorWord>
      <group>L1_Knowledge</group>
      <groupName>知识性问题</groupName>
      <ability>L2_Knowledge</ability>
      <abilityName>其他知识</abilityName>
      <candidateList>
        <item>〔2017〕22号</item>
      </candidateList>
      <explain>发文字号格式错误。</explain>
      <paraID>226749BC</paraID>
      <start>76</start>
      <end>85</end>
      <status>unmodified</status>
      <modifiedWord/>
      <trackRevisions>false</trackRevisions>
    </reviewItem>
    <reviewItem>
      <errorID>e52bfa8b-e434-4a7f-acfc-9cc35a342e1f</errorID>
      <errorWord>[2016]54号</errorWord>
      <group>L1_Knowledge</group>
      <groupName>知识性问题</groupName>
      <ability>L2_Knowledge</ability>
      <abilityName>其他知识</abilityName>
      <candidateList>
        <item>〔2016〕54号</item>
      </candidateList>
      <explain>发文字号格式错误。</explain>
      <paraID>644C1DEC</paraID>
      <start>33</start>
      <end>42</end>
      <status>unmodified</status>
      <modifiedWord/>
      <trackRevisions>false</trackRevisions>
    </reviewItem>
    <reviewItem>
      <errorID>17dfdd88-9d01-4ba3-999a-0112d0513939</errorID>
      <errorWord>工地</errorWord>
      <group>L1_Word</group>
      <groupName>字词问题</groupName>
      <ability>L2_Typo</ability>
      <abilityName>字词错误</abilityName>
      <candidateList>
        <item>场地</item>
      </candidateList>
      <explain/>
      <paraID>12946C28</paraID>
      <start>77</start>
      <end>79</end>
      <status>unmodified</status>
      <modifiedWord/>
      <trackRevisions>false</trackRevisions>
    </reviewItem>
    <reviewItem>
      <errorID>d76254ef-21e5-4583-8803-0bbaa9804673</errorID>
      <errorWord>期</errorWord>
      <group>L1_Word</group>
      <groupName>字词问题</groupName>
      <ability>L2_Typo</ability>
      <abilityName>字词错误</abilityName>
      <candidateList>
        <item>期间</item>
      </candidateList>
      <explain/>
      <paraID>377671A6</paraID>
      <start>7</start>
      <end>8</end>
      <status>unmodified</status>
      <modifiedWord/>
      <trackRevisions>false</trackRevisions>
    </reviewItem>
    <reviewItem>
      <errorID>4cf6225c-d066-4011-98b6-86d5af4d5143</errorID>
      <errorWord>期</errorWord>
      <group>L1_Word</group>
      <groupName>字词问题</groupName>
      <ability>L2_Typo</ability>
      <abilityName>字词错误</abilityName>
      <candidateList>
        <item>期间</item>
      </candidateList>
      <explain/>
      <paraID>7F586C80</paraID>
      <start>37</start>
      <end>38</end>
      <status>unmodified</status>
      <modifiedWord/>
      <trackRevisions>false</trackRevisions>
    </reviewItem>
    <reviewItem>
      <errorID>be6f58cc-5786-4d22-9e8f-bb861943d7cb</errorID>
      <errorWord>28%-75%</errorWord>
      <group>L1_Knowledge</group>
      <groupName>知识性问题</groupName>
      <ability>L2_Knowledge</ability>
      <abilityName>其他知识</abilityName>
      <candidateList>
        <item>28%—75%</item>
      </candidateList>
      <explain>1. “28%-75%”中的单位“%”仅出现在后一个数字上，容易引起歧义；根据《现代汉语标点符号数字用法规范手册》，数字表示范围两边需要使用统一的格式。2. 根据标点国标 4.13 中的规则，数字、时间或地域连接符应使用（视觉上更长的）“—”或“～”。</explain>
      <paraID>6CAF2293</paraID>
      <start>38</start>
      <end>45</end>
      <status>unmodified</status>
      <modifiedWord/>
      <trackRevisions>false</trackRevisions>
    </reviewItem>
    <reviewItem>
      <errorID>1eba7539-7359-4e8c-8166-9f6f73b63786</errorID>
      <errorWord>，</errorWord>
      <group>L1_Word</group>
      <groupName>字词问题</groupName>
      <ability>L2_Typo</ability>
      <abilityName>字词错误</abilityName>
      <candidateList>
        <item>，对</item>
      </candidateList>
      <explain/>
      <paraID>239BFFE2</paraID>
      <start>66</start>
      <end>68</end>
      <status>modified</status>
      <modifiedWord>，对</modifiedWord>
      <trackRevisions>false</trackRevisions>
    </reviewItem>
    <reviewItem>
      <errorID>71066a49-9c16-4ef9-abf6-bc383d12d0af</errorID>
      <errorWord>计</errorWord>
      <group>L1_Word</group>
      <groupName>字词问题</groupName>
      <ability>L2_Typo</ability>
      <abilityName>字词错误</abilityName>
      <candidateList>
        <item>计算</item>
      </candidateList>
      <explain/>
      <paraID>34EB843F</paraID>
      <start>46</start>
      <end>48</end>
      <status>modified</status>
      <modifiedWord>计算</modifiedWord>
      <trackRevisions>false</trackRevisions>
    </reviewItem>
    <reviewItem>
      <errorID>b94b5648-d606-4c70-9772-84605405a67a</errorID>
      <errorWord>用与</errorWord>
      <group>L1_Word</group>
      <groupName>字词问题</groupName>
      <ability>L2_Typo</ability>
      <abilityName>字词错误</abilityName>
      <candidateList>
        <item>用于</item>
      </candidateList>
      <explain/>
      <paraID>76B87A34</paraID>
      <start>54</start>
      <end>56</end>
      <status>modified</status>
      <modifiedWord>用于</modifiedWord>
      <trackRevisions>false</trackRevisions>
    </reviewItem>
    <reviewItem>
      <errorID>9c7b8199-8902-4deb-95d2-4964161c97ab</errorID>
      <errorWord>或其它特殊</errorWord>
      <group>L1_Word</group>
      <groupName>字词问题</groupName>
      <ability>L2_Alias</ability>
      <abilityName>也作/曾用词</abilityName>
      <candidateList>
        <item>或其他特殊</item>
      </candidateList>
      <explain>词汇[或其它特殊]为不规范表述或旧称，其规范书面表述为[或其他特殊]。</explain>
      <paraID>37D15CBD</paraID>
      <start>257</start>
      <end>262</end>
      <status>unmodified</status>
      <modifiedWord/>
      <trackRevisions>false</trackRevisions>
    </reviewItem>
    <reviewItem>
      <errorID>e75a3ff5-bf4e-49de-8c6a-027bbcf6aeb9</errorID>
      <errorWord>~</errorWord>
      <group>L1_Format</group>
      <groupName>格式问题</groupName>
      <ability>L2_HalfPunc_CN</ability>
      <abilityName>全半角问题</abilityName>
      <candidateList>
        <item>～</item>
      </candidateList>
      <explain>文本全半角错误。</explain>
      <paraID>3A78730B</paraID>
      <start>24</start>
      <end>25</end>
      <status>unmodified</status>
      <modifiedWord/>
      <trackRevisions>false</trackRevisions>
    </reviewItem>
    <reviewItem>
      <errorID>67de13ce-9782-487e-a162-109dfad046ee</errorID>
      <errorWord>提高</errorWord>
      <group>L1_Grammar</group>
      <groupName>语法问题</groupName>
      <ability>L2_Grammar</ability>
      <abilityName>语法错误</abilityName>
      <candidateList>
        <item>增强</item>
      </candidateList>
      <explain>“提高～意识”搭配不当，建议修改为“增强～意识”。</explain>
      <paraID> CF5C914</paraID>
      <start>34</start>
      <end>36</end>
      <status>unmodified</status>
      <modifiedWord/>
      <trackRevisions>false</trackRevisions>
    </reviewItem>
    <reviewItem>
      <errorID>237b48f2-6d66-4ec8-8845-028a117777c8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51E9C3DB</paraID>
      <start>0</start>
      <end>2</end>
      <status>unmodified</status>
      <modifiedWord/>
      <trackRevisions>false</trackRevisions>
    </reviewItem>
    <reviewItem>
      <errorID>21796952-dbab-4c0d-8a1e-5dbe24f9c105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68F8DF62</paraID>
      <start>0</start>
      <end>2</end>
      <status>unmodified</status>
      <modifiedWord/>
      <trackRevisions>false</trackRevisions>
    </reviewItem>
    <reviewItem>
      <errorID>937d6b48-05b4-4999-932f-c94c4bba8934</errorID>
      <errorWord>程</errorWord>
      <group>L1_Word</group>
      <groupName>字词问题</groupName>
      <ability>L2_Typo</ability>
      <abilityName>字词错误</abilityName>
      <candidateList>
        <item>程中</item>
      </candidateList>
      <explain/>
      <paraID>3BAA2236</paraID>
      <start>52</start>
      <end>53</end>
      <status>unmodified</status>
      <modifiedWord/>
      <trackRevisions>false</trackRevisions>
    </reviewItem>
    <reviewItem>
      <errorID>36e1803f-6a07-4308-8e5a-b32cae7bb998</errorID>
      <errorWord>、等</errorWord>
      <group>L1_Punc</group>
      <groupName>标点问题</groupName>
      <ability>L2_Punc_CN</ability>
      <abilityName>标点符号问题</abilityName>
      <candidateList>
        <item>等</item>
      </candidateList>
      <explain>“及”“和”“等”连词前不宜使用顿号，建议删除（或使用逗号）。</explain>
      <paraID>3BAA2236</paraID>
      <start>83</start>
      <end>85</end>
      <status>unmodified</status>
      <modifiedWord/>
      <trackRevisions>false</trackRevisions>
    </reviewItem>
    <reviewItem>
      <errorID>5fe7125d-493b-456d-a13f-e2c3bc89ac4b</errorID>
      <errorWord>程</errorWord>
      <group>L1_Word</group>
      <groupName>字词问题</groupName>
      <ability>L2_Typo</ability>
      <abilityName>字词错误</abilityName>
      <candidateList>
        <item>程中</item>
      </candidateList>
      <explain/>
      <paraID>3BAA2236</paraID>
      <start>197</start>
      <end>198</end>
      <status>unmodified</status>
      <modifiedWord/>
      <trackRevisions>false</trackRevisions>
    </reviewItem>
    <reviewItem>
      <errorID>01c12ae7-93f9-4c88-b47e-7afd5e986b51</errorID>
      <errorWord>未</errorWord>
      <group>L1_Word</group>
      <groupName>字词问题</groupName>
      <ability>L2_Typo</ability>
      <abilityName>字词错误</abilityName>
      <candidateList>
        <item>为</item>
      </candidateList>
      <explain>存在发音相同字词的误用。</explain>
      <paraID>62F95ECC</paraID>
      <start>87</start>
      <end>88</end>
      <status>unmodified</status>
      <modifiedWord/>
      <trackRevisions>false</trackRevisions>
    </reviewItem>
    <reviewItem>
      <errorID>df187e38-a57a-4b8d-a6ca-6c35066d1a5c</errorID>
      <errorWord>计</errorWord>
      <group>L1_Word</group>
      <groupName>字词问题</groupName>
      <ability>L2_Typo</ability>
      <abilityName>字词错误</abilityName>
      <candidateList>
        <item>计将</item>
      </candidateList>
      <explain/>
      <paraID>62F95ECC</paraID>
      <start>158</start>
      <end>159</end>
      <status>unmodified</status>
      <modifiedWord/>
      <trackRevisions>false</trackRevisions>
    </reviewItem>
    <reviewItem>
      <errorID>e0fc920b-34d7-48b5-a6e3-b1467233d950</errorID>
      <errorWord>车</errorWord>
      <group>L1_Word</group>
      <groupName>字词问题</groupName>
      <ability>L2_Typo</ability>
      <abilityName>字词错误</abilityName>
      <candidateList>
        <item>车辆</item>
      </candidateList>
      <explain/>
      <paraID>7F601946</paraID>
      <start>86</start>
      <end>87</end>
      <status>unmodified</status>
      <modifiedWord/>
      <trackRevisions>false</trackRevisions>
    </reviewItem>
    <reviewItem>
      <errorID>106cb8d5-1990-4814-bbb6-b68bae050c38</errorID>
      <errorWord>程</errorWord>
      <group>L1_Word</group>
      <groupName>字词问题</groupName>
      <ability>L2_Typo</ability>
      <abilityName>字词错误</abilityName>
      <candidateList>
        <item>程中</item>
      </candidateList>
      <explain/>
      <paraID>6E46BC03</paraID>
      <start>6</start>
      <end>7</end>
      <status>unmodified</status>
      <modifiedWord/>
      <trackRevisions>false</trackRevisions>
    </reviewItem>
    <reviewItem>
      <errorID>084295cf-dc0e-458e-b267-3777080395d8</errorID>
      <errorWord>程</errorWord>
      <group>L1_Word</group>
      <groupName>字词问题</groupName>
      <ability>L2_Typo</ability>
      <abilityName>字词错误</abilityName>
      <candidateList>
        <item>程中</item>
      </candidateList>
      <explain/>
      <paraID>1C9EE0B6</paraID>
      <start>99</start>
      <end>100</end>
      <status>unmodified</status>
      <modifiedWord/>
      <trackRevisions>false</trackRevisions>
    </reviewItem>
    <reviewItem>
      <errorID>eafb527b-07be-4be4-8422-eb69e6acfe5e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2E857A85</paraID>
      <start>0</start>
      <end>2</end>
      <status>unmodified</status>
      <modifiedWord/>
      <trackRevisions>false</trackRevisions>
    </reviewItem>
    <reviewItem>
      <errorID>5306ff2e-c849-45f2-944d-5e0d9c664b23</errorID>
      <errorWord>站处</errorWord>
      <group>L1_Word</group>
      <groupName>字词问题</groupName>
      <ability>L2_Typo</ability>
      <abilityName>字词错误</abilityName>
      <candidateList>
        <item>站</item>
      </candidateList>
      <explain/>
      <paraID>1D500388</paraID>
      <start>6</start>
      <end>8</end>
      <status>unmodified</status>
      <modifiedWord/>
      <trackRevisions>false</trackRevisions>
    </reviewItem>
    <reviewItem>
      <errorID>fc5a061a-6164-4c3f-b229-bbcebafc1377</errorID>
      <errorWord>：</errorWord>
      <group>L1_Format</group>
      <groupName>格式问题</groupName>
      <ability>L2_HalfPunc_CN</ability>
      <abilityName>全半角问题</abilityName>
      <candidateList>
        <item>:</item>
      </candidateList>
      <explain>文本全半角错误。</explain>
      <paraID>4B810A67</paraID>
      <start>77</start>
      <end>78</end>
      <status>unmodified</status>
      <modifiedWord/>
      <trackRevisions>false</trackRevisions>
    </reviewItem>
    <reviewItem>
      <errorID>9158ca6d-7295-490f-a3b6-0cab65550da3</errorID>
      <errorWord>楼楼</errorWord>
      <group>L1_Word</group>
      <groupName>字词问题</groupName>
      <ability>L2_Typo</ability>
      <abilityName>字词错误</abilityName>
      <candidateList>
        <item>楼</item>
      </candidateList>
      <explain/>
      <paraID>4B810A67</paraID>
      <start>155</start>
      <end>157</end>
      <status>unmodified</status>
      <modifiedWord/>
      <trackRevisions>false</trackRevisions>
    </reviewItem>
    <reviewItem>
      <errorID>3ba29be3-1177-41c6-9adb-de5532dc45cf</errorID>
      <errorWord>的</errorWord>
      <group>L1_Word</group>
      <groupName>字词问题</groupName>
      <ability>L2_DDD</ability>
      <abilityName>的地得用法</abilityName>
      <candidateList>
        <item>地</item>
      </candidateList>
      <explain/>
      <paraID>172C27D5</paraID>
      <start>41</start>
      <end>42</end>
      <status>unmodified</status>
      <modifiedWord/>
      <trackRevisions>false</trackRevisions>
    </reviewItem>
    <reviewItem>
      <errorID>0b6c6185-974a-4702-931f-e09eee989cc6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566F9543</paraID>
      <start>0</start>
      <end>2</end>
      <status>unmodified</status>
      <modifiedWord/>
      <trackRevisions>false</trackRevisions>
    </reviewItem>
    <reviewItem>
      <errorID>0919df5b-9ff3-417a-afeb-369fbedf6725</errorID>
      <errorWord>（</errorWord>
      <group>L1_Format</group>
      <groupName>格式问题</groupName>
      <ability>L2_HalfPunc_CN</ability>
      <abilityName>全半角问题</abilityName>
      <candidateList>
        <item>(</item>
      </candidateList>
      <explain>文本全半角错误。</explain>
      <paraID>1B3253FC</paraID>
      <start>0</start>
      <end>1</end>
      <status>unmodified</status>
      <modifiedWord/>
      <trackRevisions>false</trackRevisions>
    </reviewItem>
    <reviewItem>
      <errorID>b001be11-da04-4aee-b6df-89e1c127dd82</errorID>
      <errorWord>）</errorWord>
      <group>L1_Format</group>
      <groupName>格式问题</groupName>
      <ability>L2_HalfPunc_CN</ability>
      <abilityName>全半角问题</abilityName>
      <candidateList>
        <item>)</item>
      </candidateList>
      <explain>文本全半角错误。</explain>
      <paraID>1B3253FC</paraID>
      <start>6</start>
      <end>7</end>
      <status>unmodified</status>
      <modifiedWord/>
      <trackRevisions>false</trackRevisions>
    </reviewItem>
    <reviewItem>
      <errorID>7c887d11-3f9b-40ef-b80f-83538ff3c292</errorID>
      <errorWord>（</errorWord>
      <group>L1_Format</group>
      <groupName>格式问题</groupName>
      <ability>L2_HalfPunc_CN</ability>
      <abilityName>全半角问题</abilityName>
      <candidateList>
        <item>(</item>
      </candidateList>
      <explain>文本全半角错误。</explain>
      <paraID>291F2B62</paraID>
      <start>0</start>
      <end>1</end>
      <status>unmodified</status>
      <modifiedWord/>
      <trackRevisions>false</trackRevisions>
    </reviewItem>
    <reviewItem>
      <errorID>edfa44f7-c3f9-4375-be7b-ef0095e3d67a</errorID>
      <errorWord>）</errorWord>
      <group>L1_Format</group>
      <groupName>格式问题</groupName>
      <ability>L2_HalfPunc_CN</ability>
      <abilityName>全半角问题</abilityName>
      <candidateList>
        <item>)</item>
      </candidateList>
      <explain>文本全半角错误。</explain>
      <paraID>291F2B62</paraID>
      <start>5</start>
      <end>6</end>
      <status>unmodified</status>
      <modifiedWord/>
      <trackRevisions>false</trackRevisions>
    </reviewItem>
    <reviewItem>
      <errorID>a2e2783c-f003-4002-bef8-814d4957ab96</errorID>
      <errorWord>备备</errorWord>
      <group>L1_Word</group>
      <groupName>字词问题</groupName>
      <ability>L2_Typo</ability>
      <abilityName>字词错误</abilityName>
      <candidateList>
        <item>备</item>
      </candidateList>
      <explain/>
      <paraID>14762E81</paraID>
      <start>1</start>
      <end>2</end>
      <status>modified</status>
      <modifiedWord>备</modifiedWord>
      <trackRevisions>false</trackRevisions>
    </reviewItem>
    <reviewItem>
      <errorID>0e9c9a5d-d0a6-433e-87d6-5b57c6e68896</errorID>
      <errorWord>（</errorWord>
      <group>L1_Format</group>
      <groupName>格式问题</groupName>
      <ability>L2_HalfPunc_CN</ability>
      <abilityName>全半角问题</abilityName>
      <candidateList>
        <item>(</item>
      </candidateList>
      <explain>文本全半角错误。</explain>
      <paraID>251AE2AC</paraID>
      <start>0</start>
      <end>1</end>
      <status>unmodified</status>
      <modifiedWord/>
      <trackRevisions>false</trackRevisions>
    </reviewItem>
    <reviewItem>
      <errorID>fb7b8266-6386-4e65-8e3d-ed2de0784b3c</errorID>
      <errorWord>）</errorWord>
      <group>L1_Format</group>
      <groupName>格式问题</groupName>
      <ability>L2_HalfPunc_CN</ability>
      <abilityName>全半角问题</abilityName>
      <candidateList>
        <item>)</item>
      </candidateList>
      <explain>文本全半角错误。</explain>
      <paraID>251AE2AC</paraID>
      <start>2</start>
      <end>3</end>
      <status>unmodified</status>
      <modifiedWord/>
      <trackRevisions>false</trackRevisions>
    </reviewItem>
    <reviewItem>
      <errorID>7e72ce72-e64c-40fb-8340-ac5f7bf1279b</errorID>
      <errorWord>~</errorWord>
      <group>L1_Format</group>
      <groupName>格式问题</groupName>
      <ability>L2_HalfPunc_CN</ability>
      <abilityName>全半角问题</abilityName>
      <candidateList>
        <item>～</item>
      </candidateList>
      <explain>文本全半角错误。</explain>
      <paraID>3C3312F5</paraID>
      <start>66</start>
      <end>67</end>
      <status>unmodified</status>
      <modifiedWord/>
      <trackRevisions>false</trackRevisions>
    </reviewItem>
    <reviewItem>
      <errorID>1ea76ff2-49c8-4429-ae75-8be432eb4a15</errorID>
      <errorWord>~</errorWord>
      <group>L1_Format</group>
      <groupName>格式问题</groupName>
      <ability>L2_HalfPunc_CN</ability>
      <abilityName>全半角问题</abilityName>
      <candidateList>
        <item>～</item>
      </candidateList>
      <explain>文本全半角错误。</explain>
      <paraID>3C3312F5</paraID>
      <start>129</start>
      <end>130</end>
      <status>unmodified</status>
      <modifiedWord/>
      <trackRevisions>false</trackRevisions>
    </reviewItem>
    <reviewItem>
      <errorID>b14f0e9c-1302-4d09-850b-c46a65ec508f</errorID>
      <errorWord>：</errorWord>
      <group>L1_Format</group>
      <groupName>格式问题</groupName>
      <ability>L2_HalfPunc_CN</ability>
      <abilityName>全半角问题</abilityName>
      <candidateList>
        <item>:</item>
      </candidateList>
      <explain>文本全半角错误。</explain>
      <paraID>73F0C00B</paraID>
      <start>27</start>
      <end>28</end>
      <status>unmodified</status>
      <modifiedWord/>
      <trackRevisions>false</trackRevisions>
    </reviewItem>
    <reviewItem>
      <errorID>052d3afa-0632-4633-8b98-8df0461d43e1</errorID>
      <errorWord>10%~30%</errorWord>
      <group>L1_Knowledge</group>
      <groupName>知识性问题</groupName>
      <ability>L2_Knowledge</ability>
      <abilityName>其他知识</abilityName>
      <candidateList>
        <item>10%～30%</item>
      </candidateList>
      <explain>1. “10%~30%”中的单位“%”仅出现在后一个数字上，容易引起歧义；根据《现代汉语标点符号数字用法规范手册》，数字表示范围两边需要使用统一的格式。2. 根据标点国标 4.13 中的规则，数字、时间或地域连接符应使用（视觉上更长的）“—”或“～”。</explain>
      <paraID> C50E632</paraID>
      <start>8</start>
      <end>15</end>
      <status>unmodified</status>
      <modifiedWord/>
      <trackRevisions>false</trackRevisions>
    </reviewItem>
    <reviewItem>
      <errorID>1ced02bf-9562-4c18-9282-287551b9e964</errorID>
      <errorWord>(</errorWord>
      <group>L1_Format</group>
      <groupName>格式问题</groupName>
      <ability>L2_HalfPunc_CN</ability>
      <abilityName>全半角问题</abilityName>
      <candidateList>
        <item>（</item>
      </candidateList>
      <explain>文本全半角错误。</explain>
      <paraID> C50E632</paraID>
      <start>15</start>
      <end>16</end>
      <status>unmodified</status>
      <modifiedWord/>
      <trackRevisions>false</trackRevisions>
    </reviewItem>
    <reviewItem>
      <errorID>1af62c9f-7036-4659-aa72-8b68c96c8238</errorID>
      <errorWord>)</errorWord>
      <group>L1_Format</group>
      <groupName>格式问题</groupName>
      <ability>L2_HalfPunc_CN</ability>
      <abilityName>全半角问题</abilityName>
      <candidateList>
        <item>）</item>
      </candidateList>
      <explain>文本全半角错误。</explain>
      <paraID> C50E632</paraID>
      <start>20</start>
      <end>21</end>
      <status>unmodified</status>
      <modifiedWord/>
      <trackRevisions>false</trackRevisions>
    </reviewItem>
    <reviewItem>
      <errorID>d5ed484d-9f40-430e-954f-a22bab8d220d</errorID>
      <errorWord>30%~50%</errorWord>
      <group>L1_Knowledge</group>
      <groupName>知识性问题</groupName>
      <ability>L2_Knowledge</ability>
      <abilityName>其他知识</abilityName>
      <candidateList>
        <item>30%～50%</item>
      </candidateList>
      <explain>1. “30%~50%”中的单位“%”仅出现在后一个数字上，容易引起歧义；根据《现代汉语标点符号数字用法规范手册》，数字表示范围两边需要使用统一的格式。2. 根据标点国标 4.13 中的规则，数字、时间或地域连接符应使用（视觉上更长的）“—”或“～”。</explain>
      <paraID> C50E632</paraID>
      <start>29</start>
      <end>36</end>
      <status>unmodified</status>
      <modifiedWord/>
      <trackRevisions>false</trackRevisions>
    </reviewItem>
    <reviewItem>
      <errorID>06504bda-e6b5-4526-82ca-2193d8fe522b</errorID>
      <errorWord>(</errorWord>
      <group>L1_Format</group>
      <groupName>格式问题</groupName>
      <ability>L2_HalfPunc_CN</ability>
      <abilityName>全半角问题</abilityName>
      <candidateList>
        <item>（</item>
      </candidateList>
      <explain>文本全半角错误。</explain>
      <paraID>2831C238</paraID>
      <start>19</start>
      <end>20</end>
      <status>unmodified</status>
      <modifiedWord/>
      <trackRevisions>false</trackRevisions>
    </reviewItem>
    <reviewItem>
      <errorID>e8d2f4ca-19a1-443e-aaab-05f5ea741819</errorID>
      <errorWord>)</errorWord>
      <group>L1_Format</group>
      <groupName>格式问题</groupName>
      <ability>L2_HalfPunc_CN</ability>
      <abilityName>全半角问题</abilityName>
      <candidateList>
        <item>）</item>
      </candidateList>
      <explain>文本全半角错误。</explain>
      <paraID>2831C238</paraID>
      <start>31</start>
      <end>32</end>
      <status>unmodified</status>
      <modifiedWord/>
      <trackRevisions>false</trackRevisions>
    </reviewItem>
    <reviewItem>
      <errorID>4c9c7c2b-8d7a-4c2f-a9c5-96bdc9289fa6</errorID>
      <errorWord>60%~90%</errorWord>
      <group>L1_Knowledge</group>
      <groupName>知识性问题</groupName>
      <ability>L2_Knowledge</ability>
      <abilityName>其他知识</abilityName>
      <candidateList>
        <item>60%～90%</item>
      </candidateList>
      <explain>1. “60%~90%”中的单位“%”仅出现在后一个数字上，容易引起歧义；根据《现代汉语标点符号数字用法规范手册》，数字表示范围两边需要使用统一的格式。2. 根据标点国标 4.13 中的规则，数字、时间或地域连接符应使用（视觉上更长的）“—”或“～”。</explain>
      <paraID>4C714130</paraID>
      <start>8</start>
      <end>15</end>
      <status>unmodified</status>
      <modifiedWord/>
      <trackRevisions>false</trackRevisions>
    </reviewItem>
    <reviewItem>
      <errorID>40534da3-9e06-4bf1-9f69-31bc373db5cb</errorID>
      <errorWord>70%~95%</errorWord>
      <group>L1_Knowledge</group>
      <groupName>知识性问题</groupName>
      <ability>L2_Knowledge</ability>
      <abilityName>其他知识</abilityName>
      <candidateList>
        <item>70%～95%</item>
      </candidateList>
      <explain>1. “70%~95%”中的单位“%”仅出现在后一个数字上，容易引起歧义；根据《现代汉语标点符号数字用法规范手册》，数字表示范围两边需要使用统一的格式。2. 根据标点国标 4.13 中的规则，数字、时间或地域连接符应使用（视觉上更长的）“—”或“～”。</explain>
      <paraID>4C714130</paraID>
      <start>25</start>
      <end>32</end>
      <status>unmodified</status>
      <modifiedWord/>
      <trackRevisions>false</trackRevisions>
    </reviewItem>
    <reviewItem>
      <errorID>58cdcc9a-3fff-4449-bf9a-9d69aa808c69</errorID>
      <errorWord>50%~90%</errorWord>
      <group>L1_Knowledge</group>
      <groupName>知识性问题</groupName>
      <ability>L2_Knowledge</ability>
      <abilityName>其他知识</abilityName>
      <candidateList>
        <item>50%～90%</item>
      </candidateList>
      <explain>1. “50%~90%”中的单位“%”仅出现在后一个数字上，容易引起歧义；根据《现代汉语标点符号数字用法规范手册》，数字表示范围两边需要使用统一的格式。2. 根据标点国标 4.13 中的规则，数字、时间或地域连接符应使用（视觉上更长的）“—”或“～”。</explain>
      <paraID>4C714130</paraID>
      <start>39</start>
      <end>46</end>
      <status>unmodified</status>
      <modifiedWord/>
      <trackRevisions>false</trackRevisions>
    </reviewItem>
    <reviewItem>
      <errorID>24f6abd4-ea63-4393-af64-6b2a9333120e</errorID>
      <errorWord>(</errorWord>
      <group>L1_Format</group>
      <groupName>格式问题</groupName>
      <ability>L2_HalfPunc_CN</ability>
      <abilityName>全半角问题</abilityName>
      <candidateList>
        <item>（</item>
      </candidateList>
      <explain>文本全半角错误。</explain>
      <paraID>779E972C</paraID>
      <start>19</start>
      <end>20</end>
      <status>unmodified</status>
      <modifiedWord/>
      <trackRevisions>false</trackRevisions>
    </reviewItem>
    <reviewItem>
      <errorID>195d7964-6019-44b2-aea1-27e15752aeec</errorID>
      <errorWord>)</errorWord>
      <group>L1_Format</group>
      <groupName>格式问题</groupName>
      <ability>L2_HalfPunc_CN</ability>
      <abilityName>全半角问题</abilityName>
      <candidateList>
        <item>）</item>
      </candidateList>
      <explain>文本全半角错误。</explain>
      <paraID>779E972C</paraID>
      <start>31</start>
      <end>32</end>
      <status>unmodified</status>
      <modifiedWord/>
      <trackRevisions>false</trackRevisions>
    </reviewItem>
    <reviewItem>
      <errorID>ac6c1a56-c834-4f6d-a63f-77bffd099466</errorID>
      <errorWord>(</errorWord>
      <group>L1_Format</group>
      <groupName>格式问题</groupName>
      <ability>L2_HalfPunc_CN</ability>
      <abilityName>全半角问题</abilityName>
      <candidateList>
        <item>（</item>
      </candidateList>
      <explain>文本全半角错误。</explain>
      <paraID> 8011256</paraID>
      <start>16</start>
      <end>17</end>
      <status>unmodified</status>
      <modifiedWord/>
      <trackRevisions>false</trackRevisions>
    </reviewItem>
    <reviewItem>
      <errorID>44893d0a-2883-463b-9567-17d818056d92</errorID>
      <errorWord>)</errorWord>
      <group>L1_Format</group>
      <groupName>格式问题</groupName>
      <ability>L2_HalfPunc_CN</ability>
      <abilityName>全半角问题</abilityName>
      <candidateList>
        <item>）</item>
      </candidateList>
      <explain>文本全半角错误。</explain>
      <paraID> 8011256</paraID>
      <start>28</start>
      <end>29</end>
      <status>unmodified</status>
      <modifiedWord/>
      <trackRevisions>false</trackRevisions>
    </reviewItem>
    <reviewItem>
      <errorID>5618d88d-3618-436f-94aa-d34fa432e283</errorID>
      <errorWord>(</errorWord>
      <group>L1_Format</group>
      <groupName>格式问题</groupName>
      <ability>L2_HalfPunc_CN</ability>
      <abilityName>全半角问题</abilityName>
      <candidateList>
        <item>（</item>
      </candidateList>
      <explain>文本全半角错误。</explain>
      <paraID>3E5EA570</paraID>
      <start>14</start>
      <end>15</end>
      <status>unmodified</status>
      <modifiedWord/>
      <trackRevisions>false</trackRevisions>
    </reviewItem>
    <reviewItem>
      <errorID>7eb4ba86-024e-446f-9034-c1cd0c7eb284</errorID>
      <errorWord>)</errorWord>
      <group>L1_Format</group>
      <groupName>格式问题</groupName>
      <ability>L2_HalfPunc_CN</ability>
      <abilityName>全半角问题</abilityName>
      <candidateList>
        <item>）</item>
      </candidateList>
      <explain>文本全半角错误。</explain>
      <paraID>3E5EA570</paraID>
      <start>27</start>
      <end>28</end>
      <status>unmodified</status>
      <modifiedWord/>
      <trackRevisions>false</trackRevisions>
    </reviewItem>
    <reviewItem>
      <errorID>b85983e8-e182-4e11-adb6-b0d3ebd23d0d</errorID>
      <errorWord>(</errorWord>
      <group>L1_Format</group>
      <groupName>格式问题</groupName>
      <ability>L2_HalfPunc_CN</ability>
      <abilityName>全半角问题</abilityName>
      <candidateList>
        <item>（</item>
      </candidateList>
      <explain>文本全半角错误。</explain>
      <paraID>5A8D7002</paraID>
      <start>5</start>
      <end>6</end>
      <status>unmodified</status>
      <modifiedWord/>
      <trackRevisions>false</trackRevisions>
    </reviewItem>
    <reviewItem>
      <errorID>b119d022-5651-44b9-9635-951046c71961</errorID>
      <errorWord>)</errorWord>
      <group>L1_Format</group>
      <groupName>格式问题</groupName>
      <ability>L2_HalfPunc_CN</ability>
      <abilityName>全半角问题</abilityName>
      <candidateList>
        <item>）</item>
      </candidateList>
      <explain>文本全半角错误。</explain>
      <paraID>5A8D7002</paraID>
      <start>9</start>
      <end>10</end>
      <status>unmodified</status>
      <modifiedWord/>
      <trackRevisions>false</trackRevisions>
    </reviewItem>
    <reviewItem>
      <errorID>d845dbc3-b85d-4dcf-be72-5e7f841f4ca4</errorID>
      <errorWord>(</errorWord>
      <group>L1_Format</group>
      <groupName>格式问题</groupName>
      <ability>L2_HalfPunc_CN</ability>
      <abilityName>全半角问题</abilityName>
      <candidateList>
        <item>（</item>
      </candidateList>
      <explain>文本全半角错误。</explain>
      <paraID>5595A0AE</paraID>
      <start>4</start>
      <end>5</end>
      <status>unmodified</status>
      <modifiedWord/>
      <trackRevisions>false</trackRevisions>
    </reviewItem>
    <reviewItem>
      <errorID>75404ffe-c6a4-4636-91b7-a6296b35b300</errorID>
      <errorWord>)</errorWord>
      <group>L1_Format</group>
      <groupName>格式问题</groupName>
      <ability>L2_HalfPunc_CN</ability>
      <abilityName>全半角问题</abilityName>
      <candidateList>
        <item>）</item>
      </candidateList>
      <explain>文本全半角错误。</explain>
      <paraID>5595A0AE</paraID>
      <start>9</start>
      <end>10</end>
      <status>unmodified</status>
      <modifiedWord/>
      <trackRevisions>false</trackRevisions>
    </reviewItem>
    <reviewItem>
      <errorID>b145c5b3-1cd0-428e-a147-6232915209a7</errorID>
      <errorWord>(</errorWord>
      <group>L1_Format</group>
      <groupName>格式问题</groupName>
      <ability>L2_HalfPunc_CN</ability>
      <abilityName>全半角问题</abilityName>
      <candidateList>
        <item>（</item>
      </candidateList>
      <explain>文本全半角错误。</explain>
      <paraID>385E9DFB</paraID>
      <start>4</start>
      <end>5</end>
      <status>unmodified</status>
      <modifiedWord/>
      <trackRevisions>false</trackRevisions>
    </reviewItem>
    <reviewItem>
      <errorID>04879bc0-562f-4216-8bd7-ab681149aedd</errorID>
      <errorWord>)</errorWord>
      <group>L1_Format</group>
      <groupName>格式问题</groupName>
      <ability>L2_HalfPunc_CN</ability>
      <abilityName>全半角问题</abilityName>
      <candidateList>
        <item>）</item>
      </candidateList>
      <explain>文本全半角错误。</explain>
      <paraID>385E9DFB</paraID>
      <start>9</start>
      <end>10</end>
      <status>unmodified</status>
      <modifiedWord/>
      <trackRevisions>false</trackRevisions>
    </reviewItem>
    <reviewItem>
      <errorID>4fcfa1a3-77f4-4bbc-91c8-ac9f17701401</errorID>
      <errorWord>(</errorWord>
      <group>L1_Format</group>
      <groupName>格式问题</groupName>
      <ability>L2_HalfPunc_CN</ability>
      <abilityName>全半角问题</abilityName>
      <candidateList>
        <item>（</item>
      </candidateList>
      <explain>文本全半角错误。</explain>
      <paraID> 1CC71A1</paraID>
      <start>4</start>
      <end>5</end>
      <status>unmodified</status>
      <modifiedWord/>
      <trackRevisions>false</trackRevisions>
    </reviewItem>
    <reviewItem>
      <errorID>be389f94-69ba-478b-bb3a-77440a8c5733</errorID>
      <errorWord>)</errorWord>
      <group>L1_Format</group>
      <groupName>格式问题</groupName>
      <ability>L2_HalfPunc_CN</ability>
      <abilityName>全半角问题</abilityName>
      <candidateList>
        <item>）</item>
      </candidateList>
      <explain>文本全半角错误。</explain>
      <paraID> 1CC71A1</paraID>
      <start>9</start>
      <end>10</end>
      <status>unmodified</status>
      <modifiedWord/>
      <trackRevisions>false</trackRevisions>
    </reviewItem>
    <reviewItem>
      <errorID>ea3abd19-a0f7-4aa0-9960-bb2f3a51ba49</errorID>
      <errorWord>(</errorWord>
      <group>L1_Format</group>
      <groupName>格式问题</groupName>
      <ability>L2_HalfPunc_CN</ability>
      <abilityName>全半角问题</abilityName>
      <candidateList>
        <item>（</item>
      </candidateList>
      <explain>文本全半角错误。</explain>
      <paraID>2655E148</paraID>
      <start>4</start>
      <end>5</end>
      <status>unmodified</status>
      <modifiedWord/>
      <trackRevisions>false</trackRevisions>
    </reviewItem>
    <reviewItem>
      <errorID>0637d252-4d7f-4598-87af-c6bcaaf0c1e6</errorID>
      <errorWord>)</errorWord>
      <group>L1_Format</group>
      <groupName>格式问题</groupName>
      <ability>L2_HalfPunc_CN</ability>
      <abilityName>全半角问题</abilityName>
      <candidateList>
        <item>）</item>
      </candidateList>
      <explain>文本全半角错误。</explain>
      <paraID>2655E148</paraID>
      <start>9</start>
      <end>10</end>
      <status>unmodified</status>
      <modifiedWord/>
      <trackRevisions>false</trackRevisions>
    </reviewItem>
    <reviewItem>
      <errorID>c5cc8bb5-7287-40f6-a070-8a590c990bf2</errorID>
      <errorWord>(</errorWord>
      <group>L1_Format</group>
      <groupName>格式问题</groupName>
      <ability>L2_HalfPunc_CN</ability>
      <abilityName>全半角问题</abilityName>
      <candidateList>
        <item>（</item>
      </candidateList>
      <explain>文本全半角错误。</explain>
      <paraID>7BB4554B</paraID>
      <start>4</start>
      <end>5</end>
      <status>unmodified</status>
      <modifiedWord/>
      <trackRevisions>false</trackRevisions>
    </reviewItem>
    <reviewItem>
      <errorID>6a94260e-77e8-468d-841e-aa75eae028bf</errorID>
      <errorWord>)</errorWord>
      <group>L1_Format</group>
      <groupName>格式问题</groupName>
      <ability>L2_HalfPunc_CN</ability>
      <abilityName>全半角问题</abilityName>
      <candidateList>
        <item>）</item>
      </candidateList>
      <explain>文本全半角错误。</explain>
      <paraID>7BB4554B</paraID>
      <start>9</start>
      <end>10</end>
      <status>unmodified</status>
      <modifiedWord/>
      <trackRevisions>false</trackRevisions>
    </reviewItem>
    <reviewItem>
      <errorID>9dc03cd9-1c43-4c5d-994d-e705269bc28a</errorID>
      <errorWord>(</errorWord>
      <group>L1_Format</group>
      <groupName>格式问题</groupName>
      <ability>L2_HalfPunc_CN</ability>
      <abilityName>全半角问题</abilityName>
      <candidateList>
        <item>（</item>
      </candidateList>
      <explain>文本全半角错误。</explain>
      <paraID>1C90528B</paraID>
      <start>4</start>
      <end>5</end>
      <status>unmodified</status>
      <modifiedWord/>
      <trackRevisions>false</trackRevisions>
    </reviewItem>
    <reviewItem>
      <errorID>c76399d3-559a-43a4-b002-9836fbdbd2e8</errorID>
      <errorWord>)</errorWord>
      <group>L1_Format</group>
      <groupName>格式问题</groupName>
      <ability>L2_HalfPunc_CN</ability>
      <abilityName>全半角问题</abilityName>
      <candidateList>
        <item>）</item>
      </candidateList>
      <explain>文本全半角错误。</explain>
      <paraID>1C90528B</paraID>
      <start>9</start>
      <end>10</end>
      <status>unmodified</status>
      <modifiedWord/>
      <trackRevisions>false</trackRevisions>
    </reviewItem>
    <reviewItem>
      <errorID>1480d559-a3c0-4c9d-a783-ead7bfab581f</errorID>
      <errorWord>(</errorWord>
      <group>L1_Format</group>
      <groupName>格式问题</groupName>
      <ability>L2_HalfPunc_CN</ability>
      <abilityName>全半角问题</abilityName>
      <candidateList>
        <item>（</item>
      </candidateList>
      <explain>文本全半角错误。</explain>
      <paraID>58679A73</paraID>
      <start>4</start>
      <end>5</end>
      <status>unmodified</status>
      <modifiedWord/>
      <trackRevisions>false</trackRevisions>
    </reviewItem>
    <reviewItem>
      <errorID>016b048b-fb88-4f3c-b018-114e18271d49</errorID>
      <errorWord>)</errorWord>
      <group>L1_Format</group>
      <groupName>格式问题</groupName>
      <ability>L2_HalfPunc_CN</ability>
      <abilityName>全半角问题</abilityName>
      <candidateList>
        <item>）</item>
      </candidateList>
      <explain>文本全半角错误。</explain>
      <paraID>58679A73</paraID>
      <start>9</start>
      <end>10</end>
      <status>unmodified</status>
      <modifiedWord/>
      <trackRevisions>false</trackRevisions>
    </reviewItem>
    <reviewItem>
      <errorID>e5166ce7-8cee-4d23-8c80-b299ef243756</errorID>
      <errorWord>(</errorWord>
      <group>L1_Format</group>
      <groupName>格式问题</groupName>
      <ability>L2_HalfPunc_CN</ability>
      <abilityName>全半角问题</abilityName>
      <candidateList>
        <item>（</item>
      </candidateList>
      <explain>文本全半角错误。</explain>
      <paraID>73036302</paraID>
      <start>13</start>
      <end>14</end>
      <status>unmodified</status>
      <modifiedWord/>
      <trackRevisions>false</trackRevisions>
    </reviewItem>
    <reviewItem>
      <errorID>b1b94050-efaa-45f4-8672-7bc8c40e2e32</errorID>
      <errorWord>)</errorWord>
      <group>L1_Format</group>
      <groupName>格式问题</groupName>
      <ability>L2_HalfPunc_CN</ability>
      <abilityName>全半角问题</abilityName>
      <candidateList>
        <item>）</item>
      </candidateList>
      <explain>文本全半角错误。</explain>
      <paraID>73036302</paraID>
      <start>18</start>
      <end>19</end>
      <status>unmodified</status>
      <modifiedWord/>
      <trackRevisions>false</trackRevisions>
    </reviewItem>
    <reviewItem>
      <errorID>47d5333b-15e2-4db2-a7a0-29d5e3c2b3b0</errorID>
      <errorWord>(</errorWord>
      <group>L1_Format</group>
      <groupName>格式问题</groupName>
      <ability>L2_HalfPunc_CN</ability>
      <abilityName>全半角问题</abilityName>
      <candidateList>
        <item>（</item>
      </candidateList>
      <explain>文本全半角错误。</explain>
      <paraID>7FF3A68D</paraID>
      <start>23</start>
      <end>24</end>
      <status>unmodified</status>
      <modifiedWord/>
      <trackRevisions>false</trackRevisions>
    </reviewItem>
    <reviewItem>
      <errorID>9eb4af97-d91b-4ba0-9a34-3925030542b2</errorID>
      <errorWord>)</errorWord>
      <group>L1_Format</group>
      <groupName>格式问题</groupName>
      <ability>L2_HalfPunc_CN</ability>
      <abilityName>全半角问题</abilityName>
      <candidateList>
        <item>）</item>
      </candidateList>
      <explain>文本全半角错误。</explain>
      <paraID>7FF3A68D</paraID>
      <start>36</start>
      <end>37</end>
      <status>unmodified</status>
      <modifiedWord/>
      <trackRevisions>false</trackRevisions>
    </reviewItem>
    <reviewItem>
      <errorID>568f1e07-f90a-400c-9f37-f5c17b8cea76</errorID>
      <errorWord>,</errorWord>
      <group>L1_Format</group>
      <groupName>格式问题</groupName>
      <ability>L2_HalfPunc_CN</ability>
      <abilityName>全半角问题</abilityName>
      <candidateList>
        <item>，</item>
      </candidateList>
      <explain>文本全半角错误。</explain>
      <paraID>3CE33536</paraID>
      <start>17</start>
      <end>18</end>
      <status>unmodified</status>
      <modifiedWord/>
      <trackRevisions>false</trackRevisions>
    </reviewItem>
    <reviewItem>
      <errorID>68c45916-0753-47a3-8f64-a6d120c54bb4</errorID>
      <errorWord>,</errorWord>
      <group>L1_Format</group>
      <groupName>格式问题</groupName>
      <ability>L2_HalfPunc_CN</ability>
      <abilityName>全半角问题</abilityName>
      <candidateList>
        <item>，</item>
      </candidateList>
      <explain>文本全半角错误。</explain>
      <paraID>3CE33536</paraID>
      <start>38</start>
      <end>39</end>
      <status>unmodified</status>
      <modifiedWord/>
      <trackRevisions>false</trackRevisions>
    </reviewItem>
    <reviewItem>
      <errorID>7982668d-adfb-4c0a-a9cc-1cdcbc26ea1c</errorID>
      <errorWord>(</errorWord>
      <group>L1_Format</group>
      <groupName>格式问题</groupName>
      <ability>L2_HalfPunc_CN</ability>
      <abilityName>全半角问题</abilityName>
      <candidateList>
        <item>（</item>
      </candidateList>
      <explain>文本全半角错误。</explain>
      <paraID>3A555843</paraID>
      <start>47</start>
      <end>48</end>
      <status>unmodified</status>
      <modifiedWord/>
      <trackRevisions>false</trackRevisions>
    </reviewItem>
    <reviewItem>
      <errorID>7a4c658f-3949-45f0-9966-80bd6e23780a</errorID>
      <errorWord>)</errorWord>
      <group>L1_Format</group>
      <groupName>格式问题</groupName>
      <ability>L2_HalfPunc_CN</ability>
      <abilityName>全半角问题</abilityName>
      <candidateList>
        <item>）</item>
      </candidateList>
      <explain>文本全半角错误。</explain>
      <paraID>3A555843</paraID>
      <start>56</start>
      <end>57</end>
      <status>unmodified</status>
      <modifiedWord/>
      <trackRevisions>false</trackRevisions>
    </reviewItem>
    <reviewItem>
      <errorID>54cadd44-de10-4d7f-b5e1-4998e6516808</errorID>
      <errorWord>:</errorWord>
      <group>L1_Format</group>
      <groupName>格式问题</groupName>
      <ability>L2_HalfPunc_CN</ability>
      <abilityName>全半角问题</abilityName>
      <candidateList>
        <item>：</item>
      </candidateList>
      <explain>文本全半角错误。</explain>
      <paraID>5B67E120</paraID>
      <start>61</start>
      <end>62</end>
      <status>unmodified</status>
      <modifiedWord/>
      <trackRevisions>false</trackRevisions>
    </reviewItem>
    <reviewItem>
      <errorID>42f76290-4f3a-4ac8-8c14-58b8d477cc2c</errorID>
      <errorWord>&lt;</errorWord>
      <group>L1_Format</group>
      <groupName>格式问题</groupName>
      <ability>L2_HalfPunc_CN</ability>
      <abilityName>全半角问题</abilityName>
      <candidateList>
        <item>〈</item>
      </candidateList>
      <explain>文本全半角错误。</explain>
      <paraID>5B67E120</paraID>
      <start>63</start>
      <end>64</end>
      <status>unmodified</status>
      <modifiedWord/>
      <trackRevisions>false</trackRevisions>
    </reviewItem>
    <reviewItem>
      <errorID>1aa0b71f-1e15-4304-8449-26d1d80a8af8</errorID>
      <errorWord>&gt;&gt;</errorWord>
      <group>L1_Punc</group>
      <groupName>标点问题</groupName>
      <ability>L2_Punc_CN</ability>
      <abilityName>标点符号问题</abilityName>
      <candidateList>
        <item>&gt;</item>
      </candidateList>
      <explain/>
      <paraID>5B67E120</paraID>
      <start>76</start>
      <end>78</end>
      <status>unmodified</status>
      <modifiedWord/>
      <trackRevisions>false</trackRevisions>
    </reviewItem>
    <reviewItem>
      <errorID>8a674a60-3a91-4f36-b85e-1f764e71d2bc</errorID>
      <errorWord>)</errorWord>
      <group>L1_Format</group>
      <groupName>格式问题</groupName>
      <ability>L2_HalfPunc_CN</ability>
      <abilityName>全半角问题</abilityName>
      <candidateList>
        <item>）</item>
      </candidateList>
      <explain>文本全半角错误。</explain>
      <paraID>5B67E120</paraID>
      <start>91</start>
      <end>92</end>
      <status>unmodified</status>
      <modifiedWord/>
      <trackRevisions>false</trackRevisions>
    </reviewItem>
    <reviewItem>
      <errorID>f52d2897-4f97-40e9-8906-8c51a58f855b</errorID>
      <errorWord>污水厂</errorWord>
      <group>L1_Word</group>
      <groupName>字词问题</groupName>
      <ability>L2_Typo</ability>
      <abilityName>字词错误</abilityName>
      <candidateList>
        <item>污水处理厂</item>
      </candidateList>
      <explain/>
      <paraID> 4FFBE90</paraID>
      <start>6</start>
      <end>11</end>
      <status>modified</status>
      <modifiedWord>污水处理厂</modifiedWord>
      <trackRevisions>false</trackRevisions>
    </reviewItem>
    <reviewItem>
      <errorID>4e111d7d-9d1e-4ddc-a4cf-c18eced554b8</errorID>
      <errorWord>(</errorWord>
      <group>L1_Format</group>
      <groupName>格式问题</groupName>
      <ability>L2_HalfPunc_CN</ability>
      <abilityName>全半角问题</abilityName>
      <candidateList>
        <item>（</item>
      </candidateList>
      <explain>文本全半角错误。</explain>
      <paraID> 4FFBE90</paraID>
      <start>18</start>
      <end>19</end>
      <status>unmodified</status>
      <modifiedWord/>
      <trackRevisions>false</trackRevisions>
    </reviewItem>
    <reviewItem>
      <errorID>0e402b0e-af80-4e25-9bda-166b5bf4d12a</errorID>
      <errorWord>)</errorWord>
      <group>L1_Format</group>
      <groupName>格式问题</groupName>
      <ability>L2_HalfPunc_CN</ability>
      <abilityName>全半角问题</abilityName>
      <candidateList>
        <item>）</item>
      </candidateList>
      <explain>文本全半角错误。</explain>
      <paraID> 4FFBE90</paraID>
      <start>27</start>
      <end>28</end>
      <status>unmodified</status>
      <modifiedWord/>
      <trackRevisions>false</trackRevisions>
    </reviewItem>
    <reviewItem>
      <errorID>19c13db5-66ae-4c36-ac70-9d64fe05f02d</errorID>
      <errorWord>(</errorWord>
      <group>L1_Format</group>
      <groupName>格式问题</groupName>
      <ability>L2_HalfPunc_CN</ability>
      <abilityName>全半角问题</abilityName>
      <candidateList>
        <item>（</item>
      </candidateList>
      <explain>文本全半角错误。</explain>
      <paraID>7819FEED</paraID>
      <start>3</start>
      <end>4</end>
      <status>unmodified</status>
      <modifiedWord/>
      <trackRevisions>false</trackRevisions>
    </reviewItem>
    <reviewItem>
      <errorID>43be4b88-b0ad-4ab2-8a73-907e95cb1874</errorID>
      <errorWord>)</errorWord>
      <group>L1_Format</group>
      <groupName>格式问题</groupName>
      <ability>L2_HalfPunc_CN</ability>
      <abilityName>全半角问题</abilityName>
      <candidateList>
        <item>）</item>
      </candidateList>
      <explain>文本全半角错误。</explain>
      <paraID>7819FEED</paraID>
      <start>7</start>
      <end>8</end>
      <status>unmodified</status>
      <modifiedWord/>
      <trackRevisions>false</trackRevisions>
    </reviewItem>
    <reviewItem>
      <errorID>2ea642ef-7d92-42c1-8475-ad0cd998b624</errorID>
      <errorWord>(</errorWord>
      <group>L1_Format</group>
      <groupName>格式问题</groupName>
      <ability>L2_HalfPunc_CN</ability>
      <abilityName>全半角问题</abilityName>
      <candidateList>
        <item>（</item>
      </candidateList>
      <explain>文本全半角错误。</explain>
      <paraID>2AB7C2A4</paraID>
      <start>3</start>
      <end>4</end>
      <status>unmodified</status>
      <modifiedWord/>
      <trackRevisions>false</trackRevisions>
    </reviewItem>
    <reviewItem>
      <errorID>bbc99242-7c80-4e1c-988b-d93deafbd6c5</errorID>
      <errorWord>)</errorWord>
      <group>L1_Format</group>
      <groupName>格式问题</groupName>
      <ability>L2_HalfPunc_CN</ability>
      <abilityName>全半角问题</abilityName>
      <candidateList>
        <item>）</item>
      </candidateList>
      <explain>文本全半角错误。</explain>
      <paraID>2AB7C2A4</paraID>
      <start>7</start>
      <end>8</end>
      <status>unmodified</status>
      <modifiedWord/>
      <trackRevisions>false</trackRevisions>
    </reviewItem>
    <reviewItem>
      <errorID>5a3a3653-10e9-4c55-a70e-9b6eb3260256</errorID>
      <errorWord>污水厂</errorWord>
      <group>L1_Word</group>
      <groupName>字词问题</groupName>
      <ability>L2_Typo</ability>
      <abilityName>字词错误</abilityName>
      <candidateList>
        <item>污水处理厂</item>
      </candidateList>
      <explain/>
      <paraID>206E8B40</paraID>
      <start>5</start>
      <end>10</end>
      <status>modified</status>
      <modifiedWord>污水处理厂</modifiedWord>
      <trackRevisions>false</trackRevisions>
    </reviewItem>
    <reviewItem>
      <errorID>7fb258b3-24f0-42d3-98ee-655dba11abfa</errorID>
      <errorWord>处理厂的</errorWord>
      <group>L1_Word</group>
      <groupName>字词问题</groupName>
      <ability>L2_Typo</ability>
      <abilityName>字词错误</abilityName>
      <candidateList>
        <item>处理厂</item>
      </candidateList>
      <explain/>
      <paraID>5D737FFF</paraID>
      <start>100</start>
      <end>103</end>
      <status>modified</status>
      <modifiedWord>处理厂</modifiedWord>
      <trackRevisions>false</trackRevisions>
    </reviewItem>
    <reviewItem>
      <errorID>463f5b91-3dd9-4163-97b9-cacc0e057fff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4798E95F</paraID>
      <start>0</start>
      <end>2</end>
      <status>unmodified</status>
      <modifiedWord/>
      <trackRevisions>false</trackRevisions>
    </reviewItem>
    <reviewItem>
      <errorID>4e8f4df5-8a52-473f-b301-43a77159fca2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7B775816</paraID>
      <start>0</start>
      <end>2</end>
      <status>unmodified</status>
      <modifiedWord/>
      <trackRevisions>false</trackRevisions>
    </reviewItem>
    <reviewItem>
      <errorID>f70ba937-6653-41c3-a15f-2f291d0da0d4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641B5773</paraID>
      <start>0</start>
      <end>2</end>
      <status>unmodified</status>
      <modifiedWord/>
      <trackRevisions>false</trackRevisions>
    </reviewItem>
    <reviewItem>
      <errorID>cd8b3b35-4e6d-4a8f-b0dc-d8ac5f936ed2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1C6905C5</paraID>
      <start>0</start>
      <end>2</end>
      <status>unmodified</status>
      <modifiedWord/>
      <trackRevisions>false</trackRevisions>
    </reviewItem>
    <reviewItem>
      <errorID>d4678ad4-c9ec-48d3-9ac9-8f413701d018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56BD7A7B</paraID>
      <start>0</start>
      <end>2</end>
      <status>unmodified</status>
      <modifiedWord/>
      <trackRevisions>false</trackRevisions>
    </reviewItem>
    <reviewItem>
      <errorID>b5ec4f0d-a92b-45d3-b9d1-ca293c267e02</errorID>
      <errorWord>(</errorWord>
      <group>L1_Format</group>
      <groupName>格式问题</groupName>
      <ability>L2_HalfPunc_CN</ability>
      <abilityName>全半角问题</abilityName>
      <candidateList>
        <item>（</item>
      </candidateList>
      <explain>文本全半角错误。</explain>
      <paraID>4040B3F5</paraID>
      <start>22</start>
      <end>23</end>
      <status>unmodified</status>
      <modifiedWord/>
      <trackRevisions>false</trackRevisions>
    </reviewItem>
    <reviewItem>
      <errorID>20bc53c6-19f2-4c8b-976f-fd426ba63e81</errorID>
      <errorWord>)</errorWord>
      <group>L1_Format</group>
      <groupName>格式问题</groupName>
      <ability>L2_HalfPunc_CN</ability>
      <abilityName>全半角问题</abilityName>
      <candidateList>
        <item>）</item>
      </candidateList>
      <explain>文本全半角错误。</explain>
      <paraID>4040B3F5</paraID>
      <start>28</start>
      <end>29</end>
      <status>unmodified</status>
      <modifiedWord/>
      <trackRevisions>false</trackRevisions>
    </reviewItem>
    <reviewItem>
      <errorID>87589f64-7f47-4429-b3e0-ca51a927bad8</errorID>
      <errorWord>污水厂</errorWord>
      <group>L1_Word</group>
      <groupName>字词问题</groupName>
      <ability>L2_Typo</ability>
      <abilityName>字词错误</abilityName>
      <candidateList>
        <item>污水处理厂</item>
      </candidateList>
      <explain/>
      <paraID>3162143D</paraID>
      <start>6</start>
      <end>11</end>
      <status>modified</status>
      <modifiedWord>污水处理厂</modifiedWord>
      <trackRevisions>false</trackRevisions>
    </reviewItem>
    <reviewItem>
      <errorID>92410b48-5721-4cf9-ae3a-2765f0b05393</errorID>
      <errorWord>(</errorWord>
      <group>L1_Format</group>
      <groupName>格式问题</groupName>
      <ability>L2_HalfPunc_CN</ability>
      <abilityName>全半角问题</abilityName>
      <candidateList>
        <item>（</item>
      </candidateList>
      <explain>文本全半角错误。</explain>
      <paraID>3162143D</paraID>
      <start>18</start>
      <end>19</end>
      <status>unmodified</status>
      <modifiedWord/>
      <trackRevisions>false</trackRevisions>
    </reviewItem>
    <reviewItem>
      <errorID>f88c3d5e-2b90-4e2e-8541-10ee0fe36b93</errorID>
      <errorWord>)</errorWord>
      <group>L1_Format</group>
      <groupName>格式问题</groupName>
      <ability>L2_HalfPunc_CN</ability>
      <abilityName>全半角问题</abilityName>
      <candidateList>
        <item>）</item>
      </candidateList>
      <explain>文本全半角错误。</explain>
      <paraID>3162143D</paraID>
      <start>27</start>
      <end>28</end>
      <status>unmodified</status>
      <modifiedWord/>
      <trackRevisions>false</trackRevisions>
    </reviewItem>
    <reviewItem>
      <errorID>815f221f-d88f-4cbf-9cb1-5970cb35a21b</errorID>
      <errorWord>(</errorWord>
      <group>L1_Format</group>
      <groupName>格式问题</groupName>
      <ability>L2_HalfPunc_CN</ability>
      <abilityName>全半角问题</abilityName>
      <candidateList>
        <item>（</item>
      </candidateList>
      <explain>文本全半角错误。</explain>
      <paraID>4F0F0647</paraID>
      <start>3</start>
      <end>4</end>
      <status>unmodified</status>
      <modifiedWord/>
      <trackRevisions>false</trackRevisions>
    </reviewItem>
    <reviewItem>
      <errorID>97371dea-4124-4edc-ab15-808c6eb1e1e7</errorID>
      <errorWord>)</errorWord>
      <group>L1_Format</group>
      <groupName>格式问题</groupName>
      <ability>L2_HalfPunc_CN</ability>
      <abilityName>全半角问题</abilityName>
      <candidateList>
        <item>）</item>
      </candidateList>
      <explain>文本全半角错误。</explain>
      <paraID>4F0F0647</paraID>
      <start>7</start>
      <end>8</end>
      <status>unmodified</status>
      <modifiedWord/>
      <trackRevisions>false</trackRevisions>
    </reviewItem>
    <reviewItem>
      <errorID>80b6faa2-2bc5-4557-aee1-2e6483f54b93</errorID>
      <errorWord>(</errorWord>
      <group>L1_Format</group>
      <groupName>格式问题</groupName>
      <ability>L2_HalfPunc_CN</ability>
      <abilityName>全半角问题</abilityName>
      <candidateList>
        <item>（</item>
      </candidateList>
      <explain>文本全半角错误。</explain>
      <paraID>1E781CC0</paraID>
      <start>3</start>
      <end>4</end>
      <status>unmodified</status>
      <modifiedWord/>
      <trackRevisions>false</trackRevisions>
    </reviewItem>
    <reviewItem>
      <errorID>18c8bed4-bd8c-42bf-9725-4711bc36c6f7</errorID>
      <errorWord>)</errorWord>
      <group>L1_Format</group>
      <groupName>格式问题</groupName>
      <ability>L2_HalfPunc_CN</ability>
      <abilityName>全半角问题</abilityName>
      <candidateList>
        <item>）</item>
      </candidateList>
      <explain>文本全半角错误。</explain>
      <paraID>1E781CC0</paraID>
      <start>7</start>
      <end>8</end>
      <status>unmodified</status>
      <modifiedWord/>
      <trackRevisions>false</trackRevisions>
    </reviewItem>
    <reviewItem>
      <errorID>c0bee4d0-bcd0-466c-a061-49836ab49cca</errorID>
      <errorWord>&lt;</errorWord>
      <group>L1_Format</group>
      <groupName>格式问题</groupName>
      <ability>L2_HalfPunc_CN</ability>
      <abilityName>全半角问题</abilityName>
      <candidateList>
        <item>〈</item>
      </candidateList>
      <explain>文本全半角错误。</explain>
      <paraID>1C8269FB</paraID>
      <start>97</start>
      <end>98</end>
      <status>unmodified</status>
      <modifiedWord/>
      <trackRevisions>false</trackRevisions>
    </reviewItem>
    <reviewItem>
      <errorID>a9f3a129-5cb7-4d98-9dad-3d1f1b87bc3a</errorID>
      <errorWord>&lt;</errorWord>
      <group>L1_Format</group>
      <groupName>格式问题</groupName>
      <ability>L2_HalfPunc_CN</ability>
      <abilityName>全半角问题</abilityName>
      <candidateList>
        <item>〈</item>
      </candidateList>
      <explain>文本全半角错误。</explain>
      <paraID>1C8269FB</paraID>
      <start>98</start>
      <end>99</end>
      <status>unmodified</status>
      <modifiedWord/>
      <trackRevisions>false</trackRevisions>
    </reviewItem>
    <reviewItem>
      <errorID>c2eb93f7-6856-4984-97af-105d1dd38db2</errorID>
      <errorWord>&gt;&gt;</errorWord>
      <group>L1_Punc</group>
      <groupName>标点问题</groupName>
      <ability>L2_Punc_CN</ability>
      <abilityName>标点符号问题</abilityName>
      <candidateList>
        <item>&gt;</item>
      </candidateList>
      <explain/>
      <paraID>1C8269FB</paraID>
      <start>111</start>
      <end>113</end>
      <status>unmodified</status>
      <modifiedWord/>
      <trackRevisions>false</trackRevisions>
    </reviewItem>
    <reviewItem>
      <errorID>b55ad6ac-8f80-4d2b-b5e2-b1314016bc0c</errorID>
      <errorWord>)</errorWord>
      <group>L1_Format</group>
      <groupName>格式问题</groupName>
      <ability>L2_HalfPunc_CN</ability>
      <abilityName>全半角问题</abilityName>
      <candidateList>
        <item>）</item>
      </candidateList>
      <explain>文本全半角错误。</explain>
      <paraID>1C8269FB</paraID>
      <start>126</start>
      <end>127</end>
      <status>unmodified</status>
      <modifiedWord/>
      <trackRevisions>false</trackRevisions>
    </reviewItem>
    <reviewItem>
      <errorID>86252a17-c927-428e-82de-5e5eb36bc85b</errorID>
      <errorWord>)</errorWord>
      <group>L1_Format</group>
      <groupName>格式问题</groupName>
      <ability>L2_HalfPunc_CN</ability>
      <abilityName>全半角问题</abilityName>
      <candidateList>
        <item>）</item>
      </candidateList>
      <explain>文本全半角错误。</explain>
      <paraID>72B67DD3</paraID>
      <start>28</start>
      <end>29</end>
      <status>unmodified</status>
      <modifiedWord/>
      <trackRevisions>false</trackRevisions>
    </reviewItem>
    <reviewItem>
      <errorID>7d509780-1f76-4c39-8dd5-dea04a06010f</errorID>
      <errorWord>)</errorWord>
      <group>L1_Format</group>
      <groupName>格式问题</groupName>
      <ability>L2_HalfPunc_CN</ability>
      <abilityName>全半角问题</abilityName>
      <candidateList>
        <item>）</item>
      </candidateList>
      <explain>文本全半角错误。</explain>
      <paraID>24307C3F</paraID>
      <start>17</start>
      <end>18</end>
      <status>unmodified</status>
      <modifiedWord/>
      <trackRevisions>false</trackRevisions>
    </reviewItem>
    <reviewItem>
      <errorID>0deba97e-25b6-4627-b5de-317c9d1e6988</errorID>
      <errorWord>)</errorWord>
      <group>L1_Format</group>
      <groupName>格式问题</groupName>
      <ability>L2_HalfPunc_CN</ability>
      <abilityName>全半角问题</abilityName>
      <candidateList>
        <item>）</item>
      </candidateList>
      <explain>文本全半角错误。</explain>
      <paraID>4EEB5806</paraID>
      <start>36</start>
      <end>37</end>
      <status>unmodified</status>
      <modifiedWord/>
      <trackRevisions>false</trackRevisions>
    </reviewItem>
    <reviewItem>
      <errorID>ca112498-c89c-4add-82d1-d2a7001b92ba</errorID>
      <errorWord>(</errorWord>
      <group>L1_Format</group>
      <groupName>格式问题</groupName>
      <ability>L2_HalfPunc_CN</ability>
      <abilityName>全半角问题</abilityName>
      <candidateList>
        <item>（</item>
      </candidateList>
      <explain>文本全半角错误。</explain>
      <paraID>66DB8112</paraID>
      <start>3</start>
      <end>4</end>
      <status>unmodified</status>
      <modifiedWord/>
      <trackRevisions>false</trackRevisions>
    </reviewItem>
    <reviewItem>
      <errorID>8568128a-ea8d-4800-9f50-6fe017015683</errorID>
      <errorWord>)</errorWord>
      <group>L1_Format</group>
      <groupName>格式问题</groupName>
      <ability>L2_HalfPunc_CN</ability>
      <abilityName>全半角问题</abilityName>
      <candidateList>
        <item>）</item>
      </candidateList>
      <explain>文本全半角错误。</explain>
      <paraID>66DB8112</paraID>
      <start>8</start>
      <end>9</end>
      <status>unmodified</status>
      <modifiedWord/>
      <trackRevisions>false</trackRevisions>
    </reviewItem>
    <reviewItem>
      <errorID>d0fc9805-940a-4ef4-b007-09d8896a0324</errorID>
      <errorWord>)</errorWord>
      <group>L1_Format</group>
      <groupName>格式问题</groupName>
      <ability>L2_HalfPunc_CN</ability>
      <abilityName>全半角问题</abilityName>
      <candidateList>
        <item>）</item>
      </candidateList>
      <explain>文本全半角错误。</explain>
      <paraID>66DB8112</paraID>
      <start>39</start>
      <end>40</end>
      <status>unmodified</status>
      <modifiedWord/>
      <trackRevisions>false</trackRevisions>
    </reviewItem>
    <reviewItem>
      <errorID>77863417-6fad-4eac-9ba8-ef8fbc46b2e1</errorID>
      <errorWord>)</errorWord>
      <group>L1_Format</group>
      <groupName>格式问题</groupName>
      <ability>L2_HalfPunc_CN</ability>
      <abilityName>全半角问题</abilityName>
      <candidateList>
        <item>）</item>
      </candidateList>
      <explain>文本全半角错误。</explain>
      <paraID>2DC7FF94</paraID>
      <start>40</start>
      <end>41</end>
      <status>unmodified</status>
      <modifiedWord/>
      <trackRevisions>false</trackRevisions>
    </reviewItem>
    <reviewItem>
      <errorID>477592d0-1dfb-4d92-8de8-aa43011eb5c9</errorID>
      <errorWord>)</errorWord>
      <group>L1_Format</group>
      <groupName>格式问题</groupName>
      <ability>L2_HalfPunc_CN</ability>
      <abilityName>全半角问题</abilityName>
      <candidateList>
        <item>）</item>
      </candidateList>
      <explain>文本全半角错误。</explain>
      <paraID>1F1099E9</paraID>
      <start>54</start>
      <end>55</end>
      <status>unmodified</status>
      <modifiedWord/>
      <trackRevisions>false</trackRevisions>
    </reviewItem>
    <reviewItem>
      <errorID>360ac13b-5060-4414-b9e3-8b553aff0b82</errorID>
      <errorWord>)</errorWord>
      <group>L1_Format</group>
      <groupName>格式问题</groupName>
      <ability>L2_HalfPunc_CN</ability>
      <abilityName>全半角问题</abilityName>
      <candidateList>
        <item>）</item>
      </candidateList>
      <explain>文本全半角错误。</explain>
      <paraID>5239605D</paraID>
      <start>25</start>
      <end>26</end>
      <status>unmodified</status>
      <modifiedWord/>
      <trackRevisions>false</trackRevisions>
    </reviewItem>
    <reviewItem>
      <errorID>26bee15f-088c-430b-923e-155d79403d01</errorID>
      <errorWord>)</errorWord>
      <group>L1_Format</group>
      <groupName>格式问题</groupName>
      <ability>L2_HalfPunc_CN</ability>
      <abilityName>全半角问题</abilityName>
      <candidateList>
        <item>）</item>
      </candidateList>
      <explain>文本全半角错误。</explain>
      <paraID>2F8F9DC8</paraID>
      <start>25</start>
      <end>26</end>
      <status>unmodified</status>
      <modifiedWord/>
      <trackRevisions>false</trackRevisions>
    </reviewItem>
    <reviewItem>
      <errorID>c511a5d8-de9f-44ea-ba82-4398efae145c</errorID>
      <errorWord>)</errorWord>
      <group>L1_Format</group>
      <groupName>格式问题</groupName>
      <ability>L2_HalfPunc_CN</ability>
      <abilityName>全半角问题</abilityName>
      <candidateList>
        <item>）</item>
      </candidateList>
      <explain>文本全半角错误。</explain>
      <paraID>39CC3038</paraID>
      <start>22</start>
      <end>23</end>
      <status>unmodified</status>
      <modifiedWord/>
      <trackRevisions>false</trackRevisions>
    </reviewItem>
    <reviewItem>
      <errorID>116f5312-7846-49ba-9e1e-055e86d4f907</errorID>
      <errorWord>(</errorWord>
      <group>L1_Format</group>
      <groupName>格式问题</groupName>
      <ability>L2_HalfPunc_CN</ability>
      <abilityName>全半角问题</abilityName>
      <candidateList>
        <item>（</item>
      </candidateList>
      <explain>文本全半角错误。</explain>
      <paraID>36271C26</paraID>
      <start>13</start>
      <end>14</end>
      <status>unmodified</status>
      <modifiedWord/>
      <trackRevisions>false</trackRevisions>
    </reviewItem>
    <reviewItem>
      <errorID>f90cbef1-3138-4ec9-86d6-b79a71061bd2</errorID>
      <errorWord>)</errorWord>
      <group>L1_Format</group>
      <groupName>格式问题</groupName>
      <ability>L2_HalfPunc_CN</ability>
      <abilityName>全半角问题</abilityName>
      <candidateList>
        <item>）</item>
      </candidateList>
      <explain>文本全半角错误。</explain>
      <paraID>36271C26</paraID>
      <start>19</start>
      <end>20</end>
      <status>unmodified</status>
      <modifiedWord/>
      <trackRevisions>false</trackRevisions>
    </reviewItem>
    <reviewItem>
      <errorID>3ab6abd1-9a87-4bdc-9619-44bd8408527a</errorID>
      <errorWord>(</errorWord>
      <group>L1_Format</group>
      <groupName>格式问题</groupName>
      <ability>L2_HalfPunc_CN</ability>
      <abilityName>全半角问题</abilityName>
      <candidateList>
        <item>（</item>
      </candidateList>
      <explain>文本全半角错误。</explain>
      <paraID>2C88AD70</paraID>
      <start>9</start>
      <end>10</end>
      <status>unmodified</status>
      <modifiedWord/>
      <trackRevisions>false</trackRevisions>
    </reviewItem>
    <reviewItem>
      <errorID>aa6f4101-6b87-4c1c-8427-76966055d141</errorID>
      <errorWord>)</errorWord>
      <group>L1_Format</group>
      <groupName>格式问题</groupName>
      <ability>L2_HalfPunc_CN</ability>
      <abilityName>全半角问题</abilityName>
      <candidateList>
        <item>）</item>
      </candidateList>
      <explain>文本全半角错误。</explain>
      <paraID>2C88AD70</paraID>
      <start>15</start>
      <end>16</end>
      <status>unmodified</status>
      <modifiedWord/>
      <trackRevisions>false</trackRevisions>
    </reviewItem>
    <reviewItem>
      <errorID>790817af-798f-46da-b268-1444f777a142</errorID>
      <errorWord>(</errorWord>
      <group>L1_Format</group>
      <groupName>格式问题</groupName>
      <ability>L2_HalfPunc_CN</ability>
      <abilityName>全半角问题</abilityName>
      <candidateList>
        <item>（</item>
      </candidateList>
      <explain>文本全半角错误。</explain>
      <paraID> 28AF642</paraID>
      <start>11</start>
      <end>12</end>
      <status>unmodified</status>
      <modifiedWord/>
      <trackRevisions>false</trackRevisions>
    </reviewItem>
    <reviewItem>
      <errorID>af9d9602-a3ca-4334-a689-04584c60d6ef</errorID>
      <errorWord>)</errorWord>
      <group>L1_Format</group>
      <groupName>格式问题</groupName>
      <ability>L2_HalfPunc_CN</ability>
      <abilityName>全半角问题</abilityName>
      <candidateList>
        <item>）</item>
      </candidateList>
      <explain>文本全半角错误。</explain>
      <paraID> 28AF642</paraID>
      <start>65</start>
      <end>66</end>
      <status>unmodified</status>
      <modifiedWord/>
      <trackRevisions>false</trackRevisions>
    </reviewItem>
    <reviewItem>
      <errorID>cc442eae-044c-4764-bb6c-a60563af38e2</errorID>
      <errorWord>(</errorWord>
      <group>L1_Format</group>
      <groupName>格式问题</groupName>
      <ability>L2_HalfPunc_CN</ability>
      <abilityName>全半角问题</abilityName>
      <candidateList>
        <item>（</item>
      </candidateList>
      <explain>文本全半角错误。</explain>
      <paraID>41A931CE</paraID>
      <start>10</start>
      <end>11</end>
      <status>unmodified</status>
      <modifiedWord/>
      <trackRevisions>false</trackRevisions>
    </reviewItem>
    <reviewItem>
      <errorID>ad68ee37-ad79-43ce-b331-ea09ce6ba031</errorID>
      <errorWord>)</errorWord>
      <group>L1_Format</group>
      <groupName>格式问题</groupName>
      <ability>L2_HalfPunc_CN</ability>
      <abilityName>全半角问题</abilityName>
      <candidateList>
        <item>）</item>
      </candidateList>
      <explain>文本全半角错误。</explain>
      <paraID>41A931CE</paraID>
      <start>12</start>
      <end>13</end>
      <status>unmodified</status>
      <modifiedWord/>
      <trackRevisions>false</trackRevisions>
    </reviewItem>
    <reviewItem>
      <errorID>7b26d2cf-63ac-46d1-aac5-5dca28e5b969</errorID>
      <errorWord>(</errorWord>
      <group>L1_Format</group>
      <groupName>格式问题</groupName>
      <ability>L2_HalfPunc_CN</ability>
      <abilityName>全半角问题</abilityName>
      <candidateList>
        <item>（</item>
      </candidateList>
      <explain>文本全半角错误。</explain>
      <paraID>47F4AAE1</paraID>
      <start>8</start>
      <end>9</end>
      <status>unmodified</status>
      <modifiedWord/>
      <trackRevisions>false</trackRevisions>
    </reviewItem>
    <reviewItem>
      <errorID>bbc6660f-329b-4c96-a288-7ba19fd99d2b</errorID>
      <errorWord>)</errorWord>
      <group>L1_Format</group>
      <groupName>格式问题</groupName>
      <ability>L2_HalfPunc_CN</ability>
      <abilityName>全半角问题</abilityName>
      <candidateList>
        <item>）</item>
      </candidateList>
      <explain>文本全半角错误。</explain>
      <paraID>47F4AAE1</paraID>
      <start>16</start>
      <end>17</end>
      <status>unmodified</status>
      <modifiedWord/>
      <trackRevisions>false</trackRevisions>
    </reviewItem>
    <reviewItem>
      <errorID>fba998c2-f2a6-4f92-98bd-2792d5606031</errorID>
      <errorWord>(</errorWord>
      <group>L1_Format</group>
      <groupName>格式问题</groupName>
      <ability>L2_HalfPunc_CN</ability>
      <abilityName>全半角问题</abilityName>
      <candidateList>
        <item>（</item>
      </candidateList>
      <explain>文本全半角错误。</explain>
      <paraID>1F5460D4</paraID>
      <start>8</start>
      <end>9</end>
      <status>unmodified</status>
      <modifiedWord/>
      <trackRevisions>false</trackRevisions>
    </reviewItem>
    <reviewItem>
      <errorID>2a977b8c-e17f-455f-a72f-3bcf81b07715</errorID>
      <errorWord>)</errorWord>
      <group>L1_Format</group>
      <groupName>格式问题</groupName>
      <ability>L2_HalfPunc_CN</ability>
      <abilityName>全半角问题</abilityName>
      <candidateList>
        <item>）</item>
      </candidateList>
      <explain>文本全半角错误。</explain>
      <paraID>1F5460D4</paraID>
      <start>12</start>
      <end>13</end>
      <status>unmodified</status>
      <modifiedWord/>
      <trackRevisions>false</trackRevisions>
    </reviewItem>
    <reviewItem>
      <errorID>43868c7b-e9ca-4a61-8658-3b70536936f5</errorID>
      <errorWord>(</errorWord>
      <group>L1_Format</group>
      <groupName>格式问题</groupName>
      <ability>L2_HalfPunc_CN</ability>
      <abilityName>全半角问题</abilityName>
      <candidateList>
        <item>（</item>
      </candidateList>
      <explain>文本全半角错误。</explain>
      <paraID>1DF6F81C</paraID>
      <start>11</start>
      <end>12</end>
      <status>unmodified</status>
      <modifiedWord/>
      <trackRevisions>false</trackRevisions>
    </reviewItem>
    <reviewItem>
      <errorID>6ac997c8-fea7-4dd7-8276-77294435863d</errorID>
      <errorWord>)</errorWord>
      <group>L1_Format</group>
      <groupName>格式问题</groupName>
      <ability>L2_HalfPunc_CN</ability>
      <abilityName>全半角问题</abilityName>
      <candidateList>
        <item>）</item>
      </candidateList>
      <explain>文本全半角错误。</explain>
      <paraID>1DF6F81C</paraID>
      <start>17</start>
      <end>18</end>
      <status>unmodified</status>
      <modifiedWord/>
      <trackRevisions>false</trackRevisions>
    </reviewItem>
    <reviewItem>
      <errorID>097ab82d-7395-4589-9f39-4732f9df0b5b</errorID>
      <errorWord>)</errorWord>
      <group>L1_Format</group>
      <groupName>格式问题</groupName>
      <ability>L2_HalfPunc_CN</ability>
      <abilityName>全半角问题</abilityName>
      <candidateList>
        <item>）</item>
      </candidateList>
      <explain>文本全半角错误。</explain>
      <paraID>5AE90BEE</paraID>
      <start>33</start>
      <end>34</end>
      <status>unmodified</status>
      <modifiedWord/>
      <trackRevisions>false</trackRevisions>
    </reviewItem>
    <reviewItem>
      <errorID>f8664f54-68a3-46fa-acda-09888a8e4ee6</errorID>
      <errorWord>)</errorWord>
      <group>L1_Format</group>
      <groupName>格式问题</groupName>
      <ability>L2_HalfPunc_CN</ability>
      <abilityName>全半角问题</abilityName>
      <candidateList>
        <item>）</item>
      </candidateList>
      <explain>文本全半角错误。</explain>
      <paraID>79CF6392</paraID>
      <start>16</start>
      <end>17</end>
      <status>unmodified</status>
      <modifiedWord/>
      <trackRevisions>false</trackRevisions>
    </reviewItem>
    <reviewItem>
      <errorID>1c978ae5-9b96-44ad-9441-8a88812cdb0d</errorID>
      <errorWord>(</errorWord>
      <group>L1_Format</group>
      <groupName>格式问题</groupName>
      <ability>L2_HalfPunc_CN</ability>
      <abilityName>全半角问题</abilityName>
      <candidateList>
        <item>（</item>
      </candidateList>
      <explain>文本全半角错误。</explain>
      <paraID>3F9B0E50</paraID>
      <start>6</start>
      <end>7</end>
      <status>unmodified</status>
      <modifiedWord/>
      <trackRevisions>false</trackRevisions>
    </reviewItem>
    <reviewItem>
      <errorID>75b2a3a3-95e3-4edf-99dc-df0b1d82a7c0</errorID>
      <errorWord>)</errorWord>
      <group>L1_Format</group>
      <groupName>格式问题</groupName>
      <ability>L2_HalfPunc_CN</ability>
      <abilityName>全半角问题</abilityName>
      <candidateList>
        <item>）</item>
      </candidateList>
      <explain>文本全半角错误。</explain>
      <paraID>3F9B0E50</paraID>
      <start>8</start>
      <end>9</end>
      <status>unmodified</status>
      <modifiedWord/>
      <trackRevisions>false</trackRevisions>
    </reviewItem>
    <reviewItem>
      <errorID>6c2c461d-467c-4492-b379-f71dd3a74735</errorID>
      <errorWord>(</errorWord>
      <group>L1_Format</group>
      <groupName>格式问题</groupName>
      <ability>L2_HalfPunc_CN</ability>
      <abilityName>全半角问题</abilityName>
      <candidateList>
        <item>（</item>
      </candidateList>
      <explain>文本全半角错误。</explain>
      <paraID> BDF7839</paraID>
      <start>19</start>
      <end>20</end>
      <status>unmodified</status>
      <modifiedWord/>
      <trackRevisions>false</trackRevisions>
    </reviewItem>
    <reviewItem>
      <errorID>30ee9f42-1db0-487e-b0e6-1582f9d85093</errorID>
      <errorWord>)</errorWord>
      <group>L1_Format</group>
      <groupName>格式问题</groupName>
      <ability>L2_HalfPunc_CN</ability>
      <abilityName>全半角问题</abilityName>
      <candidateList>
        <item>）</item>
      </candidateList>
      <explain>文本全半角错误。</explain>
      <paraID> BDF7839</paraID>
      <start>23</start>
      <end>24</end>
      <status>unmodified</status>
      <modifiedWord/>
      <trackRevisions>false</trackRevisions>
    </reviewItem>
    <reviewItem>
      <errorID>72284207-a7fd-4f6b-82b8-1d84b4c9ac9d</errorID>
      <errorWord>)</errorWord>
      <group>L1_Format</group>
      <groupName>格式问题</groupName>
      <ability>L2_HalfPunc_CN</ability>
      <abilityName>全半角问题</abilityName>
      <candidateList>
        <item>）</item>
      </candidateList>
      <explain>文本全半角错误。</explain>
      <paraID>72570A09</paraID>
      <start>8</start>
      <end>9</end>
      <status>unmodified</status>
      <modifiedWord/>
      <trackRevisions>false</trackRevisions>
    </reviewItem>
    <reviewItem>
      <errorID>9ab3dca5-9767-47d8-9264-98f1e5444459</errorID>
      <errorWord>)</errorWord>
      <group>L1_Format</group>
      <groupName>格式问题</groupName>
      <ability>L2_HalfPunc_CN</ability>
      <abilityName>全半角问题</abilityName>
      <candidateList>
        <item>）</item>
      </candidateList>
      <explain>文本全半角错误。</explain>
      <paraID>4C1CC888</paraID>
      <start>8</start>
      <end>9</end>
      <status>unmodified</status>
      <modifiedWord/>
      <trackRevisions>false</trackRevisions>
    </reviewItem>
    <reviewItem>
      <errorID>16714739-0a9b-433b-9346-f0230dd467a9</errorID>
      <errorWord>)</errorWord>
      <group>L1_Format</group>
      <groupName>格式问题</groupName>
      <ability>L2_HalfPunc_CN</ability>
      <abilityName>全半角问题</abilityName>
      <candidateList>
        <item>）</item>
      </candidateList>
      <explain>文本全半角错误。</explain>
      <paraID>7B222270</paraID>
      <start>8</start>
      <end>9</end>
      <status>unmodified</status>
      <modifiedWord/>
      <trackRevisions>false</trackRevisions>
    </reviewItem>
    <reviewItem>
      <errorID>b08ee77a-11e3-4182-92db-911123a6d6ed</errorID>
      <errorWord>)</errorWord>
      <group>L1_Format</group>
      <groupName>格式问题</groupName>
      <ability>L2_HalfPunc_CN</ability>
      <abilityName>全半角问题</abilityName>
      <candidateList>
        <item>）</item>
      </candidateList>
      <explain>文本全半角错误。</explain>
      <paraID>5805FDAA</paraID>
      <start>8</start>
      <end>9</end>
      <status>unmodified</status>
      <modifiedWord/>
      <trackRevisions>false</trackRevisions>
    </reviewItem>
    <reviewItem>
      <errorID>0d0188d6-e5d4-4617-be6e-1922b45553fc</errorID>
      <errorWord>(</errorWord>
      <group>L1_Format</group>
      <groupName>格式问题</groupName>
      <ability>L2_HalfPunc_CN</ability>
      <abilityName>全半角问题</abilityName>
      <candidateList>
        <item>（</item>
      </candidateList>
      <explain>文本全半角错误。</explain>
      <paraID>13CA7043</paraID>
      <start>5</start>
      <end>6</end>
      <status>unmodified</status>
      <modifiedWord/>
      <trackRevisions>false</trackRevisions>
    </reviewItem>
    <reviewItem>
      <errorID>8ddb947a-771b-4b1b-ad8f-bd2da84798c5</errorID>
      <errorWord>)</errorWord>
      <group>L1_Format</group>
      <groupName>格式问题</groupName>
      <ability>L2_HalfPunc_CN</ability>
      <abilityName>全半角问题</abilityName>
      <candidateList>
        <item>）</item>
      </candidateList>
      <explain>文本全半角错误。</explain>
      <paraID>13CA7043</paraID>
      <start>9</start>
      <end>10</end>
      <status>unmodified</status>
      <modifiedWord/>
      <trackRevisions>false</trackRevisions>
    </reviewItem>
    <reviewItem>
      <errorID>12afec8d-5dc0-4d29-9a9d-ec64be42c22e</errorID>
      <errorWord>根据对类似停车场的噪声监测结果表明</errorWord>
      <group>L1_Grammar</group>
      <groupName>语法问题</groupName>
      <ability>L2_Grammar</ability>
      <abilityName>语法错误</abilityName>
      <candidateList>
        <item>根据对类似停车场的噪声监测</item>
      </candidateList>
      <explain>该表达中的“根据对类似停车场的噪声监测结果表明”存在语义重复。</explain>
      <paraID>73338946</paraID>
      <start>0</start>
      <end>17</end>
      <status>unmodified</status>
      <modifiedWord/>
      <trackRevisions>false</trackRevisions>
    </reviewItem>
    <reviewItem>
      <errorID>f2e8e434-263e-43ef-b0be-4f9456f4c2f1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75DCCCD6</paraID>
      <start>0</start>
      <end>2</end>
      <status>unmodified</status>
      <modifiedWord/>
      <trackRevisions>false</trackRevisions>
    </reviewItem>
    <reviewItem>
      <errorID>c109c256-4520-4581-a63d-377a6bfac8f5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7DBFF4ED</paraID>
      <start>0</start>
      <end>2</end>
      <status>unmodified</status>
      <modifiedWord/>
      <trackRevisions>false</trackRevisions>
    </reviewItem>
    <reviewItem>
      <errorID>d24c17a9-89d6-4ecd-aab5-37f6c647303f</errorID>
      <errorWord>\</errorWord>
      <group>L1_Punc</group>
      <groupName>标点问题</groupName>
      <ability>L2_Punc_CN</ability>
      <abilityName>标点符号问题</abilityName>
      <candidateList/>
      <explain/>
      <paraID>6A09BC82</paraID>
      <start>0</start>
      <end>1</end>
      <status>unmodified</status>
      <modifiedWord/>
      <trackRevisions>false</trackRevisions>
    </reviewItem>
    <reviewItem>
      <errorID>ce03767d-e4db-42fa-add7-6a5eb52828f9</errorID>
      <errorWord>\</errorWord>
      <group>L1_Punc</group>
      <groupName>标点问题</groupName>
      <ability>L2_Punc_CN</ability>
      <abilityName>标点符号问题</abilityName>
      <candidateList/>
      <explain/>
      <paraID>58F6F505</paraID>
      <start>0</start>
      <end>1</end>
      <status>unmodified</status>
      <modifiedWord/>
      <trackRevisions>false</trackRevisions>
    </reviewItem>
    <reviewItem>
      <errorID>3993bf1b-c726-4404-8582-601370b75f45</errorID>
      <errorWord>\</errorWord>
      <group>L1_Punc</group>
      <groupName>标点问题</groupName>
      <ability>L2_Punc_CN</ability>
      <abilityName>标点符号问题</abilityName>
      <candidateList/>
      <explain/>
      <paraID> 72BFECF</paraID>
      <start>0</start>
      <end>1</end>
      <status>unmodified</status>
      <modifiedWord/>
      <trackRevisions>false</trackRevisions>
    </reviewItem>
    <reviewItem>
      <errorID>5bf7727a-441d-48d1-b2f4-4ba24e8c19d7</errorID>
      <errorWord>\</errorWord>
      <group>L1_Punc</group>
      <groupName>标点问题</groupName>
      <ability>L2_Punc_CN</ability>
      <abilityName>标点符号问题</abilityName>
      <candidateList/>
      <explain/>
      <paraID>113AA4C9</paraID>
      <start>0</start>
      <end>1</end>
      <status>unmodified</status>
      <modifiedWord/>
      <trackRevisions>false</trackRevisions>
    </reviewItem>
    <reviewItem>
      <errorID>b70746fc-2223-4150-8a7f-f067880aaf8e</errorID>
      <errorWord>\</errorWord>
      <group>L1_Punc</group>
      <groupName>标点问题</groupName>
      <ability>L2_Punc_CN</ability>
      <abilityName>标点符号问题</abilityName>
      <candidateList/>
      <explain/>
      <paraID>7BDDA711</paraID>
      <start>0</start>
      <end>1</end>
      <status>unmodified</status>
      <modifiedWord/>
      <trackRevisions>false</trackRevisions>
    </reviewItem>
    <reviewItem>
      <errorID>ca6a6afc-ddf5-4db1-866d-7a6de41959b4</errorID>
      <errorWord>\</errorWord>
      <group>L1_Punc</group>
      <groupName>标点问题</groupName>
      <ability>L2_Punc_CN</ability>
      <abilityName>标点符号问题</abilityName>
      <candidateList/>
      <explain/>
      <paraID>7733B6E6</paraID>
      <start>0</start>
      <end>1</end>
      <status>unmodified</status>
      <modifiedWord/>
      <trackRevisions>false</trackRevisions>
    </reviewItem>
    <reviewItem>
      <errorID>ddbb3cbe-f8a4-4c20-a4d9-ac3e0cb821ab</errorID>
      <errorWord>\</errorWord>
      <group>L1_Punc</group>
      <groupName>标点问题</groupName>
      <ability>L2_Punc_CN</ability>
      <abilityName>标点符号问题</abilityName>
      <candidateList/>
      <explain/>
      <paraID>5BD262F8</paraID>
      <start>0</start>
      <end>1</end>
      <status>unmodified</status>
      <modifiedWord/>
      <trackRevisions>false</trackRevisions>
    </reviewItem>
    <reviewItem>
      <errorID>3840c50d-29a8-4484-a596-30ced57a5047</errorID>
      <errorWord>\</errorWord>
      <group>L1_Punc</group>
      <groupName>标点问题</groupName>
      <ability>L2_Punc_CN</ability>
      <abilityName>标点符号问题</abilityName>
      <candidateList/>
      <explain/>
      <paraID>60CD8592</paraID>
      <start>0</start>
      <end>1</end>
      <status>unmodified</status>
      <modifiedWord/>
      <trackRevisions>false</trackRevisions>
    </reviewItem>
    <reviewItem>
      <errorID>47f7f84b-16d8-40cc-9fef-6dc667c9d083</errorID>
      <errorWord>\</errorWord>
      <group>L1_Punc</group>
      <groupName>标点问题</groupName>
      <ability>L2_Punc_CN</ability>
      <abilityName>标点符号问题</abilityName>
      <candidateList/>
      <explain/>
      <paraID>5A36EA13</paraID>
      <start>0</start>
      <end>1</end>
      <status>unmodified</status>
      <modifiedWord/>
      <trackRevisions>false</trackRevisions>
    </reviewItem>
    <reviewItem>
      <errorID>a3639ce5-7a1f-4951-92ec-1f7b9616921d</errorID>
      <errorWord>\</errorWord>
      <group>L1_Punc</group>
      <groupName>标点问题</groupName>
      <ability>L2_Punc_CN</ability>
      <abilityName>标点符号问题</abilityName>
      <candidateList/>
      <explain/>
      <paraID>60B44187</paraID>
      <start>0</start>
      <end>1</end>
      <status>unmodified</status>
      <modifiedWord/>
      <trackRevisions>false</trackRevisions>
    </reviewItem>
    <reviewItem>
      <errorID>180b5c19-ebfe-4f62-9d05-672529ddbc06</errorID>
      <errorWord>\</errorWord>
      <group>L1_Punc</group>
      <groupName>标点问题</groupName>
      <ability>L2_Punc_CN</ability>
      <abilityName>标点符号问题</abilityName>
      <candidateList/>
      <explain/>
      <paraID>2AC5445F</paraID>
      <start>0</start>
      <end>1</end>
      <status>unmodified</status>
      <modifiedWord/>
      <trackRevisions>false</trackRevisions>
    </reviewItem>
    <reviewItem>
      <errorID>09252189-fb03-4216-b9be-b82c844e8373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4F0071B</paraID>
      <start>207</start>
      <end>208</end>
      <status>unmodified</status>
      <modifiedWord/>
      <trackRevisions>false</trackRevisions>
    </reviewItem>
    <reviewItem>
      <errorID>1f1fca63-bec2-487d-bc97-df820e8a2ea7</errorID>
      <errorWord>0.5%~2%</errorWord>
      <group>L1_Knowledge</group>
      <groupName>知识性问题</groupName>
      <ability>L2_Knowledge</ability>
      <abilityName>其他知识</abilityName>
      <candidateList>
        <item>0.5%～2%</item>
      </candidateList>
      <explain>1. “0.5%~2%”中的单位“%”仅出现在后一个数字上，容易引起歧义；根据《现代汉语标点符号数字用法规范手册》，数字表示范围两边需要使用统一的格式。2. 根据标点国标 4.13 中的规则，数字、时间或地域连接符应使用（视觉上更长的）“—”或“～”。</explain>
      <paraID>3F6D4AE7</paraID>
      <start>23</start>
      <end>30</end>
      <status>unmodified</status>
      <modifiedWord/>
      <trackRevisions>false</trackRevisions>
    </reviewItem>
    <reviewItem>
      <errorID>8122c2ac-d02e-465f-b8b2-7527e9a039ae</errorID>
      <errorWord>（</errorWord>
      <group>L1_Format</group>
      <groupName>格式问题</groupName>
      <ability>L2_HalfPunc_CN</ability>
      <abilityName>全半角问题</abilityName>
      <candidateList>
        <item>(</item>
      </candidateList>
      <explain>文本全半角错误。</explain>
      <paraID>6B847A60</paraID>
      <start>0</start>
      <end>1</end>
      <status>unmodified</status>
      <modifiedWord/>
      <trackRevisions>false</trackRevisions>
    </reviewItem>
    <reviewItem>
      <errorID>1a0efd53-02b7-4692-b0f4-87818efb5759</errorID>
      <errorWord>）</errorWord>
      <group>L1_Format</group>
      <groupName>格式问题</groupName>
      <ability>L2_HalfPunc_CN</ability>
      <abilityName>全半角问题</abilityName>
      <candidateList>
        <item>)</item>
      </candidateList>
      <explain>文本全半角错误。</explain>
      <paraID>6B847A60</paraID>
      <start>11</start>
      <end>12</end>
      <status>unmodified</status>
      <modifiedWord/>
      <trackRevisions>false</trackRevisions>
    </reviewItem>
    <reviewItem>
      <errorID>2acbcd92-857f-4472-9597-bf2cad78b977</errorID>
      <errorWord>（</errorWord>
      <group>L1_Format</group>
      <groupName>格式问题</groupName>
      <ability>L2_HalfPunc_CN</ability>
      <abilityName>全半角问题</abilityName>
      <candidateList>
        <item>(</item>
      </candidateList>
      <explain>文本全半角错误。</explain>
      <paraID>6B847A60</paraID>
      <start>13</start>
      <end>14</end>
      <status>unmodified</status>
      <modifiedWord/>
      <trackRevisions>false</trackRevisions>
    </reviewItem>
    <reviewItem>
      <errorID>c8ee2c4c-013d-4315-9600-4dcd9130d710</errorID>
      <errorWord>）</errorWord>
      <group>L1_Format</group>
      <groupName>格式问题</groupName>
      <ability>L2_HalfPunc_CN</ability>
      <abilityName>全半角问题</abilityName>
      <candidateList>
        <item>)</item>
      </candidateList>
      <explain>文本全半角错误。</explain>
      <paraID>6B847A60</paraID>
      <start>24</start>
      <end>25</end>
      <status>unmodified</status>
      <modifiedWord/>
      <trackRevisions>false</trackRevisions>
    </reviewItem>
    <reviewItem>
      <errorID>284a8076-4159-4458-baa9-3eb83d7fc15c</errorID>
      <errorWord>（</errorWord>
      <group>L1_Format</group>
      <groupName>格式问题</groupName>
      <ability>L2_HalfPunc_CN</ability>
      <abilityName>全半角问题</abilityName>
      <candidateList>
        <item>(</item>
      </candidateList>
      <explain>文本全半角错误。</explain>
      <paraID>6B847A60</paraID>
      <start>26</start>
      <end>27</end>
      <status>unmodified</status>
      <modifiedWord/>
      <trackRevisions>false</trackRevisions>
    </reviewItem>
    <reviewItem>
      <errorID>5c7b37f8-aa07-4812-b4d1-6fa88a2fb9f1</errorID>
      <errorWord>）</errorWord>
      <group>L1_Format</group>
      <groupName>格式问题</groupName>
      <ability>L2_HalfPunc_CN</ability>
      <abilityName>全半角问题</abilityName>
      <candidateList>
        <item>)</item>
      </candidateList>
      <explain>文本全半角错误。</explain>
      <paraID>6B847A60</paraID>
      <start>37</start>
      <end>38</end>
      <status>unmodified</status>
      <modifiedWord/>
      <trackRevisions>false</trackRevisions>
    </reviewItem>
    <reviewItem>
      <errorID>f089a4cc-5d7b-4a7d-8b58-6f40bd495ed8</errorID>
      <errorWord>（</errorWord>
      <group>L1_Format</group>
      <groupName>格式问题</groupName>
      <ability>L2_HalfPunc_CN</ability>
      <abilityName>全半角问题</abilityName>
      <candidateList>
        <item>(</item>
      </candidateList>
      <explain>文本全半角错误。</explain>
      <paraID>6B847A60</paraID>
      <start>39</start>
      <end>40</end>
      <status>unmodified</status>
      <modifiedWord/>
      <trackRevisions>false</trackRevisions>
    </reviewItem>
    <reviewItem>
      <errorID>d062e92f-2222-457b-9724-8b28b94dffc6</errorID>
      <errorWord>）</errorWord>
      <group>L1_Format</group>
      <groupName>格式问题</groupName>
      <ability>L2_HalfPunc_CN</ability>
      <abilityName>全半角问题</abilityName>
      <candidateList>
        <item>)</item>
      </candidateList>
      <explain>文本全半角错误。</explain>
      <paraID>6B847A60</paraID>
      <start>50</start>
      <end>51</end>
      <status>unmodified</status>
      <modifiedWord/>
      <trackRevisions>false</trackRevisions>
    </reviewItem>
    <reviewItem>
      <errorID>04183952-ecd7-42b3-9beb-26b00a69ea2e</errorID>
      <errorWord>（</errorWord>
      <group>L1_Format</group>
      <groupName>格式问题</groupName>
      <ability>L2_HalfPunc_CN</ability>
      <abilityName>全半角问题</abilityName>
      <candidateList>
        <item>(</item>
      </candidateList>
      <explain>文本全半角错误。</explain>
      <paraID>6283D6B4</paraID>
      <start>0</start>
      <end>1</end>
      <status>unmodified</status>
      <modifiedWord/>
      <trackRevisions>false</trackRevisions>
    </reviewItem>
    <reviewItem>
      <errorID>7cf03b11-8dfb-485a-bf71-a4ee5f4aaf81</errorID>
      <errorWord>）</errorWord>
      <group>L1_Format</group>
      <groupName>格式问题</groupName>
      <ability>L2_HalfPunc_CN</ability>
      <abilityName>全半角问题</abilityName>
      <candidateList>
        <item>)</item>
      </candidateList>
      <explain>文本全半角错误。</explain>
      <paraID>6283D6B4</paraID>
      <start>11</start>
      <end>12</end>
      <status>unmodified</status>
      <modifiedWord/>
      <trackRevisions>false</trackRevisions>
    </reviewItem>
    <reviewItem>
      <errorID>a3d075ba-3fca-48e6-be3e-032a9f9ef82a</errorID>
      <errorWord>（</errorWord>
      <group>L1_Format</group>
      <groupName>格式问题</groupName>
      <ability>L2_HalfPunc_CN</ability>
      <abilityName>全半角问题</abilityName>
      <candidateList>
        <item>(</item>
      </candidateList>
      <explain>文本全半角错误。</explain>
      <paraID>607C09D6</paraID>
      <start>0</start>
      <end>1</end>
      <status>unmodified</status>
      <modifiedWord/>
      <trackRevisions>false</trackRevisions>
    </reviewItem>
    <reviewItem>
      <errorID>02c2b4be-d81f-42d2-85e0-192b910770c9</errorID>
      <errorWord>）</errorWord>
      <group>L1_Format</group>
      <groupName>格式问题</groupName>
      <ability>L2_HalfPunc_CN</ability>
      <abilityName>全半角问题</abilityName>
      <candidateList>
        <item>)</item>
      </candidateList>
      <explain>文本全半角错误。</explain>
      <paraID>607C09D6</paraID>
      <start>11</start>
      <end>12</end>
      <status>unmodified</status>
      <modifiedWord/>
      <trackRevisions>false</trackRevisions>
    </reviewItem>
    <reviewItem>
      <errorID>bd75f6c5-9547-4f5a-b4ce-59c9ff5eb70f</errorID>
      <errorWord>（</errorWord>
      <group>L1_Format</group>
      <groupName>格式问题</groupName>
      <ability>L2_HalfPunc_CN</ability>
      <abilityName>全半角问题</abilityName>
      <candidateList>
        <item>(</item>
      </candidateList>
      <explain>文本全半角错误。</explain>
      <paraID>36FC6992</paraID>
      <start>0</start>
      <end>1</end>
      <status>unmodified</status>
      <modifiedWord/>
      <trackRevisions>false</trackRevisions>
    </reviewItem>
    <reviewItem>
      <errorID>db67381b-fb2b-412d-9f41-15e861a953a4</errorID>
      <errorWord>）</errorWord>
      <group>L1_Format</group>
      <groupName>格式问题</groupName>
      <ability>L2_HalfPunc_CN</ability>
      <abilityName>全半角问题</abilityName>
      <candidateList>
        <item>)</item>
      </candidateList>
      <explain>文本全半角错误。</explain>
      <paraID>36FC6992</paraID>
      <start>11</start>
      <end>12</end>
      <status>unmodified</status>
      <modifiedWord/>
      <trackRevisions>false</trackRevisions>
    </reviewItem>
    <reviewItem>
      <errorID>3445f403-b8dd-41d1-b7d4-fca16623ccca</errorID>
      <errorWord>（</errorWord>
      <group>L1_Format</group>
      <groupName>格式问题</groupName>
      <ability>L2_HalfPunc_CN</ability>
      <abilityName>全半角问题</abilityName>
      <candidateList>
        <item>(</item>
      </candidateList>
      <explain>文本全半角错误。</explain>
      <paraID>36FC6992</paraID>
      <start>13</start>
      <end>14</end>
      <status>unmodified</status>
      <modifiedWord/>
      <trackRevisions>false</trackRevisions>
    </reviewItem>
    <reviewItem>
      <errorID>509832c5-69fd-4fb3-b378-6e9ec6882932</errorID>
      <errorWord>）</errorWord>
      <group>L1_Format</group>
      <groupName>格式问题</groupName>
      <ability>L2_HalfPunc_CN</ability>
      <abilityName>全半角问题</abilityName>
      <candidateList>
        <item>)</item>
      </candidateList>
      <explain>文本全半角错误。</explain>
      <paraID>36FC6992</paraID>
      <start>24</start>
      <end>25</end>
      <status>unmodified</status>
      <modifiedWord/>
      <trackRevisions>false</trackRevisions>
    </reviewItem>
    <reviewItem>
      <errorID>df62c97c-1101-43e5-8fe1-04e404990477</errorID>
      <errorWord>（</errorWord>
      <group>L1_Format</group>
      <groupName>格式问题</groupName>
      <ability>L2_HalfPunc_CN</ability>
      <abilityName>全半角问题</abilityName>
      <candidateList>
        <item>(</item>
      </candidateList>
      <explain>文本全半角错误。</explain>
      <paraID>36FC6992</paraID>
      <start>26</start>
      <end>27</end>
      <status>unmodified</status>
      <modifiedWord/>
      <trackRevisions>false</trackRevisions>
    </reviewItem>
    <reviewItem>
      <errorID>06d21662-5bd2-40ec-8528-5da3abe10515</errorID>
      <errorWord>）</errorWord>
      <group>L1_Format</group>
      <groupName>格式问题</groupName>
      <ability>L2_HalfPunc_CN</ability>
      <abilityName>全半角问题</abilityName>
      <candidateList>
        <item>)</item>
      </candidateList>
      <explain>文本全半角错误。</explain>
      <paraID>36FC6992</paraID>
      <start>37</start>
      <end>38</end>
      <status>unmodified</status>
      <modifiedWord/>
      <trackRevisions>false</trackRevisions>
    </reviewItem>
    <reviewItem>
      <errorID>888487ab-e317-4316-845b-dbc4d691b84f</errorID>
      <errorWord>（</errorWord>
      <group>L1_Format</group>
      <groupName>格式问题</groupName>
      <ability>L2_HalfPunc_CN</ability>
      <abilityName>全半角问题</abilityName>
      <candidateList>
        <item>(</item>
      </candidateList>
      <explain>文本全半角错误。</explain>
      <paraID>36FC6992</paraID>
      <start>39</start>
      <end>40</end>
      <status>unmodified</status>
      <modifiedWord/>
      <trackRevisions>false</trackRevisions>
    </reviewItem>
    <reviewItem>
      <errorID>7eeced4e-3cd6-4cd1-99a9-ba934a5d3288</errorID>
      <errorWord>）</errorWord>
      <group>L1_Format</group>
      <groupName>格式问题</groupName>
      <ability>L2_HalfPunc_CN</ability>
      <abilityName>全半角问题</abilityName>
      <candidateList>
        <item>)</item>
      </candidateList>
      <explain>文本全半角错误。</explain>
      <paraID>36FC6992</paraID>
      <start>50</start>
      <end>51</end>
      <status>unmodified</status>
      <modifiedWord/>
      <trackRevisions>false</trackRevisions>
    </reviewItem>
    <reviewItem>
      <errorID>3402a638-8d0b-4162-a9aa-120d33e0870c</errorID>
      <errorWord>（</errorWord>
      <group>L1_Format</group>
      <groupName>格式问题</groupName>
      <ability>L2_HalfPunc_CN</ability>
      <abilityName>全半角问题</abilityName>
      <candidateList>
        <item>(</item>
      </candidateList>
      <explain>文本全半角错误。</explain>
      <paraID>4C6CBB34</paraID>
      <start>0</start>
      <end>1</end>
      <status>unmodified</status>
      <modifiedWord/>
      <trackRevisions>false</trackRevisions>
    </reviewItem>
    <reviewItem>
      <errorID>572cd38a-4c98-435d-80ec-073d5142d81c</errorID>
      <errorWord>）</errorWord>
      <group>L1_Format</group>
      <groupName>格式问题</groupName>
      <ability>L2_HalfPunc_CN</ability>
      <abilityName>全半角问题</abilityName>
      <candidateList>
        <item>)</item>
      </candidateList>
      <explain>文本全半角错误。</explain>
      <paraID>4C6CBB34</paraID>
      <start>11</start>
      <end>12</end>
      <status>unmodified</status>
      <modifiedWord/>
      <trackRevisions>false</trackRevisions>
    </reviewItem>
    <reviewItem>
      <errorID>da912576-5b7a-4303-9ba0-19adb02504fb</errorID>
      <errorWord>（</errorWord>
      <group>L1_Format</group>
      <groupName>格式问题</groupName>
      <ability>L2_HalfPunc_CN</ability>
      <abilityName>全半角问题</abilityName>
      <candidateList>
        <item>(</item>
      </candidateList>
      <explain>文本全半角错误。</explain>
      <paraID>1BE636AE</paraID>
      <start>0</start>
      <end>1</end>
      <status>unmodified</status>
      <modifiedWord/>
      <trackRevisions>false</trackRevisions>
    </reviewItem>
    <reviewItem>
      <errorID>6b434dec-b00b-47c5-8b06-ea84663ef51e</errorID>
      <errorWord>）</errorWord>
      <group>L1_Format</group>
      <groupName>格式问题</groupName>
      <ability>L2_HalfPunc_CN</ability>
      <abilityName>全半角问题</abilityName>
      <candidateList>
        <item>)</item>
      </candidateList>
      <explain>文本全半角错误。</explain>
      <paraID>1BE636AE</paraID>
      <start>11</start>
      <end>12</end>
      <status>unmodified</status>
      <modifiedWord/>
      <trackRevisions>false</trackRevisions>
    </reviewItem>
    <reviewItem>
      <errorID>ab0c98e7-263d-4400-a201-f5c2f433ef7d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243622B4</paraID>
      <start>125</start>
      <end>126</end>
      <status>unmodified</status>
      <modifiedWord/>
      <trackRevisions>false</trackRevisions>
    </reviewItem>
    <reviewItem>
      <errorID>41359260-06f6-42a7-be89-90fb3e5c8080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243622B4</paraID>
      <start>164</start>
      <end>165</end>
      <status>unmodified</status>
      <modifiedWord/>
      <trackRevisions>false</trackRevisions>
    </reviewItem>
    <reviewItem>
      <errorID>adb01398-ad03-4297-ab82-6831a257313d</errorID>
      <errorWord>(</errorWord>
      <group>L1_Format</group>
      <groupName>格式问题</groupName>
      <ability>L2_HalfPunc_CN</ability>
      <abilityName>全半角问题</abilityName>
      <candidateList>
        <item>（</item>
      </candidateList>
      <explain>文本全半角错误。</explain>
      <paraID>7938680F</paraID>
      <start>20</start>
      <end>21</end>
      <status>unmodified</status>
      <modifiedWord/>
      <trackRevisions>false</trackRevisions>
    </reviewItem>
    <reviewItem>
      <errorID>c906a6a0-f9b8-4d24-893c-490c60da9766</errorID>
      <errorWord>)</errorWord>
      <group>L1_Format</group>
      <groupName>格式问题</groupName>
      <ability>L2_HalfPunc_CN</ability>
      <abilityName>全半角问题</abilityName>
      <candidateList>
        <item>）</item>
      </candidateList>
      <explain>文本全半角错误。</explain>
      <paraID>7938680F</paraID>
      <start>33</start>
      <end>34</end>
      <status>unmodified</status>
      <modifiedWord/>
      <trackRevisions>false</trackRevisions>
    </reviewItem>
    <reviewItem>
      <errorID>af786f44-3934-4146-8e82-d29b0fd36f51</errorID>
      <errorWord>;</errorWord>
      <group>L1_Format</group>
      <groupName>格式问题</groupName>
      <ability>L2_HalfPunc_CN</ability>
      <abilityName>全半角问题</abilityName>
      <candidateList>
        <item>；</item>
      </candidateList>
      <explain>文本全半角错误。</explain>
      <paraID>7938680F</paraID>
      <start>70</start>
      <end>71</end>
      <status>unmodified</status>
      <modifiedWord/>
      <trackRevisions>false</trackRevisions>
    </reviewItem>
    <reviewItem>
      <errorID>3dc5add2-395d-4c20-88c7-5ec20286854f</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 FB73935</paraID>
      <start>28</start>
      <end>31</end>
      <status>unmodified</status>
      <modifiedWord/>
      <trackRevisions>false</trackRevisions>
    </reviewItem>
    <reviewItem>
      <errorID>9e7b5b25-05c8-4417-9912-11104afa5930</errorID>
      <errorWord>[2003]206号</errorWord>
      <group>L1_Knowledge</group>
      <groupName>知识性问题</groupName>
      <ability>L2_Knowledge</ability>
      <abilityName>其他知识</abilityName>
      <candidateList>
        <item>〔2003〕206号</item>
      </candidateList>
      <explain>发文字号格式错误。</explain>
      <paraID> FB73935</paraID>
      <start>59</start>
      <end>69</end>
      <status>unmodified</status>
      <modifiedWord/>
      <trackRevisions>false</trackRevisions>
    </reviewItem>
    <reviewItem>
      <errorID>3894f356-5cdc-441e-8891-777b33f72929</errorID>
      <errorWord>其它</errorWord>
      <group>L1_Word</group>
      <groupName>字词问题</groupName>
      <ability>L2_Alias</ability>
      <abilityName>也作/曾用词</abilityName>
      <candidateList>
        <item>其他</item>
      </candidateList>
      <explain>词汇[其它]为不规范表述或旧称，其规范书面表述为[其他]。</explain>
      <paraID>2ED99B82</paraID>
      <start>58</start>
      <end>60</end>
      <status>unmodified</status>
      <modifiedWord/>
      <trackRevisions>false</trackRevisions>
    </reviewItem>
    <reviewItem>
      <errorID>78bff545-7c97-4b25-865b-45b2e6616e9a</errorID>
      <errorWord>(</errorWord>
      <group>L1_Format</group>
      <groupName>格式问题</groupName>
      <ability>L2_HalfPunc_CN</ability>
      <abilityName>全半角问题</abilityName>
      <candidateList>
        <item>（</item>
      </candidateList>
      <explain>文本全半角错误。</explain>
      <paraID>49A9FC90</paraID>
      <start>12</start>
      <end>13</end>
      <status>unmodified</status>
      <modifiedWord/>
      <trackRevisions>false</trackRevisions>
    </reviewItem>
    <reviewItem>
      <errorID>7514b2c3-dcb2-49f3-9ca8-26c145cf853c</errorID>
      <errorWord>)</errorWord>
      <group>L1_Format</group>
      <groupName>格式问题</groupName>
      <ability>L2_HalfPunc_CN</ability>
      <abilityName>全半角问题</abilityName>
      <candidateList>
        <item>）</item>
      </candidateList>
      <explain>文本全半角错误。</explain>
      <paraID>49A9FC90</paraID>
      <start>14</start>
      <end>15</end>
      <status>unmodified</status>
      <modifiedWord/>
      <trackRevisions>false</trackRevisions>
    </reviewItem>
    <reviewItem>
      <errorID>13728a55-bded-4123-9715-b369541023cc</errorID>
      <errorWord>,</errorWord>
      <group>L1_Format</group>
      <groupName>格式问题</groupName>
      <ability>L2_HalfPunc_CN</ability>
      <abilityName>全半角问题</abilityName>
      <candidateList>
        <item>，</item>
      </candidateList>
      <explain>文本全半角错误。</explain>
      <paraID>4559AFBF</paraID>
      <start>66</start>
      <end>67</end>
      <status>unmodified</status>
      <modifiedWord/>
      <trackRevisions>false</trackRevisions>
    </reviewItem>
    <reviewItem>
      <errorID>a68e7813-5db7-4c6a-91eb-54ba77358245</errorID>
      <errorWord>，</errorWord>
      <group>L1_Word</group>
      <groupName>字词问题</groupName>
      <ability>L2_Typo</ability>
      <abilityName>字词错误</abilityName>
      <candidateList>
        <item>，对</item>
      </candidateList>
      <explain/>
      <paraID>70E128EE</paraID>
      <start>89</start>
      <end>90</end>
      <status>unmodified</status>
      <modifiedWord/>
      <trackRevisions>false</trackRevisions>
    </reviewItem>
    <reviewItem>
      <errorID>92e22272-6d49-4792-9d3b-5b723acdf425</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38C12F5B</paraID>
      <start>3</start>
      <end>6</end>
      <status>unmodified</status>
      <modifiedWord/>
      <trackRevisions>false</trackRevisions>
    </reviewItem>
    <reviewItem>
      <errorID>f2887c6e-b712-4cd9-bcff-6d67a4aaa6c9</errorID>
      <errorWord>IV</errorWord>
      <group>L1_Knowledge</group>
      <groupName>知识性问题</groupName>
      <ability>L2_Knowledge</ability>
      <abilityName>其他知识</abilityName>
      <candidateList>
        <item>Ⅳ</item>
      </candidateList>
      <explain>中文环境下罗马数字格式错误。</explain>
      <paraID>21E8DB75</paraID>
      <start>31</start>
      <end>33</end>
      <status>unmodified</status>
      <modifiedWord/>
      <trackRevisions>false</trackRevisions>
    </reviewItem>
    <reviewItem>
      <errorID>f425d228-96d6-4a26-9749-173568e2cd47</errorID>
      <errorWord>III</errorWord>
      <group>L1_Word</group>
      <groupName>字词问题</groupName>
      <ability>L2_Typo</ability>
      <abilityName>字词错误</abilityName>
      <candidateList>
        <item>Ⅲ</item>
      </candidateList>
      <explain/>
      <paraID>18560980</paraID>
      <start>31</start>
      <end>34</end>
      <status>unmodified</status>
      <modifiedWord/>
      <trackRevisions>false</trackRevisions>
    </reviewItem>
    <reviewItem>
      <errorID>568f7495-8e24-4cca-b534-8cc8b46c5809</errorID>
      <errorWord>入</errorWord>
      <group>L1_Word</group>
      <groupName>字词问题</groupName>
      <ability>L2_Typo</ability>
      <abilityName>字词错误</abilityName>
      <candidateList>
        <item>排入</item>
      </candidateList>
      <explain/>
      <paraID>7F9E88A1</paraID>
      <start>101</start>
      <end>103</end>
      <status>modified</status>
      <modifiedWord>排入</modifiedWord>
      <trackRevisions>false</trackRevisions>
    </reviewItem>
    <reviewItem>
      <errorID>a0e1f6ea-b1af-43a0-97da-d9bacdcb1481</errorID>
      <errorWord>完</errorWord>
      <group>L1_Word</group>
      <groupName>字词问题</groupName>
      <ability>L2_Typo</ability>
      <abilityName>字词错误</abilityName>
      <candidateList>
        <item>完成</item>
      </candidateList>
      <explain/>
      <paraID>7F9E88A1</paraID>
      <start>301</start>
      <end>303</end>
      <status>modified</status>
      <modifiedWord>完成</modifiedWord>
      <trackRevisions>false</trackRevisions>
    </reviewItem>
    <reviewItem>
      <errorID>87091bae-824a-4b58-8f9d-e57f7c476a85</errorID>
      <errorWord>用砂土、蛭石或其它</errorWord>
      <group>L1_Word</group>
      <groupName>字词问题</groupName>
      <ability>L2_Alias</ability>
      <abilityName>也作/曾用词</abilityName>
      <candidateList>
        <item>用砂土、蛭石或其他</item>
      </candidateList>
      <explain>词汇[用砂土、蛭石或其它]为不规范表述或旧称，其规范书面表述为[用砂土、蛭石或其他]。</explain>
      <paraID>230D1B1B</paraID>
      <start>6</start>
      <end>15</end>
      <status>unmodified</status>
      <modifiedWord/>
      <trackRevisions>false</trackRevisions>
    </reviewItem>
    <reviewItem>
      <errorID>4f20a70b-9578-4c2e-aced-2ef080800755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76A1CD75</paraID>
      <start>31</start>
      <end>34</end>
      <status>unmodified</status>
      <modifiedWord/>
      <trackRevisions>false</trackRevisions>
    </reviewItem>
    <reviewItem>
      <errorID>13109ec7-0341-43fb-b2d7-3e74fb5ea95f</errorID>
      <errorWord>砂土、蛭石或其它</errorWord>
      <group>L1_Word</group>
      <groupName>字词问题</groupName>
      <ability>L2_Alias</ability>
      <abilityName>也作/曾用词</abilityName>
      <candidateList>
        <item>砂土、蛭石或其他</item>
      </candidateList>
      <explain>词汇[砂土、蛭石或其它]为不规范表述或旧称，其规范书面表述为[砂土、蛭石或其他]。</explain>
      <paraID>1CD38C6A</paraID>
      <start>98</start>
      <end>106</end>
      <status>unmodified</status>
      <modifiedWord/>
      <trackRevisions>false</trackRevisions>
    </reviewItem>
    <reviewItem>
      <errorID>b4fdbbc4-b230-4863-a8cc-eae51a01c703</errorID>
      <errorWord>根据根据</errorWord>
      <group>L1_Word</group>
      <groupName>字词问题</groupName>
      <ability>L2_Typo</ability>
      <abilityName>字词错误</abilityName>
      <candidateList>
        <item>根据</item>
      </candidateList>
      <explain/>
      <paraID> BA99903</paraID>
      <start>11</start>
      <end>15</end>
      <status>unmodified</status>
      <modifiedWord/>
      <trackRevisions>false</trackRevisions>
    </reviewItem>
    <reviewItem>
      <errorID>ce543a37-4e7c-4aa1-aef0-12a3b8900267</errorID>
      <errorWord>（</errorWord>
      <group>L1_Format</group>
      <groupName>格式问题</groupName>
      <ability>L2_HalfPunc_CN</ability>
      <abilityName>全半角问题</abilityName>
      <candidateList>
        <item>(</item>
      </candidateList>
      <explain>文本全半角错误。</explain>
      <paraID>6D62F985</paraID>
      <start>0</start>
      <end>1</end>
      <status>unmodified</status>
      <modifiedWord/>
      <trackRevisions>false</trackRevisions>
    </reviewItem>
    <reviewItem>
      <errorID>6c0ce204-0a4b-4fdc-8b5e-3f74a6d1baac</errorID>
      <errorWord>）</errorWord>
      <group>L1_Format</group>
      <groupName>格式问题</groupName>
      <ability>L2_HalfPunc_CN</ability>
      <abilityName>全半角问题</abilityName>
      <candidateList>
        <item>)</item>
      </candidateList>
      <explain>文本全半角错误。</explain>
      <paraID>6D62F985</paraID>
      <start>6</start>
      <end>7</end>
      <status>unmodified</status>
      <modifiedWord/>
      <trackRevisions>false</trackRevisions>
    </reviewItem>
    <reviewItem>
      <errorID>d41564ee-ae42-4e23-918c-e42128e63570</errorID>
      <errorWord>）</errorWord>
      <group>L1_Format</group>
      <groupName>格式问题</groupName>
      <ability>L2_HalfPunc_CN</ability>
      <abilityName>全半角问题</abilityName>
      <candidateList>
        <item>)</item>
      </candidateList>
      <explain>文本全半角错误。</explain>
      <paraID>3F7FBA5E</paraID>
      <start>5</start>
      <end>6</end>
      <status>unmodified</status>
      <modifiedWord/>
      <trackRevisions>false</trackRevisions>
    </reviewItem>
    <reviewItem>
      <errorID>eeddfbc9-daca-4e8f-9a80-57d119bb1255</errorID>
      <errorWord>(</errorWord>
      <group>L1_Format</group>
      <groupName>格式问题</groupName>
      <ability>L2_HalfPunc_CN</ability>
      <abilityName>全半角问题</abilityName>
      <candidateList>
        <item>（</item>
      </candidateList>
      <explain>文本全半角错误。</explain>
      <paraID>56F9AB42</paraID>
      <start>7</start>
      <end>8</end>
      <status>unmodified</status>
      <modifiedWord/>
      <trackRevisions>false</trackRevisions>
    </reviewItem>
    <reviewItem>
      <errorID>d22d6363-488c-4c33-89f7-cb8ade54d0dd</errorID>
      <errorWord>)</errorWord>
      <group>L1_Format</group>
      <groupName>格式问题</groupName>
      <ability>L2_HalfPunc_CN</ability>
      <abilityName>全半角问题</abilityName>
      <candidateList>
        <item>）</item>
      </candidateList>
      <explain>文本全半角错误。</explain>
      <paraID>56F9AB42</paraID>
      <start>15</start>
      <end>16</end>
      <status>unmodified</status>
      <modifiedWord/>
      <trackRevisions>false</trackRevisions>
    </reviewItem>
    <reviewItem>
      <errorID>0ea57f73-91bd-49db-974a-25f09c680349</errorID>
      <errorWord>(</errorWord>
      <group>L1_Format</group>
      <groupName>格式问题</groupName>
      <ability>L2_HalfPunc_CN</ability>
      <abilityName>全半角问题</abilityName>
      <candidateList>
        <item>（</item>
      </candidateList>
      <explain>文本全半角错误。</explain>
      <paraID>26415FE6</paraID>
      <start>9</start>
      <end>10</end>
      <status>unmodified</status>
      <modifiedWord/>
      <trackRevisions>false</trackRevisions>
    </reviewItem>
    <reviewItem>
      <errorID>96010ef3-e66e-49e0-9486-9a00663f7b8e</errorID>
      <errorWord>)</errorWord>
      <group>L1_Format</group>
      <groupName>格式问题</groupName>
      <ability>L2_HalfPunc_CN</ability>
      <abilityName>全半角问题</abilityName>
      <candidateList>
        <item>）</item>
      </candidateList>
      <explain>文本全半角错误。</explain>
      <paraID>26415FE6</paraID>
      <start>17</start>
      <end>18</end>
      <status>unmodified</status>
      <modifiedWord/>
      <trackRevisions>false</trackRevisions>
    </reviewItem>
    <reviewItem>
      <errorID>48b655e0-9b24-464b-b46a-2a914e2ac106</errorID>
      <errorWord>(</errorWord>
      <group>L1_Format</group>
      <groupName>格式问题</groupName>
      <ability>L2_HalfPunc_CN</ability>
      <abilityName>全半角问题</abilityName>
      <candidateList>
        <item>（</item>
      </candidateList>
      <explain>文本全半角错误。</explain>
      <paraID>3C4BCDAB</paraID>
      <start>5</start>
      <end>6</end>
      <status>unmodified</status>
      <modifiedWord/>
      <trackRevisions>false</trackRevisions>
    </reviewItem>
    <reviewItem>
      <errorID>e93c740a-1419-46a3-91f7-f7b51a4e093a</errorID>
      <errorWord>)</errorWord>
      <group>L1_Format</group>
      <groupName>格式问题</groupName>
      <ability>L2_HalfPunc_CN</ability>
      <abilityName>全半角问题</abilityName>
      <candidateList>
        <item>）</item>
      </candidateList>
      <explain>文本全半角错误。</explain>
      <paraID>3C4BCDAB</paraID>
      <start>13</start>
      <end>14</end>
      <status>unmodified</status>
      <modifiedWord/>
      <trackRevisions>false</trackRevisions>
    </reviewItem>
    <reviewItem>
      <errorID>65066865-e2be-467b-8b0e-1b17648b3663</errorID>
      <errorWord>(</errorWord>
      <group>L1_Format</group>
      <groupName>格式问题</groupName>
      <ability>L2_HalfPunc_CN</ability>
      <abilityName>全半角问题</abilityName>
      <candidateList>
        <item>（</item>
      </candidateList>
      <explain>文本全半角错误。</explain>
      <paraID>2D51B1AB</paraID>
      <start>3</start>
      <end>4</end>
      <status>unmodified</status>
      <modifiedWord/>
      <trackRevisions>false</trackRevisions>
    </reviewItem>
    <reviewItem>
      <errorID>6f00d9ca-fc98-473d-a587-8b94a935573d</errorID>
      <errorWord>)</errorWord>
      <group>L1_Format</group>
      <groupName>格式问题</groupName>
      <ability>L2_HalfPunc_CN</ability>
      <abilityName>全半角问题</abilityName>
      <candidateList>
        <item>）</item>
      </candidateList>
      <explain>文本全半角错误。</explain>
      <paraID>2D51B1AB</paraID>
      <start>11</start>
      <end>12</end>
      <status>unmodified</status>
      <modifiedWord/>
      <trackRevisions>false</trackRevisions>
    </reviewItem>
    <reviewItem>
      <errorID>8600f045-3a73-4458-af9e-8135d23ce54f</errorID>
      <errorWord>(</errorWord>
      <group>L1_Format</group>
      <groupName>格式问题</groupName>
      <ability>L2_HalfPunc_CN</ability>
      <abilityName>全半角问题</abilityName>
      <candidateList>
        <item>（</item>
      </candidateList>
      <explain>文本全半角错误。</explain>
      <paraID> 41A23EE</paraID>
      <start>5</start>
      <end>6</end>
      <status>unmodified</status>
      <modifiedWord/>
      <trackRevisions>false</trackRevisions>
    </reviewItem>
    <reviewItem>
      <errorID>25d37467-d695-4c16-beb6-b4cfdabf232d</errorID>
      <errorWord>)</errorWord>
      <group>L1_Format</group>
      <groupName>格式问题</groupName>
      <ability>L2_HalfPunc_CN</ability>
      <abilityName>全半角问题</abilityName>
      <candidateList>
        <item>）</item>
      </candidateList>
      <explain>文本全半角错误。</explain>
      <paraID> 41A23EE</paraID>
      <start>9</start>
      <end>10</end>
      <status>unmodified</status>
      <modifiedWord/>
      <trackRevisions>false</trackRevisions>
    </reviewItem>
    <reviewItem>
      <errorID>6901b8f2-a915-439e-9295-2ba90e1b2831</errorID>
      <errorWord>万</errorWord>
      <group>L1_Word</group>
      <groupName>字词问题</groupName>
      <ability>L2_Typo</ability>
      <abilityName>字词错误</abilityName>
      <candidateList>
        <item>万元</item>
      </candidateList>
      <explain/>
      <paraID>19882D44</paraID>
      <start>13</start>
      <end>14</end>
      <status>unmodified</status>
      <modifiedWord/>
      <trackRevisions>false</trackRevisions>
    </reviewItem>
    <reviewItem>
      <errorID>81879bc2-da8d-494c-aa06-cd6e66378000</errorID>
      <errorWord>加篷</errorWord>
      <group>L1_Word</group>
      <groupName>字词问题</groupName>
      <ability>L2_Typo</ability>
      <abilityName>字词错误</abilityName>
      <candidateList>
        <item>加蓬</item>
      </candidateList>
      <explain/>
      <paraID>3C028E7D</paraID>
      <start>20</start>
      <end>22</end>
      <status>unmodified</status>
      <modifiedWord/>
      <trackRevisions>false</trackRevisions>
    </reviewItem>
    <reviewItem>
      <errorID>28afff1b-da48-48c9-a172-2b2f9a250fd5</errorID>
      <errorWord>(</errorWord>
      <group>L1_Format</group>
      <groupName>格式问题</groupName>
      <ability>L2_HalfPunc_CN</ability>
      <abilityName>全半角问题</abilityName>
      <candidateList>
        <item>（</item>
      </candidateList>
      <explain>文本全半角错误。</explain>
      <paraID>669A3B95</paraID>
      <start>3</start>
      <end>4</end>
      <status>unmodified</status>
      <modifiedWord/>
      <trackRevisions>false</trackRevisions>
    </reviewItem>
    <reviewItem>
      <errorID>0bd6661c-de1a-4c9f-936b-546ad06c927f</errorID>
      <errorWord>)</errorWord>
      <group>L1_Format</group>
      <groupName>格式问题</groupName>
      <ability>L2_HalfPunc_CN</ability>
      <abilityName>全半角问题</abilityName>
      <candidateList>
        <item>）</item>
      </candidateList>
      <explain>文本全半角错误。</explain>
      <paraID>4DBE6692</paraID>
      <start>2</start>
      <end>3</end>
      <status>unmodified</status>
      <modifiedWord/>
      <trackRevisions>false</trackRevisions>
    </reviewItem>
    <reviewItem>
      <errorID>24839e5b-e9c5-4503-bfaa-ce51e47919aa</errorID>
      <errorWord>）</errorWord>
      <group>L1_Word</group>
      <groupName>字词问题</groupName>
      <ability>L2_Typo</ability>
      <abilityName>字词错误</abilityName>
      <candidateList>
        <item>）对</item>
      </candidateList>
      <explain/>
      <paraID> 83E850E</paraID>
      <start>27</start>
      <end>28</end>
      <status>unmodified</status>
      <modifiedWord/>
      <trackRevisions>false</trackRevisions>
    </reviewItem>
    <reviewItem>
      <errorID>ed872859-bb43-4d7c-a7bd-3c61a669c0e9</errorID>
      <errorWord>（</errorWord>
      <group>L1_Format</group>
      <groupName>格式问题</groupName>
      <ability>L2_HalfPunc_CN</ability>
      <abilityName>全半角问题</abilityName>
      <candidateList>
        <item>(</item>
      </candidateList>
      <explain>文本全半角错误。</explain>
      <paraID>6D36A10B</paraID>
      <start>0</start>
      <end>1</end>
      <status>unmodified</status>
      <modifiedWord/>
      <trackRevisions>false</trackRevisions>
    </reviewItem>
    <reviewItem>
      <errorID>9e380c70-7a57-4cda-8058-65df35e3cb0d</errorID>
      <errorWord>）</errorWord>
      <group>L1_Format</group>
      <groupName>格式问题</groupName>
      <ability>L2_HalfPunc_CN</ability>
      <abilityName>全半角问题</abilityName>
      <candidateList>
        <item>)</item>
      </candidateList>
      <explain>文本全半角错误。</explain>
      <paraID>6D36A10B</paraID>
      <start>13</start>
      <end>14</end>
      <status>unmodified</status>
      <modifiedWord/>
      <trackRevisions>false</trackRevisions>
    </reviewItem>
    <reviewItem>
      <errorID>574e412f-d654-4630-9c17-711360d353cc</errorID>
      <errorWord>(</errorWord>
      <group>L1_Format</group>
      <groupName>格式问题</groupName>
      <ability>L2_HalfPunc_CN</ability>
      <abilityName>全半角问题</abilityName>
      <candidateList>
        <item>（</item>
      </candidateList>
      <explain>文本全半角错误。</explain>
      <paraID>47EBEA37</paraID>
      <start>13</start>
      <end>14</end>
      <status>unmodified</status>
      <modifiedWord/>
      <trackRevisions>false</trackRevisions>
    </reviewItem>
    <reviewItem>
      <errorID>6e29e742-2ebb-4d87-b1f7-9571e50fd061</errorID>
      <errorWord>)</errorWord>
      <group>L1_Format</group>
      <groupName>格式问题</groupName>
      <ability>L2_HalfPunc_CN</ability>
      <abilityName>全半角问题</abilityName>
      <candidateList>
        <item>）</item>
      </candidateList>
      <explain>文本全半角错误。</explain>
      <paraID>47EBEA37</paraID>
      <start>27</start>
      <end>28</end>
      <status>unmodified</status>
      <modifiedWord/>
      <trackRevisions>false</trackRevisions>
    </reviewItem>
    <reviewItem>
      <errorID>b1693b40-2201-40e9-9937-af6a5cac9c88</errorID>
      <errorWord>（</errorWord>
      <group>L1_Format</group>
      <groupName>格式问题</groupName>
      <ability>L2_HalfPunc_CN</ability>
      <abilityName>全半角问题</abilityName>
      <candidateList>
        <item>(</item>
      </candidateList>
      <explain>文本全半角错误。</explain>
      <paraID>3CC89945</paraID>
      <start>0</start>
      <end>1</end>
      <status>unmodified</status>
      <modifiedWord/>
      <trackRevisions>false</trackRevisions>
    </reviewItem>
    <reviewItem>
      <errorID>46280e66-40bc-4621-ad6c-b5f2bcde8636</errorID>
      <errorWord>）</errorWord>
      <group>L1_Format</group>
      <groupName>格式问题</groupName>
      <ability>L2_HalfPunc_CN</ability>
      <abilityName>全半角问题</abilityName>
      <candidateList>
        <item>)</item>
      </candidateList>
      <explain>文本全半角错误。</explain>
      <paraID>3CC89945</paraID>
      <start>6</start>
      <end>7</end>
      <status>unmodified</status>
      <modifiedWord/>
      <trackRevisions>false</trackRevisions>
    </reviewItem>
    <reviewItem>
      <errorID>65b99e65-ea39-48e5-b353-07cad3092c3f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1B636FCE</paraID>
      <start>14</start>
      <end>15</end>
      <status>unmodified</status>
      <modifiedWord/>
      <trackRevisions>false</trackRevisions>
    </reviewItem>
    <reviewItem>
      <errorID>53b176dc-be6b-4db5-b5ec-84435865c2dc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5EA440C4</paraID>
      <start>124</start>
      <end>125</end>
      <status>unmodified</status>
      <modifiedWord/>
      <trackRevisions>false</trackRevisions>
    </reviewItem>
    <reviewItem>
      <errorID>c0a58a4a-add0-473f-9f58-e3d0a812bdf5</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5EA440C4</paraID>
      <start>158</start>
      <end>162</end>
      <status>unmodified</status>
      <modifiedWord/>
      <trackRevisions>false</trackRevisions>
    </reviewItem>
    <reviewItem>
      <errorID>6165c39a-8ee0-4313-94bc-aba823a4d66a</errorID>
      <errorWord>、等</errorWord>
      <group>L1_Punc</group>
      <groupName>标点问题</groupName>
      <ability>L2_Punc_CN</ability>
      <abilityName>标点符号问题</abilityName>
      <candidateList>
        <item>等</item>
      </candidateList>
      <explain>“及”“和”“等”连词前不宜使用顿号，建议删除（或使用逗号）。</explain>
      <paraID>5AE1ED7F</paraID>
      <start>5</start>
      <end>7</end>
      <status>unmodified</status>
      <modifiedWord/>
      <trackRevisions>false</trackRevisions>
    </reviewItem>
    <reviewItem>
      <errorID>7847d4db-3bd2-4fcf-8f5e-dbec81d10dfb</errorID>
      <errorWord>用砂土、蛭石或其它</errorWord>
      <group>L1_Word</group>
      <groupName>字词问题</groupName>
      <ability>L2_Alias</ability>
      <abilityName>也作/曾用词</abilityName>
      <candidateList>
        <item>用砂土、蛭石或其他</item>
      </candidateList>
      <explain>词汇[用砂土、蛭石或其它]为不规范表述或旧称，其规范书面表述为[用砂土、蛭石或其他]。</explain>
      <paraID>7994E2EC</paraID>
      <start>98</start>
      <end>107</end>
      <status>unmodified</status>
      <modifiedWord/>
      <trackRevisions>false</trackRevisions>
    </reviewItem>
    <reviewItem>
      <errorID>44e6d94d-ca5b-4f07-abeb-f2691fd0906d</errorID>
      <errorWord>设施</errorWord>
      <group>L1_Word</group>
      <groupName>字词问题</groupName>
      <ability>L2_Typo</ability>
      <abilityName>字词错误</abilityName>
      <candidateList>
        <item>设置</item>
      </candidateList>
      <explain>存在发音相近字词的误用。</explain>
      <paraID>186FBD96</paraID>
      <start>60</start>
      <end>62</end>
      <status>modified</status>
      <modifiedWord>设置</modifiedWord>
      <trackRevisions>false</trackRevisions>
    </reviewItem>
    <reviewItem>
      <errorID>c89b724b-0de9-43a5-9e3d-788f37f24186</errorID>
      <errorWord>砂土、蛭石或其它</errorWord>
      <group>L1_Word</group>
      <groupName>字词问题</groupName>
      <ability>L2_Alias</ability>
      <abilityName>也作/曾用词</abilityName>
      <candidateList>
        <item>砂土、蛭石或其他</item>
      </candidateList>
      <explain>词汇[砂土、蛭石或其它]为不规范表述或旧称，其规范书面表述为[砂土、蛭石或其他]。</explain>
      <paraID>3D2F4C7E</paraID>
      <start>98</start>
      <end>106</end>
      <status>unmodified</status>
      <modifiedWord/>
      <trackRevisions>false</trackRevisions>
    </reviewItem>
    <reviewItem>
      <errorID>e9eefb88-760e-4d07-ac61-af9e9b47ae1f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2D6B04D3</paraID>
      <start>0</start>
      <end>2</end>
      <status>unmodified</status>
      <modifiedWord/>
      <trackRevisions>false</trackRevisions>
    </reviewItem>
    <reviewItem>
      <errorID>6508217f-b68d-41c0-beae-6e7a9515faeb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28F1FF28</paraID>
      <start>0</start>
      <end>2</end>
      <status>unmodified</status>
      <modifiedWord/>
      <trackRevisions>false</trackRevisions>
    </reviewItem>
    <reviewItem>
      <errorID>227ba3ad-bec4-423f-9097-233b7ed9c285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49E7ACA</paraID>
      <start>0</start>
      <end>2</end>
      <status>unmodified</status>
      <modifiedWord/>
      <trackRevisions>false</trackRevisions>
    </reviewItem>
    <reviewItem>
      <errorID>bdc8c3f5-ac0d-4538-8961-2aa335512a45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944C2E7</paraID>
      <start>0</start>
      <end>2</end>
      <status>unmodified</status>
      <modifiedWord/>
      <trackRevisions>false</trackRevisions>
    </reviewItem>
    <reviewItem>
      <errorID>444a5801-a049-4601-b45d-011348d084dc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4B61D678</paraID>
      <start>0</start>
      <end>2</end>
      <status>unmodified</status>
      <modifiedWord/>
      <trackRevisions>false</trackRevisions>
    </reviewItem>
    <reviewItem>
      <errorID>b6d3324e-d82a-4d08-b2c9-b5341423dea7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4E818411</paraID>
      <start>0</start>
      <end>2</end>
      <status>unmodified</status>
      <modifiedWord/>
      <trackRevisions>false</trackRevisions>
    </reviewItem>
    <reviewItem>
      <errorID>35ec898b-3437-4df3-83e6-69d0c2836a9b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3757E5</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f637a4-014b-4fdf-baef-c55541c89c48}">
  <ds:schemaRefs/>
</ds:datastoreItem>
</file>

<file path=docProps/app.xml><?xml version="1.0" encoding="utf-8"?>
<Properties xmlns="http://schemas.openxmlformats.org/officeDocument/2006/extended-properties" xmlns:vt="http://schemas.openxmlformats.org/officeDocument/2006/docPropsVTypes">
  <Template>Normal.dotm</Template>
  <Pages>91</Pages>
  <Words>10337</Words>
  <Characters>11668</Characters>
  <Lines>0</Lines>
  <Paragraphs>0</Paragraphs>
  <TotalTime>53</TotalTime>
  <ScaleCrop>false</ScaleCrop>
  <LinksUpToDate>false</LinksUpToDate>
  <CharactersWithSpaces>11916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2026-08-13T02:58:00Z</dcterms:created>
  <dc:creator>潘文俊</dc:creator>
  <cp:lastModifiedBy>微微一笑</cp:lastModifiedBy>
  <dcterms:modified xsi:type="dcterms:W3CDTF">2026-08-17T06:59:52Z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3AC22DAFBBA0493A8F77683CBEB9BED3_11</vt:lpwstr>
  </property>
  <property fmtid="{D5CDD505-2E9C-101B-9397-08002B2CF9AE}" pid="4" name="KSOTemplateDocerSaveRecord">
    <vt:lpwstr>eyJoZGlkIjoiZWI2ZGNiODIxODk0ZTg0OWJiMTVlOTYzNjMxMzcyYTciLCJ1c2VySWQiOiI3MDcxMzA4NjcifQ==</vt:lpwstr>
  </property>
</Properties>
</file>