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E6499">
      <w:pPr>
        <w:ind w:firstLine="420" w:firstLineChars="200"/>
        <w:rPr>
          <w:rFonts w:hint="default" w:ascii="Times New Roman" w:hAnsi="Times New Roman" w:eastAsia="方正仿宋_GB2312" w:cs="方正仿宋_GB2312"/>
          <w:color w:val="auto"/>
          <w:sz w:val="36"/>
          <w:szCs w:val="36"/>
          <w:lang w:val="en-US" w:eastAsia="zh-CN"/>
        </w:rPr>
      </w:pPr>
      <w:r>
        <w:drawing>
          <wp:anchor distT="0" distB="0" distL="114300" distR="114300" simplePos="0" relativeHeight="251668480" behindDoc="0" locked="0" layoutInCell="1" allowOverlap="1">
            <wp:simplePos x="0" y="0"/>
            <wp:positionH relativeFrom="column">
              <wp:posOffset>-683895</wp:posOffset>
            </wp:positionH>
            <wp:positionV relativeFrom="paragraph">
              <wp:posOffset>-598170</wp:posOffset>
            </wp:positionV>
            <wp:extent cx="6886575" cy="9842500"/>
            <wp:effectExtent l="0" t="0" r="9525" b="6350"/>
            <wp:wrapNone/>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0"/>
                    <a:stretch>
                      <a:fillRect/>
                    </a:stretch>
                  </pic:blipFill>
                  <pic:spPr>
                    <a:xfrm>
                      <a:off x="0" y="0"/>
                      <a:ext cx="6886575" cy="9842500"/>
                    </a:xfrm>
                    <a:prstGeom prst="rect">
                      <a:avLst/>
                    </a:prstGeom>
                    <a:noFill/>
                    <a:ln>
                      <a:noFill/>
                    </a:ln>
                  </pic:spPr>
                </pic:pic>
              </a:graphicData>
            </a:graphic>
          </wp:anchor>
        </w:drawing>
      </w:r>
      <w:r>
        <w:rPr>
          <w:rFonts w:hint="eastAsia" w:eastAsia="方正仿宋_GB2312" w:cs="方正仿宋_GB2312"/>
          <w:color w:val="auto"/>
          <w:sz w:val="36"/>
          <w:szCs w:val="36"/>
          <w:lang w:val="en-US" w:eastAsia="zh-CN"/>
        </w:rPr>
        <w:t xml:space="preserve">  </w:t>
      </w:r>
    </w:p>
    <w:p w14:paraId="5FA1EAC2">
      <w:pPr>
        <w:rPr>
          <w:rFonts w:hint="eastAsia" w:ascii="Times New Roman" w:hAnsi="Times New Roman" w:eastAsia="方正仿宋_GB2312" w:cs="方正仿宋_GB2312"/>
          <w:color w:val="auto"/>
          <w:sz w:val="36"/>
          <w:szCs w:val="36"/>
          <w:lang w:eastAsia="zh-CN"/>
        </w:rPr>
      </w:pPr>
    </w:p>
    <w:p w14:paraId="1EA5B0F3">
      <w:pPr>
        <w:rPr>
          <w:rFonts w:ascii="Times New Roman" w:hAnsi="Times New Roman" w:eastAsia="方正仿宋_GB2312" w:cs="方正仿宋_GB2312"/>
          <w:color w:val="auto"/>
          <w:sz w:val="36"/>
          <w:szCs w:val="36"/>
        </w:rPr>
      </w:pPr>
    </w:p>
    <w:p w14:paraId="6EAEA7F0">
      <w:pPr>
        <w:rPr>
          <w:rFonts w:ascii="Times New Roman" w:hAnsi="Times New Roman" w:eastAsia="方正仿宋_GB2312" w:cs="方正仿宋_GB2312"/>
          <w:color w:val="auto"/>
          <w:sz w:val="36"/>
          <w:szCs w:val="36"/>
        </w:rPr>
      </w:pPr>
    </w:p>
    <w:p w14:paraId="177A69BF">
      <w:pPr>
        <w:rPr>
          <w:rFonts w:ascii="Times New Roman" w:hAnsi="Times New Roman" w:eastAsia="方正仿宋_GB2312" w:cs="方正仿宋_GB2312"/>
          <w:color w:val="auto"/>
          <w:sz w:val="36"/>
          <w:szCs w:val="36"/>
        </w:rPr>
      </w:pPr>
    </w:p>
    <w:p w14:paraId="1AE9B381">
      <w:pPr>
        <w:rPr>
          <w:rFonts w:hint="eastAsia" w:ascii="Times New Roman" w:hAnsi="Times New Roman" w:eastAsia="方正仿宋_GB2312" w:cs="方正仿宋_GB2312"/>
          <w:color w:val="auto"/>
          <w:sz w:val="36"/>
          <w:szCs w:val="36"/>
        </w:rPr>
      </w:pPr>
    </w:p>
    <w:p w14:paraId="2BE1F265">
      <w:pPr>
        <w:adjustRightInd w:val="0"/>
        <w:snapToGrid w:val="0"/>
        <w:ind w:firstLine="1440" w:firstLineChars="200"/>
        <w:jc w:val="both"/>
        <w:outlineLvl w:val="0"/>
        <w:rPr>
          <w:rFonts w:hint="eastAsia" w:ascii="Times New Roman" w:hAnsi="Times New Roman" w:eastAsia="方正小标宋_GBK"/>
          <w:bCs/>
          <w:color w:val="auto"/>
          <w:sz w:val="72"/>
          <w:szCs w:val="72"/>
        </w:rPr>
      </w:pPr>
      <w:bookmarkStart w:id="0" w:name="_Toc29861"/>
      <w:bookmarkStart w:id="1" w:name="_Toc27409"/>
      <w:bookmarkStart w:id="2" w:name="_Toc1352"/>
      <w:bookmarkStart w:id="3" w:name="_Toc31309"/>
      <w:bookmarkStart w:id="4" w:name="_Toc29288"/>
      <w:bookmarkStart w:id="5" w:name="_Toc26336"/>
      <w:bookmarkStart w:id="6" w:name="_Toc26763"/>
      <w:r>
        <w:rPr>
          <w:rFonts w:hint="eastAsia" w:ascii="Times New Roman" w:hAnsi="Times New Roman" w:eastAsia="方正小标宋_GBK"/>
          <w:bCs/>
          <w:color w:val="auto"/>
          <w:sz w:val="72"/>
          <w:szCs w:val="72"/>
        </w:rPr>
        <w:t>建设项目环境影响报告表</w:t>
      </w:r>
      <w:bookmarkEnd w:id="0"/>
      <w:bookmarkEnd w:id="1"/>
      <w:bookmarkEnd w:id="2"/>
      <w:bookmarkEnd w:id="3"/>
      <w:bookmarkEnd w:id="4"/>
      <w:bookmarkEnd w:id="5"/>
      <w:bookmarkEnd w:id="6"/>
    </w:p>
    <w:p w14:paraId="1158299D">
      <w:pPr>
        <w:adjustRightInd w:val="0"/>
        <w:snapToGrid w:val="0"/>
        <w:spacing w:before="192" w:beforeLines="80"/>
        <w:ind w:firstLine="960" w:firstLineChars="200"/>
        <w:jc w:val="center"/>
        <w:rPr>
          <w:rFonts w:hint="eastAsia" w:ascii="Times New Roman" w:hAnsi="Times New Roman" w:eastAsia="方正楷体_GB2312"/>
          <w:bCs/>
          <w:color w:val="auto"/>
          <w:sz w:val="48"/>
          <w:szCs w:val="48"/>
        </w:rPr>
      </w:pPr>
      <w:r>
        <w:rPr>
          <w:rFonts w:hint="eastAsia" w:ascii="Times New Roman" w:hAnsi="Times New Roman" w:eastAsia="方正楷体_GB2312"/>
          <w:bCs/>
          <w:color w:val="auto"/>
          <w:sz w:val="48"/>
          <w:szCs w:val="48"/>
        </w:rPr>
        <w:t>（污染影响类）</w:t>
      </w:r>
    </w:p>
    <w:p w14:paraId="5C424E57">
      <w:pPr>
        <w:adjustRightInd w:val="0"/>
        <w:snapToGrid w:val="0"/>
        <w:spacing w:line="288" w:lineRule="auto"/>
        <w:jc w:val="center"/>
        <w:outlineLvl w:val="9"/>
        <w:rPr>
          <w:rFonts w:ascii="Times New Roman" w:hAnsi="Times New Roman" w:eastAsia="华文仿宋" w:cs="华文仿宋"/>
          <w:color w:val="auto"/>
          <w:kern w:val="44"/>
          <w:sz w:val="44"/>
          <w:szCs w:val="44"/>
        </w:rPr>
      </w:pPr>
    </w:p>
    <w:p w14:paraId="55D06CFA">
      <w:pPr>
        <w:jc w:val="center"/>
        <w:rPr>
          <w:rFonts w:ascii="Times New Roman" w:hAnsi="Times New Roman" w:eastAsia="仿宋"/>
          <w:color w:val="auto"/>
          <w:sz w:val="52"/>
          <w:szCs w:val="52"/>
        </w:rPr>
      </w:pPr>
    </w:p>
    <w:p w14:paraId="6DD321A1">
      <w:pPr>
        <w:ind w:firstLine="1040"/>
        <w:rPr>
          <w:rFonts w:ascii="Times New Roman" w:hAnsi="Times New Roman" w:eastAsia="仿宋"/>
          <w:color w:val="auto"/>
          <w:sz w:val="44"/>
          <w:szCs w:val="44"/>
        </w:rPr>
      </w:pPr>
    </w:p>
    <w:p w14:paraId="3CB6F886">
      <w:pPr>
        <w:ind w:firstLine="1040"/>
        <w:rPr>
          <w:rFonts w:ascii="Times New Roman" w:hAnsi="Times New Roman" w:eastAsia="仿宋"/>
          <w:color w:val="auto"/>
          <w:sz w:val="44"/>
          <w:szCs w:val="44"/>
        </w:rPr>
      </w:pPr>
    </w:p>
    <w:p w14:paraId="744B8527">
      <w:pPr>
        <w:ind w:firstLine="1040"/>
        <w:rPr>
          <w:rFonts w:ascii="Times New Roman" w:hAnsi="Times New Roman" w:eastAsia="仿宋"/>
          <w:color w:val="auto"/>
          <w:sz w:val="44"/>
          <w:szCs w:val="44"/>
        </w:rPr>
      </w:pPr>
    </w:p>
    <w:p w14:paraId="75721518">
      <w:pPr>
        <w:ind w:firstLine="1040"/>
        <w:rPr>
          <w:rFonts w:ascii="Times New Roman" w:hAnsi="Times New Roman" w:eastAsia="仿宋"/>
          <w:color w:val="auto"/>
          <w:sz w:val="44"/>
          <w:szCs w:val="44"/>
        </w:rPr>
      </w:pPr>
    </w:p>
    <w:tbl>
      <w:tblPr>
        <w:tblStyle w:val="19"/>
        <w:tblW w:w="93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7"/>
        <w:gridCol w:w="6331"/>
      </w:tblGrid>
      <w:tr w14:paraId="0DA8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067" w:type="dxa"/>
            <w:noWrap w:val="0"/>
            <w:vAlign w:val="top"/>
          </w:tcPr>
          <w:p w14:paraId="7407FE0D">
            <w:pPr>
              <w:keepNext w:val="0"/>
              <w:keepLines w:val="0"/>
              <w:pageBreakBefore w:val="0"/>
              <w:widowControl w:val="0"/>
              <w:kinsoku/>
              <w:wordWrap/>
              <w:overflowPunct/>
              <w:topLinePunct w:val="0"/>
              <w:autoSpaceDE/>
              <w:autoSpaceDN/>
              <w:bidi w:val="0"/>
              <w:adjustRightInd w:val="0"/>
              <w:snapToGrid w:val="0"/>
              <w:spacing w:line="288" w:lineRule="auto"/>
              <w:ind w:firstLine="0"/>
              <w:jc w:val="distribute"/>
              <w:textAlignment w:val="auto"/>
              <w:rPr>
                <w:rFonts w:ascii="Times New Roman" w:hAnsi="Times New Roman"/>
                <w:color w:val="auto"/>
              </w:rPr>
            </w:pPr>
            <w:r>
              <w:rPr>
                <w:rFonts w:hint="eastAsia" w:ascii="Times New Roman" w:hAnsi="Times New Roman" w:eastAsia="方正仿宋_GB2312"/>
                <w:color w:val="auto"/>
                <w:sz w:val="36"/>
                <w:szCs w:val="36"/>
              </w:rPr>
              <w:t>项目名称</w:t>
            </w:r>
          </w:p>
        </w:tc>
        <w:tc>
          <w:tcPr>
            <w:tcW w:w="6331" w:type="dxa"/>
            <w:tcBorders>
              <w:bottom w:val="single" w:color="auto" w:sz="4" w:space="0"/>
            </w:tcBorders>
            <w:noWrap w:val="0"/>
            <w:vAlign w:val="center"/>
          </w:tcPr>
          <w:p w14:paraId="5B767E3A">
            <w:pPr>
              <w:keepNext w:val="0"/>
              <w:keepLines w:val="0"/>
              <w:pageBreakBefore w:val="0"/>
              <w:widowControl w:val="0"/>
              <w:kinsoku/>
              <w:wordWrap/>
              <w:overflowPunct/>
              <w:topLinePunct w:val="0"/>
              <w:autoSpaceDE/>
              <w:autoSpaceDN/>
              <w:bidi w:val="0"/>
              <w:adjustRightInd w:val="0"/>
              <w:snapToGrid w:val="0"/>
              <w:spacing w:line="288" w:lineRule="auto"/>
              <w:ind w:firstLine="0"/>
              <w:jc w:val="center"/>
              <w:textAlignment w:val="auto"/>
              <w:rPr>
                <w:rFonts w:hint="eastAsia" w:ascii="Times New Roman" w:hAnsi="Times New Roman" w:eastAsia="宋体"/>
                <w:color w:val="auto"/>
                <w:u w:val="none"/>
                <w:lang w:eastAsia="zh-CN"/>
              </w:rPr>
            </w:pPr>
            <w:r>
              <w:rPr>
                <w:rFonts w:hint="eastAsia" w:eastAsia="方正仿宋_GB2312" w:cs="Times New Roman"/>
                <w:color w:val="auto"/>
                <w:sz w:val="36"/>
                <w:szCs w:val="36"/>
                <w:lang w:eastAsia="zh-CN"/>
              </w:rPr>
              <w:t>磁晶光电科技(福州)有限责任公司年产45万片晶体、5万片精密光学元件项目</w:t>
            </w:r>
          </w:p>
        </w:tc>
      </w:tr>
      <w:tr w14:paraId="018F1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67" w:type="dxa"/>
            <w:noWrap w:val="0"/>
            <w:vAlign w:val="top"/>
          </w:tcPr>
          <w:p w14:paraId="79D6988C">
            <w:pPr>
              <w:keepNext w:val="0"/>
              <w:keepLines w:val="0"/>
              <w:pageBreakBefore w:val="0"/>
              <w:widowControl w:val="0"/>
              <w:kinsoku/>
              <w:wordWrap/>
              <w:overflowPunct/>
              <w:topLinePunct w:val="0"/>
              <w:autoSpaceDE/>
              <w:autoSpaceDN/>
              <w:bidi w:val="0"/>
              <w:adjustRightInd w:val="0"/>
              <w:snapToGrid w:val="0"/>
              <w:spacing w:line="288" w:lineRule="auto"/>
              <w:ind w:firstLine="0"/>
              <w:jc w:val="distribute"/>
              <w:textAlignment w:val="auto"/>
              <w:rPr>
                <w:rFonts w:ascii="Times New Roman" w:hAnsi="Times New Roman"/>
                <w:color w:val="auto"/>
              </w:rPr>
            </w:pPr>
            <w:r>
              <w:rPr>
                <w:rFonts w:hint="eastAsia" w:ascii="Times New Roman" w:hAnsi="Times New Roman" w:eastAsia="方正仿宋_GB2312"/>
                <w:color w:val="auto"/>
                <w:sz w:val="36"/>
                <w:szCs w:val="36"/>
              </w:rPr>
              <w:t>建设单位（盖章）</w:t>
            </w:r>
          </w:p>
        </w:tc>
        <w:tc>
          <w:tcPr>
            <w:tcW w:w="6331" w:type="dxa"/>
            <w:tcBorders>
              <w:top w:val="single" w:color="auto" w:sz="4" w:space="0"/>
              <w:bottom w:val="single" w:color="auto" w:sz="4" w:space="0"/>
            </w:tcBorders>
            <w:noWrap w:val="0"/>
            <w:vAlign w:val="center"/>
          </w:tcPr>
          <w:p w14:paraId="06201237">
            <w:pPr>
              <w:keepNext w:val="0"/>
              <w:keepLines w:val="0"/>
              <w:pageBreakBefore w:val="0"/>
              <w:widowControl w:val="0"/>
              <w:kinsoku/>
              <w:wordWrap/>
              <w:overflowPunct/>
              <w:topLinePunct w:val="0"/>
              <w:autoSpaceDE/>
              <w:autoSpaceDN/>
              <w:bidi w:val="0"/>
              <w:adjustRightInd w:val="0"/>
              <w:snapToGrid w:val="0"/>
              <w:spacing w:line="288" w:lineRule="auto"/>
              <w:ind w:firstLine="0"/>
              <w:jc w:val="center"/>
              <w:textAlignment w:val="auto"/>
              <w:rPr>
                <w:rFonts w:ascii="Times New Roman" w:hAnsi="Times New Roman"/>
                <w:color w:val="auto"/>
                <w:u w:val="none"/>
              </w:rPr>
            </w:pPr>
            <w:r>
              <w:rPr>
                <w:rFonts w:hint="eastAsia" w:eastAsia="方正仿宋_GB2312" w:cs="Times New Roman"/>
                <w:color w:val="auto"/>
                <w:sz w:val="36"/>
                <w:szCs w:val="36"/>
                <w:lang w:val="en-US" w:eastAsia="zh-CN"/>
              </w:rPr>
              <w:t>磁晶光电科技(福州)有限责任公司</w:t>
            </w:r>
          </w:p>
        </w:tc>
      </w:tr>
      <w:tr w14:paraId="4609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67" w:type="dxa"/>
            <w:noWrap w:val="0"/>
            <w:vAlign w:val="top"/>
          </w:tcPr>
          <w:p w14:paraId="2F80A679">
            <w:pPr>
              <w:keepNext w:val="0"/>
              <w:keepLines w:val="0"/>
              <w:pageBreakBefore w:val="0"/>
              <w:widowControl w:val="0"/>
              <w:kinsoku/>
              <w:wordWrap/>
              <w:overflowPunct/>
              <w:topLinePunct w:val="0"/>
              <w:autoSpaceDE/>
              <w:autoSpaceDN/>
              <w:bidi w:val="0"/>
              <w:adjustRightInd w:val="0"/>
              <w:snapToGrid w:val="0"/>
              <w:spacing w:line="288" w:lineRule="auto"/>
              <w:ind w:firstLine="0"/>
              <w:jc w:val="distribute"/>
              <w:textAlignment w:val="auto"/>
              <w:rPr>
                <w:rFonts w:ascii="Times New Roman" w:hAnsi="Times New Roman"/>
                <w:color w:val="auto"/>
              </w:rPr>
            </w:pPr>
            <w:r>
              <w:rPr>
                <w:rFonts w:hint="eastAsia" w:ascii="Times New Roman" w:hAnsi="Times New Roman" w:eastAsia="方正仿宋_GB2312"/>
                <w:color w:val="auto"/>
                <w:sz w:val="36"/>
                <w:szCs w:val="36"/>
              </w:rPr>
              <w:t>编制日期</w:t>
            </w:r>
          </w:p>
        </w:tc>
        <w:tc>
          <w:tcPr>
            <w:tcW w:w="6331" w:type="dxa"/>
            <w:tcBorders>
              <w:top w:val="single" w:color="auto" w:sz="4" w:space="0"/>
              <w:bottom w:val="single" w:color="auto" w:sz="4" w:space="0"/>
            </w:tcBorders>
            <w:noWrap w:val="0"/>
            <w:vAlign w:val="center"/>
          </w:tcPr>
          <w:p w14:paraId="48A9BBCB">
            <w:pPr>
              <w:keepNext w:val="0"/>
              <w:keepLines w:val="0"/>
              <w:pageBreakBefore w:val="0"/>
              <w:widowControl w:val="0"/>
              <w:kinsoku/>
              <w:wordWrap/>
              <w:overflowPunct/>
              <w:topLinePunct w:val="0"/>
              <w:autoSpaceDE/>
              <w:autoSpaceDN/>
              <w:bidi w:val="0"/>
              <w:adjustRightInd w:val="0"/>
              <w:snapToGrid w:val="0"/>
              <w:spacing w:line="288" w:lineRule="auto"/>
              <w:ind w:firstLine="0"/>
              <w:jc w:val="center"/>
              <w:textAlignment w:val="auto"/>
              <w:rPr>
                <w:rFonts w:hint="default" w:ascii="Times New Roman" w:hAnsi="Times New Roman" w:eastAsia="宋体"/>
                <w:color w:val="auto"/>
                <w:u w:val="none"/>
                <w:lang w:val="en-US" w:eastAsia="zh-CN"/>
              </w:rPr>
            </w:pPr>
            <w:r>
              <w:rPr>
                <w:rFonts w:hint="eastAsia" w:ascii="Times New Roman" w:hAnsi="Times New Roman" w:eastAsia="方正仿宋_GB2312" w:cs="Times New Roman"/>
                <w:color w:val="auto"/>
                <w:sz w:val="36"/>
                <w:szCs w:val="36"/>
                <w:lang w:val="en-US" w:eastAsia="zh-CN"/>
              </w:rPr>
              <w:t>202</w:t>
            </w:r>
            <w:r>
              <w:rPr>
                <w:rFonts w:hint="eastAsia" w:eastAsia="方正仿宋_GB2312" w:cs="Times New Roman"/>
                <w:color w:val="auto"/>
                <w:sz w:val="36"/>
                <w:szCs w:val="36"/>
                <w:lang w:val="en-US" w:eastAsia="zh-CN"/>
              </w:rPr>
              <w:t>6</w:t>
            </w:r>
            <w:r>
              <w:rPr>
                <w:rFonts w:hint="eastAsia" w:ascii="Times New Roman" w:hAnsi="Times New Roman" w:eastAsia="方正仿宋_GB2312" w:cs="Times New Roman"/>
                <w:color w:val="auto"/>
                <w:sz w:val="36"/>
                <w:szCs w:val="36"/>
                <w:lang w:val="en-US" w:eastAsia="zh-CN"/>
              </w:rPr>
              <w:t>年</w:t>
            </w:r>
            <w:r>
              <w:rPr>
                <w:rFonts w:hint="eastAsia" w:eastAsia="方正仿宋_GB2312" w:cs="Times New Roman"/>
                <w:color w:val="auto"/>
                <w:sz w:val="36"/>
                <w:szCs w:val="36"/>
                <w:lang w:val="en-US" w:eastAsia="zh-CN"/>
              </w:rPr>
              <w:t>8</w:t>
            </w:r>
            <w:r>
              <w:rPr>
                <w:rFonts w:hint="eastAsia" w:ascii="Times New Roman" w:hAnsi="Times New Roman" w:eastAsia="方正仿宋_GB2312" w:cs="Times New Roman"/>
                <w:color w:val="auto"/>
                <w:sz w:val="36"/>
                <w:szCs w:val="36"/>
                <w:lang w:val="en-US" w:eastAsia="zh-CN"/>
              </w:rPr>
              <w:t>月</w:t>
            </w:r>
          </w:p>
        </w:tc>
        <w:bookmarkStart w:id="7" w:name="_Hlk57884087"/>
      </w:tr>
    </w:tbl>
    <w:p w14:paraId="2A221ADD">
      <w:pPr>
        <w:adjustRightInd w:val="0"/>
        <w:snapToGrid w:val="0"/>
        <w:spacing w:line="288" w:lineRule="auto"/>
        <w:ind w:firstLine="1040"/>
        <w:rPr>
          <w:rFonts w:ascii="Times New Roman" w:hAnsi="Times New Roman" w:eastAsia="方正仿宋_GB2312"/>
          <w:color w:val="auto"/>
          <w:sz w:val="36"/>
          <w:szCs w:val="36"/>
          <w:u w:val="single"/>
        </w:rPr>
      </w:pPr>
    </w:p>
    <w:p w14:paraId="25F1A49E">
      <w:pPr>
        <w:adjustRightInd w:val="0"/>
        <w:snapToGrid w:val="0"/>
        <w:spacing w:line="288" w:lineRule="auto"/>
        <w:ind w:firstLine="1040"/>
        <w:rPr>
          <w:rFonts w:hint="eastAsia" w:ascii="Times New Roman" w:hAnsi="Times New Roman" w:eastAsia="方正仿宋_GB2312"/>
          <w:color w:val="auto"/>
          <w:sz w:val="36"/>
          <w:szCs w:val="36"/>
        </w:rPr>
      </w:pPr>
    </w:p>
    <w:p w14:paraId="641F7018">
      <w:pPr>
        <w:adjustRightInd w:val="0"/>
        <w:snapToGrid w:val="0"/>
        <w:spacing w:line="288" w:lineRule="auto"/>
        <w:ind w:firstLine="1040"/>
        <w:rPr>
          <w:rFonts w:hint="eastAsia" w:ascii="Times New Roman" w:hAnsi="Times New Roman" w:eastAsia="方正仿宋_GB2312"/>
          <w:color w:val="auto"/>
          <w:sz w:val="36"/>
          <w:szCs w:val="36"/>
        </w:rPr>
      </w:pPr>
    </w:p>
    <w:bookmarkEnd w:id="7"/>
    <w:p w14:paraId="0AA4020F">
      <w:pPr>
        <w:adjustRightInd w:val="0"/>
        <w:snapToGrid w:val="0"/>
        <w:spacing w:line="288" w:lineRule="auto"/>
        <w:ind w:firstLine="720" w:firstLineChars="200"/>
        <w:jc w:val="center"/>
        <w:rPr>
          <w:rFonts w:hint="eastAsia" w:ascii="Times New Roman" w:hAnsi="Times New Roman" w:eastAsia="方正楷体_GB2312"/>
          <w:color w:val="auto"/>
          <w:sz w:val="36"/>
          <w:szCs w:val="36"/>
        </w:rPr>
        <w:sectPr>
          <w:headerReference r:id="rId3" w:type="default"/>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r>
        <w:rPr>
          <w:rFonts w:hint="eastAsia" w:ascii="Times New Roman" w:hAnsi="Times New Roman" w:eastAsia="方正楷体_GB2312"/>
          <w:color w:val="auto"/>
          <w:sz w:val="36"/>
          <w:szCs w:val="36"/>
        </w:rPr>
        <w:t>中华人民共和国生态环境部制</w:t>
      </w:r>
    </w:p>
    <w:p w14:paraId="5C817CEB">
      <w:pPr>
        <w:adjustRightInd w:val="0"/>
        <w:snapToGrid w:val="0"/>
        <w:spacing w:line="288" w:lineRule="auto"/>
        <w:jc w:val="both"/>
        <w:rPr>
          <w:rFonts w:hint="eastAsia" w:ascii="Times New Roman" w:hAnsi="Times New Roman" w:eastAsia="方正楷体_GB2312"/>
          <w:color w:val="auto"/>
          <w:sz w:val="36"/>
          <w:szCs w:val="36"/>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r>
        <w:rPr>
          <w:rFonts w:hint="eastAsia" w:ascii="Times New Roman" w:hAnsi="Times New Roman" w:eastAsia="方正楷体_GB2312"/>
          <w:color w:val="auto"/>
          <w:sz w:val="36"/>
          <w:szCs w:val="36"/>
          <w:lang w:eastAsia="zh-CN"/>
        </w:rPr>
        <w:drawing>
          <wp:inline distT="0" distB="0" distL="114300" distR="114300">
            <wp:extent cx="5593080" cy="7908290"/>
            <wp:effectExtent l="0" t="0" r="7620" b="16510"/>
            <wp:docPr id="38" name="图片 38" descr="doc00936620260818151832(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doc00936620260818151832(1)_01"/>
                    <pic:cNvPicPr>
                      <a:picLocks noChangeAspect="1"/>
                    </pic:cNvPicPr>
                  </pic:nvPicPr>
                  <pic:blipFill>
                    <a:blip r:embed="rId11"/>
                    <a:stretch>
                      <a:fillRect/>
                    </a:stretch>
                  </pic:blipFill>
                  <pic:spPr>
                    <a:xfrm>
                      <a:off x="0" y="0"/>
                      <a:ext cx="5593080" cy="7908290"/>
                    </a:xfrm>
                    <a:prstGeom prst="rect">
                      <a:avLst/>
                    </a:prstGeom>
                  </pic:spPr>
                </pic:pic>
              </a:graphicData>
            </a:graphic>
          </wp:inline>
        </w:drawing>
      </w:r>
      <w:r>
        <w:drawing>
          <wp:anchor distT="0" distB="0" distL="114300" distR="114300" simplePos="0" relativeHeight="251671552" behindDoc="0" locked="0" layoutInCell="1" allowOverlap="1">
            <wp:simplePos x="0" y="0"/>
            <wp:positionH relativeFrom="column">
              <wp:posOffset>-847090</wp:posOffset>
            </wp:positionH>
            <wp:positionV relativeFrom="paragraph">
              <wp:posOffset>-1038225</wp:posOffset>
            </wp:positionV>
            <wp:extent cx="7361555" cy="10504805"/>
            <wp:effectExtent l="0" t="0" r="10795" b="10795"/>
            <wp:wrapNone/>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12"/>
                    <a:stretch>
                      <a:fillRect/>
                    </a:stretch>
                  </pic:blipFill>
                  <pic:spPr>
                    <a:xfrm>
                      <a:off x="0" y="0"/>
                      <a:ext cx="7361555" cy="10504805"/>
                    </a:xfrm>
                    <a:prstGeom prst="rect">
                      <a:avLst/>
                    </a:prstGeom>
                    <a:noFill/>
                    <a:ln>
                      <a:noFill/>
                    </a:ln>
                  </pic:spPr>
                </pic:pic>
              </a:graphicData>
            </a:graphic>
          </wp:anchor>
        </w:drawing>
      </w:r>
      <w:r>
        <w:rPr>
          <w:rFonts w:hint="eastAsia" w:ascii="Times New Roman" w:hAnsi="Times New Roman" w:eastAsia="方正楷体_GB2312"/>
          <w:color w:val="auto"/>
          <w:sz w:val="36"/>
          <w:szCs w:val="36"/>
          <w:lang w:eastAsia="zh-CN"/>
        </w:rPr>
        <w:drawing>
          <wp:inline distT="0" distB="0" distL="114300" distR="114300">
            <wp:extent cx="5593080" cy="7910195"/>
            <wp:effectExtent l="0" t="0" r="7620" b="14605"/>
            <wp:docPr id="34" name="图片 34" descr="doc00936620260818151832(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oc00936620260818151832(1)_03"/>
                    <pic:cNvPicPr>
                      <a:picLocks noChangeAspect="1"/>
                    </pic:cNvPicPr>
                  </pic:nvPicPr>
                  <pic:blipFill>
                    <a:blip r:embed="rId13"/>
                    <a:stretch>
                      <a:fillRect/>
                    </a:stretch>
                  </pic:blipFill>
                  <pic:spPr>
                    <a:xfrm>
                      <a:off x="0" y="0"/>
                      <a:ext cx="5593080" cy="7910195"/>
                    </a:xfrm>
                    <a:prstGeom prst="rect">
                      <a:avLst/>
                    </a:prstGeom>
                  </pic:spPr>
                </pic:pic>
              </a:graphicData>
            </a:graphic>
          </wp:inline>
        </w:drawing>
      </w:r>
    </w:p>
    <w:p w14:paraId="23A6AA6C">
      <w:pPr>
        <w:adjustRightInd w:val="0"/>
        <w:snapToGrid w:val="0"/>
        <w:spacing w:line="288" w:lineRule="auto"/>
        <w:jc w:val="both"/>
        <w:rPr>
          <w:rFonts w:hint="eastAsia" w:ascii="Times New Roman" w:hAnsi="Times New Roman" w:eastAsia="方正楷体_GB2312"/>
          <w:color w:val="auto"/>
          <w:sz w:val="36"/>
          <w:szCs w:val="36"/>
          <w:lang w:eastAsia="zh-CN"/>
        </w:rPr>
      </w:pPr>
      <w:r>
        <w:rPr>
          <w:rFonts w:hint="eastAsia" w:ascii="Times New Roman" w:hAnsi="Times New Roman" w:eastAsia="方正楷体_GB2312"/>
          <w:color w:val="auto"/>
          <w:sz w:val="36"/>
          <w:szCs w:val="36"/>
          <w:lang w:eastAsia="zh-CN"/>
        </w:rPr>
        <w:drawing>
          <wp:inline distT="0" distB="0" distL="114300" distR="114300">
            <wp:extent cx="5614035" cy="3519805"/>
            <wp:effectExtent l="0" t="0" r="5715" b="4445"/>
            <wp:docPr id="40" name="图片 40" descr="ac5560fafa6136fce9e501eb45c2bb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ac5560fafa6136fce9e501eb45c2bb02"/>
                    <pic:cNvPicPr>
                      <a:picLocks noChangeAspect="1"/>
                    </pic:cNvPicPr>
                  </pic:nvPicPr>
                  <pic:blipFill>
                    <a:blip r:embed="rId14"/>
                    <a:stretch>
                      <a:fillRect/>
                    </a:stretch>
                  </pic:blipFill>
                  <pic:spPr>
                    <a:xfrm>
                      <a:off x="0" y="0"/>
                      <a:ext cx="5614035" cy="3519805"/>
                    </a:xfrm>
                    <a:prstGeom prst="rect">
                      <a:avLst/>
                    </a:prstGeom>
                  </pic:spPr>
                </pic:pic>
              </a:graphicData>
            </a:graphic>
          </wp:inline>
        </w:drawing>
      </w:r>
      <w:r>
        <w:rPr>
          <w:rFonts w:hint="eastAsia" w:ascii="Times New Roman" w:hAnsi="Times New Roman" w:eastAsia="方正楷体_GB2312"/>
          <w:color w:val="auto"/>
          <w:sz w:val="36"/>
          <w:szCs w:val="36"/>
          <w:lang w:eastAsia="zh-CN"/>
        </w:rPr>
        <w:drawing>
          <wp:inline distT="0" distB="0" distL="114300" distR="114300">
            <wp:extent cx="5610225" cy="3778250"/>
            <wp:effectExtent l="0" t="0" r="9525" b="12700"/>
            <wp:docPr id="42" name="图片 42" descr="33b84baaf56f96131f1e981e7a541f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33b84baaf56f96131f1e981e7a541f69"/>
                    <pic:cNvPicPr>
                      <a:picLocks noChangeAspect="1"/>
                    </pic:cNvPicPr>
                  </pic:nvPicPr>
                  <pic:blipFill>
                    <a:blip r:embed="rId15"/>
                    <a:stretch>
                      <a:fillRect/>
                    </a:stretch>
                  </pic:blipFill>
                  <pic:spPr>
                    <a:xfrm>
                      <a:off x="0" y="0"/>
                      <a:ext cx="5610225" cy="3778250"/>
                    </a:xfrm>
                    <a:prstGeom prst="rect">
                      <a:avLst/>
                    </a:prstGeom>
                  </pic:spPr>
                </pic:pic>
              </a:graphicData>
            </a:graphic>
          </wp:inline>
        </w:drawing>
      </w:r>
    </w:p>
    <w:sdt>
      <w:sdtPr>
        <w:rPr>
          <w:rFonts w:ascii="宋体" w:hAnsi="宋体" w:eastAsia="宋体" w:cs="Times New Roman"/>
          <w:color w:val="auto"/>
          <w:kern w:val="2"/>
          <w:sz w:val="21"/>
          <w:szCs w:val="24"/>
          <w:lang w:val="en-US" w:eastAsia="zh-CN" w:bidi="ar-SA"/>
        </w:rPr>
        <w:id w:val="147461293"/>
        <w15:color w:val="DBDBDB"/>
        <w:docPartObj>
          <w:docPartGallery w:val="Table of Contents"/>
          <w:docPartUnique/>
        </w:docPartObj>
      </w:sdtPr>
      <w:sdtEndPr>
        <w:rPr>
          <w:rFonts w:ascii="宋体" w:hAnsi="宋体" w:eastAsia="宋体" w:cs="Times New Roman"/>
          <w:color w:val="auto"/>
          <w:kern w:val="2"/>
          <w:sz w:val="21"/>
          <w:szCs w:val="24"/>
          <w:lang w:val="en-US" w:eastAsia="zh-CN" w:bidi="ar-SA"/>
        </w:rPr>
      </w:sdtEndPr>
      <w:sdtContent>
        <w:p w14:paraId="3380DAE5">
          <w:pPr>
            <w:spacing w:before="0" w:beforeLines="0" w:after="0" w:afterLines="0" w:line="240" w:lineRule="auto"/>
            <w:ind w:left="0" w:leftChars="0" w:right="0" w:rightChars="0" w:firstLine="420" w:firstLineChars="200"/>
            <w:jc w:val="center"/>
            <w:rPr>
              <w:rFonts w:ascii="宋体" w:hAnsi="宋体" w:eastAsia="宋体" w:cs="Times New Roman"/>
              <w:color w:val="auto"/>
              <w:kern w:val="2"/>
              <w:sz w:val="21"/>
              <w:szCs w:val="24"/>
              <w:lang w:val="en-US" w:eastAsia="zh-CN" w:bidi="ar-SA"/>
            </w:rPr>
          </w:pPr>
        </w:p>
        <w:p w14:paraId="5496748F">
          <w:pPr>
            <w:ind w:firstLine="420" w:firstLineChars="200"/>
            <w:rPr>
              <w:rFonts w:ascii="宋体" w:hAnsi="宋体" w:eastAsia="宋体" w:cs="Times New Roman"/>
              <w:color w:val="auto"/>
              <w:kern w:val="2"/>
              <w:sz w:val="21"/>
              <w:szCs w:val="24"/>
              <w:lang w:val="en-US" w:eastAsia="zh-CN" w:bidi="ar-SA"/>
            </w:rPr>
          </w:pPr>
          <w:r>
            <w:rPr>
              <w:rFonts w:ascii="宋体" w:hAnsi="宋体" w:eastAsia="宋体" w:cs="Times New Roman"/>
              <w:color w:val="auto"/>
              <w:kern w:val="2"/>
              <w:sz w:val="21"/>
              <w:szCs w:val="24"/>
              <w:lang w:val="en-US" w:eastAsia="zh-CN" w:bidi="ar-SA"/>
            </w:rPr>
            <w:br w:type="page"/>
          </w:r>
        </w:p>
        <w:p w14:paraId="44A698FA">
          <w:pPr>
            <w:spacing w:before="0" w:beforeLines="0" w:after="0" w:afterLines="0" w:line="240" w:lineRule="auto"/>
            <w:ind w:left="0" w:leftChars="0" w:right="0" w:rightChars="0" w:firstLine="482" w:firstLineChars="200"/>
            <w:jc w:val="center"/>
            <w:rPr>
              <w:rFonts w:ascii="Times New Roman" w:hAnsi="Times New Roman" w:eastAsia="宋体" w:cs="Times New Roman"/>
              <w:color w:val="auto"/>
              <w:kern w:val="2"/>
              <w:sz w:val="21"/>
              <w:szCs w:val="24"/>
              <w:lang w:val="en-US" w:eastAsia="zh-CN" w:bidi="ar-SA"/>
            </w:rPr>
          </w:pPr>
          <w:r>
            <w:rPr>
              <w:rFonts w:ascii="宋体" w:hAnsi="宋体" w:eastAsia="宋体"/>
              <w:b/>
              <w:bCs/>
              <w:color w:val="auto"/>
              <w:sz w:val="24"/>
              <w:szCs w:val="32"/>
            </w:rPr>
            <w:t>目录</w:t>
          </w:r>
          <w:r>
            <w:rPr>
              <w:color w:val="auto"/>
            </w:rPr>
            <w:fldChar w:fldCharType="begin"/>
          </w:r>
          <w:r>
            <w:rPr>
              <w:color w:val="auto"/>
            </w:rPr>
            <w:instrText xml:space="preserve">TOC \o "1-3" \h \u </w:instrText>
          </w:r>
          <w:r>
            <w:rPr>
              <w:color w:val="auto"/>
            </w:rPr>
            <w:fldChar w:fldCharType="separate"/>
          </w:r>
        </w:p>
        <w:p w14:paraId="3F2AA574">
          <w:pPr>
            <w:pStyle w:val="13"/>
            <w:tabs>
              <w:tab w:val="right" w:leader="dot" w:pos="8844"/>
            </w:tabs>
            <w:ind w:firstLine="420" w:firstLineChars="200"/>
          </w:pPr>
          <w:r>
            <w:rPr>
              <w:color w:val="auto"/>
            </w:rPr>
            <w:fldChar w:fldCharType="begin"/>
          </w:r>
          <w:r>
            <w:instrText xml:space="preserve"> HYPERLINK \l _Toc29861 </w:instrText>
          </w:r>
          <w:r>
            <w:fldChar w:fldCharType="separate"/>
          </w:r>
          <w:r>
            <w:rPr>
              <w:rFonts w:hint="eastAsia" w:ascii="Times New Roman" w:hAnsi="Times New Roman" w:eastAsia="方正小标宋_GBK"/>
              <w:bCs/>
              <w:szCs w:val="72"/>
            </w:rPr>
            <w:t>建设项目环境影响报告表</w:t>
          </w:r>
          <w:r>
            <w:tab/>
          </w:r>
          <w:r>
            <w:fldChar w:fldCharType="begin"/>
          </w:r>
          <w:r>
            <w:instrText xml:space="preserve"> PAGEREF _Toc29861 \h </w:instrText>
          </w:r>
          <w:r>
            <w:fldChar w:fldCharType="separate"/>
          </w:r>
          <w:r>
            <w:t>1</w:t>
          </w:r>
          <w:r>
            <w:fldChar w:fldCharType="end"/>
          </w:r>
          <w:r>
            <w:rPr>
              <w:color w:val="auto"/>
            </w:rPr>
            <w:fldChar w:fldCharType="end"/>
          </w:r>
        </w:p>
        <w:p w14:paraId="66896D13">
          <w:pPr>
            <w:pStyle w:val="15"/>
            <w:tabs>
              <w:tab w:val="right" w:leader="dot" w:pos="8844"/>
            </w:tabs>
            <w:ind w:firstLine="420" w:firstLineChars="200"/>
          </w:pPr>
          <w:r>
            <w:rPr>
              <w:color w:val="auto"/>
            </w:rPr>
            <w:fldChar w:fldCharType="begin"/>
          </w:r>
          <w:r>
            <w:instrText xml:space="preserve"> HYPERLINK \l _Toc25270 </w:instrText>
          </w:r>
          <w:r>
            <w:fldChar w:fldCharType="separate"/>
          </w:r>
          <w:r>
            <w:rPr>
              <w:rFonts w:hint="eastAsia" w:ascii="Times New Roman" w:hAnsi="Times New Roman" w:eastAsia="宋体" w:cs="Times New Roman"/>
              <w:bCs w:val="0"/>
              <w:lang w:val="en-US" w:eastAsia="zh-CN"/>
            </w:rPr>
            <w:t>1.</w:t>
          </w:r>
          <w:r>
            <w:rPr>
              <w:rFonts w:hint="eastAsia" w:ascii="Times New Roman" w:hAnsi="Times New Roman" w:cs="Times New Roman"/>
              <w:bCs w:val="0"/>
              <w:lang w:val="en-US" w:eastAsia="zh-CN"/>
            </w:rPr>
            <w:t>1</w:t>
          </w:r>
          <w:r>
            <w:rPr>
              <w:rFonts w:hint="eastAsia" w:ascii="Times New Roman" w:hAnsi="Times New Roman" w:eastAsia="宋体" w:cs="Times New Roman"/>
              <w:bCs w:val="0"/>
              <w:lang w:val="en-US" w:eastAsia="zh-CN"/>
            </w:rPr>
            <w:t>与《福州市国土空间总体规划（2021—2035年）》“三区三线”符合性分析</w:t>
          </w:r>
          <w:r>
            <w:tab/>
          </w:r>
          <w:r>
            <w:fldChar w:fldCharType="begin"/>
          </w:r>
          <w:r>
            <w:instrText xml:space="preserve"> PAGEREF _Toc25270 \h </w:instrText>
          </w:r>
          <w:r>
            <w:fldChar w:fldCharType="separate"/>
          </w:r>
          <w:r>
            <w:t>2</w:t>
          </w:r>
          <w:r>
            <w:fldChar w:fldCharType="end"/>
          </w:r>
          <w:r>
            <w:rPr>
              <w:color w:val="auto"/>
            </w:rPr>
            <w:fldChar w:fldCharType="end"/>
          </w:r>
        </w:p>
        <w:p w14:paraId="47596550">
          <w:pPr>
            <w:pStyle w:val="15"/>
            <w:tabs>
              <w:tab w:val="right" w:leader="dot" w:pos="8844"/>
            </w:tabs>
            <w:ind w:firstLine="420" w:firstLineChars="200"/>
          </w:pPr>
          <w:r>
            <w:rPr>
              <w:color w:val="auto"/>
            </w:rPr>
            <w:fldChar w:fldCharType="begin"/>
          </w:r>
          <w:r>
            <w:instrText xml:space="preserve"> HYPERLINK \l _Toc14918 </w:instrText>
          </w:r>
          <w:r>
            <w:fldChar w:fldCharType="separate"/>
          </w:r>
          <w:r>
            <w:rPr>
              <w:rFonts w:hint="eastAsia" w:ascii="Times New Roman" w:hAnsi="Times New Roman" w:eastAsia="宋体" w:cs="Times New Roman"/>
              <w:bCs w:val="0"/>
              <w:lang w:val="en-US" w:eastAsia="zh-CN"/>
            </w:rPr>
            <w:t>1.</w:t>
          </w:r>
          <w:r>
            <w:rPr>
              <w:rFonts w:hint="eastAsia" w:ascii="Times New Roman" w:hAnsi="Times New Roman" w:cs="Times New Roman"/>
              <w:bCs w:val="0"/>
              <w:lang w:val="en-US" w:eastAsia="zh-CN"/>
            </w:rPr>
            <w:t>2</w:t>
          </w:r>
          <w:r>
            <w:rPr>
              <w:rFonts w:hint="eastAsia" w:ascii="Times New Roman" w:hAnsi="Times New Roman" w:eastAsia="宋体" w:cs="Times New Roman"/>
              <w:bCs w:val="0"/>
              <w:lang w:val="en-US" w:eastAsia="zh-CN"/>
            </w:rPr>
            <w:t>产业政策适宜性分析</w:t>
          </w:r>
          <w:r>
            <w:tab/>
          </w:r>
          <w:r>
            <w:fldChar w:fldCharType="begin"/>
          </w:r>
          <w:r>
            <w:instrText xml:space="preserve"> PAGEREF _Toc14918 \h </w:instrText>
          </w:r>
          <w:r>
            <w:fldChar w:fldCharType="separate"/>
          </w:r>
          <w:r>
            <w:t>3</w:t>
          </w:r>
          <w:r>
            <w:fldChar w:fldCharType="end"/>
          </w:r>
          <w:r>
            <w:rPr>
              <w:color w:val="auto"/>
            </w:rPr>
            <w:fldChar w:fldCharType="end"/>
          </w:r>
        </w:p>
        <w:p w14:paraId="70424152">
          <w:pPr>
            <w:pStyle w:val="15"/>
            <w:tabs>
              <w:tab w:val="right" w:leader="dot" w:pos="8844"/>
            </w:tabs>
            <w:ind w:firstLine="420" w:firstLineChars="200"/>
          </w:pPr>
          <w:r>
            <w:rPr>
              <w:color w:val="auto"/>
            </w:rPr>
            <w:fldChar w:fldCharType="begin"/>
          </w:r>
          <w:r>
            <w:instrText xml:space="preserve"> HYPERLINK \l _Toc25412 </w:instrText>
          </w:r>
          <w:r>
            <w:fldChar w:fldCharType="separate"/>
          </w:r>
          <w:r>
            <w:rPr>
              <w:rFonts w:hint="eastAsia" w:ascii="Times New Roman" w:hAnsi="Times New Roman" w:eastAsia="宋体" w:cs="Times New Roman"/>
              <w:bCs w:val="0"/>
              <w:lang w:val="en-US" w:eastAsia="zh-CN"/>
            </w:rPr>
            <w:t>1.</w:t>
          </w:r>
          <w:r>
            <w:rPr>
              <w:rFonts w:hint="eastAsia" w:ascii="Times New Roman" w:hAnsi="Times New Roman" w:cs="Times New Roman"/>
              <w:bCs w:val="0"/>
              <w:lang w:val="en-US" w:eastAsia="zh-CN"/>
            </w:rPr>
            <w:t>3</w:t>
          </w:r>
          <w:r>
            <w:rPr>
              <w:rFonts w:hint="eastAsia" w:ascii="Times New Roman" w:hAnsi="Times New Roman" w:eastAsia="宋体" w:cs="Times New Roman"/>
              <w:bCs w:val="0"/>
              <w:lang w:val="en-US" w:eastAsia="zh-CN"/>
            </w:rPr>
            <w:t>项目用地规划合理性分析</w:t>
          </w:r>
          <w:r>
            <w:tab/>
          </w:r>
          <w:r>
            <w:fldChar w:fldCharType="begin"/>
          </w:r>
          <w:r>
            <w:instrText xml:space="preserve"> PAGEREF _Toc25412 \h </w:instrText>
          </w:r>
          <w:r>
            <w:fldChar w:fldCharType="separate"/>
          </w:r>
          <w:r>
            <w:t>3</w:t>
          </w:r>
          <w:r>
            <w:fldChar w:fldCharType="end"/>
          </w:r>
          <w:r>
            <w:rPr>
              <w:color w:val="auto"/>
            </w:rPr>
            <w:fldChar w:fldCharType="end"/>
          </w:r>
        </w:p>
        <w:p w14:paraId="012F0B9C">
          <w:pPr>
            <w:pStyle w:val="15"/>
            <w:tabs>
              <w:tab w:val="right" w:leader="dot" w:pos="8844"/>
            </w:tabs>
            <w:ind w:firstLine="420" w:firstLineChars="200"/>
          </w:pPr>
          <w:r>
            <w:rPr>
              <w:color w:val="auto"/>
            </w:rPr>
            <w:fldChar w:fldCharType="begin"/>
          </w:r>
          <w:r>
            <w:instrText xml:space="preserve"> HYPERLINK \l _Toc23150 </w:instrText>
          </w:r>
          <w:r>
            <w:fldChar w:fldCharType="separate"/>
          </w:r>
          <w:r>
            <w:rPr>
              <w:rFonts w:hint="eastAsia" w:ascii="Times New Roman" w:hAnsi="Times New Roman" w:eastAsia="宋体" w:cs="Times New Roman"/>
              <w:bCs w:val="0"/>
              <w:lang w:val="en-US" w:eastAsia="zh-CN"/>
            </w:rPr>
            <w:t>1.</w:t>
          </w:r>
          <w:r>
            <w:rPr>
              <w:rFonts w:hint="eastAsia" w:ascii="Times New Roman" w:hAnsi="Times New Roman" w:cs="Times New Roman"/>
              <w:bCs w:val="0"/>
              <w:lang w:val="en-US" w:eastAsia="zh-CN"/>
            </w:rPr>
            <w:t>4</w:t>
          </w:r>
          <w:r>
            <w:rPr>
              <w:rFonts w:hint="eastAsia" w:ascii="Times New Roman" w:hAnsi="Times New Roman" w:eastAsia="宋体" w:cs="Times New Roman"/>
              <w:bCs w:val="0"/>
              <w:lang w:val="en-US" w:eastAsia="zh-CN"/>
            </w:rPr>
            <w:t>项目周边相容性符合性分析</w:t>
          </w:r>
          <w:r>
            <w:tab/>
          </w:r>
          <w:r>
            <w:fldChar w:fldCharType="begin"/>
          </w:r>
          <w:r>
            <w:instrText xml:space="preserve"> PAGEREF _Toc23150 \h </w:instrText>
          </w:r>
          <w:r>
            <w:fldChar w:fldCharType="separate"/>
          </w:r>
          <w:r>
            <w:t>3</w:t>
          </w:r>
          <w:r>
            <w:fldChar w:fldCharType="end"/>
          </w:r>
          <w:r>
            <w:rPr>
              <w:color w:val="auto"/>
            </w:rPr>
            <w:fldChar w:fldCharType="end"/>
          </w:r>
        </w:p>
        <w:p w14:paraId="60B74D5B">
          <w:pPr>
            <w:pStyle w:val="15"/>
            <w:tabs>
              <w:tab w:val="right" w:leader="dot" w:pos="8844"/>
            </w:tabs>
            <w:ind w:firstLine="420" w:firstLineChars="200"/>
          </w:pPr>
          <w:r>
            <w:rPr>
              <w:color w:val="auto"/>
            </w:rPr>
            <w:fldChar w:fldCharType="begin"/>
          </w:r>
          <w:r>
            <w:instrText xml:space="preserve"> HYPERLINK \l _Toc23283 </w:instrText>
          </w:r>
          <w:r>
            <w:fldChar w:fldCharType="separate"/>
          </w:r>
          <w:r>
            <w:rPr>
              <w:rFonts w:hint="eastAsia" w:ascii="Times New Roman" w:hAnsi="Times New Roman" w:eastAsia="宋体" w:cs="Times New Roman"/>
              <w:bCs w:val="0"/>
              <w:lang w:val="en-US" w:eastAsia="zh-CN"/>
            </w:rPr>
            <w:t>1.</w:t>
          </w:r>
          <w:r>
            <w:rPr>
              <w:rFonts w:hint="eastAsia" w:ascii="Times New Roman" w:hAnsi="Times New Roman" w:cs="Times New Roman"/>
              <w:bCs w:val="0"/>
              <w:lang w:val="en-US" w:eastAsia="zh-CN"/>
            </w:rPr>
            <w:t>5</w:t>
          </w:r>
          <w:r>
            <w:rPr>
              <w:rFonts w:hint="eastAsia" w:ascii="Times New Roman" w:hAnsi="Times New Roman" w:eastAsia="宋体" w:cs="Times New Roman"/>
              <w:bCs w:val="0"/>
              <w:lang w:val="en-US" w:eastAsia="zh-CN"/>
            </w:rPr>
            <w:t>环境功能区划符合性分析</w:t>
          </w:r>
          <w:r>
            <w:tab/>
          </w:r>
          <w:r>
            <w:fldChar w:fldCharType="begin"/>
          </w:r>
          <w:r>
            <w:instrText xml:space="preserve"> PAGEREF _Toc23283 \h </w:instrText>
          </w:r>
          <w:r>
            <w:fldChar w:fldCharType="separate"/>
          </w:r>
          <w:r>
            <w:t>3</w:t>
          </w:r>
          <w:r>
            <w:fldChar w:fldCharType="end"/>
          </w:r>
          <w:r>
            <w:rPr>
              <w:color w:val="auto"/>
            </w:rPr>
            <w:fldChar w:fldCharType="end"/>
          </w:r>
        </w:p>
        <w:p w14:paraId="6CD2E3FD">
          <w:pPr>
            <w:pStyle w:val="15"/>
            <w:tabs>
              <w:tab w:val="right" w:leader="dot" w:pos="8844"/>
            </w:tabs>
            <w:ind w:firstLine="420" w:firstLineChars="200"/>
          </w:pPr>
          <w:r>
            <w:rPr>
              <w:color w:val="auto"/>
            </w:rPr>
            <w:fldChar w:fldCharType="begin"/>
          </w:r>
          <w:r>
            <w:instrText xml:space="preserve"> HYPERLINK \l _Toc12811 </w:instrText>
          </w:r>
          <w:r>
            <w:fldChar w:fldCharType="separate"/>
          </w:r>
          <w:r>
            <w:rPr>
              <w:rFonts w:hint="eastAsia" w:ascii="Times New Roman" w:hAnsi="Times New Roman" w:eastAsia="宋体" w:cs="Times New Roman"/>
              <w:bCs w:val="0"/>
              <w:lang w:val="en-US" w:eastAsia="zh-CN"/>
            </w:rPr>
            <w:t>1.</w:t>
          </w:r>
          <w:r>
            <w:rPr>
              <w:rFonts w:hint="eastAsia" w:ascii="Times New Roman" w:hAnsi="Times New Roman" w:cs="Times New Roman"/>
              <w:bCs w:val="0"/>
              <w:lang w:val="en-US" w:eastAsia="zh-CN"/>
            </w:rPr>
            <w:t>6</w:t>
          </w:r>
          <w:r>
            <w:rPr>
              <w:rFonts w:hint="eastAsia" w:ascii="Times New Roman" w:hAnsi="Times New Roman" w:eastAsia="宋体" w:cs="Times New Roman"/>
              <w:bCs w:val="0"/>
              <w:lang w:val="en-US" w:eastAsia="zh-CN"/>
            </w:rPr>
            <w:t>与福州市生态环境分区管控的要求符合性分析</w:t>
          </w:r>
          <w:r>
            <w:tab/>
          </w:r>
          <w:r>
            <w:fldChar w:fldCharType="begin"/>
          </w:r>
          <w:r>
            <w:instrText xml:space="preserve"> PAGEREF _Toc12811 \h </w:instrText>
          </w:r>
          <w:r>
            <w:fldChar w:fldCharType="separate"/>
          </w:r>
          <w:r>
            <w:t>4</w:t>
          </w:r>
          <w:r>
            <w:fldChar w:fldCharType="end"/>
          </w:r>
          <w:r>
            <w:rPr>
              <w:color w:val="auto"/>
            </w:rPr>
            <w:fldChar w:fldCharType="end"/>
          </w:r>
        </w:p>
        <w:p w14:paraId="021AD2D0">
          <w:pPr>
            <w:pStyle w:val="15"/>
            <w:tabs>
              <w:tab w:val="right" w:leader="dot" w:pos="8844"/>
            </w:tabs>
            <w:ind w:firstLine="420" w:firstLineChars="200"/>
          </w:pPr>
          <w:r>
            <w:rPr>
              <w:color w:val="auto"/>
            </w:rPr>
            <w:fldChar w:fldCharType="begin"/>
          </w:r>
          <w:r>
            <w:instrText xml:space="preserve"> HYPERLINK \l _Toc17086 </w:instrText>
          </w:r>
          <w:r>
            <w:fldChar w:fldCharType="separate"/>
          </w:r>
          <w:r>
            <w:rPr>
              <w:rFonts w:hint="eastAsia" w:ascii="Times New Roman" w:hAnsi="Times New Roman"/>
              <w:bCs w:val="0"/>
              <w:lang w:val="en-US" w:eastAsia="zh-CN"/>
            </w:rPr>
            <w:t>1.7与挥发性有机物污染防治相关政策符合性分析</w:t>
          </w:r>
          <w:r>
            <w:tab/>
          </w:r>
          <w:r>
            <w:fldChar w:fldCharType="begin"/>
          </w:r>
          <w:r>
            <w:instrText xml:space="preserve"> PAGEREF _Toc17086 \h </w:instrText>
          </w:r>
          <w:r>
            <w:fldChar w:fldCharType="separate"/>
          </w:r>
          <w:r>
            <w:t>13</w:t>
          </w:r>
          <w:r>
            <w:fldChar w:fldCharType="end"/>
          </w:r>
          <w:r>
            <w:rPr>
              <w:color w:val="auto"/>
            </w:rPr>
            <w:fldChar w:fldCharType="end"/>
          </w:r>
        </w:p>
        <w:p w14:paraId="6070DABD">
          <w:pPr>
            <w:pStyle w:val="10"/>
            <w:tabs>
              <w:tab w:val="right" w:leader="dot" w:pos="8844"/>
            </w:tabs>
            <w:ind w:firstLine="420" w:firstLineChars="200"/>
          </w:pPr>
          <w:r>
            <w:rPr>
              <w:color w:val="auto"/>
            </w:rPr>
            <w:fldChar w:fldCharType="begin"/>
          </w:r>
          <w:r>
            <w:instrText xml:space="preserve"> HYPERLINK \l _Toc12006 </w:instrText>
          </w:r>
          <w:r>
            <w:fldChar w:fldCharType="separate"/>
          </w:r>
          <w:r>
            <w:rPr>
              <w:rFonts w:hint="eastAsia" w:ascii="Times New Roman" w:hAnsi="Times New Roman"/>
              <w:lang w:val="en-US" w:eastAsia="zh-CN"/>
            </w:rPr>
            <w:t>1.7.1与《重点行业挥发性有机物综合治理方案》（环大气〔2019〕53号）的符合性分析</w:t>
          </w:r>
          <w:r>
            <w:tab/>
          </w:r>
          <w:r>
            <w:fldChar w:fldCharType="begin"/>
          </w:r>
          <w:r>
            <w:instrText xml:space="preserve"> PAGEREF _Toc12006 \h </w:instrText>
          </w:r>
          <w:r>
            <w:fldChar w:fldCharType="separate"/>
          </w:r>
          <w:r>
            <w:t>14</w:t>
          </w:r>
          <w:r>
            <w:fldChar w:fldCharType="end"/>
          </w:r>
          <w:r>
            <w:rPr>
              <w:color w:val="auto"/>
            </w:rPr>
            <w:fldChar w:fldCharType="end"/>
          </w:r>
        </w:p>
        <w:p w14:paraId="38474BB6">
          <w:pPr>
            <w:pStyle w:val="10"/>
            <w:tabs>
              <w:tab w:val="right" w:leader="dot" w:pos="8844"/>
            </w:tabs>
            <w:ind w:firstLine="420" w:firstLineChars="200"/>
          </w:pPr>
          <w:r>
            <w:rPr>
              <w:color w:val="auto"/>
            </w:rPr>
            <w:fldChar w:fldCharType="begin"/>
          </w:r>
          <w:r>
            <w:instrText xml:space="preserve"> HYPERLINK \l _Toc12058 </w:instrText>
          </w:r>
          <w:r>
            <w:fldChar w:fldCharType="separate"/>
          </w:r>
          <w:r>
            <w:rPr>
              <w:rFonts w:hint="eastAsia" w:ascii="Times New Roman" w:hAnsi="Times New Roman"/>
              <w:lang w:val="en-US" w:eastAsia="zh-CN"/>
            </w:rPr>
            <w:t>1.</w:t>
          </w:r>
          <w:r>
            <w:rPr>
              <w:rFonts w:hint="eastAsia"/>
              <w:lang w:val="en-US" w:eastAsia="zh-CN"/>
            </w:rPr>
            <w:t>7</w:t>
          </w:r>
          <w:r>
            <w:rPr>
              <w:rFonts w:hint="eastAsia" w:ascii="Times New Roman" w:hAnsi="Times New Roman"/>
              <w:lang w:val="en-US" w:eastAsia="zh-CN"/>
            </w:rPr>
            <w:t>.2</w:t>
          </w:r>
          <w:r>
            <w:rPr>
              <w:rFonts w:ascii="Times New Roman" w:hAnsi="Times New Roman"/>
              <w:lang w:val="en-US" w:eastAsia="zh-CN"/>
            </w:rPr>
            <w:t>与《福建省2020年挥发性有机污染物治理攻坚实施方案》重点任务表符合性分析</w:t>
          </w:r>
          <w:r>
            <w:tab/>
          </w:r>
          <w:r>
            <w:fldChar w:fldCharType="begin"/>
          </w:r>
          <w:r>
            <w:instrText xml:space="preserve"> PAGEREF _Toc12058 \h </w:instrText>
          </w:r>
          <w:r>
            <w:fldChar w:fldCharType="separate"/>
          </w:r>
          <w:r>
            <w:t>14</w:t>
          </w:r>
          <w:r>
            <w:fldChar w:fldCharType="end"/>
          </w:r>
          <w:r>
            <w:rPr>
              <w:color w:val="auto"/>
            </w:rPr>
            <w:fldChar w:fldCharType="end"/>
          </w:r>
        </w:p>
        <w:p w14:paraId="1D8E3B6A">
          <w:pPr>
            <w:pStyle w:val="10"/>
            <w:tabs>
              <w:tab w:val="right" w:leader="dot" w:pos="8844"/>
            </w:tabs>
            <w:ind w:firstLine="420" w:firstLineChars="200"/>
          </w:pPr>
          <w:r>
            <w:rPr>
              <w:color w:val="auto"/>
            </w:rPr>
            <w:fldChar w:fldCharType="begin"/>
          </w:r>
          <w:r>
            <w:instrText xml:space="preserve"> HYPERLINK \l _Toc16935 </w:instrText>
          </w:r>
          <w:r>
            <w:fldChar w:fldCharType="separate"/>
          </w:r>
          <w:r>
            <w:rPr>
              <w:rFonts w:hint="eastAsia" w:ascii="Times New Roman" w:hAnsi="Times New Roman"/>
              <w:lang w:val="en-US" w:eastAsia="zh-CN"/>
            </w:rPr>
            <w:t>1.</w:t>
          </w:r>
          <w:r>
            <w:rPr>
              <w:rFonts w:hint="eastAsia"/>
              <w:lang w:val="en-US" w:eastAsia="zh-CN"/>
            </w:rPr>
            <w:t>7</w:t>
          </w:r>
          <w:r>
            <w:rPr>
              <w:rFonts w:hint="eastAsia" w:ascii="Times New Roman" w:hAnsi="Times New Roman"/>
              <w:lang w:val="en-US" w:eastAsia="zh-CN"/>
            </w:rPr>
            <w:t>.3与《“十四五”节能减排综合工作方案》符合性分析</w:t>
          </w:r>
          <w:r>
            <w:tab/>
          </w:r>
          <w:r>
            <w:fldChar w:fldCharType="begin"/>
          </w:r>
          <w:r>
            <w:instrText xml:space="preserve"> PAGEREF _Toc16935 \h </w:instrText>
          </w:r>
          <w:r>
            <w:fldChar w:fldCharType="separate"/>
          </w:r>
          <w:r>
            <w:t>15</w:t>
          </w:r>
          <w:r>
            <w:fldChar w:fldCharType="end"/>
          </w:r>
          <w:r>
            <w:rPr>
              <w:color w:val="auto"/>
            </w:rPr>
            <w:fldChar w:fldCharType="end"/>
          </w:r>
        </w:p>
        <w:p w14:paraId="5CF684FC">
          <w:pPr>
            <w:pStyle w:val="10"/>
            <w:tabs>
              <w:tab w:val="right" w:leader="dot" w:pos="8844"/>
            </w:tabs>
            <w:ind w:firstLine="420" w:firstLineChars="200"/>
          </w:pPr>
          <w:r>
            <w:rPr>
              <w:color w:val="auto"/>
            </w:rPr>
            <w:fldChar w:fldCharType="begin"/>
          </w:r>
          <w:r>
            <w:instrText xml:space="preserve"> HYPERLINK \l _Toc26868 </w:instrText>
          </w:r>
          <w:r>
            <w:fldChar w:fldCharType="separate"/>
          </w:r>
          <w:r>
            <w:rPr>
              <w:rFonts w:hint="eastAsia" w:ascii="Times New Roman" w:hAnsi="Times New Roman"/>
              <w:lang w:val="en-US" w:eastAsia="zh-CN"/>
            </w:rPr>
            <w:t>1.</w:t>
          </w:r>
          <w:r>
            <w:rPr>
              <w:rFonts w:hint="eastAsia"/>
              <w:lang w:val="en-US" w:eastAsia="zh-CN"/>
            </w:rPr>
            <w:t>7</w:t>
          </w:r>
          <w:r>
            <w:rPr>
              <w:rFonts w:hint="eastAsia" w:ascii="Times New Roman" w:hAnsi="Times New Roman"/>
              <w:lang w:val="en-US" w:eastAsia="zh-CN"/>
            </w:rPr>
            <w:t>.4与《福建省重点行业挥发性有机物污染防治工作方案》（闽环保大气〔2017〕6号）符合性分析</w:t>
          </w:r>
          <w:r>
            <w:tab/>
          </w:r>
          <w:r>
            <w:fldChar w:fldCharType="begin"/>
          </w:r>
          <w:r>
            <w:instrText xml:space="preserve"> PAGEREF _Toc26868 \h </w:instrText>
          </w:r>
          <w:r>
            <w:fldChar w:fldCharType="separate"/>
          </w:r>
          <w:r>
            <w:t>16</w:t>
          </w:r>
          <w:r>
            <w:fldChar w:fldCharType="end"/>
          </w:r>
          <w:r>
            <w:rPr>
              <w:color w:val="auto"/>
            </w:rPr>
            <w:fldChar w:fldCharType="end"/>
          </w:r>
        </w:p>
        <w:p w14:paraId="59C18401">
          <w:pPr>
            <w:pStyle w:val="10"/>
            <w:tabs>
              <w:tab w:val="right" w:leader="dot" w:pos="8844"/>
            </w:tabs>
            <w:ind w:firstLine="420" w:firstLineChars="200"/>
          </w:pPr>
          <w:r>
            <w:rPr>
              <w:color w:val="auto"/>
            </w:rPr>
            <w:fldChar w:fldCharType="begin"/>
          </w:r>
          <w:r>
            <w:instrText xml:space="preserve"> HYPERLINK \l _Toc17383 </w:instrText>
          </w:r>
          <w:r>
            <w:fldChar w:fldCharType="separate"/>
          </w:r>
          <w:r>
            <w:rPr>
              <w:rFonts w:hint="eastAsia" w:ascii="Times New Roman" w:hAnsi="Times New Roman"/>
              <w:lang w:val="en-US" w:eastAsia="zh-CN"/>
            </w:rPr>
            <w:t>1.</w:t>
          </w:r>
          <w:r>
            <w:rPr>
              <w:rFonts w:hint="eastAsia"/>
              <w:lang w:val="en-US" w:eastAsia="zh-CN"/>
            </w:rPr>
            <w:t>7</w:t>
          </w:r>
          <w:r>
            <w:rPr>
              <w:rFonts w:hint="eastAsia" w:ascii="Times New Roman" w:hAnsi="Times New Roman"/>
              <w:lang w:val="en-US" w:eastAsia="zh-CN"/>
            </w:rPr>
            <w:t>.5与《福州市挥发性有机物污染整治工作方案》（榕政办〔2017〕169号）符合性分析</w:t>
          </w:r>
          <w:r>
            <w:tab/>
          </w:r>
          <w:r>
            <w:fldChar w:fldCharType="begin"/>
          </w:r>
          <w:r>
            <w:instrText xml:space="preserve"> PAGEREF _Toc17383 \h </w:instrText>
          </w:r>
          <w:r>
            <w:fldChar w:fldCharType="separate"/>
          </w:r>
          <w:r>
            <w:t>16</w:t>
          </w:r>
          <w:r>
            <w:fldChar w:fldCharType="end"/>
          </w:r>
          <w:r>
            <w:rPr>
              <w:color w:val="auto"/>
            </w:rPr>
            <w:fldChar w:fldCharType="end"/>
          </w:r>
        </w:p>
        <w:p w14:paraId="55C5898F">
          <w:pPr>
            <w:pStyle w:val="10"/>
            <w:tabs>
              <w:tab w:val="right" w:leader="dot" w:pos="8844"/>
            </w:tabs>
            <w:ind w:firstLine="420" w:firstLineChars="200"/>
          </w:pPr>
          <w:r>
            <w:rPr>
              <w:color w:val="auto"/>
            </w:rPr>
            <w:fldChar w:fldCharType="begin"/>
          </w:r>
          <w:r>
            <w:instrText xml:space="preserve"> HYPERLINK \l _Toc14192 </w:instrText>
          </w:r>
          <w:r>
            <w:fldChar w:fldCharType="separate"/>
          </w:r>
          <w:r>
            <w:rPr>
              <w:rFonts w:hint="eastAsia" w:ascii="Times New Roman" w:hAnsi="Times New Roman"/>
              <w:lang w:val="en-US" w:eastAsia="zh-CN"/>
            </w:rPr>
            <w:t>1.</w:t>
          </w:r>
          <w:r>
            <w:rPr>
              <w:rFonts w:hint="eastAsia"/>
              <w:lang w:val="en-US" w:eastAsia="zh-CN"/>
            </w:rPr>
            <w:t>7</w:t>
          </w:r>
          <w:r>
            <w:rPr>
              <w:rFonts w:hint="eastAsia" w:ascii="Times New Roman" w:hAnsi="Times New Roman"/>
              <w:lang w:val="en-US" w:eastAsia="zh-CN"/>
            </w:rPr>
            <w:t>.6与《2021年福州市提升空气质量行动计划》的通知（榕环委办〔2021〕23号）</w:t>
          </w:r>
          <w:r>
            <w:tab/>
          </w:r>
          <w:r>
            <w:fldChar w:fldCharType="begin"/>
          </w:r>
          <w:r>
            <w:instrText xml:space="preserve"> PAGEREF _Toc14192 \h </w:instrText>
          </w:r>
          <w:r>
            <w:fldChar w:fldCharType="separate"/>
          </w:r>
          <w:r>
            <w:t>16</w:t>
          </w:r>
          <w:r>
            <w:fldChar w:fldCharType="end"/>
          </w:r>
          <w:r>
            <w:rPr>
              <w:color w:val="auto"/>
            </w:rPr>
            <w:fldChar w:fldCharType="end"/>
          </w:r>
        </w:p>
        <w:p w14:paraId="63238618">
          <w:pPr>
            <w:pStyle w:val="15"/>
            <w:tabs>
              <w:tab w:val="right" w:leader="dot" w:pos="8844"/>
            </w:tabs>
            <w:ind w:firstLine="420" w:firstLineChars="200"/>
          </w:pPr>
          <w:r>
            <w:rPr>
              <w:color w:val="auto"/>
            </w:rPr>
            <w:fldChar w:fldCharType="begin"/>
          </w:r>
          <w:r>
            <w:instrText xml:space="preserve"> HYPERLINK \l _Toc14428 </w:instrText>
          </w:r>
          <w:r>
            <w:fldChar w:fldCharType="separate"/>
          </w:r>
          <w:r>
            <w:rPr>
              <w:rFonts w:hint="eastAsia" w:ascii="Times New Roman" w:hAnsi="Times New Roman"/>
              <w:bCs w:val="0"/>
              <w:lang w:val="en-US" w:eastAsia="zh-CN"/>
            </w:rPr>
            <w:t>1.8与清洗剂挥发性有机化合物含量限值相关政策符合性分析</w:t>
          </w:r>
          <w:r>
            <w:tab/>
          </w:r>
          <w:r>
            <w:fldChar w:fldCharType="begin"/>
          </w:r>
          <w:r>
            <w:instrText xml:space="preserve"> PAGEREF _Toc14428 \h </w:instrText>
          </w:r>
          <w:r>
            <w:fldChar w:fldCharType="separate"/>
          </w:r>
          <w:r>
            <w:t>17</w:t>
          </w:r>
          <w:r>
            <w:fldChar w:fldCharType="end"/>
          </w:r>
          <w:r>
            <w:rPr>
              <w:color w:val="auto"/>
            </w:rPr>
            <w:fldChar w:fldCharType="end"/>
          </w:r>
        </w:p>
        <w:p w14:paraId="7E73EE99">
          <w:pPr>
            <w:pStyle w:val="15"/>
            <w:tabs>
              <w:tab w:val="right" w:leader="dot" w:pos="8844"/>
            </w:tabs>
            <w:ind w:firstLine="420" w:firstLineChars="200"/>
          </w:pPr>
          <w:r>
            <w:rPr>
              <w:color w:val="auto"/>
            </w:rPr>
            <w:fldChar w:fldCharType="begin"/>
          </w:r>
          <w:r>
            <w:instrText xml:space="preserve"> HYPERLINK \l _Toc10477 </w:instrText>
          </w:r>
          <w:r>
            <w:fldChar w:fldCharType="separate"/>
          </w:r>
          <w:r>
            <w:rPr>
              <w:rFonts w:hint="eastAsia" w:ascii="Times New Roman" w:hAnsi="Times New Roman"/>
              <w:bCs w:val="0"/>
              <w:lang w:val="en-US" w:eastAsia="zh-CN"/>
            </w:rPr>
            <w:t>2.1项目基本情况</w:t>
          </w:r>
          <w:r>
            <w:tab/>
          </w:r>
          <w:r>
            <w:fldChar w:fldCharType="begin"/>
          </w:r>
          <w:r>
            <w:instrText xml:space="preserve"> PAGEREF _Toc10477 \h </w:instrText>
          </w:r>
          <w:r>
            <w:fldChar w:fldCharType="separate"/>
          </w:r>
          <w:r>
            <w:t>18</w:t>
          </w:r>
          <w:r>
            <w:fldChar w:fldCharType="end"/>
          </w:r>
          <w:r>
            <w:rPr>
              <w:color w:val="auto"/>
            </w:rPr>
            <w:fldChar w:fldCharType="end"/>
          </w:r>
        </w:p>
        <w:p w14:paraId="5FEDC867">
          <w:pPr>
            <w:pStyle w:val="10"/>
            <w:tabs>
              <w:tab w:val="right" w:leader="dot" w:pos="8844"/>
            </w:tabs>
            <w:ind w:firstLine="420" w:firstLineChars="200"/>
          </w:pPr>
          <w:r>
            <w:rPr>
              <w:color w:val="auto"/>
            </w:rPr>
            <w:fldChar w:fldCharType="begin"/>
          </w:r>
          <w:r>
            <w:instrText xml:space="preserve"> HYPERLINK \l _Toc11114 </w:instrText>
          </w:r>
          <w:r>
            <w:fldChar w:fldCharType="separate"/>
          </w:r>
          <w:r>
            <w:rPr>
              <w:rFonts w:hint="eastAsia" w:ascii="Times New Roman" w:hAnsi="Times New Roman"/>
              <w:lang w:val="en-US" w:eastAsia="zh-CN"/>
            </w:rPr>
            <w:t>2.1.1项目由来</w:t>
          </w:r>
          <w:r>
            <w:tab/>
          </w:r>
          <w:r>
            <w:fldChar w:fldCharType="begin"/>
          </w:r>
          <w:r>
            <w:instrText xml:space="preserve"> PAGEREF _Toc11114 \h </w:instrText>
          </w:r>
          <w:r>
            <w:fldChar w:fldCharType="separate"/>
          </w:r>
          <w:r>
            <w:t>18</w:t>
          </w:r>
          <w:r>
            <w:fldChar w:fldCharType="end"/>
          </w:r>
          <w:r>
            <w:rPr>
              <w:color w:val="auto"/>
            </w:rPr>
            <w:fldChar w:fldCharType="end"/>
          </w:r>
        </w:p>
        <w:p w14:paraId="66458765">
          <w:pPr>
            <w:pStyle w:val="10"/>
            <w:tabs>
              <w:tab w:val="right" w:leader="dot" w:pos="8844"/>
            </w:tabs>
            <w:ind w:firstLine="420" w:firstLineChars="200"/>
          </w:pPr>
          <w:r>
            <w:rPr>
              <w:color w:val="auto"/>
            </w:rPr>
            <w:fldChar w:fldCharType="begin"/>
          </w:r>
          <w:r>
            <w:instrText xml:space="preserve"> HYPERLINK \l _Toc23768 </w:instrText>
          </w:r>
          <w:r>
            <w:fldChar w:fldCharType="separate"/>
          </w:r>
          <w:r>
            <w:rPr>
              <w:rFonts w:hint="eastAsia" w:ascii="Times New Roman" w:hAnsi="Times New Roman" w:eastAsia="宋体" w:cs="Times New Roman"/>
              <w:kern w:val="2"/>
              <w:szCs w:val="24"/>
              <w:lang w:val="en-US" w:eastAsia="zh-CN" w:bidi="ar-SA"/>
            </w:rPr>
            <w:t>2.1.2项目基本情况</w:t>
          </w:r>
          <w:r>
            <w:tab/>
          </w:r>
          <w:r>
            <w:fldChar w:fldCharType="begin"/>
          </w:r>
          <w:r>
            <w:instrText xml:space="preserve"> PAGEREF _Toc23768 \h </w:instrText>
          </w:r>
          <w:r>
            <w:fldChar w:fldCharType="separate"/>
          </w:r>
          <w:r>
            <w:t>19</w:t>
          </w:r>
          <w:r>
            <w:fldChar w:fldCharType="end"/>
          </w:r>
          <w:r>
            <w:rPr>
              <w:color w:val="auto"/>
            </w:rPr>
            <w:fldChar w:fldCharType="end"/>
          </w:r>
        </w:p>
        <w:p w14:paraId="3889A7A6">
          <w:pPr>
            <w:pStyle w:val="10"/>
            <w:tabs>
              <w:tab w:val="right" w:leader="dot" w:pos="8844"/>
            </w:tabs>
            <w:ind w:firstLine="420" w:firstLineChars="200"/>
          </w:pPr>
          <w:r>
            <w:rPr>
              <w:color w:val="auto"/>
            </w:rPr>
            <w:fldChar w:fldCharType="begin"/>
          </w:r>
          <w:r>
            <w:instrText xml:space="preserve"> HYPERLINK \l _Toc15761 </w:instrText>
          </w:r>
          <w:r>
            <w:fldChar w:fldCharType="separate"/>
          </w:r>
          <w:r>
            <w:rPr>
              <w:rFonts w:hint="eastAsia" w:ascii="Times New Roman" w:hAnsi="Times New Roman"/>
              <w:lang w:val="en-US" w:eastAsia="zh-CN"/>
            </w:rPr>
            <w:t>2.1.4项目组成及建设内容</w:t>
          </w:r>
          <w:r>
            <w:tab/>
          </w:r>
          <w:r>
            <w:fldChar w:fldCharType="begin"/>
          </w:r>
          <w:r>
            <w:instrText xml:space="preserve"> PAGEREF _Toc15761 \h </w:instrText>
          </w:r>
          <w:r>
            <w:fldChar w:fldCharType="separate"/>
          </w:r>
          <w:r>
            <w:t>19</w:t>
          </w:r>
          <w:r>
            <w:fldChar w:fldCharType="end"/>
          </w:r>
          <w:r>
            <w:rPr>
              <w:color w:val="auto"/>
            </w:rPr>
            <w:fldChar w:fldCharType="end"/>
          </w:r>
        </w:p>
        <w:p w14:paraId="32DA2583">
          <w:pPr>
            <w:pStyle w:val="10"/>
            <w:tabs>
              <w:tab w:val="right" w:leader="dot" w:pos="8844"/>
            </w:tabs>
            <w:ind w:firstLine="420" w:firstLineChars="200"/>
          </w:pPr>
          <w:r>
            <w:rPr>
              <w:color w:val="auto"/>
            </w:rPr>
            <w:fldChar w:fldCharType="begin"/>
          </w:r>
          <w:r>
            <w:instrText xml:space="preserve"> HYPERLINK \l _Toc7499 </w:instrText>
          </w:r>
          <w:r>
            <w:fldChar w:fldCharType="separate"/>
          </w:r>
          <w:r>
            <w:rPr>
              <w:rFonts w:hint="eastAsia" w:ascii="Times New Roman" w:hAnsi="Times New Roman"/>
              <w:lang w:val="en-US" w:eastAsia="zh-CN"/>
            </w:rPr>
            <w:t>2.1.5项目主要生产设备</w:t>
          </w:r>
          <w:r>
            <w:tab/>
          </w:r>
          <w:r>
            <w:fldChar w:fldCharType="begin"/>
          </w:r>
          <w:r>
            <w:instrText xml:space="preserve"> PAGEREF _Toc7499 \h </w:instrText>
          </w:r>
          <w:r>
            <w:fldChar w:fldCharType="separate"/>
          </w:r>
          <w:r>
            <w:t>20</w:t>
          </w:r>
          <w:r>
            <w:fldChar w:fldCharType="end"/>
          </w:r>
          <w:r>
            <w:rPr>
              <w:color w:val="auto"/>
            </w:rPr>
            <w:fldChar w:fldCharType="end"/>
          </w:r>
        </w:p>
        <w:p w14:paraId="3C6B41C7">
          <w:pPr>
            <w:pStyle w:val="10"/>
            <w:tabs>
              <w:tab w:val="right" w:leader="dot" w:pos="8844"/>
            </w:tabs>
            <w:ind w:firstLine="420" w:firstLineChars="200"/>
          </w:pPr>
          <w:r>
            <w:rPr>
              <w:color w:val="auto"/>
            </w:rPr>
            <w:fldChar w:fldCharType="begin"/>
          </w:r>
          <w:r>
            <w:instrText xml:space="preserve"> HYPERLINK \l _Toc5533 </w:instrText>
          </w:r>
          <w:r>
            <w:fldChar w:fldCharType="separate"/>
          </w:r>
          <w:r>
            <w:rPr>
              <w:rFonts w:hint="eastAsia" w:ascii="Times New Roman" w:hAnsi="Times New Roman"/>
              <w:lang w:val="en-US" w:eastAsia="zh-CN"/>
            </w:rPr>
            <w:t>2.1.6主要原辅材料</w:t>
          </w:r>
          <w:r>
            <w:tab/>
          </w:r>
          <w:r>
            <w:fldChar w:fldCharType="begin"/>
          </w:r>
          <w:r>
            <w:instrText xml:space="preserve"> PAGEREF _Toc5533 \h </w:instrText>
          </w:r>
          <w:r>
            <w:fldChar w:fldCharType="separate"/>
          </w:r>
          <w:r>
            <w:t>22</w:t>
          </w:r>
          <w:r>
            <w:fldChar w:fldCharType="end"/>
          </w:r>
          <w:r>
            <w:rPr>
              <w:color w:val="auto"/>
            </w:rPr>
            <w:fldChar w:fldCharType="end"/>
          </w:r>
        </w:p>
        <w:p w14:paraId="1BF992CC">
          <w:pPr>
            <w:pStyle w:val="10"/>
            <w:tabs>
              <w:tab w:val="right" w:leader="dot" w:pos="8844"/>
            </w:tabs>
            <w:ind w:firstLine="420" w:firstLineChars="200"/>
          </w:pPr>
          <w:r>
            <w:rPr>
              <w:color w:val="auto"/>
            </w:rPr>
            <w:fldChar w:fldCharType="begin"/>
          </w:r>
          <w:r>
            <w:instrText xml:space="preserve"> HYPERLINK \l _Toc20121 </w:instrText>
          </w:r>
          <w:r>
            <w:fldChar w:fldCharType="separate"/>
          </w:r>
          <w:r>
            <w:rPr>
              <w:rFonts w:hint="eastAsia" w:ascii="Times New Roman" w:hAnsi="Times New Roman" w:eastAsia="宋体" w:cs="Times New Roman"/>
              <w:kern w:val="2"/>
              <w:szCs w:val="24"/>
              <w:lang w:val="en-US" w:eastAsia="zh-CN" w:bidi="ar-SA"/>
            </w:rPr>
            <w:t>2.1.7项目主要能源消耗</w:t>
          </w:r>
          <w:r>
            <w:tab/>
          </w:r>
          <w:r>
            <w:fldChar w:fldCharType="begin"/>
          </w:r>
          <w:r>
            <w:instrText xml:space="preserve"> PAGEREF _Toc20121 \h </w:instrText>
          </w:r>
          <w:r>
            <w:fldChar w:fldCharType="separate"/>
          </w:r>
          <w:r>
            <w:t>24</w:t>
          </w:r>
          <w:r>
            <w:fldChar w:fldCharType="end"/>
          </w:r>
          <w:r>
            <w:rPr>
              <w:color w:val="auto"/>
            </w:rPr>
            <w:fldChar w:fldCharType="end"/>
          </w:r>
        </w:p>
        <w:p w14:paraId="4FD2EF13">
          <w:pPr>
            <w:pStyle w:val="10"/>
            <w:tabs>
              <w:tab w:val="right" w:leader="dot" w:pos="8844"/>
            </w:tabs>
            <w:ind w:firstLine="420" w:firstLineChars="200"/>
          </w:pPr>
          <w:r>
            <w:rPr>
              <w:color w:val="auto"/>
            </w:rPr>
            <w:fldChar w:fldCharType="begin"/>
          </w:r>
          <w:r>
            <w:instrText xml:space="preserve"> HYPERLINK \l _Toc17536 </w:instrText>
          </w:r>
          <w:r>
            <w:fldChar w:fldCharType="separate"/>
          </w:r>
          <w:r>
            <w:rPr>
              <w:rFonts w:hint="eastAsia" w:ascii="Times New Roman" w:hAnsi="Times New Roman"/>
              <w:lang w:val="en-US" w:eastAsia="zh-CN"/>
            </w:rPr>
            <w:t>2.1.8项目水平衡</w:t>
          </w:r>
          <w:r>
            <w:tab/>
          </w:r>
          <w:r>
            <w:fldChar w:fldCharType="begin"/>
          </w:r>
          <w:r>
            <w:instrText xml:space="preserve"> PAGEREF _Toc17536 \h </w:instrText>
          </w:r>
          <w:r>
            <w:fldChar w:fldCharType="separate"/>
          </w:r>
          <w:r>
            <w:t>25</w:t>
          </w:r>
          <w:r>
            <w:fldChar w:fldCharType="end"/>
          </w:r>
          <w:r>
            <w:rPr>
              <w:color w:val="auto"/>
            </w:rPr>
            <w:fldChar w:fldCharType="end"/>
          </w:r>
        </w:p>
        <w:p w14:paraId="4DA63BDC">
          <w:pPr>
            <w:pStyle w:val="10"/>
            <w:tabs>
              <w:tab w:val="right" w:leader="dot" w:pos="8844"/>
            </w:tabs>
            <w:ind w:firstLine="420" w:firstLineChars="200"/>
          </w:pPr>
          <w:r>
            <w:rPr>
              <w:color w:val="auto"/>
            </w:rPr>
            <w:fldChar w:fldCharType="begin"/>
          </w:r>
          <w:r>
            <w:instrText xml:space="preserve"> HYPERLINK \l _Toc21814 </w:instrText>
          </w:r>
          <w:r>
            <w:fldChar w:fldCharType="separate"/>
          </w:r>
          <w:r>
            <w:rPr>
              <w:rFonts w:hint="default" w:ascii="Times New Roman" w:hAnsi="Times New Roman"/>
              <w:lang w:val="en-US" w:eastAsia="zh-CN"/>
            </w:rPr>
            <w:t>2.1.9平面布置合理性分析</w:t>
          </w:r>
          <w:r>
            <w:tab/>
          </w:r>
          <w:r>
            <w:fldChar w:fldCharType="begin"/>
          </w:r>
          <w:r>
            <w:instrText xml:space="preserve"> PAGEREF _Toc21814 \h </w:instrText>
          </w:r>
          <w:r>
            <w:fldChar w:fldCharType="separate"/>
          </w:r>
          <w:r>
            <w:t>27</w:t>
          </w:r>
          <w:r>
            <w:fldChar w:fldCharType="end"/>
          </w:r>
          <w:r>
            <w:rPr>
              <w:color w:val="auto"/>
            </w:rPr>
            <w:fldChar w:fldCharType="end"/>
          </w:r>
        </w:p>
        <w:p w14:paraId="60EC2723">
          <w:pPr>
            <w:pStyle w:val="15"/>
            <w:tabs>
              <w:tab w:val="right" w:leader="dot" w:pos="8844"/>
            </w:tabs>
            <w:ind w:firstLine="420" w:firstLineChars="200"/>
          </w:pPr>
          <w:r>
            <w:rPr>
              <w:color w:val="auto"/>
            </w:rPr>
            <w:fldChar w:fldCharType="begin"/>
          </w:r>
          <w:r>
            <w:instrText xml:space="preserve"> HYPERLINK \l _Toc17760 </w:instrText>
          </w:r>
          <w:r>
            <w:fldChar w:fldCharType="separate"/>
          </w:r>
          <w:r>
            <w:rPr>
              <w:rFonts w:hint="eastAsia" w:ascii="Times New Roman" w:hAnsi="Times New Roman" w:eastAsia="宋体" w:cs="Times New Roman"/>
              <w:kern w:val="2"/>
              <w:szCs w:val="24"/>
              <w:lang w:val="en-US" w:eastAsia="zh-CN" w:bidi="ar-SA"/>
            </w:rPr>
            <w:t>2.2生产工艺流程及产污环节</w:t>
          </w:r>
          <w:r>
            <w:tab/>
          </w:r>
          <w:r>
            <w:fldChar w:fldCharType="begin"/>
          </w:r>
          <w:r>
            <w:instrText xml:space="preserve"> PAGEREF _Toc17760 \h </w:instrText>
          </w:r>
          <w:r>
            <w:fldChar w:fldCharType="separate"/>
          </w:r>
          <w:r>
            <w:t>27</w:t>
          </w:r>
          <w:r>
            <w:fldChar w:fldCharType="end"/>
          </w:r>
          <w:r>
            <w:rPr>
              <w:color w:val="auto"/>
            </w:rPr>
            <w:fldChar w:fldCharType="end"/>
          </w:r>
        </w:p>
        <w:p w14:paraId="7B81DB22">
          <w:pPr>
            <w:pStyle w:val="10"/>
            <w:tabs>
              <w:tab w:val="right" w:leader="dot" w:pos="8844"/>
            </w:tabs>
            <w:ind w:firstLine="420" w:firstLineChars="200"/>
          </w:pPr>
          <w:r>
            <w:rPr>
              <w:color w:val="auto"/>
            </w:rPr>
            <w:fldChar w:fldCharType="begin"/>
          </w:r>
          <w:r>
            <w:instrText xml:space="preserve"> HYPERLINK \l _Toc20655 </w:instrText>
          </w:r>
          <w:r>
            <w:fldChar w:fldCharType="separate"/>
          </w:r>
          <w:r>
            <w:rPr>
              <w:rFonts w:hint="eastAsia" w:ascii="Times New Roman" w:hAnsi="Times New Roman"/>
              <w:lang w:val="en-US" w:eastAsia="zh-CN"/>
            </w:rPr>
            <w:t>2.2.1</w:t>
          </w:r>
          <w:r>
            <w:rPr>
              <w:rFonts w:hint="eastAsia"/>
              <w:lang w:val="en-US" w:eastAsia="zh-CN"/>
            </w:rPr>
            <w:t>主要</w:t>
          </w:r>
          <w:r>
            <w:rPr>
              <w:rFonts w:hint="eastAsia" w:ascii="Times New Roman" w:hAnsi="Times New Roman"/>
              <w:lang w:val="en-US" w:eastAsia="zh-CN"/>
            </w:rPr>
            <w:t>工艺流程及工艺介绍</w:t>
          </w:r>
          <w:r>
            <w:tab/>
          </w:r>
          <w:r>
            <w:fldChar w:fldCharType="begin"/>
          </w:r>
          <w:r>
            <w:instrText xml:space="preserve"> PAGEREF _Toc20655 \h </w:instrText>
          </w:r>
          <w:r>
            <w:fldChar w:fldCharType="separate"/>
          </w:r>
          <w:r>
            <w:t>27</w:t>
          </w:r>
          <w:r>
            <w:fldChar w:fldCharType="end"/>
          </w:r>
          <w:r>
            <w:rPr>
              <w:color w:val="auto"/>
            </w:rPr>
            <w:fldChar w:fldCharType="end"/>
          </w:r>
        </w:p>
        <w:p w14:paraId="29D10001">
          <w:pPr>
            <w:pStyle w:val="10"/>
            <w:tabs>
              <w:tab w:val="right" w:leader="dot" w:pos="8844"/>
            </w:tabs>
            <w:ind w:firstLine="420" w:firstLineChars="200"/>
          </w:pPr>
          <w:r>
            <w:rPr>
              <w:color w:val="auto"/>
            </w:rPr>
            <w:fldChar w:fldCharType="begin"/>
          </w:r>
          <w:r>
            <w:instrText xml:space="preserve"> HYPERLINK \l _Toc30601 </w:instrText>
          </w:r>
          <w:r>
            <w:fldChar w:fldCharType="separate"/>
          </w:r>
          <w:r>
            <w:rPr>
              <w:rFonts w:hint="eastAsia" w:ascii="Times New Roman" w:hAnsi="Times New Roman"/>
              <w:lang w:val="en-US" w:eastAsia="zh-CN"/>
            </w:rPr>
            <w:t>2.2.2产污环节介绍</w:t>
          </w:r>
          <w:r>
            <w:tab/>
          </w:r>
          <w:r>
            <w:fldChar w:fldCharType="begin"/>
          </w:r>
          <w:r>
            <w:instrText xml:space="preserve"> PAGEREF _Toc30601 \h </w:instrText>
          </w:r>
          <w:r>
            <w:fldChar w:fldCharType="separate"/>
          </w:r>
          <w:r>
            <w:t>33</w:t>
          </w:r>
          <w:r>
            <w:fldChar w:fldCharType="end"/>
          </w:r>
          <w:r>
            <w:rPr>
              <w:color w:val="auto"/>
            </w:rPr>
            <w:fldChar w:fldCharType="end"/>
          </w:r>
        </w:p>
        <w:p w14:paraId="6376045E">
          <w:pPr>
            <w:pStyle w:val="10"/>
            <w:tabs>
              <w:tab w:val="right" w:leader="dot" w:pos="8844"/>
            </w:tabs>
            <w:ind w:firstLine="420" w:firstLineChars="200"/>
          </w:pPr>
          <w:r>
            <w:rPr>
              <w:color w:val="auto"/>
            </w:rPr>
            <w:fldChar w:fldCharType="begin"/>
          </w:r>
          <w:r>
            <w:instrText xml:space="preserve"> HYPERLINK \l _Toc10657 </w:instrText>
          </w:r>
          <w:r>
            <w:fldChar w:fldCharType="separate"/>
          </w:r>
          <w:r>
            <w:rPr>
              <w:rFonts w:hint="default" w:ascii="Times New Roman" w:hAnsi="Times New Roman" w:eastAsia="宋体" w:cs="Times New Roman"/>
              <w:bCs/>
              <w:szCs w:val="24"/>
              <w:highlight w:val="none"/>
              <w:lang w:val="en-US" w:eastAsia="zh-CN"/>
            </w:rPr>
            <w:t>2.</w:t>
          </w:r>
          <w:r>
            <w:rPr>
              <w:rFonts w:hint="eastAsia" w:cs="Times New Roman"/>
              <w:bCs/>
              <w:szCs w:val="24"/>
              <w:highlight w:val="none"/>
              <w:lang w:val="en-US" w:eastAsia="zh-CN"/>
            </w:rPr>
            <w:t>2</w:t>
          </w:r>
          <w:r>
            <w:rPr>
              <w:rFonts w:hint="default" w:ascii="Times New Roman" w:hAnsi="Times New Roman" w:eastAsia="宋体" w:cs="Times New Roman"/>
              <w:bCs/>
              <w:szCs w:val="24"/>
              <w:highlight w:val="none"/>
              <w:lang w:val="en-US" w:eastAsia="zh-CN"/>
            </w:rPr>
            <w:t>.</w:t>
          </w:r>
          <w:r>
            <w:rPr>
              <w:rFonts w:hint="eastAsia" w:cs="Times New Roman"/>
              <w:bCs/>
              <w:szCs w:val="24"/>
              <w:highlight w:val="none"/>
              <w:lang w:val="en-US" w:eastAsia="zh-CN"/>
            </w:rPr>
            <w:t>3</w:t>
          </w:r>
          <w:r>
            <w:rPr>
              <w:rFonts w:hint="default" w:ascii="Times New Roman" w:hAnsi="Times New Roman" w:eastAsia="宋体" w:cs="Times New Roman"/>
              <w:bCs/>
              <w:szCs w:val="24"/>
              <w:highlight w:val="none"/>
              <w:lang w:val="en-US" w:eastAsia="zh-CN"/>
            </w:rPr>
            <w:t xml:space="preserve"> 产污环节分析</w:t>
          </w:r>
          <w:r>
            <w:tab/>
          </w:r>
          <w:r>
            <w:fldChar w:fldCharType="begin"/>
          </w:r>
          <w:r>
            <w:instrText xml:space="preserve"> PAGEREF _Toc10657 \h </w:instrText>
          </w:r>
          <w:r>
            <w:fldChar w:fldCharType="separate"/>
          </w:r>
          <w:r>
            <w:t>34</w:t>
          </w:r>
          <w:r>
            <w:fldChar w:fldCharType="end"/>
          </w:r>
          <w:r>
            <w:rPr>
              <w:color w:val="auto"/>
            </w:rPr>
            <w:fldChar w:fldCharType="end"/>
          </w:r>
        </w:p>
        <w:p w14:paraId="63C7E903">
          <w:pPr>
            <w:pStyle w:val="15"/>
            <w:tabs>
              <w:tab w:val="right" w:leader="dot" w:pos="8844"/>
            </w:tabs>
            <w:ind w:firstLine="420" w:firstLineChars="200"/>
          </w:pPr>
          <w:r>
            <w:rPr>
              <w:color w:val="auto"/>
            </w:rPr>
            <w:fldChar w:fldCharType="begin"/>
          </w:r>
          <w:r>
            <w:instrText xml:space="preserve"> HYPERLINK \l _Toc18805 </w:instrText>
          </w:r>
          <w:r>
            <w:fldChar w:fldCharType="separate"/>
          </w:r>
          <w:r>
            <w:rPr>
              <w:rFonts w:hint="eastAsia" w:ascii="Times New Roman" w:hAnsi="Times New Roman" w:eastAsia="宋体" w:cs="Times New Roman"/>
              <w:kern w:val="2"/>
              <w:szCs w:val="24"/>
              <w:lang w:val="en-US" w:eastAsia="zh-CN" w:bidi="ar-SA"/>
            </w:rPr>
            <w:t>3.1大气环境质量现状</w:t>
          </w:r>
          <w:r>
            <w:tab/>
          </w:r>
          <w:r>
            <w:fldChar w:fldCharType="begin"/>
          </w:r>
          <w:r>
            <w:instrText xml:space="preserve"> PAGEREF _Toc18805 \h </w:instrText>
          </w:r>
          <w:r>
            <w:fldChar w:fldCharType="separate"/>
          </w:r>
          <w:r>
            <w:t>36</w:t>
          </w:r>
          <w:r>
            <w:fldChar w:fldCharType="end"/>
          </w:r>
          <w:r>
            <w:rPr>
              <w:color w:val="auto"/>
            </w:rPr>
            <w:fldChar w:fldCharType="end"/>
          </w:r>
        </w:p>
        <w:p w14:paraId="68119A4C">
          <w:pPr>
            <w:pStyle w:val="10"/>
            <w:tabs>
              <w:tab w:val="right" w:leader="dot" w:pos="8844"/>
            </w:tabs>
            <w:ind w:firstLine="420" w:firstLineChars="200"/>
          </w:pPr>
          <w:r>
            <w:rPr>
              <w:color w:val="auto"/>
            </w:rPr>
            <w:fldChar w:fldCharType="begin"/>
          </w:r>
          <w:r>
            <w:instrText xml:space="preserve"> HYPERLINK \l _Toc20947 </w:instrText>
          </w:r>
          <w:r>
            <w:fldChar w:fldCharType="separate"/>
          </w:r>
          <w:r>
            <w:rPr>
              <w:rFonts w:hint="eastAsia" w:ascii="Times New Roman" w:hAnsi="Times New Roman" w:eastAsia="宋体" w:cs="Times New Roman"/>
              <w:kern w:val="2"/>
              <w:szCs w:val="24"/>
              <w:lang w:val="en-US" w:eastAsia="zh-CN" w:bidi="ar-SA"/>
            </w:rPr>
            <w:t>3.1.1环境空气质量功能区划</w:t>
          </w:r>
          <w:r>
            <w:tab/>
          </w:r>
          <w:r>
            <w:fldChar w:fldCharType="begin"/>
          </w:r>
          <w:r>
            <w:instrText xml:space="preserve"> PAGEREF _Toc20947 \h </w:instrText>
          </w:r>
          <w:r>
            <w:fldChar w:fldCharType="separate"/>
          </w:r>
          <w:r>
            <w:t>36</w:t>
          </w:r>
          <w:r>
            <w:fldChar w:fldCharType="end"/>
          </w:r>
          <w:r>
            <w:rPr>
              <w:color w:val="auto"/>
            </w:rPr>
            <w:fldChar w:fldCharType="end"/>
          </w:r>
        </w:p>
        <w:p w14:paraId="058AB528">
          <w:pPr>
            <w:pStyle w:val="10"/>
            <w:tabs>
              <w:tab w:val="right" w:leader="dot" w:pos="8844"/>
            </w:tabs>
            <w:ind w:firstLine="420" w:firstLineChars="200"/>
          </w:pPr>
          <w:r>
            <w:rPr>
              <w:color w:val="auto"/>
            </w:rPr>
            <w:fldChar w:fldCharType="begin"/>
          </w:r>
          <w:r>
            <w:instrText xml:space="preserve"> HYPERLINK \l _Toc8858 </w:instrText>
          </w:r>
          <w:r>
            <w:fldChar w:fldCharType="separate"/>
          </w:r>
          <w:r>
            <w:rPr>
              <w:rFonts w:hint="eastAsia" w:ascii="Times New Roman" w:hAnsi="Times New Roman" w:eastAsia="宋体" w:cs="Times New Roman"/>
              <w:kern w:val="2"/>
              <w:szCs w:val="24"/>
              <w:lang w:val="en-US" w:eastAsia="zh-CN" w:bidi="ar-SA"/>
            </w:rPr>
            <w:t>3.1.2区域大气</w:t>
          </w:r>
          <w:r>
            <w:rPr>
              <w:rFonts w:hint="eastAsia" w:cs="Times New Roman"/>
              <w:kern w:val="2"/>
              <w:szCs w:val="24"/>
              <w:lang w:val="en-US" w:eastAsia="zh-CN" w:bidi="ar-SA"/>
            </w:rPr>
            <w:t>环境</w:t>
          </w:r>
          <w:r>
            <w:rPr>
              <w:rFonts w:hint="eastAsia" w:ascii="Times New Roman" w:hAnsi="Times New Roman" w:eastAsia="宋体" w:cs="Times New Roman"/>
              <w:kern w:val="2"/>
              <w:szCs w:val="24"/>
              <w:lang w:val="en-US" w:eastAsia="zh-CN" w:bidi="ar-SA"/>
            </w:rPr>
            <w:t>质量现状</w:t>
          </w:r>
          <w:r>
            <w:tab/>
          </w:r>
          <w:r>
            <w:fldChar w:fldCharType="begin"/>
          </w:r>
          <w:r>
            <w:instrText xml:space="preserve"> PAGEREF _Toc8858 \h </w:instrText>
          </w:r>
          <w:r>
            <w:fldChar w:fldCharType="separate"/>
          </w:r>
          <w:r>
            <w:t>37</w:t>
          </w:r>
          <w:r>
            <w:fldChar w:fldCharType="end"/>
          </w:r>
          <w:r>
            <w:rPr>
              <w:color w:val="auto"/>
            </w:rPr>
            <w:fldChar w:fldCharType="end"/>
          </w:r>
        </w:p>
        <w:p w14:paraId="080240F9">
          <w:pPr>
            <w:pStyle w:val="15"/>
            <w:tabs>
              <w:tab w:val="right" w:leader="dot" w:pos="8844"/>
            </w:tabs>
            <w:ind w:firstLine="420" w:firstLineChars="200"/>
          </w:pPr>
          <w:r>
            <w:rPr>
              <w:color w:val="auto"/>
            </w:rPr>
            <w:fldChar w:fldCharType="begin"/>
          </w:r>
          <w:r>
            <w:instrText xml:space="preserve"> HYPERLINK \l _Toc7696 </w:instrText>
          </w:r>
          <w:r>
            <w:fldChar w:fldCharType="separate"/>
          </w:r>
          <w:r>
            <w:rPr>
              <w:rFonts w:hint="eastAsia" w:ascii="Times New Roman" w:hAnsi="Times New Roman" w:eastAsia="宋体" w:cs="Times New Roman"/>
              <w:kern w:val="2"/>
              <w:szCs w:val="24"/>
              <w:lang w:val="en-US" w:eastAsia="zh-CN" w:bidi="ar-SA"/>
            </w:rPr>
            <w:t>3.2地表水环境质量现状</w:t>
          </w:r>
          <w:r>
            <w:tab/>
          </w:r>
          <w:r>
            <w:fldChar w:fldCharType="begin"/>
          </w:r>
          <w:r>
            <w:instrText xml:space="preserve"> PAGEREF _Toc7696 \h </w:instrText>
          </w:r>
          <w:r>
            <w:fldChar w:fldCharType="separate"/>
          </w:r>
          <w:r>
            <w:t>38</w:t>
          </w:r>
          <w:r>
            <w:fldChar w:fldCharType="end"/>
          </w:r>
          <w:r>
            <w:rPr>
              <w:color w:val="auto"/>
            </w:rPr>
            <w:fldChar w:fldCharType="end"/>
          </w:r>
        </w:p>
        <w:p w14:paraId="197DD802">
          <w:pPr>
            <w:pStyle w:val="10"/>
            <w:tabs>
              <w:tab w:val="right" w:leader="dot" w:pos="8844"/>
            </w:tabs>
            <w:ind w:firstLine="420" w:firstLineChars="200"/>
          </w:pPr>
          <w:r>
            <w:rPr>
              <w:color w:val="auto"/>
            </w:rPr>
            <w:fldChar w:fldCharType="begin"/>
          </w:r>
          <w:r>
            <w:instrText xml:space="preserve"> HYPERLINK \l _Toc28513 </w:instrText>
          </w:r>
          <w:r>
            <w:fldChar w:fldCharType="separate"/>
          </w:r>
          <w:r>
            <w:rPr>
              <w:rFonts w:hint="eastAsia" w:ascii="Times New Roman" w:hAnsi="Times New Roman" w:eastAsia="宋体" w:cs="Times New Roman"/>
              <w:kern w:val="2"/>
              <w:szCs w:val="24"/>
              <w:lang w:val="en-US" w:eastAsia="zh-CN" w:bidi="ar-SA"/>
            </w:rPr>
            <w:t>3.2.1地表水功能区划</w:t>
          </w:r>
          <w:r>
            <w:tab/>
          </w:r>
          <w:r>
            <w:fldChar w:fldCharType="begin"/>
          </w:r>
          <w:r>
            <w:instrText xml:space="preserve"> PAGEREF _Toc28513 \h </w:instrText>
          </w:r>
          <w:r>
            <w:fldChar w:fldCharType="separate"/>
          </w:r>
          <w:r>
            <w:t>38</w:t>
          </w:r>
          <w:r>
            <w:fldChar w:fldCharType="end"/>
          </w:r>
          <w:r>
            <w:rPr>
              <w:color w:val="auto"/>
            </w:rPr>
            <w:fldChar w:fldCharType="end"/>
          </w:r>
        </w:p>
        <w:p w14:paraId="428DF075">
          <w:pPr>
            <w:pStyle w:val="10"/>
            <w:tabs>
              <w:tab w:val="right" w:leader="dot" w:pos="8844"/>
            </w:tabs>
            <w:ind w:firstLine="420" w:firstLineChars="200"/>
          </w:pPr>
          <w:r>
            <w:rPr>
              <w:color w:val="auto"/>
            </w:rPr>
            <w:fldChar w:fldCharType="begin"/>
          </w:r>
          <w:r>
            <w:instrText xml:space="preserve"> HYPERLINK \l _Toc19984 </w:instrText>
          </w:r>
          <w:r>
            <w:fldChar w:fldCharType="separate"/>
          </w:r>
          <w:r>
            <w:rPr>
              <w:rFonts w:hint="eastAsia" w:ascii="Times New Roman" w:hAnsi="Times New Roman" w:eastAsia="宋体" w:cs="Times New Roman"/>
              <w:kern w:val="2"/>
              <w:szCs w:val="24"/>
              <w:lang w:val="en-US" w:eastAsia="zh-CN" w:bidi="ar-SA"/>
            </w:rPr>
            <w:t>3.2.2地表水环境质量现状</w:t>
          </w:r>
          <w:r>
            <w:tab/>
          </w:r>
          <w:r>
            <w:fldChar w:fldCharType="begin"/>
          </w:r>
          <w:r>
            <w:instrText xml:space="preserve"> PAGEREF _Toc19984 \h </w:instrText>
          </w:r>
          <w:r>
            <w:fldChar w:fldCharType="separate"/>
          </w:r>
          <w:r>
            <w:t>39</w:t>
          </w:r>
          <w:r>
            <w:fldChar w:fldCharType="end"/>
          </w:r>
          <w:r>
            <w:rPr>
              <w:color w:val="auto"/>
            </w:rPr>
            <w:fldChar w:fldCharType="end"/>
          </w:r>
        </w:p>
        <w:p w14:paraId="354B0B3B">
          <w:pPr>
            <w:pStyle w:val="15"/>
            <w:tabs>
              <w:tab w:val="right" w:leader="dot" w:pos="8844"/>
            </w:tabs>
            <w:ind w:firstLine="420" w:firstLineChars="200"/>
          </w:pPr>
          <w:r>
            <w:rPr>
              <w:color w:val="auto"/>
            </w:rPr>
            <w:fldChar w:fldCharType="begin"/>
          </w:r>
          <w:r>
            <w:instrText xml:space="preserve"> HYPERLINK \l _Toc15567 </w:instrText>
          </w:r>
          <w:r>
            <w:fldChar w:fldCharType="separate"/>
          </w:r>
          <w:r>
            <w:rPr>
              <w:rFonts w:hint="eastAsia" w:ascii="Times New Roman" w:hAnsi="Times New Roman" w:eastAsia="宋体" w:cs="Times New Roman"/>
              <w:kern w:val="2"/>
              <w:szCs w:val="24"/>
              <w:lang w:val="en-US" w:eastAsia="zh-CN" w:bidi="ar-SA"/>
            </w:rPr>
            <w:t>3.3声环境质量现状</w:t>
          </w:r>
          <w:r>
            <w:tab/>
          </w:r>
          <w:r>
            <w:fldChar w:fldCharType="begin"/>
          </w:r>
          <w:r>
            <w:instrText xml:space="preserve"> PAGEREF _Toc15567 \h </w:instrText>
          </w:r>
          <w:r>
            <w:fldChar w:fldCharType="separate"/>
          </w:r>
          <w:r>
            <w:t>40</w:t>
          </w:r>
          <w:r>
            <w:fldChar w:fldCharType="end"/>
          </w:r>
          <w:r>
            <w:rPr>
              <w:color w:val="auto"/>
            </w:rPr>
            <w:fldChar w:fldCharType="end"/>
          </w:r>
        </w:p>
        <w:p w14:paraId="2EF62003">
          <w:pPr>
            <w:pStyle w:val="10"/>
            <w:tabs>
              <w:tab w:val="right" w:leader="dot" w:pos="8844"/>
            </w:tabs>
            <w:ind w:firstLine="420" w:firstLineChars="200"/>
          </w:pPr>
          <w:r>
            <w:rPr>
              <w:color w:val="auto"/>
            </w:rPr>
            <w:fldChar w:fldCharType="begin"/>
          </w:r>
          <w:r>
            <w:instrText xml:space="preserve"> HYPERLINK \l _Toc2075 </w:instrText>
          </w:r>
          <w:r>
            <w:fldChar w:fldCharType="separate"/>
          </w:r>
          <w:r>
            <w:rPr>
              <w:rFonts w:hint="eastAsia" w:ascii="Times New Roman" w:hAnsi="Times New Roman" w:eastAsia="宋体" w:cs="Times New Roman"/>
              <w:kern w:val="2"/>
              <w:szCs w:val="24"/>
              <w:lang w:val="en-US" w:eastAsia="zh-CN" w:bidi="ar-SA"/>
            </w:rPr>
            <w:t>3.3.1声环境功能区划</w:t>
          </w:r>
          <w:r>
            <w:tab/>
          </w:r>
          <w:r>
            <w:fldChar w:fldCharType="begin"/>
          </w:r>
          <w:r>
            <w:instrText xml:space="preserve"> PAGEREF _Toc2075 \h </w:instrText>
          </w:r>
          <w:r>
            <w:fldChar w:fldCharType="separate"/>
          </w:r>
          <w:r>
            <w:t>40</w:t>
          </w:r>
          <w:r>
            <w:fldChar w:fldCharType="end"/>
          </w:r>
          <w:r>
            <w:rPr>
              <w:color w:val="auto"/>
            </w:rPr>
            <w:fldChar w:fldCharType="end"/>
          </w:r>
        </w:p>
        <w:p w14:paraId="4B24AF32">
          <w:pPr>
            <w:pStyle w:val="10"/>
            <w:tabs>
              <w:tab w:val="right" w:leader="dot" w:pos="8844"/>
            </w:tabs>
            <w:ind w:firstLine="420" w:firstLineChars="200"/>
          </w:pPr>
          <w:r>
            <w:rPr>
              <w:color w:val="auto"/>
            </w:rPr>
            <w:fldChar w:fldCharType="begin"/>
          </w:r>
          <w:r>
            <w:instrText xml:space="preserve"> HYPERLINK \l _Toc30670 </w:instrText>
          </w:r>
          <w:r>
            <w:fldChar w:fldCharType="separate"/>
          </w:r>
          <w:r>
            <w:rPr>
              <w:rFonts w:hint="eastAsia" w:ascii="Times New Roman" w:hAnsi="Times New Roman" w:eastAsia="宋体" w:cs="Times New Roman"/>
              <w:kern w:val="2"/>
              <w:szCs w:val="24"/>
              <w:lang w:val="en-US" w:eastAsia="zh-CN" w:bidi="ar-SA"/>
            </w:rPr>
            <w:t>3.3.2声环境质量现状</w:t>
          </w:r>
          <w:r>
            <w:tab/>
          </w:r>
          <w:r>
            <w:fldChar w:fldCharType="begin"/>
          </w:r>
          <w:r>
            <w:instrText xml:space="preserve"> PAGEREF _Toc30670 \h </w:instrText>
          </w:r>
          <w:r>
            <w:fldChar w:fldCharType="separate"/>
          </w:r>
          <w:r>
            <w:t>40</w:t>
          </w:r>
          <w:r>
            <w:fldChar w:fldCharType="end"/>
          </w:r>
          <w:r>
            <w:rPr>
              <w:color w:val="auto"/>
            </w:rPr>
            <w:fldChar w:fldCharType="end"/>
          </w:r>
        </w:p>
        <w:p w14:paraId="2969D754">
          <w:pPr>
            <w:pStyle w:val="15"/>
            <w:tabs>
              <w:tab w:val="right" w:leader="dot" w:pos="8844"/>
            </w:tabs>
            <w:ind w:firstLine="420" w:firstLineChars="200"/>
          </w:pPr>
          <w:r>
            <w:rPr>
              <w:color w:val="auto"/>
            </w:rPr>
            <w:fldChar w:fldCharType="begin"/>
          </w:r>
          <w:r>
            <w:instrText xml:space="preserve"> HYPERLINK \l _Toc11103 </w:instrText>
          </w:r>
          <w:r>
            <w:fldChar w:fldCharType="separate"/>
          </w:r>
          <w:r>
            <w:rPr>
              <w:rFonts w:ascii="Times New Roman" w:hAnsi="Times New Roman" w:eastAsia="宋体" w:cs="Times New Roman"/>
              <w:kern w:val="2"/>
              <w:szCs w:val="24"/>
              <w:lang w:val="en-US" w:eastAsia="zh-CN" w:bidi="ar-SA"/>
            </w:rPr>
            <w:t>3.4生态环境现状调查</w:t>
          </w:r>
          <w:r>
            <w:tab/>
          </w:r>
          <w:r>
            <w:fldChar w:fldCharType="begin"/>
          </w:r>
          <w:r>
            <w:instrText xml:space="preserve"> PAGEREF _Toc11103 \h </w:instrText>
          </w:r>
          <w:r>
            <w:fldChar w:fldCharType="separate"/>
          </w:r>
          <w:r>
            <w:t>40</w:t>
          </w:r>
          <w:r>
            <w:fldChar w:fldCharType="end"/>
          </w:r>
          <w:r>
            <w:rPr>
              <w:color w:val="auto"/>
            </w:rPr>
            <w:fldChar w:fldCharType="end"/>
          </w:r>
        </w:p>
        <w:p w14:paraId="2D3C709E">
          <w:pPr>
            <w:pStyle w:val="15"/>
            <w:tabs>
              <w:tab w:val="right" w:leader="dot" w:pos="8844"/>
            </w:tabs>
            <w:ind w:firstLine="420" w:firstLineChars="200"/>
          </w:pPr>
          <w:r>
            <w:rPr>
              <w:color w:val="auto"/>
            </w:rPr>
            <w:fldChar w:fldCharType="begin"/>
          </w:r>
          <w:r>
            <w:instrText xml:space="preserve"> HYPERLINK \l _Toc25182 </w:instrText>
          </w:r>
          <w:r>
            <w:fldChar w:fldCharType="separate"/>
          </w:r>
          <w:r>
            <w:rPr>
              <w:rFonts w:ascii="Times New Roman" w:hAnsi="Times New Roman" w:eastAsia="宋体" w:cs="Times New Roman"/>
              <w:kern w:val="2"/>
              <w:szCs w:val="24"/>
              <w:lang w:val="en-US" w:eastAsia="zh-CN" w:bidi="ar-SA"/>
            </w:rPr>
            <w:t>3.5地下水、土壤环境质量现状</w:t>
          </w:r>
          <w:r>
            <w:tab/>
          </w:r>
          <w:r>
            <w:fldChar w:fldCharType="begin"/>
          </w:r>
          <w:r>
            <w:instrText xml:space="preserve"> PAGEREF _Toc25182 \h </w:instrText>
          </w:r>
          <w:r>
            <w:fldChar w:fldCharType="separate"/>
          </w:r>
          <w:r>
            <w:t>40</w:t>
          </w:r>
          <w:r>
            <w:fldChar w:fldCharType="end"/>
          </w:r>
          <w:r>
            <w:rPr>
              <w:color w:val="auto"/>
            </w:rPr>
            <w:fldChar w:fldCharType="end"/>
          </w:r>
        </w:p>
        <w:p w14:paraId="14F5D40E">
          <w:pPr>
            <w:pStyle w:val="15"/>
            <w:tabs>
              <w:tab w:val="right" w:leader="dot" w:pos="8844"/>
            </w:tabs>
            <w:ind w:firstLine="420" w:firstLineChars="200"/>
          </w:pPr>
          <w:r>
            <w:rPr>
              <w:color w:val="auto"/>
            </w:rPr>
            <w:fldChar w:fldCharType="begin"/>
          </w:r>
          <w:r>
            <w:instrText xml:space="preserve"> HYPERLINK \l _Toc31553 </w:instrText>
          </w:r>
          <w:r>
            <w:fldChar w:fldCharType="separate"/>
          </w:r>
          <w:r>
            <w:rPr>
              <w:rFonts w:hint="eastAsia" w:ascii="Times New Roman" w:hAnsi="Times New Roman" w:eastAsia="宋体" w:cs="Times New Roman"/>
              <w:kern w:val="2"/>
              <w:szCs w:val="24"/>
              <w:lang w:val="en-US" w:eastAsia="zh-CN" w:bidi="ar-SA"/>
            </w:rPr>
            <w:t>3.6环境保护目标</w:t>
          </w:r>
          <w:r>
            <w:tab/>
          </w:r>
          <w:r>
            <w:fldChar w:fldCharType="begin"/>
          </w:r>
          <w:r>
            <w:instrText xml:space="preserve"> PAGEREF _Toc31553 \h </w:instrText>
          </w:r>
          <w:r>
            <w:fldChar w:fldCharType="separate"/>
          </w:r>
          <w:r>
            <w:t>41</w:t>
          </w:r>
          <w:r>
            <w:fldChar w:fldCharType="end"/>
          </w:r>
          <w:r>
            <w:rPr>
              <w:color w:val="auto"/>
            </w:rPr>
            <w:fldChar w:fldCharType="end"/>
          </w:r>
        </w:p>
        <w:p w14:paraId="6B718A07">
          <w:pPr>
            <w:pStyle w:val="10"/>
            <w:tabs>
              <w:tab w:val="right" w:leader="dot" w:pos="8844"/>
            </w:tabs>
            <w:ind w:firstLine="420" w:firstLineChars="200"/>
          </w:pPr>
          <w:r>
            <w:rPr>
              <w:color w:val="auto"/>
            </w:rPr>
            <w:fldChar w:fldCharType="begin"/>
          </w:r>
          <w:r>
            <w:instrText xml:space="preserve"> HYPERLINK \l _Toc7719 </w:instrText>
          </w:r>
          <w:r>
            <w:fldChar w:fldCharType="separate"/>
          </w:r>
          <w:r>
            <w:rPr>
              <w:rFonts w:hint="eastAsia" w:ascii="Times New Roman" w:hAnsi="Times New Roman" w:eastAsia="宋体" w:cs="Times New Roman"/>
              <w:kern w:val="2"/>
              <w:szCs w:val="24"/>
              <w:lang w:val="en-US" w:eastAsia="zh-CN" w:bidi="ar-SA"/>
            </w:rPr>
            <w:t>3.6.1大气环境、水环境、声环境</w:t>
          </w:r>
          <w:r>
            <w:tab/>
          </w:r>
          <w:r>
            <w:fldChar w:fldCharType="begin"/>
          </w:r>
          <w:r>
            <w:instrText xml:space="preserve"> PAGEREF _Toc7719 \h </w:instrText>
          </w:r>
          <w:r>
            <w:fldChar w:fldCharType="separate"/>
          </w:r>
          <w:r>
            <w:t>41</w:t>
          </w:r>
          <w:r>
            <w:fldChar w:fldCharType="end"/>
          </w:r>
          <w:r>
            <w:rPr>
              <w:color w:val="auto"/>
            </w:rPr>
            <w:fldChar w:fldCharType="end"/>
          </w:r>
        </w:p>
        <w:p w14:paraId="5403EC43">
          <w:pPr>
            <w:pStyle w:val="10"/>
            <w:tabs>
              <w:tab w:val="right" w:leader="dot" w:pos="8844"/>
            </w:tabs>
            <w:ind w:firstLine="420" w:firstLineChars="200"/>
          </w:pPr>
          <w:r>
            <w:rPr>
              <w:color w:val="auto"/>
            </w:rPr>
            <w:fldChar w:fldCharType="begin"/>
          </w:r>
          <w:r>
            <w:instrText xml:space="preserve"> HYPERLINK \l _Toc14132 </w:instrText>
          </w:r>
          <w:r>
            <w:fldChar w:fldCharType="separate"/>
          </w:r>
          <w:r>
            <w:rPr>
              <w:rFonts w:hint="eastAsia" w:ascii="Times New Roman" w:hAnsi="Times New Roman" w:eastAsia="宋体" w:cs="Times New Roman"/>
              <w:kern w:val="2"/>
              <w:szCs w:val="24"/>
              <w:lang w:val="en-US" w:eastAsia="zh-CN" w:bidi="ar-SA"/>
            </w:rPr>
            <w:t>3.6.2生态环境保护目标</w:t>
          </w:r>
          <w:r>
            <w:tab/>
          </w:r>
          <w:r>
            <w:fldChar w:fldCharType="begin"/>
          </w:r>
          <w:r>
            <w:instrText xml:space="preserve"> PAGEREF _Toc14132 \h </w:instrText>
          </w:r>
          <w:r>
            <w:fldChar w:fldCharType="separate"/>
          </w:r>
          <w:r>
            <w:t>41</w:t>
          </w:r>
          <w:r>
            <w:fldChar w:fldCharType="end"/>
          </w:r>
          <w:r>
            <w:rPr>
              <w:color w:val="auto"/>
            </w:rPr>
            <w:fldChar w:fldCharType="end"/>
          </w:r>
        </w:p>
        <w:p w14:paraId="68B8B364">
          <w:pPr>
            <w:pStyle w:val="15"/>
            <w:tabs>
              <w:tab w:val="right" w:leader="dot" w:pos="8844"/>
            </w:tabs>
            <w:ind w:firstLine="420" w:firstLineChars="200"/>
          </w:pPr>
          <w:r>
            <w:rPr>
              <w:color w:val="auto"/>
            </w:rPr>
            <w:fldChar w:fldCharType="begin"/>
          </w:r>
          <w:r>
            <w:instrText xml:space="preserve"> HYPERLINK \l _Toc18302 </w:instrText>
          </w:r>
          <w:r>
            <w:fldChar w:fldCharType="separate"/>
          </w:r>
          <w:r>
            <w:rPr>
              <w:rFonts w:hint="eastAsia" w:ascii="Times New Roman" w:hAnsi="Times New Roman" w:eastAsia="宋体" w:cs="Times New Roman"/>
              <w:kern w:val="2"/>
              <w:szCs w:val="24"/>
              <w:lang w:val="en-US" w:eastAsia="zh-CN" w:bidi="ar-SA"/>
            </w:rPr>
            <w:t>3.7污染物排放标准</w:t>
          </w:r>
          <w:r>
            <w:tab/>
          </w:r>
          <w:r>
            <w:fldChar w:fldCharType="begin"/>
          </w:r>
          <w:r>
            <w:instrText xml:space="preserve"> PAGEREF _Toc18302 \h </w:instrText>
          </w:r>
          <w:r>
            <w:fldChar w:fldCharType="separate"/>
          </w:r>
          <w:r>
            <w:t>42</w:t>
          </w:r>
          <w:r>
            <w:fldChar w:fldCharType="end"/>
          </w:r>
          <w:r>
            <w:rPr>
              <w:color w:val="auto"/>
            </w:rPr>
            <w:fldChar w:fldCharType="end"/>
          </w:r>
        </w:p>
        <w:p w14:paraId="4727E2AB">
          <w:pPr>
            <w:pStyle w:val="10"/>
            <w:tabs>
              <w:tab w:val="right" w:leader="dot" w:pos="8844"/>
            </w:tabs>
            <w:ind w:firstLine="420" w:firstLineChars="200"/>
          </w:pPr>
          <w:r>
            <w:rPr>
              <w:color w:val="auto"/>
            </w:rPr>
            <w:fldChar w:fldCharType="begin"/>
          </w:r>
          <w:r>
            <w:instrText xml:space="preserve"> HYPERLINK \l _Toc8771 </w:instrText>
          </w:r>
          <w:r>
            <w:fldChar w:fldCharType="separate"/>
          </w:r>
          <w:r>
            <w:rPr>
              <w:rFonts w:hint="eastAsia" w:ascii="Times New Roman" w:hAnsi="Times New Roman" w:eastAsia="宋体" w:cs="Times New Roman"/>
              <w:kern w:val="2"/>
              <w:szCs w:val="24"/>
              <w:lang w:val="en-US" w:eastAsia="zh-CN" w:bidi="ar-SA"/>
            </w:rPr>
            <w:t>3.7.1</w:t>
          </w:r>
          <w:r>
            <w:rPr>
              <w:rFonts w:hint="eastAsia" w:cs="Times New Roman"/>
              <w:kern w:val="2"/>
              <w:szCs w:val="24"/>
              <w:lang w:val="en-US" w:eastAsia="zh-CN" w:bidi="ar-SA"/>
            </w:rPr>
            <w:t>水污染物排放</w:t>
          </w:r>
          <w:r>
            <w:rPr>
              <w:rFonts w:hint="eastAsia" w:ascii="Times New Roman" w:hAnsi="Times New Roman" w:eastAsia="宋体" w:cs="Times New Roman"/>
              <w:kern w:val="2"/>
              <w:szCs w:val="24"/>
              <w:lang w:val="en-US" w:eastAsia="zh-CN" w:bidi="ar-SA"/>
            </w:rPr>
            <w:t>标准</w:t>
          </w:r>
          <w:r>
            <w:tab/>
          </w:r>
          <w:r>
            <w:fldChar w:fldCharType="begin"/>
          </w:r>
          <w:r>
            <w:instrText xml:space="preserve"> PAGEREF _Toc8771 \h </w:instrText>
          </w:r>
          <w:r>
            <w:fldChar w:fldCharType="separate"/>
          </w:r>
          <w:r>
            <w:t>42</w:t>
          </w:r>
          <w:r>
            <w:fldChar w:fldCharType="end"/>
          </w:r>
          <w:r>
            <w:rPr>
              <w:color w:val="auto"/>
            </w:rPr>
            <w:fldChar w:fldCharType="end"/>
          </w:r>
        </w:p>
        <w:p w14:paraId="09FB4BAE">
          <w:pPr>
            <w:pStyle w:val="10"/>
            <w:tabs>
              <w:tab w:val="right" w:leader="dot" w:pos="8844"/>
            </w:tabs>
            <w:ind w:firstLine="420" w:firstLineChars="200"/>
          </w:pPr>
          <w:r>
            <w:rPr>
              <w:color w:val="auto"/>
            </w:rPr>
            <w:fldChar w:fldCharType="begin"/>
          </w:r>
          <w:r>
            <w:instrText xml:space="preserve"> HYPERLINK \l _Toc21816 </w:instrText>
          </w:r>
          <w:r>
            <w:fldChar w:fldCharType="separate"/>
          </w:r>
          <w:r>
            <w:rPr>
              <w:rFonts w:hint="eastAsia" w:ascii="Times New Roman" w:hAnsi="Times New Roman" w:eastAsia="宋体" w:cs="Times New Roman"/>
              <w:kern w:val="2"/>
              <w:szCs w:val="24"/>
              <w:lang w:val="en-US" w:eastAsia="zh-CN" w:bidi="ar-SA"/>
            </w:rPr>
            <w:t>3.7.2大气污染物排放标准</w:t>
          </w:r>
          <w:r>
            <w:tab/>
          </w:r>
          <w:r>
            <w:fldChar w:fldCharType="begin"/>
          </w:r>
          <w:r>
            <w:instrText xml:space="preserve"> PAGEREF _Toc21816 \h </w:instrText>
          </w:r>
          <w:r>
            <w:fldChar w:fldCharType="separate"/>
          </w:r>
          <w:r>
            <w:t>43</w:t>
          </w:r>
          <w:r>
            <w:fldChar w:fldCharType="end"/>
          </w:r>
          <w:r>
            <w:rPr>
              <w:color w:val="auto"/>
            </w:rPr>
            <w:fldChar w:fldCharType="end"/>
          </w:r>
        </w:p>
        <w:p w14:paraId="6D323886">
          <w:pPr>
            <w:pStyle w:val="10"/>
            <w:tabs>
              <w:tab w:val="right" w:leader="dot" w:pos="8844"/>
            </w:tabs>
            <w:ind w:firstLine="420" w:firstLineChars="200"/>
          </w:pPr>
          <w:r>
            <w:rPr>
              <w:color w:val="auto"/>
            </w:rPr>
            <w:fldChar w:fldCharType="begin"/>
          </w:r>
          <w:r>
            <w:instrText xml:space="preserve"> HYPERLINK \l _Toc32765 </w:instrText>
          </w:r>
          <w:r>
            <w:fldChar w:fldCharType="separate"/>
          </w:r>
          <w:r>
            <w:rPr>
              <w:rFonts w:hint="eastAsia" w:ascii="Times New Roman" w:hAnsi="Times New Roman" w:eastAsia="宋体" w:cs="Times New Roman"/>
              <w:kern w:val="2"/>
              <w:szCs w:val="24"/>
              <w:lang w:val="en-US" w:eastAsia="zh-CN" w:bidi="ar-SA"/>
            </w:rPr>
            <w:t>3.7.3噪声排放标准</w:t>
          </w:r>
          <w:r>
            <w:tab/>
          </w:r>
          <w:r>
            <w:fldChar w:fldCharType="begin"/>
          </w:r>
          <w:r>
            <w:instrText xml:space="preserve"> PAGEREF _Toc32765 \h </w:instrText>
          </w:r>
          <w:r>
            <w:fldChar w:fldCharType="separate"/>
          </w:r>
          <w:r>
            <w:t>44</w:t>
          </w:r>
          <w:r>
            <w:fldChar w:fldCharType="end"/>
          </w:r>
          <w:r>
            <w:rPr>
              <w:color w:val="auto"/>
            </w:rPr>
            <w:fldChar w:fldCharType="end"/>
          </w:r>
        </w:p>
        <w:p w14:paraId="5DAF486A">
          <w:pPr>
            <w:pStyle w:val="10"/>
            <w:tabs>
              <w:tab w:val="right" w:leader="dot" w:pos="8844"/>
            </w:tabs>
            <w:ind w:firstLine="420" w:firstLineChars="200"/>
          </w:pPr>
          <w:r>
            <w:rPr>
              <w:color w:val="auto"/>
            </w:rPr>
            <w:fldChar w:fldCharType="begin"/>
          </w:r>
          <w:r>
            <w:instrText xml:space="preserve"> HYPERLINK \l _Toc19574 </w:instrText>
          </w:r>
          <w:r>
            <w:fldChar w:fldCharType="separate"/>
          </w:r>
          <w:r>
            <w:rPr>
              <w:rFonts w:hint="eastAsia" w:ascii="Times New Roman" w:hAnsi="Times New Roman" w:eastAsia="宋体" w:cs="Times New Roman"/>
              <w:kern w:val="2"/>
              <w:szCs w:val="24"/>
              <w:lang w:val="en-US" w:eastAsia="zh-CN" w:bidi="ar-SA"/>
            </w:rPr>
            <w:t>3.7.4固体废物</w:t>
          </w:r>
          <w:r>
            <w:tab/>
          </w:r>
          <w:r>
            <w:fldChar w:fldCharType="begin"/>
          </w:r>
          <w:r>
            <w:instrText xml:space="preserve"> PAGEREF _Toc19574 \h </w:instrText>
          </w:r>
          <w:r>
            <w:fldChar w:fldCharType="separate"/>
          </w:r>
          <w:r>
            <w:t>44</w:t>
          </w:r>
          <w:r>
            <w:fldChar w:fldCharType="end"/>
          </w:r>
          <w:r>
            <w:rPr>
              <w:color w:val="auto"/>
            </w:rPr>
            <w:fldChar w:fldCharType="end"/>
          </w:r>
        </w:p>
        <w:p w14:paraId="3F965217">
          <w:pPr>
            <w:pStyle w:val="15"/>
            <w:tabs>
              <w:tab w:val="right" w:leader="dot" w:pos="8844"/>
            </w:tabs>
            <w:ind w:firstLine="420" w:firstLineChars="200"/>
          </w:pPr>
          <w:r>
            <w:rPr>
              <w:color w:val="auto"/>
            </w:rPr>
            <w:fldChar w:fldCharType="begin"/>
          </w:r>
          <w:r>
            <w:instrText xml:space="preserve"> HYPERLINK \l _Toc31133 </w:instrText>
          </w:r>
          <w:r>
            <w:fldChar w:fldCharType="separate"/>
          </w:r>
          <w:r>
            <w:rPr>
              <w:rFonts w:hint="eastAsia" w:ascii="Times New Roman" w:hAnsi="Times New Roman"/>
              <w:bCs w:val="0"/>
            </w:rPr>
            <w:t>3.8总量控制</w:t>
          </w:r>
          <w:r>
            <w:tab/>
          </w:r>
          <w:r>
            <w:fldChar w:fldCharType="begin"/>
          </w:r>
          <w:r>
            <w:instrText xml:space="preserve"> PAGEREF _Toc31133 \h </w:instrText>
          </w:r>
          <w:r>
            <w:fldChar w:fldCharType="separate"/>
          </w:r>
          <w:r>
            <w:t>44</w:t>
          </w:r>
          <w:r>
            <w:fldChar w:fldCharType="end"/>
          </w:r>
          <w:r>
            <w:rPr>
              <w:color w:val="auto"/>
            </w:rPr>
            <w:fldChar w:fldCharType="end"/>
          </w:r>
        </w:p>
        <w:p w14:paraId="1CAE1EB7">
          <w:pPr>
            <w:pStyle w:val="10"/>
            <w:tabs>
              <w:tab w:val="right" w:leader="dot" w:pos="8844"/>
            </w:tabs>
            <w:ind w:firstLine="420" w:firstLineChars="200"/>
          </w:pPr>
          <w:r>
            <w:rPr>
              <w:color w:val="auto"/>
            </w:rPr>
            <w:fldChar w:fldCharType="begin"/>
          </w:r>
          <w:r>
            <w:instrText xml:space="preserve"> HYPERLINK \l _Toc3998 </w:instrText>
          </w:r>
          <w:r>
            <w:fldChar w:fldCharType="separate"/>
          </w:r>
          <w:r>
            <w:rPr>
              <w:rFonts w:hint="eastAsia" w:ascii="Times New Roman" w:hAnsi="Times New Roman"/>
            </w:rPr>
            <w:t>3.8.1废水总量</w:t>
          </w:r>
          <w:r>
            <w:tab/>
          </w:r>
          <w:r>
            <w:fldChar w:fldCharType="begin"/>
          </w:r>
          <w:r>
            <w:instrText xml:space="preserve"> PAGEREF _Toc3998 \h </w:instrText>
          </w:r>
          <w:r>
            <w:fldChar w:fldCharType="separate"/>
          </w:r>
          <w:r>
            <w:t>44</w:t>
          </w:r>
          <w:r>
            <w:fldChar w:fldCharType="end"/>
          </w:r>
          <w:r>
            <w:rPr>
              <w:color w:val="auto"/>
            </w:rPr>
            <w:fldChar w:fldCharType="end"/>
          </w:r>
        </w:p>
        <w:p w14:paraId="150EE602">
          <w:pPr>
            <w:pStyle w:val="10"/>
            <w:tabs>
              <w:tab w:val="right" w:leader="dot" w:pos="8844"/>
            </w:tabs>
            <w:ind w:firstLine="420" w:firstLineChars="200"/>
          </w:pPr>
          <w:r>
            <w:rPr>
              <w:color w:val="auto"/>
            </w:rPr>
            <w:fldChar w:fldCharType="begin"/>
          </w:r>
          <w:r>
            <w:instrText xml:space="preserve"> HYPERLINK \l _Toc13739 </w:instrText>
          </w:r>
          <w:r>
            <w:fldChar w:fldCharType="separate"/>
          </w:r>
          <w:r>
            <w:rPr>
              <w:rFonts w:hint="eastAsia" w:ascii="Times New Roman" w:hAnsi="Times New Roman"/>
            </w:rPr>
            <w:t>3.8.2废气总量</w:t>
          </w:r>
          <w:r>
            <w:tab/>
          </w:r>
          <w:r>
            <w:fldChar w:fldCharType="begin"/>
          </w:r>
          <w:r>
            <w:instrText xml:space="preserve"> PAGEREF _Toc13739 \h </w:instrText>
          </w:r>
          <w:r>
            <w:fldChar w:fldCharType="separate"/>
          </w:r>
          <w:r>
            <w:t>45</w:t>
          </w:r>
          <w:r>
            <w:fldChar w:fldCharType="end"/>
          </w:r>
          <w:r>
            <w:rPr>
              <w:color w:val="auto"/>
            </w:rPr>
            <w:fldChar w:fldCharType="end"/>
          </w:r>
        </w:p>
        <w:p w14:paraId="361386F6">
          <w:pPr>
            <w:pStyle w:val="15"/>
            <w:tabs>
              <w:tab w:val="right" w:leader="dot" w:pos="8844"/>
            </w:tabs>
            <w:ind w:firstLine="420" w:firstLineChars="200"/>
          </w:pPr>
          <w:r>
            <w:rPr>
              <w:color w:val="auto"/>
            </w:rPr>
            <w:fldChar w:fldCharType="begin"/>
          </w:r>
          <w:r>
            <w:instrText xml:space="preserve"> HYPERLINK \l _Toc2565 </w:instrText>
          </w:r>
          <w:r>
            <w:fldChar w:fldCharType="separate"/>
          </w:r>
          <w:r>
            <w:rPr>
              <w:rFonts w:hint="eastAsia" w:ascii="Times New Roman" w:hAnsi="Times New Roman" w:eastAsia="宋体" w:cs="Times New Roman"/>
              <w:kern w:val="2"/>
              <w:szCs w:val="24"/>
              <w:lang w:val="en-US" w:eastAsia="zh-CN" w:bidi="ar-SA"/>
            </w:rPr>
            <w:t>4.1运营期水环境影响分析和污染防治措施</w:t>
          </w:r>
          <w:r>
            <w:tab/>
          </w:r>
          <w:r>
            <w:fldChar w:fldCharType="begin"/>
          </w:r>
          <w:r>
            <w:instrText xml:space="preserve"> PAGEREF _Toc2565 \h </w:instrText>
          </w:r>
          <w:r>
            <w:fldChar w:fldCharType="separate"/>
          </w:r>
          <w:r>
            <w:t>47</w:t>
          </w:r>
          <w:r>
            <w:fldChar w:fldCharType="end"/>
          </w:r>
          <w:r>
            <w:rPr>
              <w:color w:val="auto"/>
            </w:rPr>
            <w:fldChar w:fldCharType="end"/>
          </w:r>
        </w:p>
        <w:p w14:paraId="5AFD8D71">
          <w:pPr>
            <w:pStyle w:val="10"/>
            <w:tabs>
              <w:tab w:val="right" w:leader="dot" w:pos="8844"/>
            </w:tabs>
            <w:ind w:firstLine="420" w:firstLineChars="200"/>
          </w:pPr>
          <w:r>
            <w:rPr>
              <w:color w:val="auto"/>
            </w:rPr>
            <w:fldChar w:fldCharType="begin"/>
          </w:r>
          <w:r>
            <w:instrText xml:space="preserve"> HYPERLINK \l _Toc32103 </w:instrText>
          </w:r>
          <w:r>
            <w:fldChar w:fldCharType="separate"/>
          </w:r>
          <w:r>
            <w:rPr>
              <w:rFonts w:hint="eastAsia" w:ascii="Times New Roman" w:hAnsi="Times New Roman" w:eastAsia="宋体" w:cs="Times New Roman"/>
              <w:kern w:val="2"/>
              <w:szCs w:val="24"/>
              <w:lang w:val="en-US" w:eastAsia="zh-CN" w:bidi="ar-SA"/>
            </w:rPr>
            <w:t>4.1.1运营期废水源强核算</w:t>
          </w:r>
          <w:r>
            <w:tab/>
          </w:r>
          <w:r>
            <w:fldChar w:fldCharType="begin"/>
          </w:r>
          <w:r>
            <w:instrText xml:space="preserve"> PAGEREF _Toc32103 \h </w:instrText>
          </w:r>
          <w:r>
            <w:fldChar w:fldCharType="separate"/>
          </w:r>
          <w:r>
            <w:t>47</w:t>
          </w:r>
          <w:r>
            <w:fldChar w:fldCharType="end"/>
          </w:r>
          <w:r>
            <w:rPr>
              <w:color w:val="auto"/>
            </w:rPr>
            <w:fldChar w:fldCharType="end"/>
          </w:r>
        </w:p>
        <w:p w14:paraId="4D9F223A">
          <w:pPr>
            <w:pStyle w:val="10"/>
            <w:tabs>
              <w:tab w:val="right" w:leader="dot" w:pos="8844"/>
            </w:tabs>
            <w:ind w:firstLine="420" w:firstLineChars="200"/>
          </w:pPr>
          <w:r>
            <w:rPr>
              <w:color w:val="auto"/>
            </w:rPr>
            <w:fldChar w:fldCharType="begin"/>
          </w:r>
          <w:r>
            <w:instrText xml:space="preserve"> HYPERLINK \l _Toc17956 </w:instrText>
          </w:r>
          <w:r>
            <w:fldChar w:fldCharType="separate"/>
          </w:r>
          <w:r>
            <w:rPr>
              <w:rFonts w:hint="eastAsia" w:ascii="Times New Roman" w:hAnsi="Times New Roman" w:eastAsia="宋体" w:cs="Times New Roman"/>
              <w:kern w:val="2"/>
              <w:szCs w:val="24"/>
              <w:lang w:val="en-US" w:eastAsia="zh-CN" w:bidi="ar-SA"/>
            </w:rPr>
            <w:t>4.1.2运营期水环境影响及污染防治措施可行性分析</w:t>
          </w:r>
          <w:r>
            <w:tab/>
          </w:r>
          <w:r>
            <w:fldChar w:fldCharType="begin"/>
          </w:r>
          <w:r>
            <w:instrText xml:space="preserve"> PAGEREF _Toc17956 \h </w:instrText>
          </w:r>
          <w:r>
            <w:fldChar w:fldCharType="separate"/>
          </w:r>
          <w:r>
            <w:t>50</w:t>
          </w:r>
          <w:r>
            <w:fldChar w:fldCharType="end"/>
          </w:r>
          <w:r>
            <w:rPr>
              <w:color w:val="auto"/>
            </w:rPr>
            <w:fldChar w:fldCharType="end"/>
          </w:r>
        </w:p>
        <w:p w14:paraId="09436114">
          <w:pPr>
            <w:pStyle w:val="10"/>
            <w:tabs>
              <w:tab w:val="right" w:leader="dot" w:pos="8844"/>
            </w:tabs>
            <w:ind w:firstLine="420" w:firstLineChars="200"/>
          </w:pPr>
          <w:r>
            <w:rPr>
              <w:color w:val="auto"/>
            </w:rPr>
            <w:fldChar w:fldCharType="begin"/>
          </w:r>
          <w:r>
            <w:instrText xml:space="preserve"> HYPERLINK \l _Toc26294 </w:instrText>
          </w:r>
          <w:r>
            <w:fldChar w:fldCharType="separate"/>
          </w:r>
          <w:r>
            <w:rPr>
              <w:rFonts w:hint="eastAsia" w:ascii="Times New Roman" w:hAnsi="Times New Roman" w:eastAsia="宋体" w:cs="Times New Roman"/>
              <w:kern w:val="2"/>
              <w:szCs w:val="24"/>
              <w:lang w:val="en-US" w:eastAsia="zh-CN" w:bidi="ar-SA"/>
            </w:rPr>
            <w:t>4.1.3废水自行监测计划</w:t>
          </w:r>
          <w:r>
            <w:tab/>
          </w:r>
          <w:r>
            <w:fldChar w:fldCharType="begin"/>
          </w:r>
          <w:r>
            <w:instrText xml:space="preserve"> PAGEREF _Toc26294 \h </w:instrText>
          </w:r>
          <w:r>
            <w:fldChar w:fldCharType="separate"/>
          </w:r>
          <w:r>
            <w:t>55</w:t>
          </w:r>
          <w:r>
            <w:fldChar w:fldCharType="end"/>
          </w:r>
          <w:r>
            <w:rPr>
              <w:color w:val="auto"/>
            </w:rPr>
            <w:fldChar w:fldCharType="end"/>
          </w:r>
        </w:p>
        <w:p w14:paraId="4508CCAF">
          <w:pPr>
            <w:pStyle w:val="15"/>
            <w:tabs>
              <w:tab w:val="right" w:leader="dot" w:pos="8844"/>
            </w:tabs>
            <w:ind w:firstLine="420" w:firstLineChars="200"/>
          </w:pPr>
          <w:r>
            <w:rPr>
              <w:color w:val="auto"/>
            </w:rPr>
            <w:fldChar w:fldCharType="begin"/>
          </w:r>
          <w:r>
            <w:instrText xml:space="preserve"> HYPERLINK \l _Toc10833 </w:instrText>
          </w:r>
          <w:r>
            <w:fldChar w:fldCharType="separate"/>
          </w:r>
          <w:r>
            <w:rPr>
              <w:rFonts w:hint="eastAsia" w:ascii="Times New Roman" w:hAnsi="Times New Roman" w:eastAsia="宋体" w:cs="Times New Roman"/>
              <w:kern w:val="2"/>
              <w:szCs w:val="24"/>
              <w:lang w:val="en-US" w:eastAsia="zh-CN" w:bidi="ar-SA"/>
            </w:rPr>
            <w:t>4.2运营期大气环境影响分析和污染防控措施</w:t>
          </w:r>
          <w:r>
            <w:tab/>
          </w:r>
          <w:r>
            <w:fldChar w:fldCharType="begin"/>
          </w:r>
          <w:r>
            <w:instrText xml:space="preserve"> PAGEREF _Toc10833 \h </w:instrText>
          </w:r>
          <w:r>
            <w:fldChar w:fldCharType="separate"/>
          </w:r>
          <w:r>
            <w:t>56</w:t>
          </w:r>
          <w:r>
            <w:fldChar w:fldCharType="end"/>
          </w:r>
          <w:r>
            <w:rPr>
              <w:color w:val="auto"/>
            </w:rPr>
            <w:fldChar w:fldCharType="end"/>
          </w:r>
        </w:p>
        <w:p w14:paraId="460D9CBB">
          <w:pPr>
            <w:pStyle w:val="10"/>
            <w:tabs>
              <w:tab w:val="right" w:leader="dot" w:pos="8844"/>
            </w:tabs>
            <w:ind w:firstLine="420" w:firstLineChars="200"/>
          </w:pPr>
          <w:r>
            <w:rPr>
              <w:color w:val="auto"/>
            </w:rPr>
            <w:fldChar w:fldCharType="begin"/>
          </w:r>
          <w:r>
            <w:instrText xml:space="preserve"> HYPERLINK \l _Toc28281 </w:instrText>
          </w:r>
          <w:r>
            <w:fldChar w:fldCharType="separate"/>
          </w:r>
          <w:r>
            <w:rPr>
              <w:rFonts w:hint="eastAsia" w:ascii="Times New Roman" w:hAnsi="Times New Roman" w:eastAsia="宋体" w:cs="Times New Roman"/>
              <w:kern w:val="2"/>
              <w:szCs w:val="24"/>
              <w:lang w:val="en-US" w:eastAsia="zh-CN" w:bidi="ar-SA"/>
            </w:rPr>
            <w:t>4.2.1运营期废气源强核算</w:t>
          </w:r>
          <w:r>
            <w:tab/>
          </w:r>
          <w:r>
            <w:fldChar w:fldCharType="begin"/>
          </w:r>
          <w:r>
            <w:instrText xml:space="preserve"> PAGEREF _Toc28281 \h </w:instrText>
          </w:r>
          <w:r>
            <w:fldChar w:fldCharType="separate"/>
          </w:r>
          <w:r>
            <w:t>56</w:t>
          </w:r>
          <w:r>
            <w:fldChar w:fldCharType="end"/>
          </w:r>
          <w:r>
            <w:rPr>
              <w:color w:val="auto"/>
            </w:rPr>
            <w:fldChar w:fldCharType="end"/>
          </w:r>
        </w:p>
        <w:p w14:paraId="33E207AA">
          <w:pPr>
            <w:pStyle w:val="10"/>
            <w:tabs>
              <w:tab w:val="right" w:leader="dot" w:pos="8844"/>
            </w:tabs>
            <w:ind w:firstLine="420" w:firstLineChars="200"/>
          </w:pPr>
          <w:r>
            <w:rPr>
              <w:color w:val="auto"/>
            </w:rPr>
            <w:fldChar w:fldCharType="begin"/>
          </w:r>
          <w:r>
            <w:instrText xml:space="preserve"> HYPERLINK \l _Toc14412 </w:instrText>
          </w:r>
          <w:r>
            <w:fldChar w:fldCharType="separate"/>
          </w:r>
          <w:r>
            <w:rPr>
              <w:rFonts w:hint="eastAsia" w:ascii="Times New Roman" w:hAnsi="Times New Roman" w:eastAsia="宋体" w:cs="Times New Roman"/>
              <w:kern w:val="2"/>
              <w:szCs w:val="24"/>
              <w:lang w:val="en-US" w:eastAsia="zh-CN" w:bidi="ar-SA"/>
            </w:rPr>
            <w:t>4.2.2运营期废气治理措施及达标分析</w:t>
          </w:r>
          <w:r>
            <w:tab/>
          </w:r>
          <w:r>
            <w:fldChar w:fldCharType="begin"/>
          </w:r>
          <w:r>
            <w:instrText xml:space="preserve"> PAGEREF _Toc14412 \h </w:instrText>
          </w:r>
          <w:r>
            <w:fldChar w:fldCharType="separate"/>
          </w:r>
          <w:r>
            <w:t>61</w:t>
          </w:r>
          <w:r>
            <w:fldChar w:fldCharType="end"/>
          </w:r>
          <w:r>
            <w:rPr>
              <w:color w:val="auto"/>
            </w:rPr>
            <w:fldChar w:fldCharType="end"/>
          </w:r>
        </w:p>
        <w:p w14:paraId="0E9A58BF">
          <w:pPr>
            <w:pStyle w:val="10"/>
            <w:tabs>
              <w:tab w:val="right" w:leader="dot" w:pos="8844"/>
            </w:tabs>
            <w:ind w:firstLine="420" w:firstLineChars="200"/>
          </w:pPr>
          <w:r>
            <w:rPr>
              <w:color w:val="auto"/>
            </w:rPr>
            <w:fldChar w:fldCharType="begin"/>
          </w:r>
          <w:r>
            <w:instrText xml:space="preserve"> HYPERLINK \l _Toc3682 </w:instrText>
          </w:r>
          <w:r>
            <w:fldChar w:fldCharType="separate"/>
          </w:r>
          <w:r>
            <w:rPr>
              <w:rFonts w:hint="default" w:ascii="Times New Roman" w:hAnsi="Times New Roman" w:eastAsia="宋体" w:cs="Times New Roman"/>
              <w:kern w:val="2"/>
              <w:szCs w:val="24"/>
              <w:lang w:val="en-US" w:eastAsia="zh-CN" w:bidi="ar-SA"/>
            </w:rPr>
            <w:t>4.2.3非正常工况排放量核算</w:t>
          </w:r>
          <w:r>
            <w:tab/>
          </w:r>
          <w:r>
            <w:fldChar w:fldCharType="begin"/>
          </w:r>
          <w:r>
            <w:instrText xml:space="preserve"> PAGEREF _Toc3682 \h </w:instrText>
          </w:r>
          <w:r>
            <w:fldChar w:fldCharType="separate"/>
          </w:r>
          <w:r>
            <w:t>63</w:t>
          </w:r>
          <w:r>
            <w:fldChar w:fldCharType="end"/>
          </w:r>
          <w:r>
            <w:rPr>
              <w:color w:val="auto"/>
            </w:rPr>
            <w:fldChar w:fldCharType="end"/>
          </w:r>
        </w:p>
        <w:p w14:paraId="68472319">
          <w:pPr>
            <w:pStyle w:val="10"/>
            <w:tabs>
              <w:tab w:val="right" w:leader="dot" w:pos="8844"/>
            </w:tabs>
            <w:ind w:firstLine="420" w:firstLineChars="200"/>
          </w:pPr>
          <w:r>
            <w:rPr>
              <w:color w:val="auto"/>
            </w:rPr>
            <w:fldChar w:fldCharType="begin"/>
          </w:r>
          <w:r>
            <w:instrText xml:space="preserve"> HYPERLINK \l _Toc20000 </w:instrText>
          </w:r>
          <w:r>
            <w:fldChar w:fldCharType="separate"/>
          </w:r>
          <w:r>
            <w:rPr>
              <w:rFonts w:hint="eastAsia" w:ascii="Times New Roman" w:hAnsi="Times New Roman" w:eastAsia="宋体" w:cs="Times New Roman"/>
              <w:kern w:val="2"/>
              <w:szCs w:val="24"/>
              <w:lang w:val="en-US" w:eastAsia="zh-CN" w:bidi="ar-SA"/>
            </w:rPr>
            <w:t>4.2.4运营期废气自行监测计划</w:t>
          </w:r>
          <w:r>
            <w:tab/>
          </w:r>
          <w:r>
            <w:fldChar w:fldCharType="begin"/>
          </w:r>
          <w:r>
            <w:instrText xml:space="preserve"> PAGEREF _Toc20000 \h </w:instrText>
          </w:r>
          <w:r>
            <w:fldChar w:fldCharType="separate"/>
          </w:r>
          <w:r>
            <w:t>64</w:t>
          </w:r>
          <w:r>
            <w:fldChar w:fldCharType="end"/>
          </w:r>
          <w:r>
            <w:rPr>
              <w:color w:val="auto"/>
            </w:rPr>
            <w:fldChar w:fldCharType="end"/>
          </w:r>
        </w:p>
        <w:p w14:paraId="2A56EB2F">
          <w:pPr>
            <w:pStyle w:val="15"/>
            <w:tabs>
              <w:tab w:val="right" w:leader="dot" w:pos="8844"/>
            </w:tabs>
            <w:ind w:firstLine="420" w:firstLineChars="200"/>
          </w:pPr>
          <w:r>
            <w:rPr>
              <w:color w:val="auto"/>
            </w:rPr>
            <w:fldChar w:fldCharType="begin"/>
          </w:r>
          <w:r>
            <w:instrText xml:space="preserve"> HYPERLINK \l _Toc29394 </w:instrText>
          </w:r>
          <w:r>
            <w:fldChar w:fldCharType="separate"/>
          </w:r>
          <w:r>
            <w:rPr>
              <w:rFonts w:hint="eastAsia" w:ascii="Times New Roman" w:hAnsi="Times New Roman" w:eastAsia="宋体" w:cs="Times New Roman"/>
              <w:kern w:val="2"/>
              <w:szCs w:val="24"/>
              <w:lang w:val="en-US" w:eastAsia="zh-CN" w:bidi="ar-SA"/>
            </w:rPr>
            <w:t>4.3运营期声环境影响分析和污染防控措施</w:t>
          </w:r>
          <w:r>
            <w:tab/>
          </w:r>
          <w:r>
            <w:fldChar w:fldCharType="begin"/>
          </w:r>
          <w:r>
            <w:instrText xml:space="preserve"> PAGEREF _Toc29394 \h </w:instrText>
          </w:r>
          <w:r>
            <w:fldChar w:fldCharType="separate"/>
          </w:r>
          <w:r>
            <w:t>64</w:t>
          </w:r>
          <w:r>
            <w:fldChar w:fldCharType="end"/>
          </w:r>
          <w:r>
            <w:rPr>
              <w:color w:val="auto"/>
            </w:rPr>
            <w:fldChar w:fldCharType="end"/>
          </w:r>
        </w:p>
        <w:p w14:paraId="6EAF8718">
          <w:pPr>
            <w:pStyle w:val="10"/>
            <w:tabs>
              <w:tab w:val="right" w:leader="dot" w:pos="8844"/>
            </w:tabs>
            <w:ind w:firstLine="420" w:firstLineChars="200"/>
          </w:pPr>
          <w:r>
            <w:rPr>
              <w:color w:val="auto"/>
            </w:rPr>
            <w:fldChar w:fldCharType="begin"/>
          </w:r>
          <w:r>
            <w:instrText xml:space="preserve"> HYPERLINK \l _Toc6955 </w:instrText>
          </w:r>
          <w:r>
            <w:fldChar w:fldCharType="separate"/>
          </w:r>
          <w:r>
            <w:rPr>
              <w:rFonts w:hint="eastAsia" w:ascii="Times New Roman" w:hAnsi="Times New Roman" w:eastAsia="宋体" w:cs="Times New Roman"/>
              <w:kern w:val="2"/>
              <w:szCs w:val="24"/>
              <w:lang w:val="en-US" w:eastAsia="zh-CN" w:bidi="ar-SA"/>
            </w:rPr>
            <w:t>4.3.1声环境污染源分析</w:t>
          </w:r>
          <w:r>
            <w:tab/>
          </w:r>
          <w:r>
            <w:fldChar w:fldCharType="begin"/>
          </w:r>
          <w:r>
            <w:instrText xml:space="preserve"> PAGEREF _Toc6955 \h </w:instrText>
          </w:r>
          <w:r>
            <w:fldChar w:fldCharType="separate"/>
          </w:r>
          <w:r>
            <w:t>64</w:t>
          </w:r>
          <w:r>
            <w:fldChar w:fldCharType="end"/>
          </w:r>
          <w:r>
            <w:rPr>
              <w:color w:val="auto"/>
            </w:rPr>
            <w:fldChar w:fldCharType="end"/>
          </w:r>
        </w:p>
        <w:p w14:paraId="5FF35B27">
          <w:pPr>
            <w:pStyle w:val="10"/>
            <w:tabs>
              <w:tab w:val="right" w:leader="dot" w:pos="8844"/>
            </w:tabs>
            <w:ind w:firstLine="420" w:firstLineChars="200"/>
          </w:pPr>
          <w:r>
            <w:rPr>
              <w:color w:val="auto"/>
            </w:rPr>
            <w:fldChar w:fldCharType="begin"/>
          </w:r>
          <w:r>
            <w:instrText xml:space="preserve"> HYPERLINK \l _Toc22594 </w:instrText>
          </w:r>
          <w:r>
            <w:fldChar w:fldCharType="separate"/>
          </w:r>
          <w:r>
            <w:rPr>
              <w:rFonts w:hint="eastAsia" w:ascii="Times New Roman" w:hAnsi="Times New Roman" w:eastAsia="宋体" w:cs="Times New Roman"/>
              <w:kern w:val="2"/>
              <w:szCs w:val="24"/>
              <w:lang w:val="en-US" w:eastAsia="zh-CN" w:bidi="ar-SA"/>
            </w:rPr>
            <w:t>4.3.2声环境影响分析</w:t>
          </w:r>
          <w:r>
            <w:tab/>
          </w:r>
          <w:r>
            <w:fldChar w:fldCharType="begin"/>
          </w:r>
          <w:r>
            <w:instrText xml:space="preserve"> PAGEREF _Toc22594 \h </w:instrText>
          </w:r>
          <w:r>
            <w:fldChar w:fldCharType="separate"/>
          </w:r>
          <w:r>
            <w:t>65</w:t>
          </w:r>
          <w:r>
            <w:fldChar w:fldCharType="end"/>
          </w:r>
          <w:r>
            <w:rPr>
              <w:color w:val="auto"/>
            </w:rPr>
            <w:fldChar w:fldCharType="end"/>
          </w:r>
        </w:p>
        <w:p w14:paraId="37C133B9">
          <w:pPr>
            <w:pStyle w:val="10"/>
            <w:tabs>
              <w:tab w:val="right" w:leader="dot" w:pos="8844"/>
            </w:tabs>
            <w:ind w:firstLine="420" w:firstLineChars="200"/>
          </w:pPr>
          <w:r>
            <w:rPr>
              <w:color w:val="auto"/>
            </w:rPr>
            <w:fldChar w:fldCharType="begin"/>
          </w:r>
          <w:r>
            <w:instrText xml:space="preserve"> HYPERLINK \l _Toc21066 </w:instrText>
          </w:r>
          <w:r>
            <w:fldChar w:fldCharType="separate"/>
          </w:r>
          <w:r>
            <w:rPr>
              <w:rFonts w:hint="eastAsia" w:ascii="Times New Roman" w:hAnsi="Times New Roman"/>
              <w:lang w:val="en-US" w:eastAsia="zh-CN"/>
            </w:rPr>
            <w:t>4.3.3声环境预测结果分析</w:t>
          </w:r>
          <w:r>
            <w:tab/>
          </w:r>
          <w:r>
            <w:fldChar w:fldCharType="begin"/>
          </w:r>
          <w:r>
            <w:instrText xml:space="preserve"> PAGEREF _Toc21066 \h </w:instrText>
          </w:r>
          <w:r>
            <w:fldChar w:fldCharType="separate"/>
          </w:r>
          <w:r>
            <w:t>70</w:t>
          </w:r>
          <w:r>
            <w:fldChar w:fldCharType="end"/>
          </w:r>
          <w:r>
            <w:rPr>
              <w:color w:val="auto"/>
            </w:rPr>
            <w:fldChar w:fldCharType="end"/>
          </w:r>
        </w:p>
        <w:p w14:paraId="7E50DFE1">
          <w:pPr>
            <w:pStyle w:val="10"/>
            <w:tabs>
              <w:tab w:val="right" w:leader="dot" w:pos="8844"/>
            </w:tabs>
            <w:ind w:firstLine="420" w:firstLineChars="200"/>
          </w:pPr>
          <w:r>
            <w:rPr>
              <w:color w:val="auto"/>
            </w:rPr>
            <w:fldChar w:fldCharType="begin"/>
          </w:r>
          <w:r>
            <w:instrText xml:space="preserve"> HYPERLINK \l _Toc5435 </w:instrText>
          </w:r>
          <w:r>
            <w:fldChar w:fldCharType="separate"/>
          </w:r>
          <w:r>
            <w:rPr>
              <w:rFonts w:hint="eastAsia" w:ascii="Times New Roman" w:hAnsi="Times New Roman"/>
              <w:lang w:val="en-US" w:eastAsia="zh-CN"/>
            </w:rPr>
            <w:t>4.3.4声环境防治措施</w:t>
          </w:r>
          <w:r>
            <w:tab/>
          </w:r>
          <w:r>
            <w:fldChar w:fldCharType="begin"/>
          </w:r>
          <w:r>
            <w:instrText xml:space="preserve"> PAGEREF _Toc5435 \h </w:instrText>
          </w:r>
          <w:r>
            <w:fldChar w:fldCharType="separate"/>
          </w:r>
          <w:r>
            <w:t>70</w:t>
          </w:r>
          <w:r>
            <w:fldChar w:fldCharType="end"/>
          </w:r>
          <w:r>
            <w:rPr>
              <w:color w:val="auto"/>
            </w:rPr>
            <w:fldChar w:fldCharType="end"/>
          </w:r>
        </w:p>
        <w:p w14:paraId="088BC402">
          <w:pPr>
            <w:pStyle w:val="10"/>
            <w:tabs>
              <w:tab w:val="right" w:leader="dot" w:pos="8844"/>
            </w:tabs>
            <w:ind w:firstLine="420" w:firstLineChars="200"/>
          </w:pPr>
          <w:r>
            <w:rPr>
              <w:color w:val="auto"/>
            </w:rPr>
            <w:fldChar w:fldCharType="begin"/>
          </w:r>
          <w:r>
            <w:instrText xml:space="preserve"> HYPERLINK \l _Toc10874 </w:instrText>
          </w:r>
          <w:r>
            <w:fldChar w:fldCharType="separate"/>
          </w:r>
          <w:r>
            <w:rPr>
              <w:rFonts w:hint="eastAsia" w:ascii="Times New Roman" w:hAnsi="Times New Roman" w:eastAsia="宋体" w:cs="Times New Roman"/>
              <w:kern w:val="2"/>
              <w:szCs w:val="24"/>
              <w:lang w:val="en-US" w:eastAsia="zh-CN" w:bidi="ar-SA"/>
            </w:rPr>
            <w:t>4.3.5噪声自行监测计划</w:t>
          </w:r>
          <w:r>
            <w:tab/>
          </w:r>
          <w:r>
            <w:fldChar w:fldCharType="begin"/>
          </w:r>
          <w:r>
            <w:instrText xml:space="preserve"> PAGEREF _Toc10874 \h </w:instrText>
          </w:r>
          <w:r>
            <w:fldChar w:fldCharType="separate"/>
          </w:r>
          <w:r>
            <w:t>71</w:t>
          </w:r>
          <w:r>
            <w:fldChar w:fldCharType="end"/>
          </w:r>
          <w:r>
            <w:rPr>
              <w:color w:val="auto"/>
            </w:rPr>
            <w:fldChar w:fldCharType="end"/>
          </w:r>
        </w:p>
        <w:p w14:paraId="791055A0">
          <w:pPr>
            <w:pStyle w:val="15"/>
            <w:tabs>
              <w:tab w:val="right" w:leader="dot" w:pos="8844"/>
            </w:tabs>
            <w:ind w:firstLine="420" w:firstLineChars="200"/>
          </w:pPr>
          <w:r>
            <w:rPr>
              <w:color w:val="auto"/>
            </w:rPr>
            <w:fldChar w:fldCharType="begin"/>
          </w:r>
          <w:r>
            <w:instrText xml:space="preserve"> HYPERLINK \l _Toc15610 </w:instrText>
          </w:r>
          <w:r>
            <w:fldChar w:fldCharType="separate"/>
          </w:r>
          <w:r>
            <w:rPr>
              <w:rFonts w:hint="eastAsia" w:ascii="Times New Roman" w:hAnsi="Times New Roman" w:eastAsia="宋体" w:cs="Times New Roman"/>
              <w:kern w:val="2"/>
              <w:szCs w:val="24"/>
              <w:lang w:val="en-US" w:eastAsia="zh-CN" w:bidi="ar-SA"/>
            </w:rPr>
            <w:t>4.4运营期固体废物影响分析和污染防治措施</w:t>
          </w:r>
          <w:r>
            <w:tab/>
          </w:r>
          <w:r>
            <w:fldChar w:fldCharType="begin"/>
          </w:r>
          <w:r>
            <w:instrText xml:space="preserve"> PAGEREF _Toc15610 \h </w:instrText>
          </w:r>
          <w:r>
            <w:fldChar w:fldCharType="separate"/>
          </w:r>
          <w:r>
            <w:t>71</w:t>
          </w:r>
          <w:r>
            <w:fldChar w:fldCharType="end"/>
          </w:r>
          <w:r>
            <w:rPr>
              <w:color w:val="auto"/>
            </w:rPr>
            <w:fldChar w:fldCharType="end"/>
          </w:r>
        </w:p>
        <w:p w14:paraId="7AAFD41D">
          <w:pPr>
            <w:pStyle w:val="10"/>
            <w:tabs>
              <w:tab w:val="right" w:leader="dot" w:pos="8844"/>
            </w:tabs>
            <w:ind w:firstLine="420" w:firstLineChars="200"/>
          </w:pPr>
          <w:r>
            <w:rPr>
              <w:color w:val="auto"/>
            </w:rPr>
            <w:fldChar w:fldCharType="begin"/>
          </w:r>
          <w:r>
            <w:instrText xml:space="preserve"> HYPERLINK \l _Toc2415 </w:instrText>
          </w:r>
          <w:r>
            <w:fldChar w:fldCharType="separate"/>
          </w:r>
          <w:r>
            <w:rPr>
              <w:rFonts w:hint="eastAsia" w:ascii="Times New Roman" w:hAnsi="Times New Roman" w:eastAsia="宋体" w:cs="Times New Roman"/>
              <w:kern w:val="2"/>
              <w:szCs w:val="24"/>
              <w:lang w:val="en-US" w:eastAsia="zh-CN" w:bidi="ar-SA"/>
            </w:rPr>
            <w:t>4.4.1固体废物产生情况</w:t>
          </w:r>
          <w:r>
            <w:tab/>
          </w:r>
          <w:r>
            <w:fldChar w:fldCharType="begin"/>
          </w:r>
          <w:r>
            <w:instrText xml:space="preserve"> PAGEREF _Toc2415 \h </w:instrText>
          </w:r>
          <w:r>
            <w:fldChar w:fldCharType="separate"/>
          </w:r>
          <w:r>
            <w:t>71</w:t>
          </w:r>
          <w:r>
            <w:fldChar w:fldCharType="end"/>
          </w:r>
          <w:r>
            <w:rPr>
              <w:color w:val="auto"/>
            </w:rPr>
            <w:fldChar w:fldCharType="end"/>
          </w:r>
        </w:p>
        <w:p w14:paraId="53D8F9AE">
          <w:pPr>
            <w:pStyle w:val="10"/>
            <w:tabs>
              <w:tab w:val="right" w:leader="dot" w:pos="8844"/>
            </w:tabs>
            <w:ind w:firstLine="420" w:firstLineChars="200"/>
          </w:pPr>
          <w:r>
            <w:rPr>
              <w:color w:val="auto"/>
            </w:rPr>
            <w:fldChar w:fldCharType="begin"/>
          </w:r>
          <w:r>
            <w:instrText xml:space="preserve"> HYPERLINK \l _Toc26663 </w:instrText>
          </w:r>
          <w:r>
            <w:fldChar w:fldCharType="separate"/>
          </w:r>
          <w:r>
            <w:rPr>
              <w:rFonts w:hint="eastAsia" w:ascii="Times New Roman" w:hAnsi="Times New Roman" w:eastAsia="宋体" w:cs="Times New Roman"/>
              <w:kern w:val="2"/>
              <w:szCs w:val="24"/>
              <w:lang w:val="en-US" w:eastAsia="zh-CN" w:bidi="ar-SA"/>
            </w:rPr>
            <w:t>4.4.2固体废物源强核算</w:t>
          </w:r>
          <w:r>
            <w:tab/>
          </w:r>
          <w:r>
            <w:fldChar w:fldCharType="begin"/>
          </w:r>
          <w:r>
            <w:instrText xml:space="preserve"> PAGEREF _Toc26663 \h </w:instrText>
          </w:r>
          <w:r>
            <w:fldChar w:fldCharType="separate"/>
          </w:r>
          <w:r>
            <w:t>71</w:t>
          </w:r>
          <w:r>
            <w:fldChar w:fldCharType="end"/>
          </w:r>
          <w:r>
            <w:rPr>
              <w:color w:val="auto"/>
            </w:rPr>
            <w:fldChar w:fldCharType="end"/>
          </w:r>
        </w:p>
        <w:p w14:paraId="5A97B164">
          <w:pPr>
            <w:pStyle w:val="10"/>
            <w:tabs>
              <w:tab w:val="right" w:leader="dot" w:pos="8844"/>
            </w:tabs>
            <w:ind w:firstLine="420" w:firstLineChars="200"/>
          </w:pPr>
          <w:r>
            <w:rPr>
              <w:color w:val="auto"/>
            </w:rPr>
            <w:fldChar w:fldCharType="begin"/>
          </w:r>
          <w:r>
            <w:instrText xml:space="preserve"> HYPERLINK \l _Toc20459 </w:instrText>
          </w:r>
          <w:r>
            <w:fldChar w:fldCharType="separate"/>
          </w:r>
          <w:r>
            <w:rPr>
              <w:rFonts w:hint="eastAsia" w:ascii="Times New Roman" w:hAnsi="Times New Roman" w:eastAsia="宋体" w:cs="Times New Roman"/>
              <w:kern w:val="2"/>
              <w:szCs w:val="24"/>
              <w:lang w:val="en-US" w:eastAsia="zh-CN" w:bidi="ar-SA"/>
            </w:rPr>
            <w:t>4.4.3固体废物管理措施及环境影响分析</w:t>
          </w:r>
          <w:r>
            <w:tab/>
          </w:r>
          <w:r>
            <w:fldChar w:fldCharType="begin"/>
          </w:r>
          <w:r>
            <w:instrText xml:space="preserve"> PAGEREF _Toc20459 \h </w:instrText>
          </w:r>
          <w:r>
            <w:fldChar w:fldCharType="separate"/>
          </w:r>
          <w:r>
            <w:t>75</w:t>
          </w:r>
          <w:r>
            <w:fldChar w:fldCharType="end"/>
          </w:r>
          <w:r>
            <w:rPr>
              <w:color w:val="auto"/>
            </w:rPr>
            <w:fldChar w:fldCharType="end"/>
          </w:r>
        </w:p>
        <w:p w14:paraId="1740FE34">
          <w:pPr>
            <w:pStyle w:val="15"/>
            <w:tabs>
              <w:tab w:val="right" w:leader="dot" w:pos="8844"/>
            </w:tabs>
            <w:ind w:firstLine="420" w:firstLineChars="200"/>
          </w:pPr>
          <w:r>
            <w:rPr>
              <w:color w:val="auto"/>
            </w:rPr>
            <w:fldChar w:fldCharType="begin"/>
          </w:r>
          <w:r>
            <w:instrText xml:space="preserve"> HYPERLINK \l _Toc23624 </w:instrText>
          </w:r>
          <w:r>
            <w:fldChar w:fldCharType="separate"/>
          </w:r>
          <w:r>
            <w:rPr>
              <w:rFonts w:hint="eastAsia" w:ascii="Times New Roman" w:hAnsi="Times New Roman" w:eastAsia="宋体" w:cs="Times New Roman"/>
              <w:kern w:val="2"/>
              <w:szCs w:val="24"/>
              <w:lang w:val="en-US" w:eastAsia="zh-CN" w:bidi="ar-SA"/>
            </w:rPr>
            <w:t>4.5运营期地下水、土壤环境影响和保护措施</w:t>
          </w:r>
          <w:r>
            <w:tab/>
          </w:r>
          <w:r>
            <w:fldChar w:fldCharType="begin"/>
          </w:r>
          <w:r>
            <w:instrText xml:space="preserve"> PAGEREF _Toc23624 \h </w:instrText>
          </w:r>
          <w:r>
            <w:fldChar w:fldCharType="separate"/>
          </w:r>
          <w:r>
            <w:t>78</w:t>
          </w:r>
          <w:r>
            <w:fldChar w:fldCharType="end"/>
          </w:r>
          <w:r>
            <w:rPr>
              <w:color w:val="auto"/>
            </w:rPr>
            <w:fldChar w:fldCharType="end"/>
          </w:r>
        </w:p>
        <w:p w14:paraId="46C3F09A">
          <w:pPr>
            <w:pStyle w:val="10"/>
            <w:tabs>
              <w:tab w:val="right" w:leader="dot" w:pos="8844"/>
            </w:tabs>
            <w:ind w:firstLine="420" w:firstLineChars="200"/>
          </w:pPr>
          <w:r>
            <w:rPr>
              <w:color w:val="auto"/>
            </w:rPr>
            <w:fldChar w:fldCharType="begin"/>
          </w:r>
          <w:r>
            <w:instrText xml:space="preserve"> HYPERLINK \l _Toc15845 </w:instrText>
          </w:r>
          <w:r>
            <w:fldChar w:fldCharType="separate"/>
          </w:r>
          <w:r>
            <w:rPr>
              <w:rFonts w:hint="eastAsia" w:ascii="Times New Roman" w:hAnsi="Times New Roman" w:eastAsia="宋体" w:cs="Times New Roman"/>
              <w:kern w:val="2"/>
              <w:szCs w:val="24"/>
              <w:lang w:val="en-US" w:eastAsia="zh-CN" w:bidi="ar-SA"/>
            </w:rPr>
            <w:t>4.5.1</w:t>
          </w:r>
          <w:r>
            <w:rPr>
              <w:rFonts w:ascii="Times New Roman" w:hAnsi="Times New Roman" w:eastAsia="宋体" w:cs="Times New Roman"/>
              <w:kern w:val="2"/>
              <w:szCs w:val="24"/>
              <w:lang w:val="en-US" w:eastAsia="zh-CN" w:bidi="ar-SA"/>
            </w:rPr>
            <w:t>地下水、土壤环境影响分析</w:t>
          </w:r>
          <w:r>
            <w:tab/>
          </w:r>
          <w:r>
            <w:fldChar w:fldCharType="begin"/>
          </w:r>
          <w:r>
            <w:instrText xml:space="preserve"> PAGEREF _Toc15845 \h </w:instrText>
          </w:r>
          <w:r>
            <w:fldChar w:fldCharType="separate"/>
          </w:r>
          <w:r>
            <w:t>78</w:t>
          </w:r>
          <w:r>
            <w:fldChar w:fldCharType="end"/>
          </w:r>
          <w:r>
            <w:rPr>
              <w:color w:val="auto"/>
            </w:rPr>
            <w:fldChar w:fldCharType="end"/>
          </w:r>
        </w:p>
        <w:p w14:paraId="0B0EECF5">
          <w:pPr>
            <w:pStyle w:val="10"/>
            <w:tabs>
              <w:tab w:val="right" w:leader="dot" w:pos="8844"/>
            </w:tabs>
            <w:ind w:firstLine="420" w:firstLineChars="200"/>
          </w:pPr>
          <w:r>
            <w:rPr>
              <w:color w:val="auto"/>
            </w:rPr>
            <w:fldChar w:fldCharType="begin"/>
          </w:r>
          <w:r>
            <w:instrText xml:space="preserve"> HYPERLINK \l _Toc20446 </w:instrText>
          </w:r>
          <w:r>
            <w:fldChar w:fldCharType="separate"/>
          </w:r>
          <w:r>
            <w:rPr>
              <w:rFonts w:ascii="Times New Roman" w:hAnsi="Times New Roman" w:eastAsia="宋体" w:cs="Times New Roman"/>
              <w:kern w:val="2"/>
              <w:szCs w:val="24"/>
              <w:lang w:val="en-US" w:eastAsia="zh-CN" w:bidi="ar-SA"/>
            </w:rPr>
            <w:t>4.</w:t>
          </w:r>
          <w:r>
            <w:rPr>
              <w:rFonts w:hint="eastAsia" w:ascii="Times New Roman" w:hAnsi="Times New Roman" w:eastAsia="宋体" w:cs="Times New Roman"/>
              <w:kern w:val="2"/>
              <w:szCs w:val="24"/>
              <w:lang w:val="en-US" w:eastAsia="zh-CN" w:bidi="ar-SA"/>
            </w:rPr>
            <w:t>5</w:t>
          </w:r>
          <w:r>
            <w:rPr>
              <w:rFonts w:ascii="Times New Roman" w:hAnsi="Times New Roman" w:eastAsia="宋体" w:cs="Times New Roman"/>
              <w:kern w:val="2"/>
              <w:szCs w:val="24"/>
              <w:lang w:val="en-US" w:eastAsia="zh-CN" w:bidi="ar-SA"/>
            </w:rPr>
            <w:t>.2地下水、土壤环境防控措施</w:t>
          </w:r>
          <w:r>
            <w:tab/>
          </w:r>
          <w:r>
            <w:fldChar w:fldCharType="begin"/>
          </w:r>
          <w:r>
            <w:instrText xml:space="preserve"> PAGEREF _Toc20446 \h </w:instrText>
          </w:r>
          <w:r>
            <w:fldChar w:fldCharType="separate"/>
          </w:r>
          <w:r>
            <w:t>79</w:t>
          </w:r>
          <w:r>
            <w:fldChar w:fldCharType="end"/>
          </w:r>
          <w:r>
            <w:rPr>
              <w:color w:val="auto"/>
            </w:rPr>
            <w:fldChar w:fldCharType="end"/>
          </w:r>
        </w:p>
        <w:p w14:paraId="18EF2BBF">
          <w:pPr>
            <w:pStyle w:val="10"/>
            <w:tabs>
              <w:tab w:val="right" w:leader="dot" w:pos="8844"/>
            </w:tabs>
            <w:ind w:firstLine="420" w:firstLineChars="200"/>
          </w:pPr>
          <w:r>
            <w:rPr>
              <w:color w:val="auto"/>
            </w:rPr>
            <w:fldChar w:fldCharType="begin"/>
          </w:r>
          <w:r>
            <w:instrText xml:space="preserve"> HYPERLINK \l _Toc21689 </w:instrText>
          </w:r>
          <w:r>
            <w:fldChar w:fldCharType="separate"/>
          </w:r>
          <w:r>
            <w:rPr>
              <w:rFonts w:ascii="Times New Roman" w:hAnsi="Times New Roman"/>
              <w:lang w:val="en-US" w:eastAsia="zh-CN"/>
            </w:rPr>
            <w:t>4.</w:t>
          </w:r>
          <w:r>
            <w:rPr>
              <w:rFonts w:hint="eastAsia" w:ascii="Times New Roman" w:hAnsi="Times New Roman"/>
              <w:lang w:val="en-US" w:eastAsia="zh-CN"/>
            </w:rPr>
            <w:t>5</w:t>
          </w:r>
          <w:r>
            <w:rPr>
              <w:rFonts w:ascii="Times New Roman" w:hAnsi="Times New Roman"/>
              <w:lang w:val="en-US" w:eastAsia="zh-CN"/>
            </w:rPr>
            <w:t>.3跟踪监测要求</w:t>
          </w:r>
          <w:r>
            <w:tab/>
          </w:r>
          <w:r>
            <w:fldChar w:fldCharType="begin"/>
          </w:r>
          <w:r>
            <w:instrText xml:space="preserve"> PAGEREF _Toc21689 \h </w:instrText>
          </w:r>
          <w:r>
            <w:fldChar w:fldCharType="separate"/>
          </w:r>
          <w:r>
            <w:t>80</w:t>
          </w:r>
          <w:r>
            <w:fldChar w:fldCharType="end"/>
          </w:r>
          <w:r>
            <w:rPr>
              <w:color w:val="auto"/>
            </w:rPr>
            <w:fldChar w:fldCharType="end"/>
          </w:r>
        </w:p>
        <w:p w14:paraId="5777A08F">
          <w:pPr>
            <w:pStyle w:val="15"/>
            <w:tabs>
              <w:tab w:val="right" w:leader="dot" w:pos="8844"/>
            </w:tabs>
            <w:ind w:firstLine="420" w:firstLineChars="200"/>
          </w:pPr>
          <w:r>
            <w:rPr>
              <w:color w:val="auto"/>
            </w:rPr>
            <w:fldChar w:fldCharType="begin"/>
          </w:r>
          <w:r>
            <w:instrText xml:space="preserve"> HYPERLINK \l _Toc14406 </w:instrText>
          </w:r>
          <w:r>
            <w:fldChar w:fldCharType="separate"/>
          </w:r>
          <w:r>
            <w:rPr>
              <w:rFonts w:hint="eastAsia" w:ascii="Times New Roman" w:hAnsi="Times New Roman" w:eastAsia="宋体" w:cs="Times New Roman"/>
              <w:kern w:val="2"/>
              <w:szCs w:val="24"/>
              <w:lang w:val="en-US" w:eastAsia="zh-CN" w:bidi="ar-SA"/>
            </w:rPr>
            <w:t>4.6运营期环境风险影响和保护措施</w:t>
          </w:r>
          <w:r>
            <w:tab/>
          </w:r>
          <w:r>
            <w:fldChar w:fldCharType="begin"/>
          </w:r>
          <w:r>
            <w:instrText xml:space="preserve"> PAGEREF _Toc14406 \h </w:instrText>
          </w:r>
          <w:r>
            <w:fldChar w:fldCharType="separate"/>
          </w:r>
          <w:r>
            <w:t>80</w:t>
          </w:r>
          <w:r>
            <w:fldChar w:fldCharType="end"/>
          </w:r>
          <w:r>
            <w:rPr>
              <w:color w:val="auto"/>
            </w:rPr>
            <w:fldChar w:fldCharType="end"/>
          </w:r>
        </w:p>
        <w:p w14:paraId="31E2CB2E">
          <w:pPr>
            <w:pStyle w:val="10"/>
            <w:tabs>
              <w:tab w:val="right" w:leader="dot" w:pos="8844"/>
            </w:tabs>
            <w:ind w:firstLine="420" w:firstLineChars="200"/>
          </w:pPr>
          <w:r>
            <w:rPr>
              <w:color w:val="auto"/>
            </w:rPr>
            <w:fldChar w:fldCharType="begin"/>
          </w:r>
          <w:r>
            <w:instrText xml:space="preserve"> HYPERLINK \l _Toc4084 </w:instrText>
          </w:r>
          <w:r>
            <w:fldChar w:fldCharType="separate"/>
          </w:r>
          <w:r>
            <w:rPr>
              <w:rFonts w:hint="eastAsia" w:ascii="Times New Roman" w:hAnsi="Times New Roman" w:eastAsia="宋体" w:cs="Times New Roman"/>
              <w:kern w:val="2"/>
              <w:szCs w:val="24"/>
              <w:lang w:val="en-US" w:eastAsia="zh-CN" w:bidi="ar-SA"/>
            </w:rPr>
            <w:t>4.6.1风险调查</w:t>
          </w:r>
          <w:r>
            <w:tab/>
          </w:r>
          <w:r>
            <w:fldChar w:fldCharType="begin"/>
          </w:r>
          <w:r>
            <w:instrText xml:space="preserve"> PAGEREF _Toc4084 \h </w:instrText>
          </w:r>
          <w:r>
            <w:fldChar w:fldCharType="separate"/>
          </w:r>
          <w:r>
            <w:t>80</w:t>
          </w:r>
          <w:r>
            <w:fldChar w:fldCharType="end"/>
          </w:r>
          <w:r>
            <w:rPr>
              <w:color w:val="auto"/>
            </w:rPr>
            <w:fldChar w:fldCharType="end"/>
          </w:r>
        </w:p>
        <w:p w14:paraId="7A210763">
          <w:pPr>
            <w:pStyle w:val="10"/>
            <w:tabs>
              <w:tab w:val="right" w:leader="dot" w:pos="8844"/>
            </w:tabs>
            <w:ind w:firstLine="420" w:firstLineChars="200"/>
          </w:pPr>
          <w:r>
            <w:rPr>
              <w:color w:val="auto"/>
            </w:rPr>
            <w:fldChar w:fldCharType="begin"/>
          </w:r>
          <w:r>
            <w:instrText xml:space="preserve"> HYPERLINK \l _Toc14298 </w:instrText>
          </w:r>
          <w:r>
            <w:fldChar w:fldCharType="separate"/>
          </w:r>
          <w:r>
            <w:rPr>
              <w:rFonts w:hint="eastAsia" w:ascii="Times New Roman" w:hAnsi="Times New Roman" w:eastAsia="宋体" w:cs="Times New Roman"/>
              <w:kern w:val="2"/>
              <w:szCs w:val="24"/>
              <w:lang w:val="en-US" w:eastAsia="zh-CN" w:bidi="ar-SA"/>
            </w:rPr>
            <w:t>4.6.2环境风险潜势初判</w:t>
          </w:r>
          <w:r>
            <w:tab/>
          </w:r>
          <w:r>
            <w:fldChar w:fldCharType="begin"/>
          </w:r>
          <w:r>
            <w:instrText xml:space="preserve"> PAGEREF _Toc14298 \h </w:instrText>
          </w:r>
          <w:r>
            <w:fldChar w:fldCharType="separate"/>
          </w:r>
          <w:r>
            <w:t>81</w:t>
          </w:r>
          <w:r>
            <w:fldChar w:fldCharType="end"/>
          </w:r>
          <w:r>
            <w:rPr>
              <w:color w:val="auto"/>
            </w:rPr>
            <w:fldChar w:fldCharType="end"/>
          </w:r>
        </w:p>
        <w:p w14:paraId="198AB4B2">
          <w:pPr>
            <w:pStyle w:val="10"/>
            <w:tabs>
              <w:tab w:val="right" w:leader="dot" w:pos="8844"/>
            </w:tabs>
            <w:ind w:firstLine="420" w:firstLineChars="200"/>
          </w:pPr>
          <w:r>
            <w:rPr>
              <w:color w:val="auto"/>
            </w:rPr>
            <w:fldChar w:fldCharType="begin"/>
          </w:r>
          <w:r>
            <w:instrText xml:space="preserve"> HYPERLINK \l _Toc20867 </w:instrText>
          </w:r>
          <w:r>
            <w:fldChar w:fldCharType="separate"/>
          </w:r>
          <w:r>
            <w:rPr>
              <w:rFonts w:hint="eastAsia" w:ascii="Times New Roman" w:hAnsi="Times New Roman" w:eastAsia="宋体" w:cs="Times New Roman"/>
              <w:kern w:val="2"/>
              <w:szCs w:val="24"/>
              <w:lang w:val="en-US" w:eastAsia="zh-CN" w:bidi="ar-SA"/>
            </w:rPr>
            <w:t>4.6.3环境风险识别</w:t>
          </w:r>
          <w:r>
            <w:tab/>
          </w:r>
          <w:r>
            <w:fldChar w:fldCharType="begin"/>
          </w:r>
          <w:r>
            <w:instrText xml:space="preserve"> PAGEREF _Toc20867 \h </w:instrText>
          </w:r>
          <w:r>
            <w:fldChar w:fldCharType="separate"/>
          </w:r>
          <w:r>
            <w:t>82</w:t>
          </w:r>
          <w:r>
            <w:fldChar w:fldCharType="end"/>
          </w:r>
          <w:r>
            <w:rPr>
              <w:color w:val="auto"/>
            </w:rPr>
            <w:fldChar w:fldCharType="end"/>
          </w:r>
        </w:p>
        <w:p w14:paraId="2049ABD1">
          <w:pPr>
            <w:pStyle w:val="10"/>
            <w:tabs>
              <w:tab w:val="right" w:leader="dot" w:pos="8844"/>
            </w:tabs>
            <w:ind w:firstLine="420" w:firstLineChars="200"/>
          </w:pPr>
          <w:r>
            <w:rPr>
              <w:color w:val="auto"/>
            </w:rPr>
            <w:fldChar w:fldCharType="begin"/>
          </w:r>
          <w:r>
            <w:instrText xml:space="preserve"> HYPERLINK \l _Toc13801 </w:instrText>
          </w:r>
          <w:r>
            <w:fldChar w:fldCharType="separate"/>
          </w:r>
          <w:r>
            <w:rPr>
              <w:rFonts w:hint="eastAsia" w:ascii="Times New Roman" w:hAnsi="Times New Roman" w:eastAsia="宋体" w:cs="Times New Roman"/>
              <w:kern w:val="2"/>
              <w:szCs w:val="24"/>
              <w:lang w:val="en-US" w:eastAsia="zh-CN" w:bidi="ar-SA"/>
            </w:rPr>
            <w:t>4.6.4环境风险分析</w:t>
          </w:r>
          <w:r>
            <w:tab/>
          </w:r>
          <w:r>
            <w:fldChar w:fldCharType="begin"/>
          </w:r>
          <w:r>
            <w:instrText xml:space="preserve"> PAGEREF _Toc13801 \h </w:instrText>
          </w:r>
          <w:r>
            <w:fldChar w:fldCharType="separate"/>
          </w:r>
          <w:r>
            <w:t>82</w:t>
          </w:r>
          <w:r>
            <w:fldChar w:fldCharType="end"/>
          </w:r>
          <w:r>
            <w:rPr>
              <w:color w:val="auto"/>
            </w:rPr>
            <w:fldChar w:fldCharType="end"/>
          </w:r>
        </w:p>
        <w:p w14:paraId="70ADC018">
          <w:pPr>
            <w:pStyle w:val="10"/>
            <w:tabs>
              <w:tab w:val="right" w:leader="dot" w:pos="8844"/>
            </w:tabs>
            <w:ind w:firstLine="420" w:firstLineChars="200"/>
          </w:pPr>
          <w:r>
            <w:rPr>
              <w:color w:val="auto"/>
            </w:rPr>
            <w:fldChar w:fldCharType="begin"/>
          </w:r>
          <w:r>
            <w:instrText xml:space="preserve"> HYPERLINK \l _Toc1094 </w:instrText>
          </w:r>
          <w:r>
            <w:fldChar w:fldCharType="separate"/>
          </w:r>
          <w:r>
            <w:rPr>
              <w:rFonts w:hint="default" w:ascii="Times New Roman" w:hAnsi="Times New Roman" w:eastAsia="宋体" w:cs="Times New Roman"/>
              <w:kern w:val="2"/>
              <w:szCs w:val="24"/>
              <w:lang w:val="en-US" w:eastAsia="zh-CN" w:bidi="ar-SA"/>
            </w:rPr>
            <w:t>4.6.</w:t>
          </w:r>
          <w:r>
            <w:rPr>
              <w:rFonts w:hint="eastAsia" w:ascii="Times New Roman" w:hAnsi="Times New Roman" w:eastAsia="宋体" w:cs="Times New Roman"/>
              <w:kern w:val="2"/>
              <w:szCs w:val="24"/>
              <w:lang w:val="en-US" w:eastAsia="zh-CN" w:bidi="ar-SA"/>
            </w:rPr>
            <w:t>5</w:t>
          </w:r>
          <w:r>
            <w:rPr>
              <w:rFonts w:hint="default" w:ascii="Times New Roman" w:hAnsi="Times New Roman" w:eastAsia="宋体" w:cs="Times New Roman"/>
              <w:kern w:val="2"/>
              <w:szCs w:val="24"/>
              <w:lang w:val="en-US" w:eastAsia="zh-CN" w:bidi="ar-SA"/>
            </w:rPr>
            <w:t>环境风险防范措施和事故应急措施</w:t>
          </w:r>
          <w:r>
            <w:tab/>
          </w:r>
          <w:r>
            <w:fldChar w:fldCharType="begin"/>
          </w:r>
          <w:r>
            <w:instrText xml:space="preserve"> PAGEREF _Toc1094 \h </w:instrText>
          </w:r>
          <w:r>
            <w:fldChar w:fldCharType="separate"/>
          </w:r>
          <w:r>
            <w:t>83</w:t>
          </w:r>
          <w:r>
            <w:fldChar w:fldCharType="end"/>
          </w:r>
          <w:r>
            <w:rPr>
              <w:color w:val="auto"/>
            </w:rPr>
            <w:fldChar w:fldCharType="end"/>
          </w:r>
        </w:p>
        <w:p w14:paraId="216A373D">
          <w:pPr>
            <w:pStyle w:val="15"/>
            <w:tabs>
              <w:tab w:val="right" w:leader="dot" w:pos="8844"/>
            </w:tabs>
            <w:ind w:firstLine="420" w:firstLineChars="200"/>
          </w:pPr>
          <w:r>
            <w:rPr>
              <w:color w:val="auto"/>
            </w:rPr>
            <w:fldChar w:fldCharType="begin"/>
          </w:r>
          <w:r>
            <w:instrText xml:space="preserve"> HYPERLINK \l _Toc14193 </w:instrText>
          </w:r>
          <w:r>
            <w:fldChar w:fldCharType="separate"/>
          </w:r>
          <w:r>
            <w:rPr>
              <w:rFonts w:hint="eastAsia" w:ascii="Times New Roman" w:hAnsi="Times New Roman" w:eastAsia="宋体" w:cs="Times New Roman"/>
              <w:kern w:val="2"/>
              <w:szCs w:val="24"/>
              <w:lang w:val="en-US" w:eastAsia="zh-CN" w:bidi="ar-SA"/>
            </w:rPr>
            <w:t>4.</w:t>
          </w:r>
          <w:r>
            <w:rPr>
              <w:rFonts w:hint="eastAsia" w:cs="Times New Roman"/>
              <w:kern w:val="2"/>
              <w:szCs w:val="24"/>
              <w:lang w:val="en-US" w:eastAsia="zh-CN" w:bidi="ar-SA"/>
            </w:rPr>
            <w:t>7</w:t>
          </w:r>
          <w:r>
            <w:rPr>
              <w:rFonts w:hint="eastAsia" w:ascii="Times New Roman" w:hAnsi="Times New Roman" w:eastAsia="宋体" w:cs="Times New Roman"/>
              <w:kern w:val="2"/>
              <w:szCs w:val="24"/>
              <w:lang w:val="en-US" w:eastAsia="zh-CN" w:bidi="ar-SA"/>
            </w:rPr>
            <w:t>环保投资估算</w:t>
          </w:r>
          <w:r>
            <w:tab/>
          </w:r>
          <w:r>
            <w:fldChar w:fldCharType="begin"/>
          </w:r>
          <w:r>
            <w:instrText xml:space="preserve"> PAGEREF _Toc14193 \h </w:instrText>
          </w:r>
          <w:r>
            <w:fldChar w:fldCharType="separate"/>
          </w:r>
          <w:r>
            <w:t>84</w:t>
          </w:r>
          <w:r>
            <w:fldChar w:fldCharType="end"/>
          </w:r>
          <w:r>
            <w:rPr>
              <w:color w:val="auto"/>
            </w:rPr>
            <w:fldChar w:fldCharType="end"/>
          </w:r>
        </w:p>
        <w:p w14:paraId="365989C3">
          <w:pPr>
            <w:pStyle w:val="15"/>
            <w:tabs>
              <w:tab w:val="right" w:leader="dot" w:pos="8844"/>
            </w:tabs>
            <w:ind w:firstLine="420" w:firstLineChars="200"/>
          </w:pPr>
          <w:r>
            <w:rPr>
              <w:color w:val="auto"/>
            </w:rPr>
            <w:fldChar w:fldCharType="begin"/>
          </w:r>
          <w:r>
            <w:instrText xml:space="preserve"> HYPERLINK \l _Toc20570 </w:instrText>
          </w:r>
          <w:r>
            <w:fldChar w:fldCharType="separate"/>
          </w:r>
          <w:r>
            <w:rPr>
              <w:rFonts w:hint="eastAsia" w:ascii="Times New Roman" w:hAnsi="Times New Roman" w:eastAsia="宋体" w:cs="Times New Roman"/>
              <w:kern w:val="2"/>
              <w:szCs w:val="24"/>
              <w:lang w:val="en-US" w:eastAsia="zh-CN" w:bidi="ar-SA"/>
            </w:rPr>
            <w:t>5.1环境管理</w:t>
          </w:r>
          <w:r>
            <w:tab/>
          </w:r>
          <w:r>
            <w:fldChar w:fldCharType="begin"/>
          </w:r>
          <w:r>
            <w:instrText xml:space="preserve"> PAGEREF _Toc20570 \h </w:instrText>
          </w:r>
          <w:r>
            <w:fldChar w:fldCharType="separate"/>
          </w:r>
          <w:r>
            <w:t>88</w:t>
          </w:r>
          <w:r>
            <w:fldChar w:fldCharType="end"/>
          </w:r>
          <w:r>
            <w:rPr>
              <w:color w:val="auto"/>
            </w:rPr>
            <w:fldChar w:fldCharType="end"/>
          </w:r>
        </w:p>
        <w:p w14:paraId="29A1FD51">
          <w:pPr>
            <w:pStyle w:val="10"/>
            <w:tabs>
              <w:tab w:val="right" w:leader="dot" w:pos="8844"/>
            </w:tabs>
            <w:ind w:firstLine="420" w:firstLineChars="200"/>
          </w:pPr>
          <w:r>
            <w:rPr>
              <w:color w:val="auto"/>
            </w:rPr>
            <w:fldChar w:fldCharType="begin"/>
          </w:r>
          <w:r>
            <w:instrText xml:space="preserve"> HYPERLINK \l _Toc1742 </w:instrText>
          </w:r>
          <w:r>
            <w:fldChar w:fldCharType="separate"/>
          </w:r>
          <w:r>
            <w:rPr>
              <w:rFonts w:hint="eastAsia" w:ascii="Times New Roman" w:hAnsi="Times New Roman"/>
              <w:szCs w:val="24"/>
              <w:lang w:val="en-US" w:eastAsia="zh-CN"/>
            </w:rPr>
            <w:t>5.1.1环境管理制度</w:t>
          </w:r>
          <w:r>
            <w:tab/>
          </w:r>
          <w:r>
            <w:fldChar w:fldCharType="begin"/>
          </w:r>
          <w:r>
            <w:instrText xml:space="preserve"> PAGEREF _Toc1742 \h </w:instrText>
          </w:r>
          <w:r>
            <w:fldChar w:fldCharType="separate"/>
          </w:r>
          <w:r>
            <w:t>88</w:t>
          </w:r>
          <w:r>
            <w:fldChar w:fldCharType="end"/>
          </w:r>
          <w:r>
            <w:rPr>
              <w:color w:val="auto"/>
            </w:rPr>
            <w:fldChar w:fldCharType="end"/>
          </w:r>
        </w:p>
        <w:p w14:paraId="1D246EE6">
          <w:pPr>
            <w:pStyle w:val="10"/>
            <w:tabs>
              <w:tab w:val="right" w:leader="dot" w:pos="8844"/>
            </w:tabs>
            <w:ind w:firstLine="420" w:firstLineChars="200"/>
          </w:pPr>
          <w:r>
            <w:rPr>
              <w:color w:val="auto"/>
            </w:rPr>
            <w:fldChar w:fldCharType="begin"/>
          </w:r>
          <w:r>
            <w:instrText xml:space="preserve"> HYPERLINK \l _Toc22169 </w:instrText>
          </w:r>
          <w:r>
            <w:fldChar w:fldCharType="separate"/>
          </w:r>
          <w:r>
            <w:rPr>
              <w:rFonts w:hint="eastAsia" w:ascii="Times New Roman" w:hAnsi="Times New Roman"/>
              <w:szCs w:val="24"/>
              <w:lang w:val="en-US" w:eastAsia="zh-CN"/>
            </w:rPr>
            <w:t>5.1.2排污口规范化管理</w:t>
          </w:r>
          <w:r>
            <w:tab/>
          </w:r>
          <w:r>
            <w:fldChar w:fldCharType="begin"/>
          </w:r>
          <w:r>
            <w:instrText xml:space="preserve"> PAGEREF _Toc22169 \h </w:instrText>
          </w:r>
          <w:r>
            <w:fldChar w:fldCharType="separate"/>
          </w:r>
          <w:r>
            <w:t>89</w:t>
          </w:r>
          <w:r>
            <w:fldChar w:fldCharType="end"/>
          </w:r>
          <w:r>
            <w:rPr>
              <w:color w:val="auto"/>
            </w:rPr>
            <w:fldChar w:fldCharType="end"/>
          </w:r>
        </w:p>
        <w:p w14:paraId="327C693E">
          <w:pPr>
            <w:pStyle w:val="15"/>
            <w:tabs>
              <w:tab w:val="right" w:leader="dot" w:pos="8844"/>
            </w:tabs>
            <w:ind w:firstLine="420" w:firstLineChars="200"/>
          </w:pPr>
          <w:r>
            <w:rPr>
              <w:color w:val="auto"/>
            </w:rPr>
            <w:fldChar w:fldCharType="begin"/>
          </w:r>
          <w:r>
            <w:instrText xml:space="preserve"> HYPERLINK \l _Toc27061 </w:instrText>
          </w:r>
          <w:r>
            <w:fldChar w:fldCharType="separate"/>
          </w:r>
          <w:r>
            <w:rPr>
              <w:rFonts w:hint="eastAsia" w:ascii="Times New Roman" w:hAnsi="Times New Roman" w:eastAsia="宋体" w:cs="Times New Roman"/>
              <w:kern w:val="2"/>
              <w:szCs w:val="24"/>
              <w:lang w:val="en-US" w:eastAsia="zh-CN" w:bidi="ar-SA"/>
            </w:rPr>
            <w:t>6.1总结论</w:t>
          </w:r>
          <w:r>
            <w:tab/>
          </w:r>
          <w:r>
            <w:fldChar w:fldCharType="begin"/>
          </w:r>
          <w:r>
            <w:instrText xml:space="preserve"> PAGEREF _Toc27061 \h </w:instrText>
          </w:r>
          <w:r>
            <w:fldChar w:fldCharType="separate"/>
          </w:r>
          <w:r>
            <w:t>90</w:t>
          </w:r>
          <w:r>
            <w:fldChar w:fldCharType="end"/>
          </w:r>
          <w:r>
            <w:rPr>
              <w:color w:val="auto"/>
            </w:rPr>
            <w:fldChar w:fldCharType="end"/>
          </w:r>
        </w:p>
        <w:p w14:paraId="329FF948">
          <w:pPr>
            <w:pStyle w:val="13"/>
            <w:tabs>
              <w:tab w:val="right" w:leader="dot" w:pos="8844"/>
            </w:tabs>
            <w:ind w:firstLine="420" w:firstLineChars="200"/>
          </w:pPr>
          <w:r>
            <w:rPr>
              <w:color w:val="auto"/>
            </w:rPr>
            <w:fldChar w:fldCharType="begin"/>
          </w:r>
          <w:r>
            <w:instrText xml:space="preserve"> HYPERLINK \l _Toc21785 </w:instrText>
          </w:r>
          <w:r>
            <w:fldChar w:fldCharType="separate"/>
          </w:r>
          <w:r>
            <w:rPr>
              <w:rFonts w:hint="eastAsia" w:ascii="Times New Roman" w:hAnsi="Times New Roman"/>
              <w:lang w:val="en-US" w:eastAsia="zh-CN"/>
            </w:rPr>
            <w:t>附图一：项目地理位置图</w:t>
          </w:r>
          <w:r>
            <w:tab/>
          </w:r>
          <w:r>
            <w:fldChar w:fldCharType="begin"/>
          </w:r>
          <w:r>
            <w:instrText xml:space="preserve"> PAGEREF _Toc21785 \h </w:instrText>
          </w:r>
          <w:r>
            <w:fldChar w:fldCharType="separate"/>
          </w:r>
          <w:r>
            <w:t>93</w:t>
          </w:r>
          <w:r>
            <w:fldChar w:fldCharType="end"/>
          </w:r>
          <w:r>
            <w:rPr>
              <w:color w:val="auto"/>
            </w:rPr>
            <w:fldChar w:fldCharType="end"/>
          </w:r>
        </w:p>
        <w:p w14:paraId="7C1FC266">
          <w:pPr>
            <w:pStyle w:val="13"/>
            <w:tabs>
              <w:tab w:val="right" w:leader="dot" w:pos="8844"/>
            </w:tabs>
            <w:ind w:firstLine="420" w:firstLineChars="200"/>
          </w:pPr>
          <w:r>
            <w:rPr>
              <w:color w:val="auto"/>
            </w:rPr>
            <w:fldChar w:fldCharType="begin"/>
          </w:r>
          <w:r>
            <w:instrText xml:space="preserve"> HYPERLINK \l _Toc24630 </w:instrText>
          </w:r>
          <w:r>
            <w:fldChar w:fldCharType="separate"/>
          </w:r>
          <w:r>
            <w:rPr>
              <w:rFonts w:hint="eastAsia" w:ascii="Times New Roman" w:hAnsi="Times New Roman"/>
              <w:lang w:val="en-US" w:eastAsia="zh-CN"/>
            </w:rPr>
            <w:t>附图二：项目周边环境示意图</w:t>
          </w:r>
          <w:r>
            <w:tab/>
          </w:r>
          <w:r>
            <w:fldChar w:fldCharType="begin"/>
          </w:r>
          <w:r>
            <w:instrText xml:space="preserve"> PAGEREF _Toc24630 \h </w:instrText>
          </w:r>
          <w:r>
            <w:fldChar w:fldCharType="separate"/>
          </w:r>
          <w:r>
            <w:t>94</w:t>
          </w:r>
          <w:r>
            <w:fldChar w:fldCharType="end"/>
          </w:r>
          <w:r>
            <w:rPr>
              <w:color w:val="auto"/>
            </w:rPr>
            <w:fldChar w:fldCharType="end"/>
          </w:r>
        </w:p>
        <w:p w14:paraId="17506199">
          <w:pPr>
            <w:pStyle w:val="13"/>
            <w:tabs>
              <w:tab w:val="right" w:leader="dot" w:pos="8844"/>
            </w:tabs>
            <w:ind w:firstLine="420" w:firstLineChars="200"/>
          </w:pPr>
          <w:r>
            <w:rPr>
              <w:color w:val="auto"/>
            </w:rPr>
            <w:fldChar w:fldCharType="begin"/>
          </w:r>
          <w:r>
            <w:instrText xml:space="preserve"> HYPERLINK \l _Toc25783 </w:instrText>
          </w:r>
          <w:r>
            <w:fldChar w:fldCharType="separate"/>
          </w:r>
          <w:r>
            <w:rPr>
              <w:rFonts w:hint="eastAsia" w:ascii="Times New Roman" w:hAnsi="Times New Roman"/>
              <w:lang w:val="en-US" w:eastAsia="zh-CN"/>
            </w:rPr>
            <w:t>附图三：项目周边环境现状图</w:t>
          </w:r>
          <w:r>
            <w:tab/>
          </w:r>
          <w:r>
            <w:fldChar w:fldCharType="begin"/>
          </w:r>
          <w:r>
            <w:instrText xml:space="preserve"> PAGEREF _Toc25783 \h </w:instrText>
          </w:r>
          <w:r>
            <w:fldChar w:fldCharType="separate"/>
          </w:r>
          <w:r>
            <w:t>95</w:t>
          </w:r>
          <w:r>
            <w:fldChar w:fldCharType="end"/>
          </w:r>
          <w:r>
            <w:rPr>
              <w:color w:val="auto"/>
            </w:rPr>
            <w:fldChar w:fldCharType="end"/>
          </w:r>
        </w:p>
        <w:p w14:paraId="404C51BF">
          <w:pPr>
            <w:pStyle w:val="13"/>
            <w:tabs>
              <w:tab w:val="right" w:leader="dot" w:pos="8844"/>
            </w:tabs>
            <w:ind w:firstLine="420" w:firstLineChars="200"/>
          </w:pPr>
          <w:r>
            <w:rPr>
              <w:color w:val="auto"/>
            </w:rPr>
            <w:fldChar w:fldCharType="begin"/>
          </w:r>
          <w:r>
            <w:instrText xml:space="preserve"> HYPERLINK \l _Toc31897 </w:instrText>
          </w:r>
          <w:r>
            <w:fldChar w:fldCharType="separate"/>
          </w:r>
          <w:r>
            <w:rPr>
              <w:rFonts w:hint="eastAsia" w:ascii="Times New Roman" w:hAnsi="Times New Roman"/>
              <w:lang w:val="en-US" w:eastAsia="zh-CN"/>
            </w:rPr>
            <w:t>附图</w:t>
          </w:r>
          <w:r>
            <w:rPr>
              <w:rFonts w:hint="eastAsia"/>
              <w:lang w:val="en-US" w:eastAsia="zh-CN"/>
            </w:rPr>
            <w:t>四</w:t>
          </w:r>
          <w:r>
            <w:rPr>
              <w:rFonts w:hint="eastAsia" w:ascii="Times New Roman" w:hAnsi="Times New Roman"/>
              <w:lang w:val="en-US" w:eastAsia="zh-CN"/>
            </w:rPr>
            <w:t>：厂区</w:t>
          </w:r>
          <w:r>
            <w:rPr>
              <w:rFonts w:hint="eastAsia"/>
              <w:lang w:val="en-US" w:eastAsia="zh-CN"/>
            </w:rPr>
            <w:t>总</w:t>
          </w:r>
          <w:r>
            <w:rPr>
              <w:rFonts w:hint="eastAsia" w:ascii="Times New Roman" w:hAnsi="Times New Roman"/>
              <w:lang w:val="en-US" w:eastAsia="zh-CN"/>
            </w:rPr>
            <w:t>平面布置图</w:t>
          </w:r>
          <w:r>
            <w:tab/>
          </w:r>
          <w:r>
            <w:fldChar w:fldCharType="begin"/>
          </w:r>
          <w:r>
            <w:instrText xml:space="preserve"> PAGEREF _Toc31897 \h </w:instrText>
          </w:r>
          <w:r>
            <w:fldChar w:fldCharType="separate"/>
          </w:r>
          <w:r>
            <w:t>96</w:t>
          </w:r>
          <w:r>
            <w:fldChar w:fldCharType="end"/>
          </w:r>
          <w:r>
            <w:rPr>
              <w:color w:val="auto"/>
            </w:rPr>
            <w:fldChar w:fldCharType="end"/>
          </w:r>
        </w:p>
        <w:p w14:paraId="7CC04106">
          <w:pPr>
            <w:pStyle w:val="13"/>
            <w:tabs>
              <w:tab w:val="right" w:leader="dot" w:pos="8844"/>
            </w:tabs>
            <w:ind w:firstLine="420" w:firstLineChars="200"/>
          </w:pPr>
          <w:r>
            <w:rPr>
              <w:color w:val="auto"/>
            </w:rPr>
            <w:fldChar w:fldCharType="begin"/>
          </w:r>
          <w:r>
            <w:instrText xml:space="preserve"> HYPERLINK \l _Toc16372 </w:instrText>
          </w:r>
          <w:r>
            <w:fldChar w:fldCharType="separate"/>
          </w:r>
          <w:r>
            <w:rPr>
              <w:rFonts w:hint="eastAsia"/>
              <w:lang w:val="en-US" w:eastAsia="zh-CN"/>
            </w:rPr>
            <w:t>附图五：车间平面布置图-1号楼2F</w:t>
          </w:r>
          <w:r>
            <w:tab/>
          </w:r>
          <w:r>
            <w:fldChar w:fldCharType="begin"/>
          </w:r>
          <w:r>
            <w:instrText xml:space="preserve"> PAGEREF _Toc16372 \h </w:instrText>
          </w:r>
          <w:r>
            <w:fldChar w:fldCharType="separate"/>
          </w:r>
          <w:r>
            <w:t>97</w:t>
          </w:r>
          <w:r>
            <w:fldChar w:fldCharType="end"/>
          </w:r>
          <w:r>
            <w:rPr>
              <w:color w:val="auto"/>
            </w:rPr>
            <w:fldChar w:fldCharType="end"/>
          </w:r>
        </w:p>
        <w:p w14:paraId="5D716AEF">
          <w:pPr>
            <w:pStyle w:val="13"/>
            <w:tabs>
              <w:tab w:val="right" w:leader="dot" w:pos="8844"/>
            </w:tabs>
            <w:ind w:firstLine="420" w:firstLineChars="200"/>
          </w:pPr>
          <w:r>
            <w:rPr>
              <w:color w:val="auto"/>
            </w:rPr>
            <w:fldChar w:fldCharType="begin"/>
          </w:r>
          <w:r>
            <w:instrText xml:space="preserve"> HYPERLINK \l _Toc15956 </w:instrText>
          </w:r>
          <w:r>
            <w:fldChar w:fldCharType="separate"/>
          </w:r>
          <w:r>
            <w:rPr>
              <w:rFonts w:hint="eastAsia"/>
              <w:lang w:val="en-US" w:eastAsia="zh-CN"/>
            </w:rPr>
            <w:t>附图六：雨污管网图</w:t>
          </w:r>
          <w:r>
            <w:tab/>
          </w:r>
          <w:r>
            <w:fldChar w:fldCharType="begin"/>
          </w:r>
          <w:r>
            <w:instrText xml:space="preserve"> PAGEREF _Toc15956 \h </w:instrText>
          </w:r>
          <w:r>
            <w:fldChar w:fldCharType="separate"/>
          </w:r>
          <w:r>
            <w:t>101</w:t>
          </w:r>
          <w:r>
            <w:fldChar w:fldCharType="end"/>
          </w:r>
          <w:r>
            <w:rPr>
              <w:color w:val="auto"/>
            </w:rPr>
            <w:fldChar w:fldCharType="end"/>
          </w:r>
        </w:p>
        <w:p w14:paraId="1DFE9310">
          <w:pPr>
            <w:pStyle w:val="13"/>
            <w:tabs>
              <w:tab w:val="right" w:leader="dot" w:pos="8844"/>
            </w:tabs>
            <w:ind w:firstLine="420" w:firstLineChars="200"/>
          </w:pPr>
          <w:r>
            <w:rPr>
              <w:color w:val="auto"/>
            </w:rPr>
            <w:fldChar w:fldCharType="begin"/>
          </w:r>
          <w:r>
            <w:instrText xml:space="preserve"> HYPERLINK \l _Toc24870 </w:instrText>
          </w:r>
          <w:r>
            <w:fldChar w:fldCharType="separate"/>
          </w:r>
          <w:r>
            <w:rPr>
              <w:rFonts w:hint="eastAsia"/>
              <w:lang w:val="en-US" w:eastAsia="zh-CN"/>
            </w:rPr>
            <w:t>附图七：福州市国土空间总体规划图</w:t>
          </w:r>
          <w:r>
            <w:tab/>
          </w:r>
          <w:r>
            <w:fldChar w:fldCharType="begin"/>
          </w:r>
          <w:r>
            <w:instrText xml:space="preserve"> PAGEREF _Toc24870 \h </w:instrText>
          </w:r>
          <w:r>
            <w:fldChar w:fldCharType="separate"/>
          </w:r>
          <w:r>
            <w:t>102</w:t>
          </w:r>
          <w:r>
            <w:fldChar w:fldCharType="end"/>
          </w:r>
          <w:r>
            <w:rPr>
              <w:color w:val="auto"/>
            </w:rPr>
            <w:fldChar w:fldCharType="end"/>
          </w:r>
        </w:p>
        <w:p w14:paraId="3578772B">
          <w:pPr>
            <w:pStyle w:val="13"/>
            <w:tabs>
              <w:tab w:val="right" w:leader="dot" w:pos="8844"/>
            </w:tabs>
            <w:ind w:firstLine="420" w:firstLineChars="200"/>
          </w:pPr>
          <w:r>
            <w:rPr>
              <w:color w:val="auto"/>
            </w:rPr>
            <w:fldChar w:fldCharType="begin"/>
          </w:r>
          <w:r>
            <w:instrText xml:space="preserve"> HYPERLINK \l _Toc6155 </w:instrText>
          </w:r>
          <w:r>
            <w:fldChar w:fldCharType="separate"/>
          </w:r>
          <w:r>
            <w:rPr>
              <w:rFonts w:hint="default" w:ascii="Times New Roman" w:hAnsi="Times New Roman"/>
              <w:lang w:val="en-US" w:eastAsia="zh-CN"/>
            </w:rPr>
            <w:t>附件一：建设项目环境影响评价委托书</w:t>
          </w:r>
          <w:r>
            <w:tab/>
          </w:r>
          <w:r>
            <w:fldChar w:fldCharType="begin"/>
          </w:r>
          <w:r>
            <w:instrText xml:space="preserve"> PAGEREF _Toc6155 \h </w:instrText>
          </w:r>
          <w:r>
            <w:fldChar w:fldCharType="separate"/>
          </w:r>
          <w:r>
            <w:t>103</w:t>
          </w:r>
          <w:r>
            <w:fldChar w:fldCharType="end"/>
          </w:r>
          <w:r>
            <w:rPr>
              <w:color w:val="auto"/>
            </w:rPr>
            <w:fldChar w:fldCharType="end"/>
          </w:r>
        </w:p>
        <w:p w14:paraId="756043A6">
          <w:pPr>
            <w:pStyle w:val="13"/>
            <w:tabs>
              <w:tab w:val="right" w:leader="dot" w:pos="8844"/>
            </w:tabs>
            <w:ind w:firstLine="420" w:firstLineChars="200"/>
          </w:pPr>
          <w:r>
            <w:rPr>
              <w:color w:val="auto"/>
            </w:rPr>
            <w:fldChar w:fldCharType="begin"/>
          </w:r>
          <w:r>
            <w:instrText xml:space="preserve"> HYPERLINK \l _Toc15843 </w:instrText>
          </w:r>
          <w:r>
            <w:fldChar w:fldCharType="separate"/>
          </w:r>
          <w:r>
            <w:rPr>
              <w:rFonts w:hint="default" w:ascii="Times New Roman" w:hAnsi="Times New Roman"/>
              <w:lang w:val="en-US" w:eastAsia="zh-CN"/>
            </w:rPr>
            <w:t>附件二：投资项目备案证明</w:t>
          </w:r>
          <w:r>
            <w:tab/>
          </w:r>
          <w:r>
            <w:fldChar w:fldCharType="begin"/>
          </w:r>
          <w:r>
            <w:instrText xml:space="preserve"> PAGEREF _Toc15843 \h </w:instrText>
          </w:r>
          <w:r>
            <w:fldChar w:fldCharType="separate"/>
          </w:r>
          <w:r>
            <w:t>104</w:t>
          </w:r>
          <w:r>
            <w:fldChar w:fldCharType="end"/>
          </w:r>
          <w:r>
            <w:rPr>
              <w:color w:val="auto"/>
            </w:rPr>
            <w:fldChar w:fldCharType="end"/>
          </w:r>
        </w:p>
        <w:p w14:paraId="442CB291">
          <w:pPr>
            <w:pStyle w:val="13"/>
            <w:tabs>
              <w:tab w:val="right" w:leader="dot" w:pos="8844"/>
            </w:tabs>
            <w:ind w:firstLine="420" w:firstLineChars="200"/>
          </w:pPr>
          <w:r>
            <w:rPr>
              <w:color w:val="auto"/>
            </w:rPr>
            <w:fldChar w:fldCharType="begin"/>
          </w:r>
          <w:r>
            <w:instrText xml:space="preserve"> HYPERLINK \l _Toc12600 </w:instrText>
          </w:r>
          <w:r>
            <w:fldChar w:fldCharType="separate"/>
          </w:r>
          <w:r>
            <w:rPr>
              <w:rFonts w:hint="default" w:ascii="Times New Roman" w:hAnsi="Times New Roman"/>
              <w:lang w:val="en-US" w:eastAsia="zh-CN"/>
            </w:rPr>
            <w:t>附件三：建设单位营业执照</w:t>
          </w:r>
          <w:r>
            <w:tab/>
          </w:r>
          <w:r>
            <w:fldChar w:fldCharType="begin"/>
          </w:r>
          <w:r>
            <w:instrText xml:space="preserve"> PAGEREF _Toc12600 \h </w:instrText>
          </w:r>
          <w:r>
            <w:fldChar w:fldCharType="separate"/>
          </w:r>
          <w:r>
            <w:t>105</w:t>
          </w:r>
          <w:r>
            <w:fldChar w:fldCharType="end"/>
          </w:r>
          <w:r>
            <w:rPr>
              <w:color w:val="auto"/>
            </w:rPr>
            <w:fldChar w:fldCharType="end"/>
          </w:r>
        </w:p>
        <w:p w14:paraId="639F72DC">
          <w:pPr>
            <w:pStyle w:val="13"/>
            <w:tabs>
              <w:tab w:val="right" w:leader="dot" w:pos="8844"/>
            </w:tabs>
            <w:ind w:firstLine="420" w:firstLineChars="200"/>
          </w:pPr>
          <w:r>
            <w:rPr>
              <w:color w:val="auto"/>
            </w:rPr>
            <w:fldChar w:fldCharType="begin"/>
          </w:r>
          <w:r>
            <w:instrText xml:space="preserve"> HYPERLINK \l _Toc6993 </w:instrText>
          </w:r>
          <w:r>
            <w:fldChar w:fldCharType="separate"/>
          </w:r>
          <w:r>
            <w:rPr>
              <w:rFonts w:hint="eastAsia"/>
              <w:lang w:val="en-US" w:eastAsia="zh-CN"/>
            </w:rPr>
            <w:t>附件四：不动产权证（节选）</w:t>
          </w:r>
          <w:r>
            <w:tab/>
          </w:r>
          <w:r>
            <w:fldChar w:fldCharType="begin"/>
          </w:r>
          <w:r>
            <w:instrText xml:space="preserve"> PAGEREF _Toc6993 \h </w:instrText>
          </w:r>
          <w:r>
            <w:fldChar w:fldCharType="separate"/>
          </w:r>
          <w:r>
            <w:t>106</w:t>
          </w:r>
          <w:r>
            <w:fldChar w:fldCharType="end"/>
          </w:r>
          <w:r>
            <w:rPr>
              <w:color w:val="auto"/>
            </w:rPr>
            <w:fldChar w:fldCharType="end"/>
          </w:r>
        </w:p>
        <w:p w14:paraId="162A6DD0">
          <w:pPr>
            <w:pStyle w:val="13"/>
            <w:tabs>
              <w:tab w:val="right" w:leader="dot" w:pos="8844"/>
            </w:tabs>
            <w:ind w:firstLine="420" w:firstLineChars="200"/>
          </w:pPr>
          <w:r>
            <w:rPr>
              <w:color w:val="auto"/>
            </w:rPr>
            <w:fldChar w:fldCharType="begin"/>
          </w:r>
          <w:r>
            <w:instrText xml:space="preserve"> HYPERLINK \l _Toc5602 </w:instrText>
          </w:r>
          <w:r>
            <w:fldChar w:fldCharType="separate"/>
          </w:r>
          <w:r>
            <w:rPr>
              <w:rFonts w:hint="eastAsia"/>
              <w:lang w:val="en-US" w:eastAsia="zh-CN"/>
            </w:rPr>
            <w:t>附件五：厂房租赁（节选）-3号楼4F</w:t>
          </w:r>
          <w:r>
            <w:tab/>
          </w:r>
          <w:r>
            <w:fldChar w:fldCharType="begin"/>
          </w:r>
          <w:r>
            <w:instrText xml:space="preserve"> PAGEREF _Toc5602 \h </w:instrText>
          </w:r>
          <w:r>
            <w:fldChar w:fldCharType="separate"/>
          </w:r>
          <w:r>
            <w:t>109</w:t>
          </w:r>
          <w:r>
            <w:fldChar w:fldCharType="end"/>
          </w:r>
          <w:r>
            <w:rPr>
              <w:color w:val="auto"/>
            </w:rPr>
            <w:fldChar w:fldCharType="end"/>
          </w:r>
        </w:p>
        <w:p w14:paraId="3B197F97">
          <w:pPr>
            <w:pStyle w:val="13"/>
            <w:tabs>
              <w:tab w:val="right" w:leader="dot" w:pos="8844"/>
            </w:tabs>
            <w:ind w:firstLine="420" w:firstLineChars="200"/>
          </w:pPr>
          <w:r>
            <w:rPr>
              <w:color w:val="auto"/>
            </w:rPr>
            <w:fldChar w:fldCharType="begin"/>
          </w:r>
          <w:r>
            <w:instrText xml:space="preserve"> HYPERLINK \l _Toc26788 </w:instrText>
          </w:r>
          <w:r>
            <w:fldChar w:fldCharType="separate"/>
          </w:r>
          <w:r>
            <w:rPr>
              <w:rFonts w:hint="eastAsia"/>
              <w:lang w:val="en-US" w:eastAsia="zh-CN"/>
            </w:rPr>
            <w:t>3号楼2F</w:t>
          </w:r>
          <w:r>
            <w:tab/>
          </w:r>
          <w:r>
            <w:fldChar w:fldCharType="begin"/>
          </w:r>
          <w:r>
            <w:instrText xml:space="preserve"> PAGEREF _Toc26788 \h </w:instrText>
          </w:r>
          <w:r>
            <w:fldChar w:fldCharType="separate"/>
          </w:r>
          <w:r>
            <w:t>116</w:t>
          </w:r>
          <w:r>
            <w:fldChar w:fldCharType="end"/>
          </w:r>
          <w:r>
            <w:rPr>
              <w:color w:val="auto"/>
            </w:rPr>
            <w:fldChar w:fldCharType="end"/>
          </w:r>
        </w:p>
        <w:p w14:paraId="7EE31452">
          <w:pPr>
            <w:pStyle w:val="13"/>
            <w:tabs>
              <w:tab w:val="right" w:leader="dot" w:pos="8844"/>
            </w:tabs>
            <w:ind w:firstLine="420" w:firstLineChars="200"/>
          </w:pPr>
          <w:r>
            <w:rPr>
              <w:color w:val="auto"/>
            </w:rPr>
            <w:fldChar w:fldCharType="begin"/>
          </w:r>
          <w:r>
            <w:instrText xml:space="preserve"> HYPERLINK \l _Toc19219 </w:instrText>
          </w:r>
          <w:r>
            <w:fldChar w:fldCharType="separate"/>
          </w:r>
          <w:r>
            <w:rPr>
              <w:rFonts w:hint="eastAsia"/>
              <w:lang w:val="en-US" w:eastAsia="zh-CN"/>
            </w:rPr>
            <w:t>2号楼2-3F</w:t>
          </w:r>
          <w:r>
            <w:tab/>
          </w:r>
          <w:r>
            <w:fldChar w:fldCharType="begin"/>
          </w:r>
          <w:r>
            <w:instrText xml:space="preserve"> PAGEREF _Toc19219 \h </w:instrText>
          </w:r>
          <w:r>
            <w:fldChar w:fldCharType="separate"/>
          </w:r>
          <w:r>
            <w:t>121</w:t>
          </w:r>
          <w:r>
            <w:fldChar w:fldCharType="end"/>
          </w:r>
          <w:r>
            <w:rPr>
              <w:color w:val="auto"/>
            </w:rPr>
            <w:fldChar w:fldCharType="end"/>
          </w:r>
        </w:p>
        <w:p w14:paraId="03C8CA58">
          <w:pPr>
            <w:pStyle w:val="13"/>
            <w:tabs>
              <w:tab w:val="right" w:leader="dot" w:pos="8844"/>
            </w:tabs>
            <w:ind w:firstLine="420" w:firstLineChars="200"/>
          </w:pPr>
          <w:r>
            <w:rPr>
              <w:color w:val="auto"/>
            </w:rPr>
            <w:fldChar w:fldCharType="begin"/>
          </w:r>
          <w:r>
            <w:instrText xml:space="preserve"> HYPERLINK \l _Toc23235 </w:instrText>
          </w:r>
          <w:r>
            <w:fldChar w:fldCharType="separate"/>
          </w:r>
          <w:r>
            <w:rPr>
              <w:rFonts w:hint="eastAsia"/>
              <w:lang w:val="en-US" w:eastAsia="zh-CN"/>
            </w:rPr>
            <w:t>1号楼2F</w:t>
          </w:r>
          <w:r>
            <w:tab/>
          </w:r>
          <w:r>
            <w:fldChar w:fldCharType="begin"/>
          </w:r>
          <w:r>
            <w:instrText xml:space="preserve"> PAGEREF _Toc23235 \h </w:instrText>
          </w:r>
          <w:r>
            <w:fldChar w:fldCharType="separate"/>
          </w:r>
          <w:r>
            <w:t>128</w:t>
          </w:r>
          <w:r>
            <w:fldChar w:fldCharType="end"/>
          </w:r>
          <w:r>
            <w:rPr>
              <w:color w:val="auto"/>
            </w:rPr>
            <w:fldChar w:fldCharType="end"/>
          </w:r>
        </w:p>
        <w:p w14:paraId="6BFD206F">
          <w:pPr>
            <w:pStyle w:val="13"/>
            <w:tabs>
              <w:tab w:val="right" w:leader="dot" w:pos="8844"/>
            </w:tabs>
            <w:ind w:firstLine="420" w:firstLineChars="200"/>
          </w:pPr>
          <w:r>
            <w:rPr>
              <w:color w:val="auto"/>
            </w:rPr>
            <w:fldChar w:fldCharType="begin"/>
          </w:r>
          <w:r>
            <w:instrText xml:space="preserve"> HYPERLINK \l _Toc24104 </w:instrText>
          </w:r>
          <w:r>
            <w:fldChar w:fldCharType="separate"/>
          </w:r>
          <w:r>
            <w:rPr>
              <w:rFonts w:hint="eastAsia" w:ascii="Times New Roman" w:hAnsi="Times New Roman"/>
              <w:lang w:val="en-US" w:eastAsia="zh-CN"/>
            </w:rPr>
            <w:t>附件</w:t>
          </w:r>
          <w:r>
            <w:rPr>
              <w:rFonts w:hint="eastAsia"/>
              <w:lang w:val="en-US" w:eastAsia="zh-CN"/>
            </w:rPr>
            <w:t>六</w:t>
          </w:r>
          <w:r>
            <w:rPr>
              <w:rFonts w:hint="eastAsia" w:ascii="Times New Roman" w:hAnsi="Times New Roman"/>
              <w:lang w:val="en-US" w:eastAsia="zh-CN"/>
            </w:rPr>
            <w:t>：关于公开建设项目环评文件等信息情况的说明</w:t>
          </w:r>
          <w:r>
            <w:tab/>
          </w:r>
          <w:r>
            <w:fldChar w:fldCharType="begin"/>
          </w:r>
          <w:r>
            <w:instrText xml:space="preserve"> PAGEREF _Toc24104 \h </w:instrText>
          </w:r>
          <w:r>
            <w:fldChar w:fldCharType="separate"/>
          </w:r>
          <w:r>
            <w:t>134</w:t>
          </w:r>
          <w:r>
            <w:fldChar w:fldCharType="end"/>
          </w:r>
          <w:r>
            <w:rPr>
              <w:color w:val="auto"/>
            </w:rPr>
            <w:fldChar w:fldCharType="end"/>
          </w:r>
        </w:p>
        <w:p w14:paraId="23965614">
          <w:pPr>
            <w:pStyle w:val="13"/>
            <w:tabs>
              <w:tab w:val="right" w:leader="dot" w:pos="8844"/>
            </w:tabs>
            <w:ind w:firstLine="420" w:firstLineChars="200"/>
          </w:pPr>
          <w:r>
            <w:rPr>
              <w:color w:val="auto"/>
            </w:rPr>
            <w:fldChar w:fldCharType="begin"/>
          </w:r>
          <w:r>
            <w:instrText xml:space="preserve"> HYPERLINK \l _Toc9338 </w:instrText>
          </w:r>
          <w:r>
            <w:fldChar w:fldCharType="separate"/>
          </w:r>
          <w:r>
            <w:rPr>
              <w:rFonts w:hint="eastAsia" w:ascii="Times New Roman" w:hAnsi="Times New Roman"/>
              <w:lang w:val="en-US" w:eastAsia="zh-CN"/>
            </w:rPr>
            <w:t>附件</w:t>
          </w:r>
          <w:r>
            <w:rPr>
              <w:rFonts w:hint="eastAsia"/>
              <w:lang w:val="en-US" w:eastAsia="zh-CN"/>
            </w:rPr>
            <w:t>七</w:t>
          </w:r>
          <w:r>
            <w:rPr>
              <w:rFonts w:hint="eastAsia" w:ascii="Times New Roman" w:hAnsi="Times New Roman"/>
              <w:lang w:val="en-US" w:eastAsia="zh-CN"/>
            </w:rPr>
            <w:t>：</w:t>
          </w:r>
          <w:r>
            <w:rPr>
              <w:rFonts w:hint="eastAsia"/>
              <w:lang w:val="en-US" w:eastAsia="zh-CN"/>
            </w:rPr>
            <w:t>关于环评文件未涉及国家秘密、商业秘密等内容的说明</w:t>
          </w:r>
          <w:r>
            <w:tab/>
          </w:r>
          <w:r>
            <w:fldChar w:fldCharType="begin"/>
          </w:r>
          <w:r>
            <w:instrText xml:space="preserve"> PAGEREF _Toc9338 \h </w:instrText>
          </w:r>
          <w:r>
            <w:fldChar w:fldCharType="separate"/>
          </w:r>
          <w:r>
            <w:t>135</w:t>
          </w:r>
          <w:r>
            <w:fldChar w:fldCharType="end"/>
          </w:r>
          <w:r>
            <w:rPr>
              <w:color w:val="auto"/>
            </w:rPr>
            <w:fldChar w:fldCharType="end"/>
          </w:r>
        </w:p>
        <w:p w14:paraId="4FCCA45B">
          <w:pPr>
            <w:pStyle w:val="13"/>
            <w:tabs>
              <w:tab w:val="right" w:leader="dot" w:pos="8844"/>
            </w:tabs>
            <w:ind w:firstLine="420" w:firstLineChars="200"/>
          </w:pPr>
          <w:r>
            <w:rPr>
              <w:color w:val="auto"/>
            </w:rPr>
            <w:fldChar w:fldCharType="begin"/>
          </w:r>
          <w:r>
            <w:instrText xml:space="preserve"> HYPERLINK \l _Toc20389 </w:instrText>
          </w:r>
          <w:r>
            <w:fldChar w:fldCharType="separate"/>
          </w:r>
          <w:r>
            <w:rPr>
              <w:rFonts w:hint="eastAsia" w:ascii="Times New Roman" w:hAnsi="Times New Roman"/>
              <w:lang w:val="en-US" w:eastAsia="zh-CN"/>
            </w:rPr>
            <w:t>附件</w:t>
          </w:r>
          <w:r>
            <w:rPr>
              <w:rFonts w:hint="eastAsia"/>
              <w:lang w:val="en-US" w:eastAsia="zh-CN"/>
            </w:rPr>
            <w:t>八</w:t>
          </w:r>
          <w:r>
            <w:rPr>
              <w:rFonts w:hint="eastAsia" w:ascii="Times New Roman" w:hAnsi="Times New Roman"/>
              <w:lang w:val="en-US" w:eastAsia="zh-CN"/>
            </w:rPr>
            <w:t>：审批申请报告</w:t>
          </w:r>
          <w:r>
            <w:tab/>
          </w:r>
          <w:r>
            <w:fldChar w:fldCharType="begin"/>
          </w:r>
          <w:r>
            <w:instrText xml:space="preserve"> PAGEREF _Toc20389 \h </w:instrText>
          </w:r>
          <w:r>
            <w:fldChar w:fldCharType="separate"/>
          </w:r>
          <w:r>
            <w:t>137</w:t>
          </w:r>
          <w:r>
            <w:fldChar w:fldCharType="end"/>
          </w:r>
          <w:r>
            <w:rPr>
              <w:color w:val="auto"/>
            </w:rPr>
            <w:fldChar w:fldCharType="end"/>
          </w:r>
        </w:p>
        <w:p w14:paraId="2631F259">
          <w:pPr>
            <w:pStyle w:val="13"/>
            <w:tabs>
              <w:tab w:val="right" w:leader="dot" w:pos="8844"/>
            </w:tabs>
            <w:ind w:firstLine="420" w:firstLineChars="200"/>
          </w:pPr>
          <w:r>
            <w:rPr>
              <w:color w:val="auto"/>
            </w:rPr>
            <w:fldChar w:fldCharType="begin"/>
          </w:r>
          <w:r>
            <w:instrText xml:space="preserve"> HYPERLINK \l _Toc4583 </w:instrText>
          </w:r>
          <w:r>
            <w:fldChar w:fldCharType="separate"/>
          </w:r>
          <w:r>
            <w:rPr>
              <w:rFonts w:hint="eastAsia" w:ascii="Times New Roman" w:hAnsi="Times New Roman"/>
              <w:lang w:val="en-US" w:eastAsia="zh-CN"/>
            </w:rPr>
            <w:t>附件</w:t>
          </w:r>
          <w:r>
            <w:rPr>
              <w:rFonts w:hint="eastAsia"/>
              <w:lang w:val="en-US" w:eastAsia="zh-CN"/>
            </w:rPr>
            <w:t>九</w:t>
          </w:r>
          <w:r>
            <w:rPr>
              <w:rFonts w:hint="eastAsia" w:ascii="Times New Roman" w:hAnsi="Times New Roman"/>
              <w:lang w:val="en-US" w:eastAsia="zh-CN"/>
            </w:rPr>
            <w:t>：申请环评批复报告</w:t>
          </w:r>
          <w:r>
            <w:tab/>
          </w:r>
          <w:r>
            <w:fldChar w:fldCharType="begin"/>
          </w:r>
          <w:r>
            <w:instrText xml:space="preserve"> PAGEREF _Toc4583 \h </w:instrText>
          </w:r>
          <w:r>
            <w:fldChar w:fldCharType="separate"/>
          </w:r>
          <w:r>
            <w:t>138</w:t>
          </w:r>
          <w:r>
            <w:fldChar w:fldCharType="end"/>
          </w:r>
          <w:r>
            <w:rPr>
              <w:color w:val="auto"/>
            </w:rPr>
            <w:fldChar w:fldCharType="end"/>
          </w:r>
        </w:p>
        <w:p w14:paraId="56634B09">
          <w:pPr>
            <w:pStyle w:val="13"/>
            <w:tabs>
              <w:tab w:val="right" w:leader="dot" w:pos="8844"/>
            </w:tabs>
            <w:ind w:firstLine="420" w:firstLineChars="200"/>
          </w:pPr>
          <w:r>
            <w:rPr>
              <w:color w:val="auto"/>
            </w:rPr>
            <w:fldChar w:fldCharType="begin"/>
          </w:r>
          <w:r>
            <w:instrText xml:space="preserve"> HYPERLINK \l _Toc28687 </w:instrText>
          </w:r>
          <w:r>
            <w:fldChar w:fldCharType="separate"/>
          </w:r>
          <w:r>
            <w:rPr>
              <w:rFonts w:hint="eastAsia" w:ascii="Times New Roman" w:hAnsi="Times New Roman"/>
              <w:lang w:val="en-US" w:eastAsia="zh-CN"/>
            </w:rPr>
            <w:t>附件</w:t>
          </w:r>
          <w:r>
            <w:rPr>
              <w:rFonts w:hint="eastAsia"/>
              <w:lang w:val="en-US" w:eastAsia="zh-CN"/>
            </w:rPr>
            <w:t>十</w:t>
          </w:r>
          <w:r>
            <w:rPr>
              <w:rFonts w:hint="eastAsia" w:ascii="Times New Roman" w:hAnsi="Times New Roman"/>
              <w:lang w:val="en-US" w:eastAsia="zh-CN"/>
            </w:rPr>
            <w:t>：关于主要污染物排污权指标的承诺函</w:t>
          </w:r>
          <w:r>
            <w:tab/>
          </w:r>
          <w:r>
            <w:fldChar w:fldCharType="begin"/>
          </w:r>
          <w:r>
            <w:instrText xml:space="preserve"> PAGEREF _Toc28687 \h </w:instrText>
          </w:r>
          <w:r>
            <w:fldChar w:fldCharType="separate"/>
          </w:r>
          <w:r>
            <w:t>139</w:t>
          </w:r>
          <w:r>
            <w:fldChar w:fldCharType="end"/>
          </w:r>
          <w:r>
            <w:rPr>
              <w:color w:val="auto"/>
            </w:rPr>
            <w:fldChar w:fldCharType="end"/>
          </w:r>
        </w:p>
        <w:p w14:paraId="4D7B035E">
          <w:pPr>
            <w:pStyle w:val="13"/>
            <w:tabs>
              <w:tab w:val="right" w:leader="dot" w:pos="8844"/>
            </w:tabs>
            <w:ind w:firstLine="420" w:firstLineChars="200"/>
          </w:pPr>
          <w:r>
            <w:rPr>
              <w:color w:val="auto"/>
            </w:rPr>
            <w:fldChar w:fldCharType="begin"/>
          </w:r>
          <w:r>
            <w:instrText xml:space="preserve"> HYPERLINK \l _Toc11257 </w:instrText>
          </w:r>
          <w:r>
            <w:fldChar w:fldCharType="separate"/>
          </w:r>
          <w:r>
            <w:rPr>
              <w:rFonts w:hint="eastAsia" w:ascii="Times New Roman" w:hAnsi="Times New Roman"/>
              <w:lang w:val="en-US" w:eastAsia="zh-CN"/>
            </w:rPr>
            <w:t>附件十</w:t>
          </w:r>
          <w:r>
            <w:rPr>
              <w:rFonts w:hint="eastAsia"/>
              <w:lang w:val="en-US" w:eastAsia="zh-CN"/>
            </w:rPr>
            <w:t>一</w:t>
          </w:r>
          <w:r>
            <w:rPr>
              <w:rFonts w:hint="eastAsia" w:ascii="Times New Roman" w:hAnsi="Times New Roman"/>
              <w:lang w:val="en-US" w:eastAsia="zh-CN"/>
            </w:rPr>
            <w:t>：法人身份证</w:t>
          </w:r>
          <w:r>
            <w:tab/>
          </w:r>
          <w:r>
            <w:fldChar w:fldCharType="begin"/>
          </w:r>
          <w:r>
            <w:instrText xml:space="preserve"> PAGEREF _Toc11257 \h </w:instrText>
          </w:r>
          <w:r>
            <w:fldChar w:fldCharType="separate"/>
          </w:r>
          <w:r>
            <w:t>140</w:t>
          </w:r>
          <w:r>
            <w:fldChar w:fldCharType="end"/>
          </w:r>
          <w:r>
            <w:rPr>
              <w:color w:val="auto"/>
            </w:rPr>
            <w:fldChar w:fldCharType="end"/>
          </w:r>
        </w:p>
        <w:p w14:paraId="7EB431EC">
          <w:pPr>
            <w:pStyle w:val="13"/>
            <w:tabs>
              <w:tab w:val="right" w:leader="dot" w:pos="8844"/>
            </w:tabs>
            <w:ind w:firstLine="420" w:firstLineChars="200"/>
          </w:pPr>
          <w:r>
            <w:rPr>
              <w:color w:val="auto"/>
            </w:rPr>
            <w:fldChar w:fldCharType="begin"/>
          </w:r>
          <w:r>
            <w:instrText xml:space="preserve"> HYPERLINK \l _Toc25993 </w:instrText>
          </w:r>
          <w:r>
            <w:fldChar w:fldCharType="separate"/>
          </w:r>
          <w:r>
            <w:rPr>
              <w:rFonts w:hint="eastAsia" w:ascii="Times New Roman" w:hAnsi="Times New Roman"/>
              <w:lang w:val="en-US" w:eastAsia="zh-CN"/>
            </w:rPr>
            <w:t>附件十</w:t>
          </w:r>
          <w:r>
            <w:rPr>
              <w:rFonts w:hint="eastAsia"/>
              <w:lang w:val="en-US" w:eastAsia="zh-CN"/>
            </w:rPr>
            <w:t>二</w:t>
          </w:r>
          <w:r>
            <w:rPr>
              <w:rFonts w:hint="eastAsia" w:ascii="Times New Roman" w:hAnsi="Times New Roman"/>
              <w:lang w:val="en-US" w:eastAsia="zh-CN"/>
            </w:rPr>
            <w:t>：受委托代理人身份证</w:t>
          </w:r>
          <w:r>
            <w:tab/>
          </w:r>
          <w:r>
            <w:fldChar w:fldCharType="begin"/>
          </w:r>
          <w:r>
            <w:instrText xml:space="preserve"> PAGEREF _Toc25993 \h </w:instrText>
          </w:r>
          <w:r>
            <w:fldChar w:fldCharType="separate"/>
          </w:r>
          <w:r>
            <w:t>141</w:t>
          </w:r>
          <w:r>
            <w:fldChar w:fldCharType="end"/>
          </w:r>
          <w:r>
            <w:rPr>
              <w:color w:val="auto"/>
            </w:rPr>
            <w:fldChar w:fldCharType="end"/>
          </w:r>
        </w:p>
        <w:p w14:paraId="6F610766">
          <w:pPr>
            <w:pStyle w:val="13"/>
            <w:tabs>
              <w:tab w:val="right" w:leader="dot" w:pos="8844"/>
            </w:tabs>
            <w:ind w:firstLine="420" w:firstLineChars="200"/>
          </w:pPr>
          <w:r>
            <w:rPr>
              <w:color w:val="auto"/>
            </w:rPr>
            <w:fldChar w:fldCharType="begin"/>
          </w:r>
          <w:r>
            <w:instrText xml:space="preserve"> HYPERLINK \l _Toc24484 </w:instrText>
          </w:r>
          <w:r>
            <w:fldChar w:fldCharType="separate"/>
          </w:r>
          <w:r>
            <w:rPr>
              <w:rFonts w:hint="eastAsia" w:ascii="Times New Roman" w:hAnsi="Times New Roman"/>
              <w:lang w:val="en-US" w:eastAsia="zh-CN"/>
            </w:rPr>
            <w:t>附件十</w:t>
          </w:r>
          <w:r>
            <w:rPr>
              <w:rFonts w:hint="eastAsia"/>
              <w:lang w:val="en-US" w:eastAsia="zh-CN"/>
            </w:rPr>
            <w:t>三</w:t>
          </w:r>
          <w:r>
            <w:rPr>
              <w:rFonts w:hint="eastAsia" w:ascii="Times New Roman" w:hAnsi="Times New Roman"/>
              <w:lang w:val="en-US" w:eastAsia="zh-CN"/>
            </w:rPr>
            <w:t>：授权委托书</w:t>
          </w:r>
          <w:r>
            <w:tab/>
          </w:r>
          <w:r>
            <w:fldChar w:fldCharType="begin"/>
          </w:r>
          <w:r>
            <w:instrText xml:space="preserve"> PAGEREF _Toc24484 \h </w:instrText>
          </w:r>
          <w:r>
            <w:fldChar w:fldCharType="separate"/>
          </w:r>
          <w:r>
            <w:t>142</w:t>
          </w:r>
          <w:r>
            <w:fldChar w:fldCharType="end"/>
          </w:r>
          <w:r>
            <w:rPr>
              <w:color w:val="auto"/>
            </w:rPr>
            <w:fldChar w:fldCharType="end"/>
          </w:r>
        </w:p>
        <w:p w14:paraId="6ED6E881">
          <w:pPr>
            <w:pStyle w:val="13"/>
            <w:tabs>
              <w:tab w:val="right" w:leader="dot" w:pos="8844"/>
            </w:tabs>
            <w:ind w:firstLine="420" w:firstLineChars="200"/>
          </w:pPr>
          <w:r>
            <w:rPr>
              <w:color w:val="auto"/>
            </w:rPr>
            <w:fldChar w:fldCharType="begin"/>
          </w:r>
          <w:r>
            <w:instrText xml:space="preserve"> HYPERLINK \l _Toc28894 </w:instrText>
          </w:r>
          <w:r>
            <w:fldChar w:fldCharType="separate"/>
          </w:r>
          <w:r>
            <w:rPr>
              <w:rFonts w:hint="eastAsia" w:ascii="Times New Roman" w:hAnsi="Times New Roman"/>
              <w:lang w:val="en-US" w:eastAsia="zh-CN"/>
            </w:rPr>
            <w:t>附件十</w:t>
          </w:r>
          <w:r>
            <w:rPr>
              <w:rFonts w:hint="eastAsia"/>
              <w:lang w:val="en-US" w:eastAsia="zh-CN"/>
            </w:rPr>
            <w:t>四</w:t>
          </w:r>
          <w:r>
            <w:rPr>
              <w:rFonts w:hint="eastAsia" w:ascii="Times New Roman" w:hAnsi="Times New Roman"/>
              <w:lang w:val="en-US" w:eastAsia="zh-CN"/>
            </w:rPr>
            <w:t>：</w:t>
          </w:r>
          <w:r>
            <w:rPr>
              <w:rFonts w:hint="eastAsia"/>
              <w:lang w:val="en-US" w:eastAsia="zh-CN"/>
            </w:rPr>
            <w:t>（MSDS）清洗剂</w:t>
          </w:r>
          <w:r>
            <w:tab/>
          </w:r>
          <w:r>
            <w:fldChar w:fldCharType="begin"/>
          </w:r>
          <w:r>
            <w:instrText xml:space="preserve"> PAGEREF _Toc28894 \h </w:instrText>
          </w:r>
          <w:r>
            <w:fldChar w:fldCharType="separate"/>
          </w:r>
          <w:r>
            <w:t>143</w:t>
          </w:r>
          <w:r>
            <w:fldChar w:fldCharType="end"/>
          </w:r>
          <w:r>
            <w:rPr>
              <w:color w:val="auto"/>
            </w:rPr>
            <w:fldChar w:fldCharType="end"/>
          </w:r>
        </w:p>
        <w:p w14:paraId="278C1FFB">
          <w:pPr>
            <w:pStyle w:val="13"/>
            <w:tabs>
              <w:tab w:val="right" w:leader="dot" w:pos="8844"/>
            </w:tabs>
            <w:ind w:firstLine="420" w:firstLineChars="200"/>
          </w:pPr>
          <w:r>
            <w:rPr>
              <w:color w:val="auto"/>
            </w:rPr>
            <w:fldChar w:fldCharType="begin"/>
          </w:r>
          <w:r>
            <w:instrText xml:space="preserve"> HYPERLINK \l _Toc28647 </w:instrText>
          </w:r>
          <w:r>
            <w:fldChar w:fldCharType="separate"/>
          </w:r>
          <w:r>
            <w:rPr>
              <w:rFonts w:hint="eastAsia"/>
              <w:lang w:val="en-US" w:eastAsia="zh-CN"/>
            </w:rPr>
            <w:t>附件十五：福建省生态环境分区管控综合查询报告</w:t>
          </w:r>
          <w:r>
            <w:tab/>
          </w:r>
          <w:r>
            <w:fldChar w:fldCharType="begin"/>
          </w:r>
          <w:r>
            <w:instrText xml:space="preserve"> PAGEREF _Toc28647 \h </w:instrText>
          </w:r>
          <w:r>
            <w:fldChar w:fldCharType="separate"/>
          </w:r>
          <w:r>
            <w:t>148</w:t>
          </w:r>
          <w:r>
            <w:fldChar w:fldCharType="end"/>
          </w:r>
          <w:r>
            <w:rPr>
              <w:color w:val="auto"/>
            </w:rPr>
            <w:fldChar w:fldCharType="end"/>
          </w:r>
        </w:p>
        <w:p w14:paraId="18037614">
          <w:pPr>
            <w:pStyle w:val="13"/>
            <w:tabs>
              <w:tab w:val="right" w:leader="dot" w:pos="8844"/>
            </w:tabs>
            <w:ind w:firstLine="420" w:firstLineChars="200"/>
          </w:pPr>
          <w:r>
            <w:rPr>
              <w:color w:val="auto"/>
            </w:rPr>
            <w:fldChar w:fldCharType="begin"/>
          </w:r>
          <w:r>
            <w:instrText xml:space="preserve"> HYPERLINK \l _Toc6900 </w:instrText>
          </w:r>
          <w:r>
            <w:fldChar w:fldCharType="separate"/>
          </w:r>
          <w:r>
            <w:rPr>
              <w:rFonts w:hint="eastAsia" w:ascii="宋体" w:hAnsi="宋体" w:eastAsia="宋体" w:cs="宋体"/>
              <w:bCs/>
              <w:spacing w:val="-6"/>
              <w:kern w:val="0"/>
              <w:szCs w:val="28"/>
              <w:lang w:val="en-US" w:eastAsia="zh-CN" w:bidi="ar-SA"/>
            </w:rPr>
            <w:t>附件</w:t>
          </w:r>
          <w:r>
            <w:rPr>
              <w:rFonts w:hint="eastAsia" w:ascii="宋体" w:hAnsi="宋体" w:cs="宋体"/>
              <w:bCs/>
              <w:spacing w:val="-6"/>
              <w:kern w:val="0"/>
              <w:szCs w:val="28"/>
              <w:lang w:val="en-US" w:eastAsia="zh-CN" w:bidi="ar-SA"/>
            </w:rPr>
            <w:t>十六</w:t>
          </w:r>
          <w:r>
            <w:rPr>
              <w:rFonts w:hint="eastAsia" w:ascii="宋体" w:hAnsi="宋体" w:eastAsia="宋体" w:cs="宋体"/>
              <w:bCs/>
              <w:spacing w:val="-6"/>
              <w:kern w:val="0"/>
              <w:szCs w:val="28"/>
              <w:lang w:val="en-US" w:eastAsia="zh-CN" w:bidi="ar-SA"/>
            </w:rPr>
            <w:t>：纯水制备技术方案及主要参数</w:t>
          </w:r>
          <w:r>
            <w:tab/>
          </w:r>
          <w:r>
            <w:fldChar w:fldCharType="begin"/>
          </w:r>
          <w:r>
            <w:instrText xml:space="preserve"> PAGEREF _Toc6900 \h </w:instrText>
          </w:r>
          <w:r>
            <w:fldChar w:fldCharType="separate"/>
          </w:r>
          <w:r>
            <w:t>154</w:t>
          </w:r>
          <w:r>
            <w:fldChar w:fldCharType="end"/>
          </w:r>
          <w:r>
            <w:rPr>
              <w:color w:val="auto"/>
            </w:rPr>
            <w:fldChar w:fldCharType="end"/>
          </w:r>
        </w:p>
        <w:p w14:paraId="1FD5CF98">
          <w:pPr>
            <w:pStyle w:val="13"/>
            <w:tabs>
              <w:tab w:val="right" w:leader="dot" w:pos="8844"/>
            </w:tabs>
            <w:ind w:firstLine="420" w:firstLineChars="200"/>
          </w:pPr>
          <w:r>
            <w:rPr>
              <w:color w:val="auto"/>
            </w:rPr>
            <w:fldChar w:fldCharType="begin"/>
          </w:r>
          <w:r>
            <w:instrText xml:space="preserve"> HYPERLINK \l _Toc27178 </w:instrText>
          </w:r>
          <w:r>
            <w:fldChar w:fldCharType="separate"/>
          </w:r>
          <w:r>
            <w:rPr>
              <w:rFonts w:hint="eastAsia"/>
              <w:highlight w:val="none"/>
              <w:lang w:val="en-US" w:eastAsia="zh-CN"/>
            </w:rPr>
            <w:t>附件十七：参考同行业的检测报告</w:t>
          </w:r>
          <w:r>
            <w:tab/>
          </w:r>
          <w:r>
            <w:fldChar w:fldCharType="begin"/>
          </w:r>
          <w:r>
            <w:instrText xml:space="preserve"> PAGEREF _Toc27178 \h </w:instrText>
          </w:r>
          <w:r>
            <w:fldChar w:fldCharType="separate"/>
          </w:r>
          <w:r>
            <w:t>155</w:t>
          </w:r>
          <w:r>
            <w:fldChar w:fldCharType="end"/>
          </w:r>
          <w:r>
            <w:rPr>
              <w:color w:val="auto"/>
            </w:rPr>
            <w:fldChar w:fldCharType="end"/>
          </w:r>
        </w:p>
        <w:p w14:paraId="5F469AB8">
          <w:pPr>
            <w:pStyle w:val="13"/>
            <w:tabs>
              <w:tab w:val="right" w:leader="dot" w:pos="8844"/>
            </w:tabs>
            <w:ind w:firstLine="420" w:firstLineChars="200"/>
          </w:pPr>
          <w:r>
            <w:rPr>
              <w:color w:val="auto"/>
            </w:rPr>
            <w:fldChar w:fldCharType="begin"/>
          </w:r>
          <w:r>
            <w:instrText xml:space="preserve"> HYPERLINK \l _Toc22229 </w:instrText>
          </w:r>
          <w:r>
            <w:fldChar w:fldCharType="separate"/>
          </w:r>
          <w:r>
            <w:rPr>
              <w:rFonts w:hint="eastAsia" w:ascii="宋体" w:hAnsi="宋体" w:cs="宋体"/>
              <w:bCs/>
              <w:spacing w:val="-6"/>
              <w:kern w:val="0"/>
              <w:szCs w:val="28"/>
              <w:lang w:val="en-US" w:eastAsia="zh-CN" w:bidi="ar-SA"/>
            </w:rPr>
            <w:t>附件十八：</w:t>
          </w:r>
          <w:r>
            <w:rPr>
              <w:rFonts w:hint="eastAsia" w:ascii="Times New Roman" w:hAnsi="Times New Roman" w:eastAsia="宋体" w:cs="Times New Roman"/>
              <w:bCs/>
              <w:kern w:val="2"/>
              <w:szCs w:val="28"/>
              <w:highlight w:val="none"/>
              <w:lang w:val="en-US" w:eastAsia="zh-CN" w:bidi="ar-SA"/>
            </w:rPr>
            <w:t>现状监测报告</w:t>
          </w:r>
          <w:r>
            <w:tab/>
          </w:r>
          <w:r>
            <w:fldChar w:fldCharType="begin"/>
          </w:r>
          <w:r>
            <w:instrText xml:space="preserve"> PAGEREF _Toc22229 \h </w:instrText>
          </w:r>
          <w:r>
            <w:fldChar w:fldCharType="separate"/>
          </w:r>
          <w:r>
            <w:t>161</w:t>
          </w:r>
          <w:r>
            <w:fldChar w:fldCharType="end"/>
          </w:r>
          <w:r>
            <w:rPr>
              <w:color w:val="auto"/>
            </w:rPr>
            <w:fldChar w:fldCharType="end"/>
          </w:r>
        </w:p>
        <w:p w14:paraId="441F14B0">
          <w:pPr>
            <w:spacing w:before="0" w:beforeLines="0" w:after="0" w:afterLines="0" w:line="240" w:lineRule="auto"/>
            <w:ind w:left="0" w:leftChars="0" w:right="0" w:rightChars="0" w:firstLine="420" w:firstLineChars="200"/>
            <w:jc w:val="center"/>
            <w:rPr>
              <w:rFonts w:hint="eastAsia" w:ascii="Times New Roman" w:hAnsi="Times New Roman"/>
              <w:color w:val="auto"/>
            </w:rPr>
            <w:sectPr>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r>
            <w:rPr>
              <w:color w:val="auto"/>
            </w:rPr>
            <w:fldChar w:fldCharType="end"/>
          </w:r>
        </w:p>
      </w:sdtContent>
    </w:sdt>
    <w:p w14:paraId="1EE2120B">
      <w:pPr>
        <w:pStyle w:val="2"/>
        <w:bidi w:val="0"/>
        <w:ind w:firstLine="602" w:firstLineChars="200"/>
        <w:jc w:val="center"/>
        <w:outlineLvl w:val="0"/>
        <w:rPr>
          <w:rFonts w:hint="eastAsia" w:ascii="Times New Roman" w:hAnsi="Times New Roman"/>
          <w:color w:val="auto"/>
        </w:rPr>
      </w:pPr>
      <w:r>
        <w:rPr>
          <w:rFonts w:hint="eastAsia" w:ascii="Times New Roman" w:hAnsi="Times New Roman"/>
          <w:color w:val="auto"/>
        </w:rPr>
        <w:t>一、建设项目基本情况</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83"/>
        <w:gridCol w:w="2612"/>
        <w:gridCol w:w="2508"/>
        <w:gridCol w:w="2767"/>
      </w:tblGrid>
      <w:tr w14:paraId="052BB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1F095E37">
            <w:pPr>
              <w:adjustRightInd w:val="0"/>
              <w:snapToGrid w:val="0"/>
              <w:jc w:val="center"/>
              <w:rPr>
                <w:rFonts w:ascii="Times New Roman" w:hAnsi="Times New Roman" w:cs="宋体"/>
                <w:color w:val="auto"/>
                <w:szCs w:val="21"/>
              </w:rPr>
            </w:pPr>
            <w:r>
              <w:rPr>
                <w:rFonts w:hint="eastAsia" w:ascii="Times New Roman" w:hAnsi="Times New Roman" w:cs="宋体"/>
                <w:color w:val="auto"/>
                <w:szCs w:val="21"/>
              </w:rPr>
              <w:t>建设项目名称</w:t>
            </w:r>
          </w:p>
        </w:tc>
        <w:tc>
          <w:tcPr>
            <w:tcW w:w="7887" w:type="dxa"/>
            <w:gridSpan w:val="3"/>
            <w:noWrap w:val="0"/>
            <w:vAlign w:val="center"/>
          </w:tcPr>
          <w:p w14:paraId="4CCE446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lang w:eastAsia="zh-CN"/>
              </w:rPr>
            </w:pPr>
            <w:r>
              <w:rPr>
                <w:rFonts w:hint="eastAsia"/>
                <w:color w:val="auto"/>
                <w:lang w:eastAsia="zh-CN"/>
              </w:rPr>
              <w:t>磁晶光电科技(福州)有限责任公司年产45万片晶体、5万片精密光学元件项目</w:t>
            </w:r>
          </w:p>
        </w:tc>
      </w:tr>
      <w:tr w14:paraId="631AEC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36B09603">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项目代码</w:t>
            </w:r>
          </w:p>
        </w:tc>
        <w:tc>
          <w:tcPr>
            <w:tcW w:w="7887" w:type="dxa"/>
            <w:gridSpan w:val="3"/>
            <w:noWrap w:val="0"/>
            <w:vAlign w:val="center"/>
          </w:tcPr>
          <w:p w14:paraId="4BD8C1E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color w:val="auto"/>
                <w:lang w:val="en-US" w:eastAsia="zh-CN"/>
              </w:rPr>
              <w:t>2608-350121-04-01-836064</w:t>
            </w:r>
          </w:p>
        </w:tc>
      </w:tr>
      <w:tr w14:paraId="734E37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14084413">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建设单位联系人</w:t>
            </w:r>
          </w:p>
        </w:tc>
        <w:tc>
          <w:tcPr>
            <w:tcW w:w="2612" w:type="dxa"/>
            <w:noWrap w:val="0"/>
            <w:vAlign w:val="center"/>
          </w:tcPr>
          <w:p w14:paraId="4D3DA80A">
            <w:pPr>
              <w:pStyle w:val="30"/>
              <w:bidi w:val="0"/>
              <w:rPr>
                <w:rFonts w:hint="default" w:ascii="Times New Roman" w:hAnsi="Times New Roman" w:eastAsia="宋体"/>
                <w:color w:val="0000FF"/>
                <w:lang w:val="en-US" w:eastAsia="zh-CN"/>
              </w:rPr>
            </w:pPr>
            <w:r>
              <w:rPr>
                <w:rFonts w:hint="eastAsia" w:cs="Times New Roman"/>
                <w:color w:val="auto"/>
                <w:lang w:val="en-US" w:eastAsia="zh-CN"/>
              </w:rPr>
              <w:t>***</w:t>
            </w:r>
          </w:p>
        </w:tc>
        <w:tc>
          <w:tcPr>
            <w:tcW w:w="2508" w:type="dxa"/>
            <w:noWrap w:val="0"/>
            <w:vAlign w:val="center"/>
          </w:tcPr>
          <w:p w14:paraId="7AEC6A69">
            <w:pPr>
              <w:pStyle w:val="30"/>
              <w:bidi w:val="0"/>
              <w:rPr>
                <w:rFonts w:ascii="Times New Roman" w:hAnsi="Times New Roman"/>
                <w:color w:val="0000FF"/>
              </w:rPr>
            </w:pPr>
            <w:r>
              <w:rPr>
                <w:rFonts w:hint="eastAsia" w:ascii="Times New Roman" w:hAnsi="Times New Roman"/>
                <w:color w:val="auto"/>
              </w:rPr>
              <w:t>联系方式</w:t>
            </w:r>
          </w:p>
        </w:tc>
        <w:tc>
          <w:tcPr>
            <w:tcW w:w="2767" w:type="dxa"/>
            <w:noWrap w:val="0"/>
            <w:vAlign w:val="center"/>
          </w:tcPr>
          <w:p w14:paraId="18905037">
            <w:pPr>
              <w:pStyle w:val="30"/>
              <w:bidi w:val="0"/>
              <w:rPr>
                <w:rFonts w:hint="default" w:ascii="Times New Roman" w:hAnsi="Times New Roman" w:eastAsia="宋体"/>
                <w:color w:val="auto"/>
                <w:lang w:val="en-US" w:eastAsia="zh-CN"/>
              </w:rPr>
            </w:pPr>
            <w:r>
              <w:rPr>
                <w:rFonts w:hint="eastAsia" w:cs="宋体"/>
                <w:color w:val="auto"/>
                <w:kern w:val="2"/>
                <w:sz w:val="21"/>
                <w:szCs w:val="21"/>
                <w:lang w:val="en-US" w:eastAsia="zh-CN" w:bidi="ar-SA"/>
              </w:rPr>
              <w:t>***</w:t>
            </w:r>
          </w:p>
        </w:tc>
      </w:tr>
      <w:tr w14:paraId="5C689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338A9AD2">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建设地点</w:t>
            </w:r>
          </w:p>
        </w:tc>
        <w:tc>
          <w:tcPr>
            <w:tcW w:w="7887" w:type="dxa"/>
            <w:gridSpan w:val="3"/>
            <w:noWrap w:val="0"/>
            <w:vAlign w:val="center"/>
          </w:tcPr>
          <w:p w14:paraId="60ED404C">
            <w:pPr>
              <w:keepNext w:val="0"/>
              <w:keepLines w:val="0"/>
              <w:widowControl/>
              <w:suppressLineNumbers w:val="0"/>
              <w:jc w:val="left"/>
              <w:rPr>
                <w:rFonts w:hint="default" w:ascii="Times New Roman" w:hAnsi="Times New Roman"/>
                <w:color w:val="auto"/>
                <w:lang w:val="en-US" w:eastAsia="zh-CN"/>
              </w:rPr>
            </w:pPr>
            <w:r>
              <w:rPr>
                <w:rFonts w:hint="eastAsia" w:cs="Times New Roman"/>
                <w:color w:val="auto"/>
                <w:kern w:val="0"/>
                <w:sz w:val="21"/>
                <w:szCs w:val="20"/>
                <w:lang w:val="en-US" w:eastAsia="zh-CN" w:bidi="ar-SA"/>
              </w:rPr>
              <w:t>福建省福州市闽侯县上街镇高新大道巨泽中心1号楼2层、2号楼2-3层和3号楼2、4层（租赁福建巨泽生物医药有限公司空置厂房）</w:t>
            </w:r>
          </w:p>
        </w:tc>
      </w:tr>
      <w:tr w14:paraId="470D34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419852E3">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地理坐标</w:t>
            </w:r>
          </w:p>
        </w:tc>
        <w:tc>
          <w:tcPr>
            <w:tcW w:w="7887" w:type="dxa"/>
            <w:gridSpan w:val="3"/>
            <w:noWrap w:val="0"/>
            <w:vAlign w:val="center"/>
          </w:tcPr>
          <w:p w14:paraId="587793B8">
            <w:pPr>
              <w:pStyle w:val="30"/>
              <w:bidi w:val="0"/>
              <w:rPr>
                <w:rFonts w:hint="eastAsia" w:ascii="Times New Roman" w:hAnsi="Times New Roman"/>
                <w:color w:val="auto"/>
              </w:rPr>
            </w:pPr>
            <w:r>
              <w:rPr>
                <w:rFonts w:hint="eastAsia" w:ascii="Times New Roman" w:hAnsi="Times New Roman"/>
                <w:color w:val="auto"/>
                <w:lang w:val="en-US" w:eastAsia="zh-CN"/>
              </w:rPr>
              <w:t>（119°13'49.918" E,26°0'33.767" N）</w:t>
            </w:r>
          </w:p>
        </w:tc>
      </w:tr>
      <w:tr w14:paraId="22201B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983" w:type="dxa"/>
            <w:noWrap w:val="0"/>
            <w:tcMar>
              <w:top w:w="16" w:type="dxa"/>
              <w:left w:w="16" w:type="dxa"/>
              <w:right w:w="16" w:type="dxa"/>
            </w:tcMar>
            <w:vAlign w:val="center"/>
          </w:tcPr>
          <w:p w14:paraId="68084A21">
            <w:pPr>
              <w:pStyle w:val="30"/>
              <w:bidi w:val="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国民经济</w:t>
            </w:r>
          </w:p>
          <w:p w14:paraId="1B1D2B7B">
            <w:pPr>
              <w:pStyle w:val="30"/>
              <w:bidi w:val="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行业类别</w:t>
            </w:r>
          </w:p>
        </w:tc>
        <w:tc>
          <w:tcPr>
            <w:tcW w:w="2612" w:type="dxa"/>
            <w:noWrap w:val="0"/>
            <w:vAlign w:val="center"/>
          </w:tcPr>
          <w:p w14:paraId="4C6B691A">
            <w:pPr>
              <w:pStyle w:val="30"/>
              <w:bidi w:val="0"/>
              <w:jc w:val="both"/>
              <w:rPr>
                <w:rFonts w:hint="default" w:ascii="Times New Roman" w:hAnsi="Times New Roman" w:eastAsia="宋体" w:cs="Times New Roman"/>
                <w:color w:val="auto"/>
                <w:lang w:val="en-US" w:eastAsia="zh-CN"/>
              </w:rPr>
            </w:pPr>
            <w:r>
              <w:rPr>
                <w:rFonts w:hint="default" w:ascii="Times New Roman" w:hAnsi="Times New Roman"/>
                <w:color w:val="auto"/>
                <w:lang w:val="en-US" w:eastAsia="zh-CN"/>
              </w:rPr>
              <w:t>C</w:t>
            </w:r>
            <w:r>
              <w:rPr>
                <w:rFonts w:hint="eastAsia" w:ascii="Times New Roman" w:hAnsi="Times New Roman"/>
                <w:color w:val="auto"/>
                <w:lang w:val="en-US" w:eastAsia="zh-CN"/>
              </w:rPr>
              <w:t>3985</w:t>
            </w:r>
            <w:r>
              <w:rPr>
                <w:rFonts w:hint="default" w:ascii="Times New Roman" w:hAnsi="Times New Roman"/>
                <w:color w:val="auto"/>
                <w:lang w:val="en-US" w:eastAsia="zh-CN"/>
              </w:rPr>
              <w:t>电</w:t>
            </w:r>
            <w:r>
              <w:rPr>
                <w:rFonts w:hint="default" w:ascii="Times New Roman" w:hAnsi="Times New Roman" w:eastAsia="宋体" w:cs="Times New Roman"/>
                <w:color w:val="auto"/>
                <w:lang w:val="en-US" w:eastAsia="zh-CN"/>
              </w:rPr>
              <w:t>子专用材料制造</w:t>
            </w:r>
          </w:p>
          <w:p w14:paraId="69353466">
            <w:pPr>
              <w:pStyle w:val="30"/>
              <w:bidi w:val="0"/>
              <w:jc w:val="both"/>
              <w:rPr>
                <w:rFonts w:hint="default"/>
                <w:color w:val="auto"/>
                <w:lang w:val="en-US" w:eastAsia="zh-CN"/>
              </w:rPr>
            </w:pPr>
            <w:r>
              <w:rPr>
                <w:rFonts w:hint="default" w:ascii="Times New Roman" w:hAnsi="Times New Roman" w:eastAsia="宋体" w:cs="Times New Roman"/>
                <w:color w:val="auto"/>
                <w:lang w:val="en-US" w:eastAsia="zh-CN"/>
              </w:rPr>
              <w:t>C4040光学仪</w:t>
            </w:r>
            <w:r>
              <w:rPr>
                <w:rFonts w:hint="default"/>
                <w:color w:val="auto"/>
                <w:lang w:val="en-US" w:eastAsia="zh-CN"/>
              </w:rPr>
              <w:t>器制造</w:t>
            </w:r>
          </w:p>
        </w:tc>
        <w:tc>
          <w:tcPr>
            <w:tcW w:w="2508" w:type="dxa"/>
            <w:noWrap w:val="0"/>
            <w:vAlign w:val="center"/>
          </w:tcPr>
          <w:p w14:paraId="58179585">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建设项目类别</w:t>
            </w:r>
          </w:p>
        </w:tc>
        <w:tc>
          <w:tcPr>
            <w:tcW w:w="2767" w:type="dxa"/>
            <w:noWrap w:val="0"/>
            <w:vAlign w:val="center"/>
          </w:tcPr>
          <w:p w14:paraId="11210703">
            <w:pPr>
              <w:pStyle w:val="30"/>
              <w:bidi w:val="0"/>
              <w:rPr>
                <w:rFonts w:hint="default" w:ascii="Times New Roman" w:hAnsi="Times New Roman"/>
                <w:color w:val="auto"/>
                <w:lang w:eastAsia="zh-CN"/>
              </w:rPr>
            </w:pPr>
            <w:r>
              <w:rPr>
                <w:rFonts w:hint="default" w:ascii="Times New Roman" w:hAnsi="Times New Roman" w:eastAsia="宋体" w:cs="Times New Roman"/>
                <w:color w:val="auto"/>
                <w:szCs w:val="21"/>
              </w:rPr>
              <w:t>三十六、计算机、通信和其他电子设备制造业39，</w:t>
            </w:r>
            <w:r>
              <w:rPr>
                <w:rFonts w:hint="eastAsia" w:ascii="Times New Roman" w:hAnsi="Times New Roman" w:cs="Times New Roman"/>
                <w:color w:val="auto"/>
                <w:szCs w:val="21"/>
                <w:lang w:val="en-US" w:eastAsia="zh-CN"/>
              </w:rPr>
              <w:t>81</w:t>
            </w:r>
            <w:r>
              <w:rPr>
                <w:rFonts w:hint="default" w:ascii="Times New Roman" w:hAnsi="Times New Roman" w:eastAsia="宋体" w:cs="Times New Roman"/>
                <w:color w:val="auto"/>
                <w:szCs w:val="21"/>
                <w:lang w:val="en-US" w:eastAsia="zh-CN"/>
              </w:rPr>
              <w:t>、电子元件及电子专用材料制造398</w:t>
            </w:r>
          </w:p>
        </w:tc>
      </w:tr>
      <w:tr w14:paraId="25A9B7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983" w:type="dxa"/>
            <w:noWrap w:val="0"/>
            <w:tcMar>
              <w:top w:w="16" w:type="dxa"/>
              <w:left w:w="16" w:type="dxa"/>
              <w:right w:w="16" w:type="dxa"/>
            </w:tcMar>
            <w:vAlign w:val="center"/>
          </w:tcPr>
          <w:p w14:paraId="245BA08A">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建设性质</w:t>
            </w:r>
          </w:p>
        </w:tc>
        <w:tc>
          <w:tcPr>
            <w:tcW w:w="2612" w:type="dxa"/>
            <w:noWrap w:val="0"/>
            <w:vAlign w:val="center"/>
          </w:tcPr>
          <w:p w14:paraId="3D95C62E">
            <w:pPr>
              <w:ind w:firstLine="420" w:firstLineChars="200"/>
              <w:jc w:val="left"/>
              <w:rPr>
                <w:rFonts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新建（</w:t>
            </w:r>
            <w:r>
              <w:rPr>
                <w:rFonts w:hint="eastAsia" w:ascii="Times New Roman" w:hAnsi="Times New Roman" w:cs="宋体"/>
                <w:color w:val="auto"/>
                <w:szCs w:val="21"/>
                <w:lang w:val="en-US" w:eastAsia="zh-CN"/>
              </w:rPr>
              <w:t>迁</w:t>
            </w:r>
            <w:r>
              <w:rPr>
                <w:rFonts w:hint="eastAsia" w:ascii="Times New Roman" w:hAnsi="Times New Roman" w:cs="宋体"/>
                <w:color w:val="auto"/>
                <w:szCs w:val="21"/>
                <w:lang w:eastAsia="zh-CN"/>
              </w:rPr>
              <w:t>建</w:t>
            </w:r>
            <w:r>
              <w:rPr>
                <w:rFonts w:hint="eastAsia" w:ascii="Times New Roman" w:hAnsi="Times New Roman" w:cs="宋体"/>
                <w:color w:val="auto"/>
                <w:szCs w:val="21"/>
              </w:rPr>
              <w:t>）</w:t>
            </w:r>
          </w:p>
          <w:p w14:paraId="49BA8CA7">
            <w:pPr>
              <w:ind w:firstLine="420" w:firstLineChars="200"/>
              <w:jc w:val="left"/>
              <w:rPr>
                <w:rFonts w:hint="eastAsia"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改建</w:t>
            </w:r>
          </w:p>
          <w:p w14:paraId="28536173">
            <w:pPr>
              <w:ind w:firstLine="420" w:firstLineChars="200"/>
              <w:jc w:val="left"/>
              <w:rPr>
                <w:rFonts w:hint="eastAsia"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扩建</w:t>
            </w:r>
          </w:p>
          <w:p w14:paraId="5AE06977">
            <w:pPr>
              <w:ind w:firstLine="420" w:firstLineChars="200"/>
              <w:jc w:val="left"/>
              <w:rPr>
                <w:rFonts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技术改造</w:t>
            </w:r>
          </w:p>
        </w:tc>
        <w:tc>
          <w:tcPr>
            <w:tcW w:w="2508" w:type="dxa"/>
            <w:noWrap w:val="0"/>
            <w:vAlign w:val="center"/>
          </w:tcPr>
          <w:p w14:paraId="59ABC037">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建设项目申报情形</w:t>
            </w:r>
          </w:p>
        </w:tc>
        <w:tc>
          <w:tcPr>
            <w:tcW w:w="2767" w:type="dxa"/>
            <w:noWrap w:val="0"/>
            <w:vAlign w:val="center"/>
          </w:tcPr>
          <w:p w14:paraId="480B6CBD">
            <w:pPr>
              <w:ind w:firstLine="420" w:firstLineChars="200"/>
              <w:jc w:val="left"/>
              <w:rPr>
                <w:rFonts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首次申报项目</w:t>
            </w:r>
            <w:r>
              <w:rPr>
                <w:rFonts w:ascii="Times New Roman" w:hAnsi="Times New Roman" w:cs="宋体"/>
                <w:color w:val="auto"/>
                <w:szCs w:val="21"/>
              </w:rPr>
              <w:t xml:space="preserve">             </w:t>
            </w:r>
          </w:p>
          <w:p w14:paraId="587C01B5">
            <w:pPr>
              <w:ind w:firstLine="420" w:firstLineChars="200"/>
              <w:jc w:val="left"/>
              <w:rPr>
                <w:rFonts w:ascii="Times New Roman" w:hAnsi="Times New Roman" w:cs="宋体"/>
                <w:color w:val="auto"/>
                <w:szCs w:val="21"/>
              </w:rPr>
            </w:pPr>
            <w:r>
              <w:rPr>
                <w:rFonts w:hint="eastAsia" w:ascii="Times New Roman" w:hAnsi="Times New Roman" w:cs="宋体"/>
                <w:color w:val="auto"/>
                <w:szCs w:val="21"/>
              </w:rPr>
              <w:t>□不予批准后再次申报项目</w:t>
            </w:r>
          </w:p>
          <w:p w14:paraId="256B68FF">
            <w:pPr>
              <w:ind w:firstLine="420" w:firstLineChars="200"/>
              <w:jc w:val="left"/>
              <w:rPr>
                <w:rFonts w:ascii="Times New Roman" w:hAnsi="Times New Roman" w:cs="宋体"/>
                <w:color w:val="auto"/>
                <w:szCs w:val="21"/>
              </w:rPr>
            </w:pPr>
            <w:r>
              <w:rPr>
                <w:rFonts w:hint="eastAsia" w:ascii="Times New Roman" w:hAnsi="Times New Roman" w:cs="宋体"/>
                <w:color w:val="auto"/>
                <w:szCs w:val="21"/>
              </w:rPr>
              <w:t>□超五年重新审核项目</w:t>
            </w:r>
            <w:r>
              <w:rPr>
                <w:rFonts w:ascii="Times New Roman" w:hAnsi="Times New Roman" w:cs="宋体"/>
                <w:color w:val="auto"/>
                <w:szCs w:val="21"/>
              </w:rPr>
              <w:t xml:space="preserve">     </w:t>
            </w:r>
          </w:p>
          <w:p w14:paraId="679D3129">
            <w:pPr>
              <w:ind w:firstLine="420" w:firstLineChars="200"/>
              <w:jc w:val="left"/>
              <w:rPr>
                <w:rFonts w:ascii="Times New Roman" w:hAnsi="Times New Roman" w:cs="宋体"/>
                <w:color w:val="auto"/>
                <w:szCs w:val="21"/>
              </w:rPr>
            </w:pPr>
            <w:r>
              <w:rPr>
                <w:rFonts w:hint="eastAsia" w:ascii="Times New Roman" w:hAnsi="Times New Roman" w:cs="宋体"/>
                <w:color w:val="auto"/>
                <w:szCs w:val="21"/>
              </w:rPr>
              <w:t>□重大变动重新报批项目</w:t>
            </w:r>
          </w:p>
        </w:tc>
      </w:tr>
      <w:tr w14:paraId="119331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983" w:type="dxa"/>
            <w:noWrap w:val="0"/>
            <w:tcMar>
              <w:top w:w="16" w:type="dxa"/>
              <w:left w:w="16" w:type="dxa"/>
              <w:right w:w="16" w:type="dxa"/>
            </w:tcMar>
            <w:vAlign w:val="center"/>
          </w:tcPr>
          <w:p w14:paraId="73A2E00A">
            <w:pPr>
              <w:pStyle w:val="30"/>
              <w:bidi w:val="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项目审批（核准/</w:t>
            </w:r>
          </w:p>
          <w:p w14:paraId="4B788DF1">
            <w:pPr>
              <w:pStyle w:val="30"/>
              <w:bidi w:val="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备案）部门（选填）</w:t>
            </w:r>
          </w:p>
        </w:tc>
        <w:tc>
          <w:tcPr>
            <w:tcW w:w="2612" w:type="dxa"/>
            <w:noWrap w:val="0"/>
            <w:vAlign w:val="center"/>
          </w:tcPr>
          <w:p w14:paraId="386D0EC1">
            <w:pPr>
              <w:pStyle w:val="30"/>
              <w:bidi w:val="0"/>
              <w:jc w:val="center"/>
              <w:rPr>
                <w:rFonts w:hint="default" w:ascii="Times New Roman" w:hAnsi="Times New Roman" w:eastAsia="宋体"/>
                <w:color w:val="auto"/>
                <w:lang w:val="en-US" w:eastAsia="zh-CN"/>
              </w:rPr>
            </w:pPr>
            <w:r>
              <w:rPr>
                <w:rFonts w:hint="eastAsia" w:ascii="Times New Roman" w:hAnsi="Times New Roman"/>
                <w:color w:val="auto"/>
                <w:lang w:val="en-US" w:eastAsia="zh-CN"/>
              </w:rPr>
              <w:t>闽侯县发展和改革局</w:t>
            </w:r>
          </w:p>
        </w:tc>
        <w:tc>
          <w:tcPr>
            <w:tcW w:w="2508" w:type="dxa"/>
            <w:noWrap w:val="0"/>
            <w:vAlign w:val="center"/>
          </w:tcPr>
          <w:p w14:paraId="0D5DC9D0">
            <w:pPr>
              <w:pStyle w:val="30"/>
              <w:bidi w:val="0"/>
              <w:jc w:val="center"/>
              <w:rPr>
                <w:rFonts w:hint="eastAsia" w:ascii="Times New Roman" w:hAnsi="Times New Roman"/>
                <w:color w:val="auto"/>
                <w:lang w:val="en-US" w:eastAsia="zh-CN"/>
              </w:rPr>
            </w:pPr>
            <w:r>
              <w:rPr>
                <w:rFonts w:hint="eastAsia" w:ascii="Times New Roman" w:hAnsi="Times New Roman"/>
                <w:color w:val="auto"/>
                <w:lang w:val="en-US" w:eastAsia="zh-CN"/>
              </w:rPr>
              <w:t>项目审批（核准</w:t>
            </w:r>
            <w:r>
              <w:rPr>
                <w:rFonts w:hint="default" w:ascii="Times New Roman" w:hAnsi="Times New Roman"/>
                <w:color w:val="auto"/>
                <w:lang w:val="en-US" w:eastAsia="zh-CN"/>
              </w:rPr>
              <w:t>/</w:t>
            </w:r>
            <w:r>
              <w:rPr>
                <w:rFonts w:hint="eastAsia" w:ascii="Times New Roman" w:hAnsi="Times New Roman"/>
                <w:color w:val="auto"/>
                <w:lang w:val="en-US" w:eastAsia="zh-CN"/>
              </w:rPr>
              <w:t>备案）</w:t>
            </w:r>
          </w:p>
          <w:p w14:paraId="10FBD8A7">
            <w:pPr>
              <w:pStyle w:val="30"/>
              <w:bidi w:val="0"/>
              <w:jc w:val="center"/>
              <w:rPr>
                <w:rFonts w:hint="eastAsia" w:ascii="Times New Roman" w:hAnsi="Times New Roman"/>
                <w:color w:val="auto"/>
                <w:lang w:val="en-US" w:eastAsia="zh-CN"/>
              </w:rPr>
            </w:pPr>
            <w:r>
              <w:rPr>
                <w:rFonts w:hint="eastAsia" w:ascii="Times New Roman" w:hAnsi="Times New Roman"/>
                <w:color w:val="auto"/>
                <w:lang w:val="en-US" w:eastAsia="zh-CN"/>
              </w:rPr>
              <w:t>文号（选填）</w:t>
            </w:r>
          </w:p>
        </w:tc>
        <w:tc>
          <w:tcPr>
            <w:tcW w:w="2767" w:type="dxa"/>
            <w:noWrap w:val="0"/>
            <w:vAlign w:val="center"/>
          </w:tcPr>
          <w:p w14:paraId="4A69E5C9">
            <w:pPr>
              <w:pStyle w:val="30"/>
              <w:bidi w:val="0"/>
              <w:rPr>
                <w:rFonts w:hint="default" w:ascii="Times New Roman" w:hAnsi="Times New Roman" w:eastAsia="宋体"/>
                <w:color w:val="auto"/>
                <w:lang w:val="en-US" w:eastAsia="zh-CN"/>
              </w:rPr>
            </w:pPr>
            <w:r>
              <w:rPr>
                <w:rFonts w:hint="eastAsia"/>
                <w:color w:val="auto"/>
                <w:lang w:val="en-US" w:eastAsia="zh-CN"/>
              </w:rPr>
              <w:t>闽发改备[2026]A080723号</w:t>
            </w:r>
          </w:p>
        </w:tc>
      </w:tr>
      <w:tr w14:paraId="5D6DF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7F27E3E2">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总投资（万元）</w:t>
            </w:r>
          </w:p>
        </w:tc>
        <w:tc>
          <w:tcPr>
            <w:tcW w:w="2612" w:type="dxa"/>
            <w:noWrap w:val="0"/>
            <w:vAlign w:val="center"/>
          </w:tcPr>
          <w:p w14:paraId="715428DC">
            <w:pPr>
              <w:pStyle w:val="30"/>
              <w:bidi w:val="0"/>
              <w:rPr>
                <w:rFonts w:hint="default" w:ascii="Times New Roman" w:hAnsi="Times New Roman" w:eastAsia="宋体"/>
                <w:color w:val="auto"/>
                <w:lang w:val="en-US" w:eastAsia="zh-CN"/>
              </w:rPr>
            </w:pPr>
            <w:r>
              <w:rPr>
                <w:rFonts w:hint="eastAsia"/>
                <w:color w:val="auto"/>
                <w:lang w:val="en-US" w:eastAsia="zh-CN"/>
              </w:rPr>
              <w:t>5</w:t>
            </w:r>
            <w:r>
              <w:rPr>
                <w:rFonts w:hint="eastAsia" w:ascii="Times New Roman" w:hAnsi="Times New Roman"/>
                <w:color w:val="auto"/>
                <w:lang w:val="en-US" w:eastAsia="zh-CN"/>
              </w:rPr>
              <w:t>00</w:t>
            </w:r>
          </w:p>
        </w:tc>
        <w:tc>
          <w:tcPr>
            <w:tcW w:w="2508" w:type="dxa"/>
            <w:noWrap w:val="0"/>
            <w:tcMar>
              <w:top w:w="16" w:type="dxa"/>
              <w:left w:w="16" w:type="dxa"/>
              <w:right w:w="16" w:type="dxa"/>
            </w:tcMar>
            <w:vAlign w:val="center"/>
          </w:tcPr>
          <w:p w14:paraId="0460A6C4">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环保投资（万元）</w:t>
            </w:r>
          </w:p>
        </w:tc>
        <w:tc>
          <w:tcPr>
            <w:tcW w:w="2767" w:type="dxa"/>
            <w:noWrap w:val="0"/>
            <w:vAlign w:val="center"/>
          </w:tcPr>
          <w:p w14:paraId="1E1B9C33">
            <w:pPr>
              <w:pStyle w:val="30"/>
              <w:bidi w:val="0"/>
              <w:rPr>
                <w:rFonts w:hint="default" w:ascii="Times New Roman" w:hAnsi="Times New Roman" w:eastAsia="宋体"/>
                <w:color w:val="auto"/>
                <w:lang w:val="en-US" w:eastAsia="zh-CN"/>
              </w:rPr>
            </w:pPr>
            <w:r>
              <w:rPr>
                <w:rFonts w:hint="eastAsia"/>
                <w:color w:val="auto"/>
                <w:lang w:val="en-US" w:eastAsia="zh-CN"/>
              </w:rPr>
              <w:t>30</w:t>
            </w:r>
          </w:p>
        </w:tc>
      </w:tr>
      <w:tr w14:paraId="68A6CD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76EBAAE9">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环保投资占比（%）</w:t>
            </w:r>
          </w:p>
        </w:tc>
        <w:tc>
          <w:tcPr>
            <w:tcW w:w="2612" w:type="dxa"/>
            <w:noWrap w:val="0"/>
            <w:vAlign w:val="center"/>
          </w:tcPr>
          <w:p w14:paraId="537F97DB">
            <w:pPr>
              <w:pStyle w:val="30"/>
              <w:bidi w:val="0"/>
              <w:rPr>
                <w:rFonts w:hint="default" w:ascii="Times New Roman" w:hAnsi="Times New Roman" w:eastAsia="宋体"/>
                <w:color w:val="auto"/>
                <w:lang w:val="en-US" w:eastAsia="zh-CN"/>
              </w:rPr>
            </w:pPr>
            <w:r>
              <w:rPr>
                <w:rFonts w:hint="eastAsia"/>
                <w:color w:val="auto"/>
                <w:lang w:val="en-US" w:eastAsia="zh-CN"/>
              </w:rPr>
              <w:t>6</w:t>
            </w:r>
            <w:r>
              <w:rPr>
                <w:rFonts w:hint="eastAsia" w:ascii="Times New Roman" w:hAnsi="Times New Roman"/>
                <w:color w:val="auto"/>
                <w:lang w:val="en-US" w:eastAsia="zh-CN"/>
              </w:rPr>
              <w:t>.0%</w:t>
            </w:r>
          </w:p>
        </w:tc>
        <w:tc>
          <w:tcPr>
            <w:tcW w:w="2508" w:type="dxa"/>
            <w:noWrap w:val="0"/>
            <w:tcMar>
              <w:top w:w="16" w:type="dxa"/>
              <w:left w:w="16" w:type="dxa"/>
              <w:right w:w="16" w:type="dxa"/>
            </w:tcMar>
            <w:vAlign w:val="center"/>
          </w:tcPr>
          <w:p w14:paraId="723DEEDE">
            <w:pPr>
              <w:pStyle w:val="30"/>
              <w:bidi w:val="0"/>
              <w:jc w:val="center"/>
              <w:rPr>
                <w:rFonts w:hint="default" w:ascii="Times New Roman" w:hAnsi="Times New Roman"/>
                <w:color w:val="auto"/>
                <w:lang w:val="en-US" w:eastAsia="zh-CN"/>
              </w:rPr>
            </w:pPr>
            <w:r>
              <w:rPr>
                <w:rFonts w:hint="eastAsia" w:ascii="Times New Roman" w:hAnsi="Times New Roman"/>
                <w:color w:val="auto"/>
                <w:lang w:val="en-US" w:eastAsia="zh-CN"/>
              </w:rPr>
              <w:t>施工工期</w:t>
            </w:r>
          </w:p>
        </w:tc>
        <w:tc>
          <w:tcPr>
            <w:tcW w:w="2767" w:type="dxa"/>
            <w:noWrap w:val="0"/>
            <w:vAlign w:val="center"/>
          </w:tcPr>
          <w:p w14:paraId="1900C149">
            <w:pPr>
              <w:pStyle w:val="30"/>
              <w:bidi w:val="0"/>
              <w:rPr>
                <w:rFonts w:hint="default" w:ascii="Times New Roman" w:hAnsi="Times New Roman" w:eastAsia="宋体"/>
                <w:color w:val="auto"/>
                <w:lang w:val="en-US" w:eastAsia="zh-CN"/>
              </w:rPr>
            </w:pPr>
            <w:r>
              <w:rPr>
                <w:rFonts w:hint="eastAsia"/>
                <w:color w:val="auto"/>
                <w:lang w:val="en-US" w:eastAsia="zh-CN"/>
              </w:rPr>
              <w:t>5</w:t>
            </w:r>
            <w:r>
              <w:rPr>
                <w:rFonts w:hint="eastAsia" w:ascii="Times New Roman" w:hAnsi="Times New Roman"/>
                <w:color w:val="auto"/>
                <w:lang w:val="en-US" w:eastAsia="zh-CN"/>
              </w:rPr>
              <w:t>个月</w:t>
            </w:r>
          </w:p>
        </w:tc>
      </w:tr>
      <w:tr w14:paraId="0A6574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3" w:type="dxa"/>
            <w:noWrap w:val="0"/>
            <w:tcMar>
              <w:top w:w="16" w:type="dxa"/>
              <w:left w:w="16" w:type="dxa"/>
              <w:right w:w="16" w:type="dxa"/>
            </w:tcMar>
            <w:vAlign w:val="center"/>
          </w:tcPr>
          <w:p w14:paraId="38466E06">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是否开工建设</w:t>
            </w:r>
          </w:p>
        </w:tc>
        <w:tc>
          <w:tcPr>
            <w:tcW w:w="2612" w:type="dxa"/>
            <w:noWrap w:val="0"/>
            <w:vAlign w:val="center"/>
          </w:tcPr>
          <w:p w14:paraId="78BA2CD4">
            <w:pPr>
              <w:adjustRightInd w:val="0"/>
              <w:snapToGrid w:val="0"/>
              <w:ind w:firstLine="420" w:firstLineChars="200"/>
              <w:rPr>
                <w:rFonts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否</w:t>
            </w:r>
          </w:p>
          <w:p w14:paraId="798A05B0">
            <w:pPr>
              <w:adjustRightInd w:val="0"/>
              <w:snapToGrid w:val="0"/>
              <w:ind w:firstLine="420" w:firstLineChars="200"/>
              <w:rPr>
                <w:rFonts w:ascii="Times New Roman" w:hAnsi="Times New Roman" w:cs="宋体"/>
                <w:color w:val="auto"/>
                <w:szCs w:val="21"/>
              </w:rPr>
            </w:pPr>
            <w:r>
              <w:rPr>
                <w:rFonts w:hint="eastAsia" w:ascii="Times New Roman" w:hAnsi="Times New Roman" w:cs="宋体"/>
                <w:color w:val="auto"/>
                <w:szCs w:val="21"/>
              </w:rPr>
              <w:t>□是：</w:t>
            </w:r>
            <w:r>
              <w:rPr>
                <w:rFonts w:hint="eastAsia" w:ascii="Times New Roman" w:hAnsi="Times New Roman" w:cs="宋体"/>
                <w:color w:val="auto"/>
                <w:szCs w:val="21"/>
                <w:u w:val="single"/>
              </w:rPr>
              <w:t xml:space="preserve">             </w:t>
            </w:r>
          </w:p>
        </w:tc>
        <w:tc>
          <w:tcPr>
            <w:tcW w:w="2508" w:type="dxa"/>
            <w:noWrap w:val="0"/>
            <w:tcMar>
              <w:top w:w="16" w:type="dxa"/>
              <w:left w:w="16" w:type="dxa"/>
              <w:right w:w="16" w:type="dxa"/>
            </w:tcMar>
            <w:vAlign w:val="center"/>
          </w:tcPr>
          <w:p w14:paraId="59914242">
            <w:pPr>
              <w:pStyle w:val="30"/>
              <w:bidi w:val="0"/>
              <w:jc w:val="center"/>
              <w:rPr>
                <w:rFonts w:hint="eastAsia" w:ascii="Times New Roman" w:hAnsi="Times New Roman"/>
                <w:color w:val="auto"/>
                <w:lang w:val="en-US" w:eastAsia="zh-CN"/>
              </w:rPr>
            </w:pPr>
            <w:r>
              <w:rPr>
                <w:rFonts w:hint="eastAsia" w:ascii="Times New Roman" w:hAnsi="Times New Roman"/>
                <w:color w:val="auto"/>
                <w:lang w:val="en-US" w:eastAsia="zh-CN"/>
              </w:rPr>
              <w:t>用地（用海）</w:t>
            </w:r>
          </w:p>
          <w:p w14:paraId="5B5E99A7">
            <w:pPr>
              <w:pStyle w:val="30"/>
              <w:bidi w:val="0"/>
              <w:jc w:val="center"/>
              <w:rPr>
                <w:rFonts w:hint="eastAsia" w:ascii="Times New Roman" w:hAnsi="Times New Roman"/>
                <w:color w:val="auto"/>
                <w:lang w:val="en-US" w:eastAsia="zh-CN"/>
              </w:rPr>
            </w:pPr>
            <w:r>
              <w:rPr>
                <w:rFonts w:hint="eastAsia" w:ascii="Times New Roman" w:hAnsi="Times New Roman"/>
                <w:color w:val="auto"/>
                <w:lang w:val="en-US" w:eastAsia="zh-CN"/>
              </w:rPr>
              <w:t>面积（</w:t>
            </w:r>
            <w:r>
              <w:rPr>
                <w:rFonts w:hint="default" w:ascii="Times New Roman" w:hAnsi="Times New Roman"/>
                <w:color w:val="auto"/>
                <w:lang w:val="en-US" w:eastAsia="zh-CN"/>
              </w:rPr>
              <w:t>m</w:t>
            </w:r>
            <w:r>
              <w:rPr>
                <w:rFonts w:hint="default" w:ascii="Times New Roman" w:hAnsi="Times New Roman"/>
                <w:color w:val="auto"/>
                <w:vertAlign w:val="superscript"/>
                <w:lang w:val="en-US" w:eastAsia="zh-CN"/>
              </w:rPr>
              <w:t>2</w:t>
            </w:r>
            <w:r>
              <w:rPr>
                <w:rFonts w:hint="eastAsia" w:ascii="Times New Roman" w:hAnsi="Times New Roman"/>
                <w:color w:val="auto"/>
                <w:lang w:val="en-US" w:eastAsia="zh-CN"/>
              </w:rPr>
              <w:t>）</w:t>
            </w:r>
          </w:p>
        </w:tc>
        <w:tc>
          <w:tcPr>
            <w:tcW w:w="2767" w:type="dxa"/>
            <w:noWrap w:val="0"/>
            <w:vAlign w:val="center"/>
          </w:tcPr>
          <w:p w14:paraId="04F5B5F9">
            <w:pPr>
              <w:pStyle w:val="30"/>
              <w:bidi w:val="0"/>
              <w:rPr>
                <w:rFonts w:hint="default" w:ascii="Times New Roman" w:hAnsi="Times New Roman"/>
                <w:color w:val="auto"/>
                <w:lang w:val="en-US"/>
              </w:rPr>
            </w:pPr>
            <w:r>
              <w:rPr>
                <w:rFonts w:hint="eastAsia"/>
                <w:color w:val="auto"/>
                <w:lang w:val="en-US" w:eastAsia="zh-CN"/>
              </w:rPr>
              <w:t>7528.28</w:t>
            </w:r>
          </w:p>
        </w:tc>
      </w:tr>
      <w:tr w14:paraId="2F618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83" w:type="dxa"/>
            <w:noWrap w:val="0"/>
            <w:vAlign w:val="center"/>
          </w:tcPr>
          <w:p w14:paraId="3CC873F1">
            <w:pPr>
              <w:autoSpaceDE w:val="0"/>
              <w:autoSpaceDN w:val="0"/>
              <w:adjustRightInd w:val="0"/>
              <w:snapToGrid w:val="0"/>
              <w:jc w:val="center"/>
              <w:rPr>
                <w:rFonts w:ascii="Times New Roman" w:hAnsi="Times New Roman" w:cs="宋体"/>
                <w:color w:val="auto"/>
                <w:kern w:val="0"/>
                <w:szCs w:val="21"/>
              </w:rPr>
            </w:pPr>
            <w:r>
              <w:rPr>
                <w:rFonts w:hint="eastAsia" w:ascii="Times New Roman" w:hAnsi="Times New Roman" w:cs="宋体"/>
                <w:color w:val="auto"/>
                <w:kern w:val="0"/>
                <w:szCs w:val="21"/>
              </w:rPr>
              <w:t>专项评价设置情况</w:t>
            </w:r>
          </w:p>
        </w:tc>
        <w:tc>
          <w:tcPr>
            <w:tcW w:w="7887" w:type="dxa"/>
            <w:gridSpan w:val="3"/>
            <w:noWrap w:val="0"/>
            <w:vAlign w:val="center"/>
          </w:tcPr>
          <w:p w14:paraId="47680E97">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根据《建设项目环境影响报告表编制技术指南（污染影响类）（试行）》中表1专项评价设置原则表，本项目无须设置专项评价，详见表1-1。</w:t>
            </w:r>
          </w:p>
          <w:p w14:paraId="6EC16C41">
            <w:pPr>
              <w:pStyle w:val="27"/>
              <w:bidi w:val="0"/>
              <w:ind w:firstLine="482" w:firstLineChars="200"/>
              <w:rPr>
                <w:rFonts w:hint="default" w:ascii="Times New Roman" w:hAnsi="Times New Roman"/>
                <w:color w:val="auto"/>
                <w:sz w:val="24"/>
                <w:szCs w:val="24"/>
                <w:lang w:val="en-US" w:eastAsia="zh-CN"/>
              </w:rPr>
            </w:pPr>
            <w:r>
              <w:rPr>
                <w:rFonts w:hint="default" w:ascii="Times New Roman" w:hAnsi="Times New Roman"/>
                <w:color w:val="auto"/>
                <w:sz w:val="24"/>
                <w:szCs w:val="24"/>
                <w:lang w:val="en-US" w:eastAsia="zh-CN"/>
              </w:rPr>
              <w:t>表1-1</w:t>
            </w:r>
            <w:r>
              <w:rPr>
                <w:rFonts w:hint="eastAsia" w:ascii="Times New Roman" w:hAnsi="Times New Roman"/>
                <w:color w:val="auto"/>
                <w:sz w:val="24"/>
                <w:szCs w:val="24"/>
                <w:lang w:val="en-US" w:eastAsia="zh-CN"/>
              </w:rPr>
              <w:t xml:space="preserve"> </w:t>
            </w:r>
            <w:r>
              <w:rPr>
                <w:rFonts w:hint="default" w:ascii="Times New Roman" w:hAnsi="Times New Roman"/>
                <w:color w:val="auto"/>
                <w:sz w:val="24"/>
                <w:szCs w:val="24"/>
                <w:lang w:val="en-US" w:eastAsia="zh-CN"/>
              </w:rPr>
              <w:t xml:space="preserve"> 项目专项评价设置表</w:t>
            </w:r>
          </w:p>
          <w:tbl>
            <w:tblPr>
              <w:tblStyle w:val="19"/>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2348"/>
              <w:gridCol w:w="2311"/>
              <w:gridCol w:w="1097"/>
            </w:tblGrid>
            <w:tr w14:paraId="61D029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6" w:type="pct"/>
                  <w:tcBorders>
                    <w:tl2br w:val="nil"/>
                    <w:tr2bl w:val="nil"/>
                  </w:tcBorders>
                  <w:noWrap w:val="0"/>
                  <w:vAlign w:val="center"/>
                </w:tcPr>
                <w:p w14:paraId="21E772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专项评价的类别</w:t>
                  </w:r>
                </w:p>
              </w:tc>
              <w:tc>
                <w:tcPr>
                  <w:tcW w:w="1531" w:type="pct"/>
                  <w:tcBorders>
                    <w:tl2br w:val="nil"/>
                    <w:tr2bl w:val="nil"/>
                  </w:tcBorders>
                  <w:noWrap w:val="0"/>
                  <w:vAlign w:val="center"/>
                </w:tcPr>
                <w:p w14:paraId="635CC0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设置原则</w:t>
                  </w:r>
                </w:p>
              </w:tc>
              <w:tc>
                <w:tcPr>
                  <w:tcW w:w="1506" w:type="pct"/>
                  <w:tcBorders>
                    <w:tl2br w:val="nil"/>
                    <w:tr2bl w:val="nil"/>
                  </w:tcBorders>
                  <w:noWrap w:val="0"/>
                  <w:vAlign w:val="center"/>
                </w:tcPr>
                <w:p w14:paraId="79760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本项目情况</w:t>
                  </w:r>
                </w:p>
              </w:tc>
              <w:tc>
                <w:tcPr>
                  <w:tcW w:w="715" w:type="pct"/>
                  <w:tcBorders>
                    <w:tl2br w:val="nil"/>
                    <w:tr2bl w:val="nil"/>
                  </w:tcBorders>
                  <w:noWrap w:val="0"/>
                  <w:vAlign w:val="center"/>
                </w:tcPr>
                <w:p w14:paraId="4092C3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是否需要设置专项评价</w:t>
                  </w:r>
                </w:p>
              </w:tc>
            </w:tr>
            <w:tr w14:paraId="1252C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6" w:type="pct"/>
                  <w:tcBorders>
                    <w:tl2br w:val="nil"/>
                    <w:tr2bl w:val="nil"/>
                  </w:tcBorders>
                  <w:noWrap w:val="0"/>
                  <w:vAlign w:val="center"/>
                </w:tcPr>
                <w:p w14:paraId="3EFEC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大气</w:t>
                  </w:r>
                </w:p>
              </w:tc>
              <w:tc>
                <w:tcPr>
                  <w:tcW w:w="1531" w:type="pct"/>
                  <w:tcBorders>
                    <w:tl2br w:val="nil"/>
                    <w:tr2bl w:val="nil"/>
                  </w:tcBorders>
                  <w:noWrap w:val="0"/>
                  <w:vAlign w:val="center"/>
                </w:tcPr>
                <w:p w14:paraId="00BC99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排放废气含有毒有害污染物</w:t>
                  </w:r>
                  <w:r>
                    <w:rPr>
                      <w:rFonts w:ascii="Times New Roman" w:hAnsi="Times New Roman" w:eastAsia="宋体" w:cs="Times New Roman"/>
                      <w:color w:val="auto"/>
                      <w:kern w:val="0"/>
                      <w:sz w:val="21"/>
                      <w:szCs w:val="21"/>
                      <w:vertAlign w:val="superscript"/>
                      <w:lang w:val="en-US" w:eastAsia="zh-CN" w:bidi="ar-SA"/>
                    </w:rPr>
                    <w:t>1</w:t>
                  </w:r>
                  <w:r>
                    <w:rPr>
                      <w:rFonts w:ascii="Times New Roman" w:hAnsi="Times New Roman" w:eastAsia="宋体" w:cs="Times New Roman"/>
                      <w:color w:val="auto"/>
                      <w:kern w:val="0"/>
                      <w:sz w:val="21"/>
                      <w:szCs w:val="21"/>
                      <w:lang w:val="en-US" w:eastAsia="zh-CN" w:bidi="ar-SA"/>
                    </w:rPr>
                    <w:t>、二噁英、苯并[a]芘、氰化物、氯气且厂界外500米范围内有环境空气保护目标</w:t>
                  </w:r>
                  <w:r>
                    <w:rPr>
                      <w:rFonts w:ascii="Times New Roman" w:hAnsi="Times New Roman" w:eastAsia="宋体" w:cs="Times New Roman"/>
                      <w:color w:val="auto"/>
                      <w:kern w:val="0"/>
                      <w:sz w:val="21"/>
                      <w:szCs w:val="21"/>
                      <w:vertAlign w:val="superscript"/>
                      <w:lang w:val="en-US" w:eastAsia="zh-CN" w:bidi="ar-SA"/>
                    </w:rPr>
                    <w:t>2</w:t>
                  </w:r>
                  <w:r>
                    <w:rPr>
                      <w:rFonts w:ascii="Times New Roman" w:hAnsi="Times New Roman" w:eastAsia="宋体" w:cs="Times New Roman"/>
                      <w:color w:val="auto"/>
                      <w:kern w:val="0"/>
                      <w:sz w:val="21"/>
                      <w:szCs w:val="21"/>
                      <w:lang w:val="en-US" w:eastAsia="zh-CN" w:bidi="ar-SA"/>
                    </w:rPr>
                    <w:t>的建设项目</w:t>
                  </w:r>
                </w:p>
              </w:tc>
              <w:tc>
                <w:tcPr>
                  <w:tcW w:w="1506" w:type="pct"/>
                  <w:tcBorders>
                    <w:tl2br w:val="nil"/>
                    <w:tr2bl w:val="nil"/>
                  </w:tcBorders>
                  <w:noWrap w:val="0"/>
                  <w:vAlign w:val="center"/>
                </w:tcPr>
                <w:p w14:paraId="43B024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项目排放废气不含有毒有害污染物</w:t>
                  </w:r>
                  <w:r>
                    <w:rPr>
                      <w:rFonts w:hint="eastAsia" w:ascii="Times New Roman" w:hAnsi="Times New Roman" w:eastAsia="宋体" w:cs="Times New Roman"/>
                      <w:color w:val="auto"/>
                      <w:kern w:val="0"/>
                      <w:sz w:val="21"/>
                      <w:szCs w:val="21"/>
                      <w:vertAlign w:val="superscript"/>
                      <w:lang w:val="en-US" w:eastAsia="zh-CN" w:bidi="ar-SA"/>
                    </w:rPr>
                    <w:t>1</w:t>
                  </w:r>
                  <w:r>
                    <w:rPr>
                      <w:rFonts w:hint="eastAsia" w:ascii="Times New Roman" w:hAnsi="Times New Roman" w:eastAsia="宋体" w:cs="Times New Roman"/>
                      <w:color w:val="auto"/>
                      <w:kern w:val="0"/>
                      <w:sz w:val="21"/>
                      <w:szCs w:val="21"/>
                      <w:lang w:val="en-US" w:eastAsia="zh-CN" w:bidi="ar-SA"/>
                    </w:rPr>
                    <w:t>、二噁英苯并[a]芘、氰化物、氯气</w:t>
                  </w:r>
                </w:p>
              </w:tc>
              <w:tc>
                <w:tcPr>
                  <w:tcW w:w="715" w:type="pct"/>
                  <w:tcBorders>
                    <w:tl2br w:val="nil"/>
                    <w:tr2bl w:val="nil"/>
                  </w:tcBorders>
                  <w:noWrap w:val="0"/>
                  <w:vAlign w:val="center"/>
                </w:tcPr>
                <w:p w14:paraId="262579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01BE52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6" w:type="pct"/>
                  <w:tcBorders>
                    <w:tl2br w:val="nil"/>
                    <w:tr2bl w:val="nil"/>
                  </w:tcBorders>
                  <w:noWrap w:val="0"/>
                  <w:vAlign w:val="center"/>
                </w:tcPr>
                <w:p w14:paraId="569548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地表水</w:t>
                  </w:r>
                </w:p>
              </w:tc>
              <w:tc>
                <w:tcPr>
                  <w:tcW w:w="1531" w:type="pct"/>
                  <w:tcBorders>
                    <w:tl2br w:val="nil"/>
                    <w:tr2bl w:val="nil"/>
                  </w:tcBorders>
                  <w:noWrap w:val="0"/>
                  <w:vAlign w:val="center"/>
                </w:tcPr>
                <w:p w14:paraId="562151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新增工业废水直排建设项目（槽罐车外送污水处理厂的除外）；新增废水直排的污水集中处理厂</w:t>
                  </w:r>
                </w:p>
              </w:tc>
              <w:tc>
                <w:tcPr>
                  <w:tcW w:w="1506" w:type="pct"/>
                  <w:tcBorders>
                    <w:tl2br w:val="nil"/>
                    <w:tr2bl w:val="nil"/>
                  </w:tcBorders>
                  <w:noWrap w:val="0"/>
                  <w:vAlign w:val="center"/>
                </w:tcPr>
                <w:p w14:paraId="62B752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本项目为新建项目，项目外排的生产废水和生活污水经处理达标后排入市政管网后纳入大学城污水处理厂</w:t>
                  </w:r>
                </w:p>
              </w:tc>
              <w:tc>
                <w:tcPr>
                  <w:tcW w:w="715" w:type="pct"/>
                  <w:tcBorders>
                    <w:tl2br w:val="nil"/>
                    <w:tr2bl w:val="nil"/>
                  </w:tcBorders>
                  <w:noWrap w:val="0"/>
                  <w:vAlign w:val="center"/>
                </w:tcPr>
                <w:p w14:paraId="2F35F5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039D9F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6" w:type="pct"/>
                  <w:tcBorders>
                    <w:tl2br w:val="nil"/>
                    <w:tr2bl w:val="nil"/>
                  </w:tcBorders>
                  <w:noWrap w:val="0"/>
                  <w:vAlign w:val="center"/>
                </w:tcPr>
                <w:p w14:paraId="01FE89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环境风险</w:t>
                  </w:r>
                </w:p>
              </w:tc>
              <w:tc>
                <w:tcPr>
                  <w:tcW w:w="1531" w:type="pct"/>
                  <w:tcBorders>
                    <w:tl2br w:val="nil"/>
                    <w:tr2bl w:val="nil"/>
                  </w:tcBorders>
                  <w:noWrap w:val="0"/>
                  <w:vAlign w:val="center"/>
                </w:tcPr>
                <w:p w14:paraId="2D5FA2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有毒有害和易燃易爆危险物质存储量超过临界量</w:t>
                  </w:r>
                  <w:r>
                    <w:rPr>
                      <w:rFonts w:ascii="Times New Roman" w:hAnsi="Times New Roman" w:eastAsia="宋体" w:cs="Times New Roman"/>
                      <w:color w:val="auto"/>
                      <w:kern w:val="0"/>
                      <w:sz w:val="21"/>
                      <w:szCs w:val="21"/>
                      <w:vertAlign w:val="superscript"/>
                      <w:lang w:val="en-US" w:eastAsia="zh-CN" w:bidi="ar-SA"/>
                    </w:rPr>
                    <w:t>3</w:t>
                  </w:r>
                  <w:r>
                    <w:rPr>
                      <w:rFonts w:ascii="Times New Roman" w:hAnsi="Times New Roman" w:eastAsia="宋体" w:cs="Times New Roman"/>
                      <w:color w:val="auto"/>
                      <w:kern w:val="0"/>
                      <w:sz w:val="21"/>
                      <w:szCs w:val="21"/>
                      <w:lang w:val="en-US" w:eastAsia="zh-CN" w:bidi="ar-SA"/>
                    </w:rPr>
                    <w:t>的建设项目</w:t>
                  </w:r>
                </w:p>
              </w:tc>
              <w:tc>
                <w:tcPr>
                  <w:tcW w:w="1506" w:type="pct"/>
                  <w:tcBorders>
                    <w:tl2br w:val="nil"/>
                    <w:tr2bl w:val="nil"/>
                  </w:tcBorders>
                  <w:noWrap w:val="0"/>
                  <w:vAlign w:val="center"/>
                </w:tcPr>
                <w:p w14:paraId="1BDED8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本项目涉及</w:t>
                  </w:r>
                  <w:r>
                    <w:rPr>
                      <w:rFonts w:hint="eastAsia" w:ascii="Times New Roman" w:hAnsi="Times New Roman" w:eastAsia="宋体" w:cs="Times New Roman"/>
                      <w:color w:val="auto"/>
                      <w:kern w:val="0"/>
                      <w:sz w:val="21"/>
                      <w:szCs w:val="21"/>
                      <w:lang w:val="en-US" w:eastAsia="zh-CN" w:bidi="ar-SA"/>
                    </w:rPr>
                    <w:t>的</w:t>
                  </w:r>
                  <w:r>
                    <w:rPr>
                      <w:rFonts w:ascii="Times New Roman" w:hAnsi="Times New Roman" w:eastAsia="宋体" w:cs="Times New Roman"/>
                      <w:color w:val="auto"/>
                      <w:kern w:val="0"/>
                      <w:sz w:val="21"/>
                      <w:szCs w:val="21"/>
                      <w:lang w:val="en-US" w:eastAsia="zh-CN" w:bidi="ar-SA"/>
                    </w:rPr>
                    <w:t>有毒有害和易燃易爆危险物质</w:t>
                  </w:r>
                  <w:r>
                    <w:rPr>
                      <w:rFonts w:hint="eastAsia" w:ascii="Times New Roman" w:hAnsi="Times New Roman" w:eastAsia="宋体" w:cs="Times New Roman"/>
                      <w:color w:val="auto"/>
                      <w:kern w:val="0"/>
                      <w:sz w:val="21"/>
                      <w:szCs w:val="21"/>
                      <w:lang w:val="en-US" w:eastAsia="zh-CN" w:bidi="ar-SA"/>
                    </w:rPr>
                    <w:t>存储量未超过临界量</w:t>
                  </w:r>
                </w:p>
              </w:tc>
              <w:tc>
                <w:tcPr>
                  <w:tcW w:w="715" w:type="pct"/>
                  <w:tcBorders>
                    <w:tl2br w:val="nil"/>
                    <w:tr2bl w:val="nil"/>
                  </w:tcBorders>
                  <w:noWrap w:val="0"/>
                  <w:vAlign w:val="center"/>
                </w:tcPr>
                <w:p w14:paraId="2B6CC9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64110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6" w:type="pct"/>
                  <w:tcBorders>
                    <w:tl2br w:val="nil"/>
                    <w:tr2bl w:val="nil"/>
                  </w:tcBorders>
                  <w:noWrap w:val="0"/>
                  <w:vAlign w:val="center"/>
                </w:tcPr>
                <w:p w14:paraId="314C3D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生态</w:t>
                  </w:r>
                </w:p>
              </w:tc>
              <w:tc>
                <w:tcPr>
                  <w:tcW w:w="1531" w:type="pct"/>
                  <w:tcBorders>
                    <w:tl2br w:val="nil"/>
                    <w:tr2bl w:val="nil"/>
                  </w:tcBorders>
                  <w:noWrap w:val="0"/>
                  <w:vAlign w:val="center"/>
                </w:tcPr>
                <w:p w14:paraId="437A5B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取水口下游500米范围内有重要水生生物的自然产卵场、索饵场、越冬场和洄游通道的新增河道取水的污染类建设项目</w:t>
                  </w:r>
                </w:p>
              </w:tc>
              <w:tc>
                <w:tcPr>
                  <w:tcW w:w="1506" w:type="pct"/>
                  <w:tcBorders>
                    <w:tl2br w:val="nil"/>
                    <w:tr2bl w:val="nil"/>
                  </w:tcBorders>
                  <w:noWrap w:val="0"/>
                  <w:vAlign w:val="center"/>
                </w:tcPr>
                <w:p w14:paraId="1D38EE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不涉及</w:t>
                  </w:r>
                </w:p>
              </w:tc>
              <w:tc>
                <w:tcPr>
                  <w:tcW w:w="715" w:type="pct"/>
                  <w:tcBorders>
                    <w:tl2br w:val="nil"/>
                    <w:tr2bl w:val="nil"/>
                  </w:tcBorders>
                  <w:noWrap w:val="0"/>
                  <w:vAlign w:val="center"/>
                </w:tcPr>
                <w:p w14:paraId="71F8CB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44F0B4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6" w:type="pct"/>
                  <w:tcBorders>
                    <w:tl2br w:val="nil"/>
                    <w:tr2bl w:val="nil"/>
                  </w:tcBorders>
                  <w:noWrap w:val="0"/>
                  <w:vAlign w:val="center"/>
                </w:tcPr>
                <w:p w14:paraId="57ACDD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海洋</w:t>
                  </w:r>
                </w:p>
              </w:tc>
              <w:tc>
                <w:tcPr>
                  <w:tcW w:w="1531" w:type="pct"/>
                  <w:tcBorders>
                    <w:tl2br w:val="nil"/>
                    <w:tr2bl w:val="nil"/>
                  </w:tcBorders>
                  <w:noWrap w:val="0"/>
                  <w:vAlign w:val="center"/>
                </w:tcPr>
                <w:p w14:paraId="712D06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直接向海排放污染物的海洋工程建设项目</w:t>
                  </w:r>
                </w:p>
              </w:tc>
              <w:tc>
                <w:tcPr>
                  <w:tcW w:w="1506" w:type="pct"/>
                  <w:tcBorders>
                    <w:tl2br w:val="nil"/>
                    <w:tr2bl w:val="nil"/>
                  </w:tcBorders>
                  <w:noWrap w:val="0"/>
                  <w:vAlign w:val="center"/>
                </w:tcPr>
                <w:p w14:paraId="6D8217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不涉及</w:t>
                  </w:r>
                </w:p>
              </w:tc>
              <w:tc>
                <w:tcPr>
                  <w:tcW w:w="715" w:type="pct"/>
                  <w:tcBorders>
                    <w:tl2br w:val="nil"/>
                    <w:tr2bl w:val="nil"/>
                  </w:tcBorders>
                  <w:noWrap w:val="0"/>
                  <w:vAlign w:val="center"/>
                </w:tcPr>
                <w:p w14:paraId="176494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14738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1C96C88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18"/>
                      <w:szCs w:val="18"/>
                      <w:lang w:val="en-US" w:eastAsia="zh-CN" w:bidi="ar-SA"/>
                    </w:rPr>
                    <w:t>注：1.废气中有毒有害污染物指纳入《有毒有害大气污染物名录》的污染物（不包括无排放标准的污染物）</w:t>
                  </w:r>
                  <w:r>
                    <w:rPr>
                      <w:rFonts w:hint="eastAsia" w:ascii="Times New Roman" w:hAnsi="Times New Roman" w:eastAsia="宋体" w:cs="Times New Roman"/>
                      <w:color w:val="auto"/>
                      <w:kern w:val="0"/>
                      <w:sz w:val="18"/>
                      <w:szCs w:val="18"/>
                      <w:lang w:val="en-US" w:eastAsia="zh-CN" w:bidi="ar-SA"/>
                    </w:rPr>
                    <w:t>；</w:t>
                  </w:r>
                  <w:r>
                    <w:rPr>
                      <w:rFonts w:hint="default" w:ascii="Times New Roman" w:hAnsi="Times New Roman" w:eastAsia="宋体" w:cs="Times New Roman"/>
                      <w:color w:val="auto"/>
                      <w:kern w:val="0"/>
                      <w:sz w:val="18"/>
                      <w:szCs w:val="18"/>
                      <w:lang w:val="en-US" w:eastAsia="zh-CN" w:bidi="ar-SA"/>
                    </w:rPr>
                    <w:t>2.环境空气保护目标指自然保护区、风景名胜区、居住区、文化区和农村地区中人群较集中的区域</w:t>
                  </w:r>
                  <w:r>
                    <w:rPr>
                      <w:rFonts w:hint="eastAsia" w:ascii="Times New Roman" w:hAnsi="Times New Roman" w:eastAsia="宋体" w:cs="Times New Roman"/>
                      <w:color w:val="auto"/>
                      <w:kern w:val="0"/>
                      <w:sz w:val="18"/>
                      <w:szCs w:val="18"/>
                      <w:lang w:val="en-US" w:eastAsia="zh-CN" w:bidi="ar-SA"/>
                    </w:rPr>
                    <w:t>；</w:t>
                  </w:r>
                  <w:r>
                    <w:rPr>
                      <w:rFonts w:hint="default" w:ascii="Times New Roman" w:hAnsi="Times New Roman" w:eastAsia="宋体" w:cs="Times New Roman"/>
                      <w:color w:val="auto"/>
                      <w:kern w:val="0"/>
                      <w:sz w:val="18"/>
                      <w:szCs w:val="18"/>
                      <w:lang w:val="en-US" w:eastAsia="zh-CN" w:bidi="ar-SA"/>
                    </w:rPr>
                    <w:t>3.临界量及其计算方法可参考《建设项目环境风险评价技术导则》（HJ169）附录B、附录C。</w:t>
                  </w:r>
                </w:p>
              </w:tc>
            </w:tr>
          </w:tbl>
          <w:p w14:paraId="3A60B241">
            <w:pPr>
              <w:autoSpaceDE w:val="0"/>
              <w:autoSpaceDN w:val="0"/>
              <w:adjustRightInd w:val="0"/>
              <w:snapToGrid w:val="0"/>
              <w:jc w:val="center"/>
              <w:rPr>
                <w:rFonts w:hint="default" w:ascii="Times New Roman" w:hAnsi="Times New Roman" w:cs="宋体"/>
                <w:color w:val="auto"/>
                <w:kern w:val="0"/>
                <w:szCs w:val="21"/>
              </w:rPr>
            </w:pPr>
          </w:p>
        </w:tc>
      </w:tr>
      <w:tr w14:paraId="4E64F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983" w:type="dxa"/>
            <w:noWrap w:val="0"/>
            <w:vAlign w:val="center"/>
          </w:tcPr>
          <w:p w14:paraId="4D779C13">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规划情况</w:t>
            </w:r>
          </w:p>
        </w:tc>
        <w:tc>
          <w:tcPr>
            <w:tcW w:w="7887" w:type="dxa"/>
            <w:gridSpan w:val="3"/>
            <w:noWrap w:val="0"/>
            <w:vAlign w:val="center"/>
          </w:tcPr>
          <w:p w14:paraId="21E836C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jc w:val="left"/>
              <w:textAlignment w:val="auto"/>
              <w:rPr>
                <w:rFonts w:hint="eastAsia" w:ascii="Times New Roman" w:hAnsi="Times New Roman" w:eastAsia="宋体" w:cs="Times New Roman"/>
                <w:b w:val="0"/>
                <w:bCs w:val="0"/>
                <w:iCs w:val="0"/>
                <w:color w:val="auto"/>
                <w:kern w:val="2"/>
                <w:sz w:val="24"/>
                <w:szCs w:val="24"/>
                <w:lang w:val="en-US" w:eastAsia="zh-CN" w:bidi="ar-SA"/>
              </w:rPr>
            </w:pPr>
            <w:r>
              <w:rPr>
                <w:rFonts w:hint="eastAsia" w:ascii="Times New Roman" w:hAnsi="Times New Roman" w:eastAsia="宋体" w:cs="Times New Roman"/>
                <w:b w:val="0"/>
                <w:bCs w:val="0"/>
                <w:iCs w:val="0"/>
                <w:color w:val="auto"/>
                <w:kern w:val="2"/>
                <w:sz w:val="24"/>
                <w:szCs w:val="24"/>
                <w:lang w:val="en-US" w:eastAsia="zh-CN" w:bidi="ar-SA"/>
              </w:rPr>
              <w:t>①规划名称:《福州市国土空间总体规划（2021-2035年</w:t>
            </w:r>
            <w:r>
              <w:rPr>
                <w:rFonts w:hint="eastAsia" w:ascii="Times New Roman" w:hAnsi="Times New Roman" w:cs="Times New Roman"/>
                <w:b w:val="0"/>
                <w:bCs w:val="0"/>
                <w:iCs w:val="0"/>
                <w:color w:val="auto"/>
                <w:kern w:val="2"/>
                <w:sz w:val="24"/>
                <w:szCs w:val="24"/>
                <w:lang w:val="en-US" w:eastAsia="zh-CN" w:bidi="ar-SA"/>
              </w:rPr>
              <w:t>）</w:t>
            </w:r>
            <w:r>
              <w:rPr>
                <w:rFonts w:hint="eastAsia" w:ascii="Times New Roman" w:hAnsi="Times New Roman" w:eastAsia="宋体" w:cs="Times New Roman"/>
                <w:b w:val="0"/>
                <w:bCs w:val="0"/>
                <w:iCs w:val="0"/>
                <w:color w:val="auto"/>
                <w:kern w:val="2"/>
                <w:sz w:val="24"/>
                <w:szCs w:val="24"/>
                <w:lang w:val="en-US" w:eastAsia="zh-CN" w:bidi="ar-SA"/>
              </w:rPr>
              <w:t>》</w:t>
            </w:r>
            <w:r>
              <w:rPr>
                <w:rFonts w:hint="eastAsia" w:ascii="Times New Roman" w:hAnsi="Times New Roman" w:cs="Times New Roman"/>
                <w:b w:val="0"/>
                <w:bCs w:val="0"/>
                <w:iCs w:val="0"/>
                <w:color w:val="auto"/>
                <w:kern w:val="2"/>
                <w:sz w:val="24"/>
                <w:szCs w:val="24"/>
                <w:lang w:val="en-US" w:eastAsia="zh-CN" w:bidi="ar-SA"/>
              </w:rPr>
              <w:t>；</w:t>
            </w:r>
          </w:p>
          <w:p w14:paraId="5A444AC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jc w:val="left"/>
              <w:textAlignment w:val="auto"/>
              <w:rPr>
                <w:rFonts w:hint="eastAsia" w:ascii="Times New Roman" w:hAnsi="Times New Roman" w:eastAsia="宋体" w:cs="Times New Roman"/>
                <w:b w:val="0"/>
                <w:bCs w:val="0"/>
                <w:iCs w:val="0"/>
                <w:color w:val="auto"/>
                <w:kern w:val="2"/>
                <w:sz w:val="24"/>
                <w:szCs w:val="24"/>
                <w:lang w:val="en-US" w:eastAsia="zh-CN" w:bidi="ar-SA"/>
              </w:rPr>
            </w:pPr>
            <w:r>
              <w:rPr>
                <w:rFonts w:hint="eastAsia" w:ascii="Times New Roman" w:hAnsi="Times New Roman" w:eastAsia="宋体" w:cs="Times New Roman"/>
                <w:b w:val="0"/>
                <w:bCs w:val="0"/>
                <w:iCs w:val="0"/>
                <w:color w:val="auto"/>
                <w:kern w:val="2"/>
                <w:sz w:val="24"/>
                <w:szCs w:val="24"/>
                <w:lang w:val="en-US" w:eastAsia="zh-CN" w:bidi="ar-SA"/>
              </w:rPr>
              <w:t>审批机关:福州市自然资源和规划局</w:t>
            </w:r>
            <w:r>
              <w:rPr>
                <w:rFonts w:hint="eastAsia" w:ascii="Times New Roman" w:hAnsi="Times New Roman" w:cs="Times New Roman"/>
                <w:b w:val="0"/>
                <w:bCs w:val="0"/>
                <w:iCs w:val="0"/>
                <w:color w:val="auto"/>
                <w:kern w:val="2"/>
                <w:sz w:val="24"/>
                <w:szCs w:val="24"/>
                <w:lang w:val="en-US" w:eastAsia="zh-CN" w:bidi="ar-SA"/>
              </w:rPr>
              <w:t>；</w:t>
            </w:r>
          </w:p>
          <w:p w14:paraId="447C020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jc w:val="left"/>
              <w:textAlignment w:val="auto"/>
              <w:rPr>
                <w:rFonts w:hint="eastAsia" w:ascii="Times New Roman" w:hAnsi="Times New Roman" w:eastAsia="宋体" w:cs="Times New Roman"/>
                <w:b w:val="0"/>
                <w:bCs w:val="0"/>
                <w:iCs w:val="0"/>
                <w:color w:val="auto"/>
                <w:sz w:val="24"/>
                <w:szCs w:val="24"/>
                <w:lang w:val="en-US" w:eastAsia="zh-CN"/>
              </w:rPr>
            </w:pPr>
            <w:r>
              <w:rPr>
                <w:rFonts w:hint="eastAsia" w:ascii="Times New Roman" w:hAnsi="Times New Roman" w:eastAsia="宋体" w:cs="Times New Roman"/>
                <w:b w:val="0"/>
                <w:bCs w:val="0"/>
                <w:iCs w:val="0"/>
                <w:color w:val="auto"/>
                <w:kern w:val="2"/>
                <w:sz w:val="24"/>
                <w:szCs w:val="24"/>
                <w:lang w:val="en-US" w:eastAsia="zh-CN" w:bidi="ar-SA"/>
              </w:rPr>
              <w:t>审批文件名称及文号:无</w:t>
            </w:r>
            <w:r>
              <w:rPr>
                <w:rFonts w:hint="eastAsia" w:ascii="Times New Roman" w:hAnsi="Times New Roman" w:cs="Times New Roman"/>
                <w:b w:val="0"/>
                <w:bCs w:val="0"/>
                <w:iCs w:val="0"/>
                <w:color w:val="auto"/>
                <w:kern w:val="2"/>
                <w:sz w:val="24"/>
                <w:szCs w:val="24"/>
                <w:lang w:val="en-US" w:eastAsia="zh-CN" w:bidi="ar-SA"/>
              </w:rPr>
              <w:t>。</w:t>
            </w:r>
          </w:p>
        </w:tc>
      </w:tr>
      <w:tr w14:paraId="54A79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83" w:type="dxa"/>
            <w:noWrap w:val="0"/>
            <w:vAlign w:val="center"/>
          </w:tcPr>
          <w:p w14:paraId="76854EFE">
            <w:pPr>
              <w:pStyle w:val="30"/>
              <w:bidi w:val="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规划环境影响</w:t>
            </w:r>
          </w:p>
          <w:p w14:paraId="7790D9BF">
            <w:pPr>
              <w:pStyle w:val="30"/>
              <w:bidi w:val="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评价情况</w:t>
            </w:r>
          </w:p>
        </w:tc>
        <w:tc>
          <w:tcPr>
            <w:tcW w:w="7887" w:type="dxa"/>
            <w:gridSpan w:val="3"/>
            <w:noWrap w:val="0"/>
            <w:vAlign w:val="center"/>
          </w:tcPr>
          <w:p w14:paraId="7B6CC45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jc w:val="left"/>
              <w:textAlignment w:val="auto"/>
              <w:rPr>
                <w:rFonts w:hint="eastAsia" w:ascii="Times New Roman" w:hAnsi="Times New Roman" w:eastAsia="宋体"/>
                <w:color w:val="auto"/>
                <w:sz w:val="24"/>
                <w:szCs w:val="24"/>
                <w:lang w:val="en-US" w:eastAsia="zh-CN"/>
              </w:rPr>
            </w:pPr>
            <w:r>
              <w:rPr>
                <w:rFonts w:hint="eastAsia" w:ascii="Times New Roman" w:hAnsi="Times New Roman"/>
                <w:color w:val="auto"/>
                <w:sz w:val="24"/>
                <w:szCs w:val="24"/>
                <w:lang w:val="en-US" w:eastAsia="zh-CN"/>
              </w:rPr>
              <w:t>无</w:t>
            </w:r>
          </w:p>
        </w:tc>
      </w:tr>
      <w:tr w14:paraId="291AD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83" w:type="dxa"/>
            <w:noWrap w:val="0"/>
            <w:vAlign w:val="center"/>
          </w:tcPr>
          <w:p w14:paraId="414190AB">
            <w:pPr>
              <w:autoSpaceDE w:val="0"/>
              <w:autoSpaceDN w:val="0"/>
              <w:adjustRightInd w:val="0"/>
              <w:snapToGrid w:val="0"/>
              <w:jc w:val="center"/>
              <w:rPr>
                <w:rFonts w:ascii="Times New Roman" w:hAnsi="Times New Roman" w:cs="宋体"/>
                <w:color w:val="auto"/>
                <w:kern w:val="0"/>
                <w:szCs w:val="21"/>
              </w:rPr>
            </w:pPr>
            <w:r>
              <w:rPr>
                <w:rFonts w:hint="eastAsia" w:ascii="Times New Roman" w:hAnsi="Times New Roman" w:cs="宋体"/>
                <w:color w:val="auto"/>
                <w:kern w:val="0"/>
                <w:szCs w:val="21"/>
              </w:rPr>
              <w:t>规划及规划环境影响评价符合性分析</w:t>
            </w:r>
          </w:p>
        </w:tc>
        <w:tc>
          <w:tcPr>
            <w:tcW w:w="7887" w:type="dxa"/>
            <w:gridSpan w:val="3"/>
            <w:noWrap w:val="0"/>
            <w:vAlign w:val="center"/>
          </w:tcPr>
          <w:p w14:paraId="25847F51">
            <w:pPr>
              <w:pStyle w:val="3"/>
              <w:keepNext/>
              <w:keepLines/>
              <w:pageBreakBefore w:val="0"/>
              <w:widowControl w:val="0"/>
              <w:kinsoku/>
              <w:wordWrap/>
              <w:overflowPunct w:val="0"/>
              <w:topLinePunct w:val="0"/>
              <w:autoSpaceDE/>
              <w:autoSpaceDN/>
              <w:bidi w:val="0"/>
              <w:adjustRightInd/>
              <w:snapToGrid w:val="0"/>
              <w:spacing w:before="0" w:after="0"/>
              <w:ind w:left="431" w:firstLine="562" w:firstLineChars="200"/>
              <w:textAlignment w:val="auto"/>
              <w:rPr>
                <w:rFonts w:hint="eastAsia" w:ascii="Times New Roman" w:hAnsi="Times New Roman" w:eastAsia="宋体" w:cs="Times New Roman"/>
                <w:b/>
                <w:bCs w:val="0"/>
                <w:color w:val="auto"/>
                <w:lang w:val="en-US" w:eastAsia="zh-CN"/>
              </w:rPr>
            </w:pPr>
            <w:bookmarkStart w:id="8" w:name="_Toc25270"/>
            <w:bookmarkStart w:id="9" w:name="_Toc28621"/>
            <w:r>
              <w:rPr>
                <w:rFonts w:hint="eastAsia" w:ascii="Times New Roman" w:hAnsi="Times New Roman" w:eastAsia="宋体" w:cs="Times New Roman"/>
                <w:b/>
                <w:bCs w:val="0"/>
                <w:color w:val="auto"/>
                <w:lang w:val="en-US" w:eastAsia="zh-CN"/>
              </w:rPr>
              <w:t>1.</w:t>
            </w:r>
            <w:bookmarkStart w:id="10" w:name="_Toc25303"/>
            <w:r>
              <w:rPr>
                <w:rFonts w:hint="eastAsia" w:ascii="Times New Roman" w:hAnsi="Times New Roman" w:cs="Times New Roman"/>
                <w:b/>
                <w:bCs w:val="0"/>
                <w:color w:val="auto"/>
                <w:lang w:val="en-US" w:eastAsia="zh-CN"/>
              </w:rPr>
              <w:t>1</w:t>
            </w:r>
            <w:r>
              <w:rPr>
                <w:rFonts w:hint="eastAsia" w:ascii="Times New Roman" w:hAnsi="Times New Roman" w:eastAsia="宋体" w:cs="Times New Roman"/>
                <w:b/>
                <w:bCs w:val="0"/>
                <w:color w:val="auto"/>
                <w:lang w:val="en-US" w:eastAsia="zh-CN"/>
              </w:rPr>
              <w:t>与《福州市国土空间总体规划（2021—2035年）》“三区三线”符合性分析</w:t>
            </w:r>
            <w:bookmarkEnd w:id="8"/>
            <w:bookmarkEnd w:id="9"/>
            <w:bookmarkEnd w:id="10"/>
          </w:p>
          <w:p w14:paraId="1FD80D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《福州国土空间总体规划（2021—2035年）》提出以“山海廊道联通和流域治理”筑牢生态本底，以“多向开放和创新转化”增强中心城市功能，以“陆海联动与福州主城区</w:t>
            </w:r>
            <w:r>
              <w:rPr>
                <w:rFonts w:hint="eastAsia" w:ascii="Times New Roman" w:hAnsi="Times New Roman"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福州新区</w:t>
            </w:r>
            <w:r>
              <w:rPr>
                <w:rFonts w:hint="eastAsia" w:ascii="Times New Roman" w:hAnsi="Times New Roman"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平潭综合实验区协同”优化空间格局，以“文化彰显与宜居品质建设”提升城市吸引力，构建全域开发保护新框架。</w:t>
            </w:r>
          </w:p>
          <w:p w14:paraId="30B17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olor w:val="auto"/>
                <w:lang w:val="en-US" w:eastAsia="zh-CN"/>
              </w:rPr>
            </w:pPr>
            <w:r>
              <w:rPr>
                <w:rFonts w:hint="eastAsia" w:ascii="Times New Roman" w:hAnsi="Times New Roman" w:eastAsia="宋体" w:cs="宋体"/>
                <w:color w:val="auto"/>
                <w:kern w:val="2"/>
                <w:sz w:val="24"/>
                <w:szCs w:val="24"/>
                <w:lang w:val="en-US" w:eastAsia="zh-CN" w:bidi="ar-SA"/>
              </w:rPr>
              <w:t>根据福州市域国土空间控制线规划图，</w:t>
            </w:r>
            <w:r>
              <w:rPr>
                <w:rFonts w:hint="default" w:ascii="Times New Roman" w:hAnsi="Times New Roman" w:eastAsia="宋体" w:cs="宋体"/>
                <w:color w:val="auto"/>
                <w:kern w:val="2"/>
                <w:sz w:val="24"/>
                <w:szCs w:val="24"/>
                <w:lang w:val="en-US" w:eastAsia="zh-CN" w:bidi="ar-SA"/>
              </w:rPr>
              <w:t>项目</w:t>
            </w:r>
            <w:r>
              <w:rPr>
                <w:rFonts w:hint="eastAsia" w:ascii="Times New Roman" w:hAnsi="Times New Roman" w:eastAsia="宋体" w:cs="宋体"/>
                <w:color w:val="auto"/>
                <w:kern w:val="2"/>
                <w:sz w:val="24"/>
                <w:szCs w:val="24"/>
                <w:lang w:val="en-US" w:eastAsia="zh-CN" w:bidi="ar-SA"/>
              </w:rPr>
              <w:t>所在位置为</w:t>
            </w:r>
            <w:r>
              <w:rPr>
                <w:rFonts w:hint="eastAsia" w:cs="宋体"/>
                <w:color w:val="auto"/>
                <w:kern w:val="2"/>
                <w:sz w:val="24"/>
                <w:szCs w:val="24"/>
                <w:lang w:val="en-US" w:eastAsia="zh-CN" w:bidi="ar-SA"/>
              </w:rPr>
              <w:t>福建省福州市闽侯县上街镇高新大道巨泽中心1号楼2层、2号楼2-3层和3号楼2、4层</w:t>
            </w:r>
            <w:r>
              <w:rPr>
                <w:rFonts w:hint="eastAsia" w:ascii="Times New Roman" w:hAnsi="Times New Roman" w:eastAsia="宋体" w:cs="宋体"/>
                <w:color w:val="auto"/>
                <w:kern w:val="2"/>
                <w:sz w:val="24"/>
                <w:szCs w:val="24"/>
                <w:lang w:val="en-US" w:eastAsia="zh-CN" w:bidi="ar-SA"/>
              </w:rPr>
              <w:t>，不属于陆域生态保护红线，不属于海洋生态保护红线。项目</w:t>
            </w:r>
            <w:r>
              <w:rPr>
                <w:rFonts w:hint="default" w:ascii="Times New Roman" w:hAnsi="Times New Roman" w:eastAsia="宋体" w:cs="宋体"/>
                <w:color w:val="auto"/>
                <w:kern w:val="2"/>
                <w:sz w:val="24"/>
                <w:szCs w:val="24"/>
                <w:lang w:val="en-US" w:eastAsia="zh-CN" w:bidi="ar-SA"/>
              </w:rPr>
              <w:t>用地范围内不占用</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三区三线</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规划的永久基本农田，对基本农田的保有率无影响，不占用</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三区三线</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成果划定的生态保护红线区，用地属于工业用地，能够符合城镇集中建设区的功能定位。项目与</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三区三线</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的要求不冲突</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因此，项目符合国土空间规划。</w:t>
            </w:r>
            <w:r>
              <w:rPr>
                <w:rFonts w:hint="eastAsia" w:ascii="Times New Roman" w:hAnsi="Times New Roman" w:eastAsia="宋体" w:cs="宋体"/>
                <w:color w:val="auto"/>
                <w:kern w:val="2"/>
                <w:sz w:val="24"/>
                <w:szCs w:val="24"/>
                <w:lang w:val="en-US" w:eastAsia="zh-CN" w:bidi="ar-SA"/>
              </w:rPr>
              <w:t>详见</w:t>
            </w:r>
            <w:r>
              <w:rPr>
                <w:rFonts w:hint="eastAsia" w:ascii="Times New Roman" w:hAnsi="Times New Roman" w:cs="宋体"/>
                <w:color w:val="auto"/>
                <w:kern w:val="2"/>
                <w:sz w:val="24"/>
                <w:szCs w:val="24"/>
                <w:lang w:val="en-US" w:eastAsia="zh-CN" w:bidi="ar-SA"/>
              </w:rPr>
              <w:t>附图七</w:t>
            </w:r>
            <w:r>
              <w:rPr>
                <w:rFonts w:hint="eastAsia" w:ascii="Times New Roman" w:hAnsi="Times New Roman" w:eastAsia="宋体" w:cs="宋体"/>
                <w:color w:val="auto"/>
                <w:kern w:val="2"/>
                <w:sz w:val="24"/>
                <w:szCs w:val="24"/>
                <w:lang w:val="en-US" w:eastAsia="zh-CN" w:bidi="ar-SA"/>
              </w:rPr>
              <w:t>。</w:t>
            </w:r>
          </w:p>
        </w:tc>
      </w:tr>
      <w:tr w14:paraId="2F1D2E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1" w:hRule="atLeast"/>
          <w:jc w:val="center"/>
        </w:trPr>
        <w:tc>
          <w:tcPr>
            <w:tcW w:w="983" w:type="dxa"/>
            <w:noWrap w:val="0"/>
            <w:vAlign w:val="center"/>
          </w:tcPr>
          <w:p w14:paraId="456EF771">
            <w:pPr>
              <w:autoSpaceDE w:val="0"/>
              <w:autoSpaceDN w:val="0"/>
              <w:adjustRightInd w:val="0"/>
              <w:snapToGrid w:val="0"/>
              <w:jc w:val="center"/>
              <w:rPr>
                <w:rFonts w:hint="eastAsia" w:ascii="Times New Roman" w:hAnsi="Times New Roman" w:cs="宋体"/>
                <w:color w:val="auto"/>
                <w:kern w:val="0"/>
                <w:szCs w:val="21"/>
              </w:rPr>
            </w:pPr>
            <w:r>
              <w:rPr>
                <w:rFonts w:hint="eastAsia" w:ascii="Times New Roman" w:hAnsi="Times New Roman" w:cs="宋体"/>
                <w:color w:val="auto"/>
                <w:kern w:val="0"/>
                <w:szCs w:val="21"/>
              </w:rPr>
              <w:t>其他符合性分析</w:t>
            </w:r>
          </w:p>
        </w:tc>
        <w:tc>
          <w:tcPr>
            <w:tcW w:w="7887" w:type="dxa"/>
            <w:gridSpan w:val="3"/>
            <w:noWrap w:val="0"/>
            <w:vAlign w:val="center"/>
          </w:tcPr>
          <w:p w14:paraId="16517543">
            <w:pPr>
              <w:pStyle w:val="3"/>
              <w:keepNext/>
              <w:keepLines/>
              <w:pageBreakBefore w:val="0"/>
              <w:widowControl w:val="0"/>
              <w:kinsoku/>
              <w:wordWrap/>
              <w:overflowPunct w:val="0"/>
              <w:topLinePunct w:val="0"/>
              <w:autoSpaceDE/>
              <w:autoSpaceDN/>
              <w:bidi w:val="0"/>
              <w:adjustRightInd/>
              <w:snapToGrid w:val="0"/>
              <w:spacing w:before="0" w:after="0"/>
              <w:ind w:left="431" w:firstLine="562" w:firstLineChars="200"/>
              <w:textAlignment w:val="auto"/>
              <w:rPr>
                <w:rFonts w:hint="eastAsia" w:ascii="Times New Roman" w:hAnsi="Times New Roman" w:eastAsia="宋体" w:cs="Times New Roman"/>
                <w:b/>
                <w:bCs w:val="0"/>
                <w:color w:val="auto"/>
                <w:lang w:val="en-US" w:eastAsia="zh-CN"/>
              </w:rPr>
            </w:pPr>
            <w:bookmarkStart w:id="11" w:name="_Toc14918"/>
            <w:bookmarkStart w:id="12" w:name="_Toc516"/>
            <w:r>
              <w:rPr>
                <w:rFonts w:hint="eastAsia" w:ascii="Times New Roman" w:hAnsi="Times New Roman" w:eastAsia="宋体" w:cs="Times New Roman"/>
                <w:b/>
                <w:bCs w:val="0"/>
                <w:color w:val="auto"/>
                <w:lang w:val="en-US" w:eastAsia="zh-CN"/>
              </w:rPr>
              <w:t>1.</w:t>
            </w:r>
            <w:r>
              <w:rPr>
                <w:rFonts w:hint="eastAsia" w:ascii="Times New Roman" w:hAnsi="Times New Roman" w:cs="Times New Roman"/>
                <w:b/>
                <w:bCs w:val="0"/>
                <w:color w:val="auto"/>
                <w:lang w:val="en-US" w:eastAsia="zh-CN"/>
              </w:rPr>
              <w:t>2</w:t>
            </w:r>
            <w:r>
              <w:rPr>
                <w:rFonts w:hint="eastAsia" w:ascii="Times New Roman" w:hAnsi="Times New Roman" w:eastAsia="宋体" w:cs="Times New Roman"/>
                <w:b/>
                <w:bCs w:val="0"/>
                <w:color w:val="auto"/>
                <w:lang w:val="en-US" w:eastAsia="zh-CN"/>
              </w:rPr>
              <w:t>产业政策适宜性分析</w:t>
            </w:r>
            <w:bookmarkEnd w:id="11"/>
            <w:bookmarkEnd w:id="12"/>
          </w:p>
          <w:p w14:paraId="2CAFFF1D">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根据《产业结构调整指导目录（</w:t>
            </w:r>
            <w:r>
              <w:rPr>
                <w:rFonts w:hint="eastAsia" w:ascii="Times New Roman" w:hAnsi="Times New Roman"/>
                <w:color w:val="auto"/>
                <w:lang w:val="en-US" w:eastAsia="zh-CN"/>
              </w:rPr>
              <w:t>2024</w:t>
            </w:r>
            <w:r>
              <w:rPr>
                <w:rFonts w:hint="default" w:ascii="Times New Roman" w:hAnsi="Times New Roman"/>
                <w:color w:val="auto"/>
                <w:lang w:val="en-US" w:eastAsia="zh-CN"/>
              </w:rPr>
              <w:t>年本）》，本项目产品、生产工艺及设备均不属于产业政策中的限制和</w:t>
            </w:r>
            <w:r>
              <w:rPr>
                <w:rFonts w:hint="eastAsia" w:ascii="Times New Roman" w:hAnsi="Times New Roman"/>
                <w:color w:val="auto"/>
                <w:lang w:val="en-US" w:eastAsia="zh-CN"/>
              </w:rPr>
              <w:t>淘汰</w:t>
            </w:r>
            <w:r>
              <w:rPr>
                <w:rFonts w:hint="default" w:ascii="Times New Roman" w:hAnsi="Times New Roman"/>
                <w:color w:val="auto"/>
                <w:lang w:val="en-US" w:eastAsia="zh-CN"/>
              </w:rPr>
              <w:t>类，符合国家产业政策。</w:t>
            </w:r>
          </w:p>
          <w:p w14:paraId="3E26A3B9">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同时</w:t>
            </w:r>
            <w:r>
              <w:rPr>
                <w:rFonts w:hint="eastAsia" w:ascii="Times New Roman" w:hAnsi="Times New Roman"/>
                <w:color w:val="auto"/>
                <w:lang w:val="en-US" w:eastAsia="zh-CN"/>
              </w:rPr>
              <w:t>本</w:t>
            </w:r>
            <w:r>
              <w:rPr>
                <w:rFonts w:hint="default" w:ascii="Times New Roman" w:hAnsi="Times New Roman"/>
                <w:color w:val="auto"/>
                <w:lang w:val="en-US" w:eastAsia="zh-CN"/>
              </w:rPr>
              <w:t>项目已经取得</w:t>
            </w:r>
            <w:r>
              <w:rPr>
                <w:rFonts w:hint="eastAsia" w:ascii="Times New Roman" w:hAnsi="Times New Roman"/>
                <w:color w:val="auto"/>
                <w:lang w:val="en-US" w:eastAsia="zh-CN"/>
              </w:rPr>
              <w:t>闽侯县发展和改革局</w:t>
            </w:r>
            <w:r>
              <w:rPr>
                <w:rFonts w:hint="default" w:ascii="Times New Roman" w:hAnsi="Times New Roman"/>
                <w:color w:val="auto"/>
                <w:lang w:val="en-US" w:eastAsia="zh-CN"/>
              </w:rPr>
              <w:t>的备案，备案号为</w:t>
            </w:r>
            <w:r>
              <w:rPr>
                <w:rFonts w:hint="eastAsia"/>
                <w:color w:val="auto"/>
                <w:lang w:val="en-US" w:eastAsia="zh-CN"/>
              </w:rPr>
              <w:t>闽发改备[2026]A080723号</w:t>
            </w:r>
            <w:r>
              <w:rPr>
                <w:rFonts w:hint="eastAsia" w:ascii="Times New Roman" w:hAnsi="Times New Roman"/>
                <w:color w:val="auto"/>
                <w:lang w:val="en-US" w:eastAsia="zh-CN"/>
              </w:rPr>
              <w:t>（见附件二）</w:t>
            </w:r>
            <w:r>
              <w:rPr>
                <w:rFonts w:hint="default" w:ascii="Times New Roman" w:hAnsi="Times New Roman"/>
                <w:color w:val="auto"/>
                <w:lang w:val="en-US" w:eastAsia="zh-CN"/>
              </w:rPr>
              <w:t>，本项目符合国家产业政策。</w:t>
            </w:r>
          </w:p>
          <w:p w14:paraId="23359560">
            <w:pPr>
              <w:pStyle w:val="3"/>
              <w:keepNext/>
              <w:keepLines/>
              <w:pageBreakBefore w:val="0"/>
              <w:widowControl w:val="0"/>
              <w:kinsoku/>
              <w:wordWrap/>
              <w:overflowPunct w:val="0"/>
              <w:topLinePunct w:val="0"/>
              <w:autoSpaceDE/>
              <w:autoSpaceDN/>
              <w:bidi w:val="0"/>
              <w:adjustRightInd/>
              <w:snapToGrid w:val="0"/>
              <w:spacing w:before="0" w:after="0"/>
              <w:ind w:left="431" w:firstLine="562" w:firstLineChars="200"/>
              <w:textAlignment w:val="auto"/>
              <w:rPr>
                <w:rFonts w:hint="eastAsia" w:ascii="Times New Roman" w:hAnsi="Times New Roman" w:eastAsia="宋体" w:cs="Times New Roman"/>
                <w:b/>
                <w:bCs w:val="0"/>
                <w:color w:val="auto"/>
                <w:lang w:val="en-US" w:eastAsia="zh-CN"/>
              </w:rPr>
            </w:pPr>
            <w:bookmarkStart w:id="13" w:name="_Toc21579"/>
            <w:bookmarkStart w:id="14" w:name="_Toc25412"/>
            <w:r>
              <w:rPr>
                <w:rFonts w:hint="eastAsia" w:ascii="Times New Roman" w:hAnsi="Times New Roman" w:eastAsia="宋体" w:cs="Times New Roman"/>
                <w:b/>
                <w:bCs w:val="0"/>
                <w:color w:val="auto"/>
                <w:lang w:val="en-US" w:eastAsia="zh-CN"/>
              </w:rPr>
              <w:t>1.</w:t>
            </w:r>
            <w:r>
              <w:rPr>
                <w:rFonts w:hint="eastAsia" w:ascii="Times New Roman" w:hAnsi="Times New Roman" w:cs="Times New Roman"/>
                <w:b/>
                <w:bCs w:val="0"/>
                <w:color w:val="auto"/>
                <w:lang w:val="en-US" w:eastAsia="zh-CN"/>
              </w:rPr>
              <w:t>3</w:t>
            </w:r>
            <w:r>
              <w:rPr>
                <w:rFonts w:hint="eastAsia" w:ascii="Times New Roman" w:hAnsi="Times New Roman" w:eastAsia="宋体" w:cs="Times New Roman"/>
                <w:b/>
                <w:bCs w:val="0"/>
                <w:color w:val="auto"/>
                <w:lang w:val="en-US" w:eastAsia="zh-CN"/>
              </w:rPr>
              <w:t>项目用地规划合理性分析</w:t>
            </w:r>
            <w:bookmarkEnd w:id="13"/>
            <w:bookmarkEnd w:id="14"/>
          </w:p>
          <w:p w14:paraId="70D1ECB9">
            <w:pPr>
              <w:pStyle w:val="22"/>
              <w:bidi w:val="0"/>
              <w:ind w:firstLine="480" w:firstLineChars="200"/>
              <w:rPr>
                <w:rFonts w:hint="default" w:ascii="Times New Roman" w:hAnsi="Times New Roman" w:eastAsia="宋体" w:cs="宋体"/>
                <w:color w:val="auto"/>
                <w:sz w:val="24"/>
                <w:lang w:val="en-US" w:eastAsia="zh-CN"/>
              </w:rPr>
            </w:pPr>
            <w:r>
              <w:rPr>
                <w:rFonts w:hint="eastAsia" w:ascii="Times New Roman" w:hAnsi="Times New Roman" w:eastAsia="宋体"/>
                <w:color w:val="auto"/>
                <w:sz w:val="24"/>
                <w:lang w:val="en-US" w:eastAsia="zh-CN"/>
              </w:rPr>
              <w:t>本项目位于</w:t>
            </w:r>
            <w:r>
              <w:rPr>
                <w:rFonts w:hint="eastAsia"/>
                <w:color w:val="auto"/>
                <w:sz w:val="24"/>
                <w:lang w:val="en-US" w:eastAsia="zh-CN"/>
              </w:rPr>
              <w:t>福建省福州市闽侯县上街镇高新大道巨泽中心1号楼2层、2号楼2-3层和3号楼2、4层</w:t>
            </w:r>
            <w:r>
              <w:rPr>
                <w:rFonts w:hint="eastAsia" w:ascii="Times New Roman" w:hAnsi="Times New Roman" w:eastAsia="宋体"/>
                <w:color w:val="auto"/>
                <w:sz w:val="24"/>
                <w:lang w:val="en-US" w:eastAsia="zh-CN"/>
              </w:rPr>
              <w:t>，</w:t>
            </w:r>
            <w:r>
              <w:rPr>
                <w:rFonts w:hint="eastAsia"/>
                <w:color w:val="auto"/>
                <w:sz w:val="24"/>
                <w:lang w:val="en-US" w:eastAsia="zh-CN"/>
              </w:rPr>
              <w:t>福建巨泽生物医药有限公司</w:t>
            </w:r>
            <w:r>
              <w:rPr>
                <w:rFonts w:hint="eastAsia" w:ascii="Times New Roman" w:hAnsi="Times New Roman" w:eastAsia="宋体"/>
                <w:color w:val="auto"/>
                <w:sz w:val="24"/>
                <w:lang w:val="en-US" w:eastAsia="zh-CN"/>
              </w:rPr>
              <w:t>出</w:t>
            </w:r>
            <w:r>
              <w:rPr>
                <w:rFonts w:hint="eastAsia" w:ascii="Times New Roman" w:hAnsi="Times New Roman"/>
                <w:color w:val="auto"/>
                <w:sz w:val="24"/>
                <w:lang w:val="en-US" w:eastAsia="zh-CN"/>
              </w:rPr>
              <w:t>租闲置</w:t>
            </w:r>
            <w:r>
              <w:rPr>
                <w:rFonts w:hint="eastAsia" w:ascii="Times New Roman" w:hAnsi="Times New Roman" w:eastAsia="宋体"/>
                <w:color w:val="auto"/>
                <w:sz w:val="24"/>
                <w:lang w:val="en-US" w:eastAsia="zh-CN"/>
              </w:rPr>
              <w:t>厂房给</w:t>
            </w:r>
            <w:r>
              <w:rPr>
                <w:rFonts w:hint="eastAsia"/>
                <w:color w:val="auto"/>
                <w:sz w:val="24"/>
                <w:lang w:val="en-US" w:eastAsia="zh-CN"/>
              </w:rPr>
              <w:t>磁晶光电科技(福州)有限责任公司</w:t>
            </w:r>
            <w:r>
              <w:rPr>
                <w:rFonts w:hint="eastAsia" w:ascii="Times New Roman" w:hAnsi="Times New Roman" w:eastAsia="宋体"/>
                <w:color w:val="auto"/>
                <w:sz w:val="24"/>
                <w:lang w:val="en-US" w:eastAsia="zh-CN"/>
              </w:rPr>
              <w:t>建设</w:t>
            </w:r>
            <w:r>
              <w:rPr>
                <w:rFonts w:hint="eastAsia" w:ascii="Times New Roman" w:hAnsi="Times New Roman"/>
                <w:color w:val="auto"/>
                <w:sz w:val="24"/>
                <w:lang w:val="en-US" w:eastAsia="zh-CN"/>
              </w:rPr>
              <w:t>（厂房租赁合同详见附件五），</w:t>
            </w:r>
            <w:r>
              <w:rPr>
                <w:rFonts w:hint="default" w:ascii="Times New Roman" w:hAnsi="Times New Roman" w:eastAsia="宋体" w:cs="Times New Roman"/>
                <w:bCs/>
                <w:i w:val="0"/>
                <w:iCs w:val="0"/>
                <w:color w:val="auto"/>
                <w:sz w:val="24"/>
                <w:szCs w:val="32"/>
                <w:highlight w:val="none"/>
              </w:rPr>
              <w:t>检</w:t>
            </w:r>
            <w:r>
              <w:rPr>
                <w:rFonts w:hint="default" w:ascii="Times New Roman" w:hAnsi="Times New Roman" w:eastAsia="宋体" w:cs="宋体"/>
                <w:color w:val="auto"/>
                <w:sz w:val="24"/>
                <w:lang w:val="en-US" w:eastAsia="zh-CN"/>
              </w:rPr>
              <w:t>索</w:t>
            </w:r>
            <w:r>
              <w:rPr>
                <w:rFonts w:hint="eastAsia" w:ascii="Times New Roman" w:hAnsi="Times New Roman" w:eastAsia="宋体" w:cs="宋体"/>
                <w:color w:val="auto"/>
                <w:sz w:val="24"/>
                <w:lang w:val="en-US" w:eastAsia="zh-CN"/>
              </w:rPr>
              <w:t>《自然资源要素支撑产业高质量发展指导目录（2024年本）》</w:t>
            </w:r>
            <w:r>
              <w:rPr>
                <w:rFonts w:hint="default" w:ascii="Times New Roman" w:hAnsi="Times New Roman" w:eastAsia="宋体" w:cs="宋体"/>
                <w:color w:val="auto"/>
                <w:sz w:val="24"/>
                <w:lang w:val="en-US" w:eastAsia="zh-CN"/>
              </w:rPr>
              <w:t>，不属于以上目录中的</w:t>
            </w:r>
            <w:r>
              <w:rPr>
                <w:rFonts w:hint="eastAsia" w:ascii="Times New Roman" w:hAnsi="Times New Roman" w:eastAsia="宋体" w:cs="宋体"/>
                <w:color w:val="auto"/>
                <w:sz w:val="24"/>
                <w:lang w:val="en-US" w:eastAsia="zh-CN"/>
              </w:rPr>
              <w:t>限制</w:t>
            </w:r>
            <w:r>
              <w:rPr>
                <w:rFonts w:hint="default" w:ascii="Times New Roman" w:hAnsi="Times New Roman" w:eastAsia="宋体" w:cs="宋体"/>
                <w:color w:val="auto"/>
                <w:sz w:val="24"/>
                <w:lang w:val="en-US" w:eastAsia="zh-CN"/>
              </w:rPr>
              <w:t>项目。</w:t>
            </w:r>
          </w:p>
          <w:p w14:paraId="0E5DCA71">
            <w:pPr>
              <w:pStyle w:val="3"/>
              <w:keepNext/>
              <w:keepLines/>
              <w:pageBreakBefore w:val="0"/>
              <w:widowControl w:val="0"/>
              <w:kinsoku/>
              <w:wordWrap/>
              <w:overflowPunct w:val="0"/>
              <w:topLinePunct w:val="0"/>
              <w:autoSpaceDE/>
              <w:autoSpaceDN/>
              <w:bidi w:val="0"/>
              <w:adjustRightInd/>
              <w:snapToGrid w:val="0"/>
              <w:spacing w:before="0" w:after="0"/>
              <w:ind w:left="431" w:firstLine="562" w:firstLineChars="200"/>
              <w:textAlignment w:val="auto"/>
              <w:rPr>
                <w:rFonts w:hint="eastAsia" w:ascii="Times New Roman" w:hAnsi="Times New Roman" w:eastAsia="宋体" w:cs="Times New Roman"/>
                <w:b/>
                <w:bCs w:val="0"/>
                <w:color w:val="auto"/>
                <w:lang w:val="en-US" w:eastAsia="zh-CN"/>
              </w:rPr>
            </w:pPr>
            <w:bookmarkStart w:id="15" w:name="_Toc23150"/>
            <w:bookmarkStart w:id="16" w:name="_Toc11943"/>
            <w:r>
              <w:rPr>
                <w:rFonts w:hint="eastAsia" w:ascii="Times New Roman" w:hAnsi="Times New Roman" w:eastAsia="宋体" w:cs="Times New Roman"/>
                <w:b/>
                <w:bCs w:val="0"/>
                <w:color w:val="auto"/>
                <w:lang w:val="en-US" w:eastAsia="zh-CN"/>
              </w:rPr>
              <w:t>1.</w:t>
            </w:r>
            <w:r>
              <w:rPr>
                <w:rFonts w:hint="eastAsia" w:ascii="Times New Roman" w:hAnsi="Times New Roman" w:cs="Times New Roman"/>
                <w:b/>
                <w:bCs w:val="0"/>
                <w:color w:val="auto"/>
                <w:lang w:val="en-US" w:eastAsia="zh-CN"/>
              </w:rPr>
              <w:t>4</w:t>
            </w:r>
            <w:r>
              <w:rPr>
                <w:rFonts w:hint="eastAsia" w:ascii="Times New Roman" w:hAnsi="Times New Roman" w:eastAsia="宋体" w:cs="Times New Roman"/>
                <w:b/>
                <w:bCs w:val="0"/>
                <w:color w:val="auto"/>
                <w:lang w:val="en-US" w:eastAsia="zh-CN"/>
              </w:rPr>
              <w:t>项目周边相容性符合性分析</w:t>
            </w:r>
            <w:bookmarkEnd w:id="15"/>
            <w:bookmarkEnd w:id="16"/>
          </w:p>
          <w:p w14:paraId="3288669D">
            <w:pPr>
              <w:pStyle w:val="22"/>
              <w:bidi w:val="0"/>
              <w:ind w:firstLine="480" w:firstLineChars="200"/>
              <w:rPr>
                <w:rFonts w:hint="eastAsia" w:ascii="Times New Roman" w:hAnsi="Times New Roman"/>
                <w:color w:val="auto"/>
                <w:lang w:val="en-US" w:eastAsia="zh-CN"/>
              </w:rPr>
            </w:pPr>
            <w:r>
              <w:rPr>
                <w:rFonts w:hint="default" w:ascii="Times New Roman" w:hAnsi="Times New Roman"/>
                <w:color w:val="auto"/>
                <w:lang w:val="en-US" w:eastAsia="zh-CN"/>
              </w:rPr>
              <w:t>本项目位于</w:t>
            </w:r>
            <w:r>
              <w:rPr>
                <w:rFonts w:hint="eastAsia"/>
                <w:color w:val="auto"/>
                <w:lang w:val="en-US" w:eastAsia="zh-CN"/>
              </w:rPr>
              <w:t>福建省福州市闽侯县上街镇高新大道巨泽中心1号楼2层、2号楼2-3层和3号楼2、4层</w:t>
            </w:r>
            <w:r>
              <w:rPr>
                <w:rFonts w:hint="default" w:ascii="Times New Roman" w:hAnsi="Times New Roman"/>
                <w:color w:val="auto"/>
                <w:lang w:val="en-US" w:eastAsia="zh-CN"/>
              </w:rPr>
              <w:t>，</w:t>
            </w:r>
            <w:r>
              <w:rPr>
                <w:rFonts w:hint="eastAsia" w:ascii="Times New Roman" w:hAnsi="Times New Roman"/>
                <w:color w:val="auto"/>
                <w:lang w:val="en-US" w:eastAsia="zh-CN"/>
              </w:rPr>
              <w:t>项目四周为正在建设以及其他工业企业，项目运营过程中对周边敏感目标影响较小，建设单位在落实本报告提出的各项环保措施的基础上，对周围环境的影响则可以控制在允许范围内。因此本项目与周边环境相容。</w:t>
            </w:r>
          </w:p>
          <w:p w14:paraId="11D84946">
            <w:pPr>
              <w:pStyle w:val="3"/>
              <w:keepNext/>
              <w:keepLines/>
              <w:pageBreakBefore w:val="0"/>
              <w:widowControl w:val="0"/>
              <w:kinsoku/>
              <w:wordWrap/>
              <w:overflowPunct w:val="0"/>
              <w:topLinePunct w:val="0"/>
              <w:autoSpaceDE/>
              <w:autoSpaceDN/>
              <w:bidi w:val="0"/>
              <w:adjustRightInd/>
              <w:snapToGrid w:val="0"/>
              <w:spacing w:before="0" w:after="0"/>
              <w:ind w:left="431" w:firstLine="562" w:firstLineChars="200"/>
              <w:textAlignment w:val="auto"/>
              <w:rPr>
                <w:rFonts w:hint="eastAsia" w:ascii="Times New Roman" w:hAnsi="Times New Roman" w:eastAsia="宋体" w:cs="Times New Roman"/>
                <w:b/>
                <w:bCs w:val="0"/>
                <w:color w:val="auto"/>
                <w:lang w:val="en-US" w:eastAsia="zh-CN"/>
              </w:rPr>
            </w:pPr>
            <w:bookmarkStart w:id="17" w:name="_Toc10287"/>
            <w:bookmarkStart w:id="18" w:name="_Toc23283"/>
            <w:r>
              <w:rPr>
                <w:rFonts w:hint="eastAsia" w:ascii="Times New Roman" w:hAnsi="Times New Roman" w:eastAsia="宋体" w:cs="Times New Roman"/>
                <w:b/>
                <w:bCs w:val="0"/>
                <w:color w:val="auto"/>
                <w:lang w:val="en-US" w:eastAsia="zh-CN"/>
              </w:rPr>
              <w:t>1.</w:t>
            </w:r>
            <w:r>
              <w:rPr>
                <w:rFonts w:hint="eastAsia" w:ascii="Times New Roman" w:hAnsi="Times New Roman" w:cs="Times New Roman"/>
                <w:b/>
                <w:bCs w:val="0"/>
                <w:color w:val="auto"/>
                <w:lang w:val="en-US" w:eastAsia="zh-CN"/>
              </w:rPr>
              <w:t>5</w:t>
            </w:r>
            <w:r>
              <w:rPr>
                <w:rFonts w:hint="eastAsia" w:ascii="Times New Roman" w:hAnsi="Times New Roman" w:eastAsia="宋体" w:cs="Times New Roman"/>
                <w:b/>
                <w:bCs w:val="0"/>
                <w:color w:val="auto"/>
                <w:lang w:val="en-US" w:eastAsia="zh-CN"/>
              </w:rPr>
              <w:t>环境功能区划符合性分析</w:t>
            </w:r>
            <w:bookmarkEnd w:id="17"/>
            <w:bookmarkEnd w:id="18"/>
          </w:p>
          <w:p w14:paraId="1853BE61">
            <w:pPr>
              <w:pStyle w:val="45"/>
              <w:numPr>
                <w:ilvl w:val="0"/>
                <w:numId w:val="0"/>
              </w:numPr>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kern w:val="0"/>
                <w:sz w:val="24"/>
                <w:szCs w:val="21"/>
                <w:highlight w:val="none"/>
                <w:lang w:val="en-US" w:eastAsia="zh-CN" w:bidi="ar-SA"/>
              </w:rPr>
              <w:t>（1）</w:t>
            </w:r>
            <w:r>
              <w:rPr>
                <w:rFonts w:hint="eastAsia" w:ascii="Times New Roman" w:hAnsi="Times New Roman" w:eastAsia="宋体" w:cs="Times New Roman"/>
                <w:color w:val="auto"/>
                <w:sz w:val="24"/>
                <w:highlight w:val="none"/>
                <w:lang w:val="en-US" w:eastAsia="zh-CN"/>
              </w:rPr>
              <w:t>废气</w:t>
            </w:r>
          </w:p>
          <w:p w14:paraId="06955F65">
            <w:pPr>
              <w:pStyle w:val="45"/>
              <w:numPr>
                <w:ilvl w:val="0"/>
                <w:numId w:val="0"/>
              </w:numPr>
              <w:ind w:firstLine="480" w:firstLineChars="200"/>
              <w:jc w:val="left"/>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项目运营期环境空气污染排放源强很低，对周围环境空气不会产生显著影响，符合</w:t>
            </w:r>
            <w:r>
              <w:rPr>
                <w:rFonts w:hint="eastAsia" w:ascii="Times New Roman" w:hAnsi="Times New Roman" w:cs="Times New Roman"/>
                <w:color w:val="auto"/>
                <w:sz w:val="24"/>
                <w:highlight w:val="none"/>
                <w:lang w:val="en-US" w:eastAsia="zh-CN"/>
              </w:rPr>
              <w:t>《环境空气质量标准》（GB 3095—2026）表1中环境空气污染物基本项目浓度限值的二级过渡阶段限值的要求。</w:t>
            </w:r>
          </w:p>
          <w:p w14:paraId="2C97D172">
            <w:pPr>
              <w:pStyle w:val="45"/>
              <w:numPr>
                <w:ilvl w:val="0"/>
                <w:numId w:val="0"/>
              </w:numPr>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（2）废水</w:t>
            </w:r>
          </w:p>
          <w:p w14:paraId="644257AE">
            <w:pPr>
              <w:pStyle w:val="45"/>
              <w:numPr>
                <w:ilvl w:val="0"/>
                <w:numId w:val="0"/>
              </w:numPr>
              <w:ind w:firstLine="480" w:firstLineChars="200"/>
              <w:rPr>
                <w:rFonts w:hint="eastAsia" w:ascii="Times New Roman" w:hAnsi="Times New Roman" w:eastAsia="宋体" w:cs="Times New Roman"/>
                <w:color w:val="auto"/>
                <w:sz w:val="24"/>
                <w:szCs w:val="20"/>
                <w:highlight w:val="none"/>
                <w:lang w:val="en-US" w:eastAsia="zh-CN"/>
              </w:rPr>
            </w:pPr>
            <w:r>
              <w:rPr>
                <w:rFonts w:hint="eastAsia" w:ascii="Times New Roman" w:hAnsi="Times New Roman" w:eastAsia="宋体" w:cs="Times New Roman"/>
                <w:color w:val="auto"/>
                <w:sz w:val="24"/>
                <w:szCs w:val="20"/>
                <w:highlight w:val="none"/>
                <w:lang w:val="en-US" w:eastAsia="zh-CN"/>
              </w:rPr>
              <w:t>生活污水经化粪池处理达标后排入市政管网，纳入大学城污水处理厂；</w:t>
            </w:r>
            <w:r>
              <w:rPr>
                <w:rFonts w:hint="eastAsia" w:cs="Times New Roman"/>
                <w:color w:val="auto"/>
                <w:sz w:val="24"/>
                <w:szCs w:val="20"/>
                <w:highlight w:val="none"/>
                <w:lang w:val="en-US" w:eastAsia="zh-CN"/>
              </w:rPr>
              <w:t>切割</w:t>
            </w:r>
            <w:r>
              <w:rPr>
                <w:rFonts w:hint="eastAsia" w:ascii="Times New Roman" w:hAnsi="Times New Roman" w:eastAsia="宋体" w:cs="Times New Roman"/>
                <w:color w:val="auto"/>
                <w:sz w:val="24"/>
                <w:szCs w:val="20"/>
                <w:highlight w:val="none"/>
                <w:lang w:val="en-US" w:eastAsia="zh-CN"/>
              </w:rPr>
              <w:t>废水、抛光废水、</w:t>
            </w:r>
            <w:r>
              <w:rPr>
                <w:rFonts w:hint="eastAsia" w:cs="Times New Roman"/>
                <w:color w:val="auto"/>
                <w:sz w:val="24"/>
                <w:szCs w:val="20"/>
                <w:highlight w:val="none"/>
                <w:lang w:val="en-US" w:eastAsia="zh-CN"/>
              </w:rPr>
              <w:t>粗磨</w:t>
            </w:r>
            <w:r>
              <w:rPr>
                <w:rFonts w:hint="eastAsia" w:ascii="Times New Roman" w:hAnsi="Times New Roman" w:eastAsia="宋体" w:cs="Times New Roman"/>
                <w:color w:val="auto"/>
                <w:sz w:val="24"/>
                <w:szCs w:val="20"/>
                <w:highlight w:val="none"/>
                <w:lang w:val="en-US" w:eastAsia="zh-CN"/>
              </w:rPr>
              <w:t>废水、</w:t>
            </w:r>
            <w:r>
              <w:rPr>
                <w:rFonts w:hint="eastAsia" w:cs="Times New Roman"/>
                <w:color w:val="auto"/>
                <w:sz w:val="24"/>
                <w:szCs w:val="20"/>
                <w:highlight w:val="none"/>
                <w:lang w:val="en-US" w:eastAsia="zh-CN"/>
              </w:rPr>
              <w:t>清洗</w:t>
            </w:r>
            <w:r>
              <w:rPr>
                <w:rFonts w:hint="eastAsia" w:ascii="Times New Roman" w:hAnsi="Times New Roman" w:eastAsia="宋体" w:cs="Times New Roman"/>
                <w:color w:val="auto"/>
                <w:sz w:val="24"/>
                <w:szCs w:val="20"/>
                <w:highlight w:val="none"/>
                <w:lang w:val="en-US" w:eastAsia="zh-CN"/>
              </w:rPr>
              <w:t>废水经过三级沉淀池沉淀处理达标后排入市政管网，纳入大学城污水处理厂；纯水槽的纯水与非纯净废水直接排入市政管网，纳入大学城污水处理。因此，项目污水对周边水体环境造成影响较小。</w:t>
            </w:r>
          </w:p>
          <w:p w14:paraId="2BD4E248">
            <w:pPr>
              <w:pStyle w:val="45"/>
              <w:numPr>
                <w:ilvl w:val="0"/>
                <w:numId w:val="0"/>
              </w:numPr>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（3）噪声</w:t>
            </w:r>
          </w:p>
          <w:p w14:paraId="09072D9B">
            <w:pPr>
              <w:pStyle w:val="45"/>
              <w:numPr>
                <w:ilvl w:val="0"/>
                <w:numId w:val="0"/>
              </w:numPr>
              <w:ind w:firstLine="480" w:firstLineChars="200"/>
              <w:rPr>
                <w:rFonts w:hint="eastAsia" w:ascii="Times New Roman" w:hAnsi="Times New Roman"/>
                <w:color w:val="auto"/>
                <w:lang w:val="en-US" w:eastAsia="zh-CN"/>
              </w:rPr>
            </w:pPr>
            <w:r>
              <w:rPr>
                <w:rFonts w:hint="default" w:ascii="Times New Roman" w:hAnsi="Times New Roman" w:eastAsia="宋体" w:cs="Times New Roman"/>
                <w:color w:val="auto"/>
                <w:sz w:val="24"/>
                <w:highlight w:val="none"/>
                <w:lang w:val="en-US" w:eastAsia="zh-CN"/>
              </w:rPr>
              <w:t>项目在采取一定的噪声污染防治措施后，项目产生的噪声不会对周围环境产生显著影响，项目所在区域的环境</w:t>
            </w:r>
            <w:r>
              <w:rPr>
                <w:rFonts w:hint="eastAsia" w:ascii="Times New Roman" w:hAnsi="Times New Roman" w:eastAsia="宋体" w:cs="Times New Roman"/>
                <w:color w:val="auto"/>
                <w:sz w:val="24"/>
                <w:highlight w:val="none"/>
                <w:lang w:val="en-US" w:eastAsia="zh-CN"/>
              </w:rPr>
              <w:t>可满足《声环境质量标准》（</w:t>
            </w:r>
            <w:r>
              <w:rPr>
                <w:rFonts w:hint="default" w:ascii="Times New Roman" w:hAnsi="Times New Roman" w:eastAsia="宋体" w:cs="Times New Roman"/>
                <w:color w:val="auto"/>
                <w:sz w:val="24"/>
                <w:highlight w:val="none"/>
                <w:lang w:val="en-US" w:eastAsia="zh-CN"/>
              </w:rPr>
              <w:t>GB3096-2008</w:t>
            </w:r>
            <w:r>
              <w:rPr>
                <w:rFonts w:hint="eastAsia" w:ascii="Times New Roman" w:hAnsi="Times New Roman" w:eastAsia="宋体" w:cs="Times New Roman"/>
                <w:color w:val="auto"/>
                <w:sz w:val="24"/>
                <w:highlight w:val="none"/>
                <w:lang w:val="en-US" w:eastAsia="zh-CN"/>
              </w:rPr>
              <w:t>）的3类标准，</w:t>
            </w:r>
            <w:r>
              <w:rPr>
                <w:rFonts w:hint="default" w:ascii="Times New Roman" w:hAnsi="Times New Roman" w:eastAsia="宋体" w:cs="Times New Roman"/>
                <w:color w:val="auto"/>
                <w:sz w:val="24"/>
                <w:highlight w:val="none"/>
                <w:lang w:val="en-US" w:eastAsia="zh-CN"/>
              </w:rPr>
              <w:t>因此，项目建设符合环境功能规划。</w:t>
            </w:r>
          </w:p>
          <w:p w14:paraId="3CC8BE36">
            <w:pPr>
              <w:pStyle w:val="3"/>
              <w:keepNext/>
              <w:keepLines/>
              <w:pageBreakBefore w:val="0"/>
              <w:widowControl w:val="0"/>
              <w:kinsoku/>
              <w:wordWrap/>
              <w:overflowPunct w:val="0"/>
              <w:topLinePunct w:val="0"/>
              <w:autoSpaceDE/>
              <w:autoSpaceDN/>
              <w:bidi w:val="0"/>
              <w:adjustRightInd/>
              <w:snapToGrid w:val="0"/>
              <w:spacing w:before="0" w:after="0"/>
              <w:ind w:left="431" w:firstLine="562" w:firstLineChars="200"/>
              <w:textAlignment w:val="auto"/>
              <w:rPr>
                <w:rFonts w:hint="eastAsia" w:ascii="Times New Roman" w:hAnsi="Times New Roman" w:eastAsia="宋体" w:cs="Times New Roman"/>
                <w:b/>
                <w:bCs w:val="0"/>
                <w:color w:val="auto"/>
                <w:lang w:val="en-US" w:eastAsia="zh-CN"/>
              </w:rPr>
            </w:pPr>
            <w:bookmarkStart w:id="19" w:name="_Toc27953"/>
            <w:bookmarkStart w:id="20" w:name="_Toc12811"/>
            <w:bookmarkStart w:id="21" w:name="_Toc2764"/>
            <w:r>
              <w:rPr>
                <w:rFonts w:hint="eastAsia" w:ascii="Times New Roman" w:hAnsi="Times New Roman" w:eastAsia="宋体" w:cs="Times New Roman"/>
                <w:b/>
                <w:bCs w:val="0"/>
                <w:color w:val="auto"/>
                <w:lang w:val="en-US" w:eastAsia="zh-CN"/>
              </w:rPr>
              <w:t>1.</w:t>
            </w:r>
            <w:r>
              <w:rPr>
                <w:rFonts w:hint="eastAsia" w:ascii="Times New Roman" w:hAnsi="Times New Roman" w:cs="Times New Roman"/>
                <w:b/>
                <w:bCs w:val="0"/>
                <w:color w:val="auto"/>
                <w:lang w:val="en-US" w:eastAsia="zh-CN"/>
              </w:rPr>
              <w:t>6</w:t>
            </w:r>
            <w:r>
              <w:rPr>
                <w:rFonts w:hint="eastAsia" w:ascii="Times New Roman" w:hAnsi="Times New Roman" w:eastAsia="宋体" w:cs="Times New Roman"/>
                <w:b/>
                <w:bCs w:val="0"/>
                <w:color w:val="auto"/>
                <w:lang w:val="en-US" w:eastAsia="zh-CN"/>
              </w:rPr>
              <w:t>与福州市生态环境分区管控的要求符合性分析</w:t>
            </w:r>
            <w:bookmarkEnd w:id="19"/>
            <w:bookmarkEnd w:id="20"/>
            <w:bookmarkEnd w:id="21"/>
          </w:p>
          <w:p w14:paraId="467618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1"/>
                <w:highlight w:val="none"/>
                <w:lang w:val="en-US" w:eastAsia="zh-CN" w:bidi="ar-SA"/>
              </w:rPr>
            </w:pPr>
            <w:r>
              <w:rPr>
                <w:rFonts w:hint="default" w:ascii="Times New Roman" w:hAnsi="Times New Roman" w:eastAsia="宋体" w:cs="Times New Roman"/>
                <w:color w:val="auto"/>
                <w:kern w:val="0"/>
                <w:sz w:val="24"/>
                <w:szCs w:val="21"/>
                <w:highlight w:val="none"/>
                <w:lang w:val="en-US" w:eastAsia="zh-CN" w:bidi="ar-SA"/>
              </w:rPr>
              <w:t>根据</w:t>
            </w:r>
            <w:r>
              <w:rPr>
                <w:rFonts w:hint="eastAsia" w:ascii="Times New Roman" w:hAnsi="Times New Roman" w:eastAsia="宋体" w:cs="Times New Roman"/>
                <w:color w:val="auto"/>
                <w:kern w:val="0"/>
                <w:sz w:val="24"/>
                <w:szCs w:val="21"/>
                <w:highlight w:val="none"/>
                <w:lang w:val="en-US" w:eastAsia="zh-CN" w:bidi="ar-SA"/>
              </w:rPr>
              <w:t>《福州市生态环境局关于发布福州市2024年生态环境分区管控动态更新成果的通知》（榕环保综〔2025〕1号）</w:t>
            </w:r>
            <w:r>
              <w:rPr>
                <w:rFonts w:hint="default" w:ascii="Times New Roman" w:hAnsi="Times New Roman" w:eastAsia="宋体" w:cs="Times New Roman"/>
                <w:color w:val="auto"/>
                <w:kern w:val="0"/>
                <w:sz w:val="24"/>
                <w:szCs w:val="21"/>
                <w:highlight w:val="none"/>
                <w:lang w:val="en-US" w:eastAsia="zh-CN" w:bidi="ar-SA"/>
              </w:rPr>
              <w:t>相关内容，项目</w:t>
            </w:r>
            <w:r>
              <w:rPr>
                <w:rFonts w:hint="eastAsia" w:ascii="Times New Roman" w:hAnsi="Times New Roman" w:eastAsia="宋体" w:cs="Times New Roman"/>
                <w:color w:val="auto"/>
                <w:kern w:val="0"/>
                <w:sz w:val="24"/>
                <w:szCs w:val="21"/>
                <w:highlight w:val="none"/>
                <w:lang w:val="en-US" w:eastAsia="zh-CN" w:bidi="ar-SA"/>
              </w:rPr>
              <w:t>与福州市生态环境分区管控的要求符合性分析</w:t>
            </w:r>
            <w:r>
              <w:rPr>
                <w:rFonts w:hint="default" w:ascii="Times New Roman" w:hAnsi="Times New Roman" w:eastAsia="宋体" w:cs="Times New Roman"/>
                <w:color w:val="auto"/>
                <w:kern w:val="0"/>
                <w:sz w:val="24"/>
                <w:szCs w:val="21"/>
                <w:highlight w:val="none"/>
                <w:lang w:val="en-US" w:eastAsia="zh-CN" w:bidi="ar-SA"/>
              </w:rPr>
              <w:t>如下：</w:t>
            </w:r>
          </w:p>
          <w:p w14:paraId="29876048">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（1）与</w:t>
            </w:r>
            <w:r>
              <w:rPr>
                <w:rFonts w:ascii="Times New Roman" w:hAnsi="Times New Roman"/>
                <w:b w:val="0"/>
                <w:bCs w:val="0"/>
                <w:iCs w:val="0"/>
                <w:color w:val="auto"/>
                <w:sz w:val="24"/>
                <w:szCs w:val="24"/>
              </w:rPr>
              <w:t>生态保护红线</w:t>
            </w:r>
            <w:r>
              <w:rPr>
                <w:rFonts w:hint="eastAsia" w:ascii="Times New Roman" w:hAnsi="Times New Roman"/>
                <w:b w:val="0"/>
                <w:bCs w:val="0"/>
                <w:iCs w:val="0"/>
                <w:color w:val="auto"/>
                <w:sz w:val="24"/>
                <w:szCs w:val="24"/>
              </w:rPr>
              <w:t>的符合性分析</w:t>
            </w:r>
          </w:p>
          <w:p w14:paraId="1E521744">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完整利用福建省</w:t>
            </w:r>
            <w:r>
              <w:rPr>
                <w:rFonts w:hint="eastAsia" w:ascii="Times New Roman" w:hAnsi="Times New Roman"/>
                <w:b w:val="0"/>
                <w:bCs w:val="0"/>
                <w:iCs w:val="0"/>
                <w:color w:val="auto"/>
                <w:sz w:val="24"/>
                <w:szCs w:val="24"/>
                <w:lang w:eastAsia="zh-CN"/>
              </w:rPr>
              <w:t>“</w:t>
            </w:r>
            <w:r>
              <w:rPr>
                <w:rFonts w:ascii="Times New Roman" w:hAnsi="Times New Roman"/>
                <w:b w:val="0"/>
                <w:bCs w:val="0"/>
                <w:iCs w:val="0"/>
                <w:color w:val="auto"/>
                <w:sz w:val="24"/>
                <w:szCs w:val="24"/>
              </w:rPr>
              <w:t>三区三线</w:t>
            </w:r>
            <w:r>
              <w:rPr>
                <w:rFonts w:hint="eastAsia" w:ascii="Times New Roman" w:hAnsi="Times New Roman"/>
                <w:b w:val="0"/>
                <w:bCs w:val="0"/>
                <w:iCs w:val="0"/>
                <w:color w:val="auto"/>
                <w:sz w:val="24"/>
                <w:szCs w:val="24"/>
                <w:lang w:eastAsia="zh-CN"/>
              </w:rPr>
              <w:t>”</w:t>
            </w:r>
            <w:r>
              <w:rPr>
                <w:rFonts w:ascii="Times New Roman" w:hAnsi="Times New Roman"/>
                <w:b w:val="0"/>
                <w:bCs w:val="0"/>
                <w:iCs w:val="0"/>
                <w:color w:val="auto"/>
                <w:sz w:val="24"/>
                <w:szCs w:val="24"/>
              </w:rPr>
              <w:t>生态保护红线划定成果，福州市生态保护红线划定面积为</w:t>
            </w:r>
            <w:r>
              <w:rPr>
                <w:rFonts w:hint="eastAsia" w:ascii="Times New Roman" w:hAnsi="Times New Roman"/>
                <w:b w:val="0"/>
                <w:bCs w:val="0"/>
                <w:iCs w:val="0"/>
                <w:color w:val="auto"/>
                <w:sz w:val="24"/>
                <w:szCs w:val="24"/>
                <w:lang w:eastAsia="zh-CN"/>
              </w:rPr>
              <w:t>50</w:t>
            </w:r>
            <w:r>
              <w:rPr>
                <w:rFonts w:ascii="Times New Roman" w:hAnsi="Times New Roman"/>
                <w:b w:val="0"/>
                <w:bCs w:val="0"/>
                <w:iCs w:val="0"/>
                <w:color w:val="auto"/>
                <w:sz w:val="24"/>
                <w:szCs w:val="24"/>
              </w:rPr>
              <w:t>82.05平方千米，其中陆域面积为2410.32平方千米，海域面积为2671.73平方千米。生态保护红线最终面积以省政府发布结果为准。</w:t>
            </w:r>
          </w:p>
          <w:p w14:paraId="5EA3598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b w:val="0"/>
                <w:bCs w:val="0"/>
                <w:iCs w:val="0"/>
                <w:color w:val="auto"/>
                <w:kern w:val="0"/>
                <w:sz w:val="24"/>
                <w:szCs w:val="24"/>
              </w:rPr>
            </w:pPr>
            <w:r>
              <w:rPr>
                <w:rFonts w:ascii="Times New Roman" w:hAnsi="Times New Roman"/>
                <w:b w:val="0"/>
                <w:bCs w:val="0"/>
                <w:iCs w:val="0"/>
                <w:color w:val="auto"/>
                <w:kern w:val="0"/>
                <w:sz w:val="24"/>
                <w:szCs w:val="24"/>
              </w:rPr>
              <w:t>项目</w:t>
            </w:r>
            <w:r>
              <w:rPr>
                <w:rFonts w:hint="eastAsia" w:ascii="Times New Roman" w:hAnsi="Times New Roman"/>
                <w:b w:val="0"/>
                <w:bCs w:val="0"/>
                <w:iCs w:val="0"/>
                <w:color w:val="auto"/>
                <w:kern w:val="0"/>
                <w:sz w:val="24"/>
                <w:szCs w:val="24"/>
              </w:rPr>
              <w:t>位</w:t>
            </w:r>
            <w:r>
              <w:rPr>
                <w:rFonts w:hint="eastAsia" w:ascii="Times New Roman" w:hAnsi="Times New Roman" w:eastAsia="宋体" w:cs="Times New Roman"/>
                <w:b w:val="0"/>
                <w:bCs w:val="0"/>
                <w:iCs w:val="0"/>
                <w:color w:val="auto"/>
                <w:kern w:val="0"/>
                <w:sz w:val="24"/>
                <w:szCs w:val="24"/>
              </w:rPr>
              <w:t>于</w:t>
            </w:r>
            <w:r>
              <w:rPr>
                <w:rFonts w:hint="eastAsia" w:cs="Times New Roman"/>
                <w:b w:val="0"/>
                <w:bCs w:val="0"/>
                <w:iCs w:val="0"/>
                <w:color w:val="auto"/>
                <w:kern w:val="0"/>
                <w:sz w:val="24"/>
                <w:szCs w:val="24"/>
                <w:lang w:val="en-US" w:eastAsia="zh-CN"/>
              </w:rPr>
              <w:t>福建省福州市闽侯县上街镇高新大道巨泽中心1号楼2层、2号楼2-3层和3号楼2、4层</w:t>
            </w:r>
            <w:r>
              <w:rPr>
                <w:rFonts w:hint="eastAsia" w:ascii="Times New Roman" w:hAnsi="Times New Roman" w:eastAsia="宋体" w:cs="Times New Roman"/>
                <w:b w:val="0"/>
                <w:bCs w:val="0"/>
                <w:iCs w:val="0"/>
                <w:color w:val="auto"/>
                <w:kern w:val="0"/>
                <w:sz w:val="24"/>
                <w:szCs w:val="24"/>
              </w:rPr>
              <w:t>，所在区域属</w:t>
            </w:r>
            <w:r>
              <w:rPr>
                <w:rFonts w:ascii="Times New Roman" w:hAnsi="Times New Roman"/>
                <w:b w:val="0"/>
                <w:bCs w:val="0"/>
                <w:iCs w:val="0"/>
                <w:color w:val="auto"/>
                <w:kern w:val="0"/>
                <w:sz w:val="24"/>
                <w:szCs w:val="24"/>
              </w:rPr>
              <w:t>于</w:t>
            </w:r>
            <w:r>
              <w:rPr>
                <w:rFonts w:hint="eastAsia" w:ascii="Times New Roman" w:hAnsi="Times New Roman"/>
                <w:b w:val="0"/>
                <w:bCs w:val="0"/>
                <w:iCs w:val="0"/>
                <w:color w:val="auto"/>
                <w:kern w:val="0"/>
                <w:sz w:val="24"/>
                <w:szCs w:val="24"/>
              </w:rPr>
              <w:t>工业</w:t>
            </w:r>
            <w:r>
              <w:rPr>
                <w:rFonts w:ascii="Times New Roman" w:hAnsi="Times New Roman"/>
                <w:b w:val="0"/>
                <w:bCs w:val="0"/>
                <w:iCs w:val="0"/>
                <w:color w:val="auto"/>
                <w:kern w:val="0"/>
                <w:sz w:val="24"/>
                <w:szCs w:val="24"/>
              </w:rPr>
              <w:t>用地</w:t>
            </w:r>
            <w:r>
              <w:rPr>
                <w:rFonts w:hint="eastAsia" w:ascii="Times New Roman" w:hAnsi="Times New Roman"/>
                <w:b w:val="0"/>
                <w:bCs w:val="0"/>
                <w:iCs w:val="0"/>
                <w:color w:val="auto"/>
                <w:kern w:val="0"/>
                <w:sz w:val="24"/>
                <w:szCs w:val="24"/>
              </w:rPr>
              <w:t>。</w:t>
            </w:r>
            <w:r>
              <w:rPr>
                <w:rFonts w:ascii="Times New Roman" w:hAnsi="Times New Roman" w:cs="宋体"/>
                <w:b w:val="0"/>
                <w:bCs w:val="0"/>
                <w:iCs w:val="0"/>
                <w:color w:val="auto"/>
                <w:sz w:val="24"/>
                <w:szCs w:val="24"/>
              </w:rPr>
              <w:t>项目周边无国家公园、自然保护区、森林公园的生态保育区和核心景观区、风景名胜区的核心景区、地质公园的地质遗迹保护区、世界自然遗产的核心区和缓冲区、湿地公园的湿地保育区和恢复重建区、饮用水水源的一级保护区、水产种质资源保护区的核心区和其他需要特别保护或法律法规禁止开发建设的区域。</w:t>
            </w:r>
            <w:r>
              <w:rPr>
                <w:rFonts w:ascii="Times New Roman" w:hAnsi="Times New Roman"/>
                <w:b w:val="0"/>
                <w:bCs w:val="0"/>
                <w:iCs w:val="0"/>
                <w:color w:val="auto"/>
                <w:kern w:val="0"/>
                <w:sz w:val="24"/>
                <w:szCs w:val="24"/>
              </w:rPr>
              <w:t>因此，项目建设符合生态保护红线控制要求。</w:t>
            </w:r>
          </w:p>
          <w:p w14:paraId="6AFF2336">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（2）与</w:t>
            </w:r>
            <w:r>
              <w:rPr>
                <w:rFonts w:ascii="Times New Roman" w:hAnsi="Times New Roman"/>
                <w:b w:val="0"/>
                <w:bCs w:val="0"/>
                <w:iCs w:val="0"/>
                <w:color w:val="auto"/>
                <w:sz w:val="24"/>
                <w:szCs w:val="24"/>
              </w:rPr>
              <w:t>环境质量底线</w:t>
            </w:r>
            <w:r>
              <w:rPr>
                <w:rFonts w:hint="eastAsia" w:ascii="Times New Roman" w:hAnsi="Times New Roman"/>
                <w:b w:val="0"/>
                <w:bCs w:val="0"/>
                <w:iCs w:val="0"/>
                <w:color w:val="auto"/>
                <w:sz w:val="24"/>
                <w:szCs w:val="24"/>
              </w:rPr>
              <w:t>的符合性分析</w:t>
            </w:r>
          </w:p>
          <w:p w14:paraId="33E50EA8">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①</w:t>
            </w:r>
            <w:r>
              <w:rPr>
                <w:rFonts w:ascii="Times New Roman" w:hAnsi="Times New Roman"/>
                <w:b w:val="0"/>
                <w:bCs w:val="0"/>
                <w:iCs w:val="0"/>
                <w:color w:val="auto"/>
                <w:sz w:val="24"/>
                <w:szCs w:val="24"/>
              </w:rPr>
              <w:t>水环境质量底线</w:t>
            </w:r>
          </w:p>
          <w:p w14:paraId="6CEBB184">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水环境质量底线目标为：到2025年，国省控断面水质优良（达到或优于Ⅲ类）比例总体达92.78%；县级以上集中式饮用水水源水质达标率达100%。到2035年，国省控断面水质优良（达到或优于Ⅲ类）比例总体达到100%；生态系统实现良性循环。</w:t>
            </w:r>
          </w:p>
          <w:p w14:paraId="63C06B64">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eastAsia="宋体" w:cs="Times New Roman"/>
                <w:b w:val="0"/>
                <w:bCs w:val="0"/>
                <w:iCs w:val="0"/>
                <w:color w:val="auto"/>
                <w:sz w:val="24"/>
                <w:szCs w:val="24"/>
                <w:lang w:val="en-US" w:eastAsia="zh-CN"/>
              </w:rPr>
              <w:t>项目生产废水和生活污水通过各自的废水处理设施处理达标后</w:t>
            </w:r>
            <w:r>
              <w:rPr>
                <w:rFonts w:hint="default" w:ascii="Times New Roman" w:hAnsi="Times New Roman" w:eastAsia="宋体" w:cs="Times New Roman"/>
                <w:b w:val="0"/>
                <w:bCs w:val="0"/>
                <w:iCs w:val="0"/>
                <w:color w:val="auto"/>
                <w:sz w:val="24"/>
                <w:szCs w:val="24"/>
                <w:lang w:val="en-US" w:eastAsia="zh-CN"/>
              </w:rPr>
              <w:t>排入市政管网后纳入</w:t>
            </w:r>
            <w:r>
              <w:rPr>
                <w:rFonts w:hint="eastAsia" w:ascii="Times New Roman" w:hAnsi="Times New Roman" w:eastAsia="宋体" w:cs="Times New Roman"/>
                <w:b w:val="0"/>
                <w:bCs w:val="0"/>
                <w:iCs w:val="0"/>
                <w:color w:val="auto"/>
                <w:sz w:val="24"/>
                <w:szCs w:val="24"/>
                <w:lang w:val="en-US" w:eastAsia="zh-CN"/>
              </w:rPr>
              <w:t>大学城</w:t>
            </w:r>
            <w:r>
              <w:rPr>
                <w:rFonts w:hint="default" w:ascii="Times New Roman" w:hAnsi="Times New Roman" w:eastAsia="宋体" w:cs="Times New Roman"/>
                <w:b w:val="0"/>
                <w:bCs w:val="0"/>
                <w:iCs w:val="0"/>
                <w:color w:val="auto"/>
                <w:sz w:val="24"/>
                <w:szCs w:val="24"/>
                <w:lang w:val="en-US" w:eastAsia="zh-CN"/>
              </w:rPr>
              <w:t>污水处理厂</w:t>
            </w:r>
            <w:r>
              <w:rPr>
                <w:rFonts w:hint="eastAsia" w:ascii="Times New Roman" w:hAnsi="Times New Roman" w:eastAsia="宋体" w:cs="Times New Roman"/>
                <w:b w:val="0"/>
                <w:bCs w:val="0"/>
                <w:iCs w:val="0"/>
                <w:color w:val="auto"/>
                <w:sz w:val="24"/>
                <w:szCs w:val="24"/>
              </w:rPr>
              <w:t>，由大</w:t>
            </w:r>
            <w:r>
              <w:rPr>
                <w:rFonts w:hint="eastAsia" w:ascii="Times New Roman" w:hAnsi="Times New Roman"/>
                <w:b w:val="0"/>
                <w:bCs w:val="0"/>
                <w:iCs w:val="0"/>
                <w:color w:val="auto"/>
                <w:sz w:val="24"/>
                <w:szCs w:val="24"/>
              </w:rPr>
              <w:t>学城污水处理厂集中处理。</w:t>
            </w:r>
            <w:r>
              <w:rPr>
                <w:rFonts w:ascii="Times New Roman" w:hAnsi="Times New Roman"/>
                <w:b w:val="0"/>
                <w:bCs w:val="0"/>
                <w:iCs w:val="0"/>
                <w:color w:val="auto"/>
                <w:sz w:val="24"/>
                <w:szCs w:val="24"/>
              </w:rPr>
              <w:t>因此，项目建设不会突破区域水环境质量底线。</w:t>
            </w:r>
          </w:p>
          <w:p w14:paraId="00692EE3">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②</w:t>
            </w:r>
            <w:r>
              <w:rPr>
                <w:rFonts w:ascii="Times New Roman" w:hAnsi="Times New Roman"/>
                <w:b w:val="0"/>
                <w:bCs w:val="0"/>
                <w:iCs w:val="0"/>
                <w:color w:val="auto"/>
                <w:sz w:val="24"/>
                <w:szCs w:val="24"/>
              </w:rPr>
              <w:t>大气环境质量底线</w:t>
            </w:r>
          </w:p>
          <w:p w14:paraId="0B7BBEA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b w:val="0"/>
                <w:bCs w:val="0"/>
                <w:iCs w:val="0"/>
                <w:color w:val="auto"/>
                <w:kern w:val="0"/>
                <w:sz w:val="24"/>
                <w:szCs w:val="24"/>
              </w:rPr>
            </w:pPr>
            <w:r>
              <w:rPr>
                <w:rFonts w:ascii="Times New Roman" w:hAnsi="Times New Roman"/>
                <w:b w:val="0"/>
                <w:bCs w:val="0"/>
                <w:iCs w:val="0"/>
                <w:color w:val="auto"/>
                <w:kern w:val="0"/>
                <w:sz w:val="24"/>
                <w:szCs w:val="24"/>
              </w:rPr>
              <w:t>到2025年，环境空气质量持续改善，细颗粒物（PM</w:t>
            </w:r>
            <w:r>
              <w:rPr>
                <w:rFonts w:ascii="Times New Roman" w:hAnsi="Times New Roman"/>
                <w:b w:val="0"/>
                <w:bCs w:val="0"/>
                <w:iCs w:val="0"/>
                <w:color w:val="auto"/>
                <w:kern w:val="0"/>
                <w:sz w:val="24"/>
                <w:szCs w:val="24"/>
                <w:vertAlign w:val="subscript"/>
              </w:rPr>
              <w:t>2.5</w:t>
            </w:r>
            <w:r>
              <w:rPr>
                <w:rFonts w:ascii="Times New Roman" w:hAnsi="Times New Roman"/>
                <w:b w:val="0"/>
                <w:bCs w:val="0"/>
                <w:iCs w:val="0"/>
                <w:color w:val="auto"/>
                <w:kern w:val="0"/>
                <w:sz w:val="24"/>
                <w:szCs w:val="24"/>
              </w:rPr>
              <w:t>）年均浓度降至18.6μg/m</w:t>
            </w:r>
            <w:r>
              <w:rPr>
                <w:rFonts w:ascii="Times New Roman" w:hAnsi="Times New Roman"/>
                <w:b w:val="0"/>
                <w:bCs w:val="0"/>
                <w:iCs w:val="0"/>
                <w:color w:val="auto"/>
                <w:kern w:val="0"/>
                <w:sz w:val="24"/>
                <w:szCs w:val="24"/>
                <w:vertAlign w:val="superscript"/>
              </w:rPr>
              <w:t>3</w:t>
            </w:r>
            <w:r>
              <w:rPr>
                <w:rFonts w:ascii="Times New Roman" w:hAnsi="Times New Roman"/>
                <w:b w:val="0"/>
                <w:bCs w:val="0"/>
                <w:iCs w:val="0"/>
                <w:color w:val="auto"/>
                <w:kern w:val="0"/>
                <w:sz w:val="24"/>
                <w:szCs w:val="24"/>
              </w:rPr>
              <w:t>。到2035年，县级城市细颗粒物（PM</w:t>
            </w:r>
            <w:r>
              <w:rPr>
                <w:rFonts w:ascii="Times New Roman" w:hAnsi="Times New Roman"/>
                <w:b w:val="0"/>
                <w:bCs w:val="0"/>
                <w:iCs w:val="0"/>
                <w:color w:val="auto"/>
                <w:kern w:val="0"/>
                <w:sz w:val="24"/>
                <w:szCs w:val="24"/>
                <w:vertAlign w:val="subscript"/>
              </w:rPr>
              <w:t>2.5</w:t>
            </w:r>
            <w:r>
              <w:rPr>
                <w:rFonts w:ascii="Times New Roman" w:hAnsi="Times New Roman"/>
                <w:b w:val="0"/>
                <w:bCs w:val="0"/>
                <w:iCs w:val="0"/>
                <w:color w:val="auto"/>
                <w:kern w:val="0"/>
                <w:sz w:val="24"/>
                <w:szCs w:val="24"/>
              </w:rPr>
              <w:t>）年均浓度小于15μg/m</w:t>
            </w:r>
            <w:r>
              <w:rPr>
                <w:rFonts w:ascii="Times New Roman" w:hAnsi="Times New Roman"/>
                <w:b w:val="0"/>
                <w:bCs w:val="0"/>
                <w:iCs w:val="0"/>
                <w:color w:val="auto"/>
                <w:kern w:val="0"/>
                <w:sz w:val="24"/>
                <w:szCs w:val="24"/>
                <w:vertAlign w:val="superscript"/>
              </w:rPr>
              <w:t>3</w:t>
            </w:r>
            <w:r>
              <w:rPr>
                <w:rFonts w:ascii="Times New Roman" w:hAnsi="Times New Roman"/>
                <w:b w:val="0"/>
                <w:bCs w:val="0"/>
                <w:iCs w:val="0"/>
                <w:color w:val="auto"/>
                <w:kern w:val="0"/>
                <w:sz w:val="24"/>
                <w:szCs w:val="24"/>
              </w:rPr>
              <w:t>，最终指标值以省下达指标为准。</w:t>
            </w:r>
          </w:p>
          <w:p w14:paraId="6B432D64">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项目生产过</w:t>
            </w:r>
            <w:r>
              <w:rPr>
                <w:rFonts w:hint="eastAsia" w:ascii="Times New Roman" w:hAnsi="Times New Roman"/>
                <w:b w:val="0"/>
                <w:bCs w:val="0"/>
                <w:iCs w:val="0"/>
                <w:color w:val="auto"/>
                <w:sz w:val="24"/>
                <w:szCs w:val="24"/>
                <w:lang w:eastAsia="zh-CN"/>
              </w:rPr>
              <w:t>程中</w:t>
            </w:r>
            <w:r>
              <w:rPr>
                <w:rFonts w:hint="eastAsia" w:ascii="Times New Roman" w:hAnsi="Times New Roman"/>
                <w:b w:val="0"/>
                <w:bCs w:val="0"/>
                <w:iCs w:val="0"/>
                <w:color w:val="auto"/>
                <w:sz w:val="24"/>
                <w:szCs w:val="24"/>
              </w:rPr>
              <w:t>产生废气均设置有相应的收集和处理措施，保证处理废气能够达到相应的排放标准后达标排放，</w:t>
            </w:r>
            <w:r>
              <w:rPr>
                <w:rFonts w:ascii="Times New Roman" w:hAnsi="Times New Roman"/>
                <w:b w:val="0"/>
                <w:bCs w:val="0"/>
                <w:iCs w:val="0"/>
                <w:color w:val="auto"/>
                <w:sz w:val="24"/>
                <w:szCs w:val="24"/>
              </w:rPr>
              <w:t>符合大气环境质量底线要求。</w:t>
            </w:r>
          </w:p>
          <w:p w14:paraId="7C3C8E98">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③</w:t>
            </w:r>
            <w:r>
              <w:rPr>
                <w:rFonts w:ascii="Times New Roman" w:hAnsi="Times New Roman"/>
                <w:b w:val="0"/>
                <w:bCs w:val="0"/>
                <w:iCs w:val="0"/>
                <w:color w:val="auto"/>
                <w:sz w:val="24"/>
                <w:szCs w:val="24"/>
              </w:rPr>
              <w:t>土壤环境风险防控底线</w:t>
            </w:r>
          </w:p>
          <w:p w14:paraId="0E5871B9">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到2025年，受污染耕地安全利用率达到95%</w:t>
            </w:r>
            <w:r>
              <w:rPr>
                <w:rFonts w:hint="eastAsia" w:ascii="Times New Roman" w:hAnsi="Times New Roman"/>
                <w:b w:val="0"/>
                <w:bCs w:val="0"/>
                <w:iCs w:val="0"/>
                <w:color w:val="auto"/>
                <w:sz w:val="24"/>
                <w:szCs w:val="24"/>
              </w:rPr>
              <w:t>（</w:t>
            </w:r>
            <w:r>
              <w:rPr>
                <w:rFonts w:ascii="Times New Roman" w:hAnsi="Times New Roman"/>
                <w:b w:val="0"/>
                <w:bCs w:val="0"/>
                <w:iCs w:val="0"/>
                <w:color w:val="auto"/>
                <w:sz w:val="24"/>
                <w:szCs w:val="24"/>
              </w:rPr>
              <w:t>含</w:t>
            </w:r>
            <w:r>
              <w:rPr>
                <w:rFonts w:hint="eastAsia" w:ascii="Times New Roman" w:hAnsi="Times New Roman"/>
                <w:b w:val="0"/>
                <w:bCs w:val="0"/>
                <w:iCs w:val="0"/>
                <w:color w:val="auto"/>
                <w:sz w:val="24"/>
                <w:szCs w:val="24"/>
              </w:rPr>
              <w:t>）</w:t>
            </w:r>
            <w:r>
              <w:rPr>
                <w:rFonts w:ascii="Times New Roman" w:hAnsi="Times New Roman"/>
                <w:b w:val="0"/>
                <w:bCs w:val="0"/>
                <w:iCs w:val="0"/>
                <w:color w:val="auto"/>
                <w:sz w:val="24"/>
                <w:szCs w:val="24"/>
              </w:rPr>
              <w:t>以上，重点建设用地安全利用率得到有效保障，重点行业企业用地优先管控名录地块风险管控率达到95%</w:t>
            </w:r>
            <w:r>
              <w:rPr>
                <w:rFonts w:hint="eastAsia" w:ascii="Times New Roman" w:hAnsi="Times New Roman"/>
                <w:b w:val="0"/>
                <w:bCs w:val="0"/>
                <w:iCs w:val="0"/>
                <w:color w:val="auto"/>
                <w:sz w:val="24"/>
                <w:szCs w:val="24"/>
              </w:rPr>
              <w:t>（</w:t>
            </w:r>
            <w:r>
              <w:rPr>
                <w:rFonts w:ascii="Times New Roman" w:hAnsi="Times New Roman"/>
                <w:b w:val="0"/>
                <w:bCs w:val="0"/>
                <w:iCs w:val="0"/>
                <w:color w:val="auto"/>
                <w:sz w:val="24"/>
                <w:szCs w:val="24"/>
              </w:rPr>
              <w:t>含</w:t>
            </w:r>
            <w:r>
              <w:rPr>
                <w:rFonts w:hint="eastAsia" w:ascii="Times New Roman" w:hAnsi="Times New Roman"/>
                <w:b w:val="0"/>
                <w:bCs w:val="0"/>
                <w:iCs w:val="0"/>
                <w:color w:val="auto"/>
                <w:sz w:val="24"/>
                <w:szCs w:val="24"/>
              </w:rPr>
              <w:t>）</w:t>
            </w:r>
            <w:r>
              <w:rPr>
                <w:rFonts w:ascii="Times New Roman" w:hAnsi="Times New Roman"/>
                <w:b w:val="0"/>
                <w:bCs w:val="0"/>
                <w:iCs w:val="0"/>
                <w:color w:val="auto"/>
                <w:sz w:val="24"/>
                <w:szCs w:val="24"/>
              </w:rPr>
              <w:t>以上，开垦耕地土壤污染调查覆盖率达90%以上，畜禽粪污综合利用率预期达95%</w:t>
            </w:r>
            <w:r>
              <w:rPr>
                <w:rFonts w:hint="eastAsia" w:ascii="Times New Roman" w:hAnsi="Times New Roman"/>
                <w:b w:val="0"/>
                <w:bCs w:val="0"/>
                <w:iCs w:val="0"/>
                <w:color w:val="auto"/>
                <w:sz w:val="24"/>
                <w:szCs w:val="24"/>
              </w:rPr>
              <w:t>（</w:t>
            </w:r>
            <w:r>
              <w:rPr>
                <w:rFonts w:ascii="Times New Roman" w:hAnsi="Times New Roman"/>
                <w:b w:val="0"/>
                <w:bCs w:val="0"/>
                <w:iCs w:val="0"/>
                <w:color w:val="auto"/>
                <w:sz w:val="24"/>
                <w:szCs w:val="24"/>
              </w:rPr>
              <w:t>含</w:t>
            </w:r>
            <w:r>
              <w:rPr>
                <w:rFonts w:hint="eastAsia" w:ascii="Times New Roman" w:hAnsi="Times New Roman"/>
                <w:b w:val="0"/>
                <w:bCs w:val="0"/>
                <w:iCs w:val="0"/>
                <w:color w:val="auto"/>
                <w:sz w:val="24"/>
                <w:szCs w:val="24"/>
              </w:rPr>
              <w:t>）</w:t>
            </w:r>
            <w:r>
              <w:rPr>
                <w:rFonts w:ascii="Times New Roman" w:hAnsi="Times New Roman"/>
                <w:b w:val="0"/>
                <w:bCs w:val="0"/>
                <w:iCs w:val="0"/>
                <w:color w:val="auto"/>
                <w:sz w:val="24"/>
                <w:szCs w:val="24"/>
              </w:rPr>
              <w:t>以上。到2035年，全市土壤环境质量稳中向好，农用地和建设用地土壤环境得到有效保障，土壤环境风险得到全面管控。</w:t>
            </w:r>
          </w:p>
          <w:p w14:paraId="631574DC">
            <w:pPr>
              <w:keepNext w:val="0"/>
              <w:keepLines w:val="0"/>
              <w:pageBreakBefore w:val="0"/>
              <w:widowControl w:val="0"/>
              <w:kinsoku/>
              <w:wordWrap/>
              <w:overflowPunct/>
              <w:topLinePunct w:val="0"/>
              <w:bidi w:val="0"/>
              <w:spacing w:line="360" w:lineRule="auto"/>
              <w:ind w:firstLine="480" w:firstLineChars="200"/>
              <w:textAlignment w:val="auto"/>
              <w:rPr>
                <w:rFonts w:hint="eastAsia" w:ascii="Times New Roman" w:hAnsi="Times New Roman"/>
                <w:b w:val="0"/>
                <w:bCs w:val="0"/>
                <w:iCs w:val="0"/>
                <w:color w:val="auto"/>
                <w:sz w:val="24"/>
                <w:szCs w:val="24"/>
              </w:rPr>
            </w:pPr>
            <w:r>
              <w:rPr>
                <w:rFonts w:hint="eastAsia" w:ascii="Times New Roman" w:hAnsi="Times New Roman"/>
                <w:b w:val="0"/>
                <w:bCs w:val="0"/>
                <w:iCs w:val="0"/>
                <w:color w:val="auto"/>
                <w:sz w:val="24"/>
                <w:szCs w:val="24"/>
              </w:rPr>
              <w:t>项目</w:t>
            </w:r>
            <w:r>
              <w:rPr>
                <w:rFonts w:hint="eastAsia" w:ascii="Times New Roman" w:hAnsi="Times New Roman"/>
                <w:b w:val="0"/>
                <w:bCs w:val="0"/>
                <w:iCs w:val="0"/>
                <w:color w:val="auto"/>
                <w:sz w:val="24"/>
                <w:szCs w:val="24"/>
                <w:lang w:val="en-US" w:eastAsia="zh-CN"/>
              </w:rPr>
              <w:t>租赁闲置空置</w:t>
            </w:r>
            <w:r>
              <w:rPr>
                <w:rFonts w:hint="eastAsia" w:ascii="Times New Roman" w:hAnsi="Times New Roman"/>
                <w:b w:val="0"/>
                <w:bCs w:val="0"/>
                <w:iCs w:val="0"/>
                <w:color w:val="auto"/>
                <w:sz w:val="24"/>
                <w:szCs w:val="24"/>
              </w:rPr>
              <w:t>厂房进行生产，</w:t>
            </w:r>
            <w:r>
              <w:rPr>
                <w:rFonts w:ascii="Times New Roman" w:hAnsi="Times New Roman"/>
                <w:b w:val="0"/>
                <w:bCs w:val="0"/>
                <w:iCs w:val="0"/>
                <w:color w:val="auto"/>
                <w:sz w:val="24"/>
                <w:szCs w:val="24"/>
              </w:rPr>
              <w:t>用地属性</w:t>
            </w:r>
            <w:r>
              <w:rPr>
                <w:rFonts w:hint="eastAsia" w:ascii="Times New Roman" w:hAnsi="Times New Roman"/>
                <w:b w:val="0"/>
                <w:bCs w:val="0"/>
                <w:iCs w:val="0"/>
                <w:color w:val="auto"/>
                <w:sz w:val="24"/>
                <w:szCs w:val="24"/>
              </w:rPr>
              <w:t>为工业</w:t>
            </w:r>
            <w:r>
              <w:rPr>
                <w:rFonts w:ascii="Times New Roman" w:hAnsi="Times New Roman"/>
                <w:b w:val="0"/>
                <w:bCs w:val="0"/>
                <w:iCs w:val="0"/>
                <w:color w:val="auto"/>
                <w:sz w:val="24"/>
                <w:szCs w:val="24"/>
              </w:rPr>
              <w:t>用地，场地为已平整并硬化后的场地，</w:t>
            </w:r>
            <w:r>
              <w:rPr>
                <w:rFonts w:hint="eastAsia" w:ascii="Times New Roman" w:hAnsi="Times New Roman"/>
                <w:b w:val="0"/>
                <w:bCs w:val="0"/>
                <w:iCs w:val="0"/>
                <w:color w:val="auto"/>
                <w:sz w:val="24"/>
                <w:szCs w:val="24"/>
              </w:rPr>
              <w:t>生产过</w:t>
            </w:r>
            <w:r>
              <w:rPr>
                <w:rFonts w:hint="eastAsia" w:ascii="Times New Roman" w:hAnsi="Times New Roman"/>
                <w:b w:val="0"/>
                <w:bCs w:val="0"/>
                <w:iCs w:val="0"/>
                <w:color w:val="auto"/>
                <w:sz w:val="24"/>
                <w:szCs w:val="24"/>
                <w:lang w:eastAsia="zh-CN"/>
              </w:rPr>
              <w:t>程中</w:t>
            </w:r>
            <w:r>
              <w:rPr>
                <w:rFonts w:hint="eastAsia" w:ascii="Times New Roman" w:hAnsi="Times New Roman"/>
                <w:b w:val="0"/>
                <w:bCs w:val="0"/>
                <w:iCs w:val="0"/>
                <w:color w:val="auto"/>
                <w:sz w:val="24"/>
                <w:szCs w:val="24"/>
              </w:rPr>
              <w:t>不排放持久性污染物，</w:t>
            </w:r>
            <w:r>
              <w:rPr>
                <w:rFonts w:ascii="Times New Roman" w:hAnsi="Times New Roman"/>
                <w:b w:val="0"/>
                <w:bCs w:val="0"/>
                <w:iCs w:val="0"/>
                <w:color w:val="auto"/>
                <w:sz w:val="24"/>
                <w:szCs w:val="24"/>
              </w:rPr>
              <w:t>不存在土壤环境风险，符合土壤环境风险防控底线要求。</w:t>
            </w:r>
          </w:p>
          <w:p w14:paraId="5E3BA333">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综合分析，项目建设不会突破当地环境质量底线。</w:t>
            </w:r>
          </w:p>
          <w:p w14:paraId="48B486D4">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（3）与</w:t>
            </w:r>
            <w:r>
              <w:rPr>
                <w:rFonts w:ascii="Times New Roman" w:hAnsi="Times New Roman"/>
                <w:b w:val="0"/>
                <w:bCs w:val="0"/>
                <w:iCs w:val="0"/>
                <w:color w:val="auto"/>
                <w:sz w:val="24"/>
                <w:szCs w:val="24"/>
              </w:rPr>
              <w:t>资源利用上线</w:t>
            </w:r>
            <w:r>
              <w:rPr>
                <w:rFonts w:hint="eastAsia" w:ascii="Times New Roman" w:hAnsi="Times New Roman"/>
                <w:b w:val="0"/>
                <w:bCs w:val="0"/>
                <w:iCs w:val="0"/>
                <w:color w:val="auto"/>
                <w:sz w:val="24"/>
                <w:szCs w:val="24"/>
              </w:rPr>
              <w:t>的符合性分析</w:t>
            </w:r>
          </w:p>
          <w:p w14:paraId="14A16B0B">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①</w:t>
            </w:r>
            <w:r>
              <w:rPr>
                <w:rFonts w:ascii="Times New Roman" w:hAnsi="Times New Roman"/>
                <w:b w:val="0"/>
                <w:bCs w:val="0"/>
                <w:iCs w:val="0"/>
                <w:color w:val="auto"/>
                <w:sz w:val="24"/>
                <w:szCs w:val="24"/>
              </w:rPr>
              <w:t>水资源利用上线</w:t>
            </w:r>
          </w:p>
          <w:p w14:paraId="0158543E">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到2025年，全市总用水量目标值为28亿立方米，万元工业增加值用水量达到12立方米、万元GDP用水量达到19立方米、农田灌溉有效利用系数达到0.586。2035年指标以省人民政府下达为准。</w:t>
            </w:r>
          </w:p>
          <w:p w14:paraId="3FBBC23D">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项目运营期用水来源于市政给水，与福州市水资源利用上线管控要求相符。</w:t>
            </w:r>
          </w:p>
          <w:p w14:paraId="312EE1F2">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②</w:t>
            </w:r>
            <w:r>
              <w:rPr>
                <w:rFonts w:ascii="Times New Roman" w:hAnsi="Times New Roman"/>
                <w:b w:val="0"/>
                <w:bCs w:val="0"/>
                <w:iCs w:val="0"/>
                <w:color w:val="auto"/>
                <w:sz w:val="24"/>
                <w:szCs w:val="24"/>
              </w:rPr>
              <w:t>土地资源利用上线</w:t>
            </w:r>
          </w:p>
          <w:p w14:paraId="4D2A8646">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到2025年，耕地保有量达到947.53平方千米，基本农田保护面积达到844.82平方千米。2035年指标与2025年保持一致。</w:t>
            </w:r>
          </w:p>
          <w:p w14:paraId="53ACBB11">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根据《</w:t>
            </w:r>
            <w:r>
              <w:rPr>
                <w:rFonts w:hint="eastAsia" w:ascii="Times New Roman" w:hAnsi="Times New Roman"/>
                <w:b w:val="0"/>
                <w:bCs w:val="0"/>
                <w:iCs w:val="0"/>
                <w:color w:val="auto"/>
                <w:sz w:val="24"/>
                <w:szCs w:val="24"/>
              </w:rPr>
              <w:t>福州市生态环境局关于发布福州市2024年生态环境分区管控动态更新成果的通知</w:t>
            </w:r>
            <w:r>
              <w:rPr>
                <w:rFonts w:ascii="Times New Roman" w:hAnsi="Times New Roman"/>
                <w:b w:val="0"/>
                <w:bCs w:val="0"/>
                <w:iCs w:val="0"/>
                <w:color w:val="auto"/>
                <w:sz w:val="24"/>
                <w:szCs w:val="24"/>
              </w:rPr>
              <w:t>》</w:t>
            </w:r>
            <w:r>
              <w:rPr>
                <w:rFonts w:hint="eastAsia" w:ascii="Times New Roman" w:hAnsi="Times New Roman"/>
                <w:b w:val="0"/>
                <w:bCs w:val="0"/>
                <w:iCs w:val="0"/>
                <w:color w:val="auto"/>
                <w:sz w:val="24"/>
                <w:szCs w:val="24"/>
                <w:lang w:bidi="ar"/>
              </w:rPr>
              <w:t>（榕</w:t>
            </w:r>
            <w:r>
              <w:rPr>
                <w:rFonts w:hint="eastAsia" w:ascii="Times New Roman" w:hAnsi="Times New Roman"/>
                <w:b w:val="0"/>
                <w:bCs w:val="0"/>
                <w:iCs w:val="0"/>
                <w:color w:val="auto"/>
                <w:sz w:val="24"/>
                <w:szCs w:val="24"/>
                <w:lang w:val="en-US" w:eastAsia="zh-CN" w:bidi="ar"/>
              </w:rPr>
              <w:t>环保综</w:t>
            </w:r>
            <w:r>
              <w:rPr>
                <w:rFonts w:hint="eastAsia" w:ascii="Times New Roman" w:hAnsi="Times New Roman"/>
                <w:b w:val="0"/>
                <w:bCs w:val="0"/>
                <w:iCs w:val="0"/>
                <w:color w:val="auto"/>
                <w:sz w:val="24"/>
                <w:szCs w:val="24"/>
                <w:lang w:bidi="ar"/>
              </w:rPr>
              <w:t>〔202</w:t>
            </w:r>
            <w:r>
              <w:rPr>
                <w:rFonts w:hint="eastAsia" w:ascii="Times New Roman" w:hAnsi="Times New Roman"/>
                <w:b w:val="0"/>
                <w:bCs w:val="0"/>
                <w:iCs w:val="0"/>
                <w:color w:val="auto"/>
                <w:sz w:val="24"/>
                <w:szCs w:val="24"/>
                <w:lang w:val="en-US" w:eastAsia="zh-CN" w:bidi="ar"/>
              </w:rPr>
              <w:t>5</w:t>
            </w:r>
            <w:r>
              <w:rPr>
                <w:rFonts w:hint="eastAsia" w:ascii="Times New Roman" w:hAnsi="Times New Roman"/>
                <w:b w:val="0"/>
                <w:bCs w:val="0"/>
                <w:iCs w:val="0"/>
                <w:color w:val="auto"/>
                <w:sz w:val="24"/>
                <w:szCs w:val="24"/>
                <w:lang w:bidi="ar"/>
              </w:rPr>
              <w:t>〕</w:t>
            </w:r>
            <w:r>
              <w:rPr>
                <w:rFonts w:hint="eastAsia" w:ascii="Times New Roman" w:hAnsi="Times New Roman"/>
                <w:b w:val="0"/>
                <w:bCs w:val="0"/>
                <w:iCs w:val="0"/>
                <w:color w:val="auto"/>
                <w:sz w:val="24"/>
                <w:szCs w:val="24"/>
                <w:lang w:val="en-US" w:eastAsia="zh-CN" w:bidi="ar"/>
              </w:rPr>
              <w:t>1</w:t>
            </w:r>
            <w:r>
              <w:rPr>
                <w:rFonts w:hint="eastAsia" w:ascii="Times New Roman" w:hAnsi="Times New Roman"/>
                <w:b w:val="0"/>
                <w:bCs w:val="0"/>
                <w:iCs w:val="0"/>
                <w:color w:val="auto"/>
                <w:sz w:val="24"/>
                <w:szCs w:val="24"/>
                <w:lang w:bidi="ar"/>
              </w:rPr>
              <w:t>号）</w:t>
            </w:r>
            <w:r>
              <w:rPr>
                <w:rFonts w:ascii="Times New Roman" w:hAnsi="Times New Roman"/>
                <w:b w:val="0"/>
                <w:bCs w:val="0"/>
                <w:iCs w:val="0"/>
                <w:color w:val="auto"/>
                <w:sz w:val="24"/>
                <w:szCs w:val="24"/>
              </w:rPr>
              <w:t>，衔接《福州市国土空间总体规划》（2021-2035），项目用地性质为</w:t>
            </w:r>
            <w:r>
              <w:rPr>
                <w:rFonts w:hint="eastAsia" w:ascii="Times New Roman" w:hAnsi="Times New Roman"/>
                <w:b w:val="0"/>
                <w:bCs w:val="0"/>
                <w:iCs w:val="0"/>
                <w:color w:val="auto"/>
                <w:sz w:val="24"/>
                <w:szCs w:val="24"/>
              </w:rPr>
              <w:t>工业</w:t>
            </w:r>
            <w:r>
              <w:rPr>
                <w:rFonts w:ascii="Times New Roman" w:hAnsi="Times New Roman"/>
                <w:b w:val="0"/>
                <w:bCs w:val="0"/>
                <w:iCs w:val="0"/>
                <w:color w:val="auto"/>
                <w:sz w:val="24"/>
                <w:szCs w:val="24"/>
              </w:rPr>
              <w:t>用地，与城市总体规划相符，项目符合土地资源利用上线管控要求。</w:t>
            </w:r>
          </w:p>
          <w:p w14:paraId="4850B1CD">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③</w:t>
            </w:r>
            <w:r>
              <w:rPr>
                <w:rFonts w:ascii="Times New Roman" w:hAnsi="Times New Roman"/>
                <w:b w:val="0"/>
                <w:bCs w:val="0"/>
                <w:iCs w:val="0"/>
                <w:color w:val="auto"/>
                <w:sz w:val="24"/>
                <w:szCs w:val="24"/>
              </w:rPr>
              <w:t>能源资源利用上线</w:t>
            </w:r>
          </w:p>
          <w:p w14:paraId="10046A5C">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到2025年，单位地区生产总值二氧化碳排</w:t>
            </w:r>
            <w:r>
              <w:rPr>
                <w:rFonts w:ascii="Times New Roman" w:hAnsi="Times New Roman"/>
                <w:b w:val="0"/>
                <w:bCs w:val="0"/>
                <w:iCs w:val="0"/>
                <w:color w:val="auto"/>
                <w:sz w:val="24"/>
                <w:szCs w:val="24"/>
                <w:highlight w:val="none"/>
              </w:rPr>
              <w:t>放降低</w:t>
            </w:r>
            <w:r>
              <w:rPr>
                <w:rFonts w:hint="eastAsia" w:ascii="Times New Roman" w:hAnsi="Times New Roman"/>
                <w:b w:val="0"/>
                <w:bCs w:val="0"/>
                <w:iCs w:val="0"/>
                <w:color w:val="auto"/>
                <w:sz w:val="24"/>
                <w:szCs w:val="24"/>
                <w:highlight w:val="none"/>
                <w:lang w:val="en-US" w:eastAsia="zh-CN"/>
              </w:rPr>
              <w:t>了</w:t>
            </w:r>
            <w:r>
              <w:rPr>
                <w:rFonts w:ascii="Times New Roman" w:hAnsi="Times New Roman"/>
                <w:b w:val="0"/>
                <w:bCs w:val="0"/>
                <w:iCs w:val="0"/>
                <w:color w:val="auto"/>
                <w:sz w:val="24"/>
                <w:szCs w:val="24"/>
                <w:highlight w:val="none"/>
              </w:rPr>
              <w:t>1</w:t>
            </w:r>
            <w:r>
              <w:rPr>
                <w:rFonts w:ascii="Times New Roman" w:hAnsi="Times New Roman"/>
                <w:b w:val="0"/>
                <w:bCs w:val="0"/>
                <w:iCs w:val="0"/>
                <w:color w:val="auto"/>
                <w:sz w:val="24"/>
                <w:szCs w:val="24"/>
              </w:rPr>
              <w:t>9.5%，单位地区生产总值能源消</w:t>
            </w:r>
            <w:r>
              <w:rPr>
                <w:rFonts w:ascii="Times New Roman" w:hAnsi="Times New Roman"/>
                <w:b w:val="0"/>
                <w:bCs w:val="0"/>
                <w:iCs w:val="0"/>
                <w:color w:val="auto"/>
                <w:sz w:val="24"/>
                <w:szCs w:val="24"/>
                <w:highlight w:val="none"/>
              </w:rPr>
              <w:t>耗降低</w:t>
            </w:r>
            <w:r>
              <w:rPr>
                <w:rFonts w:hint="eastAsia" w:ascii="Times New Roman" w:hAnsi="Times New Roman"/>
                <w:b w:val="0"/>
                <w:bCs w:val="0"/>
                <w:iCs w:val="0"/>
                <w:color w:val="auto"/>
                <w:sz w:val="24"/>
                <w:szCs w:val="24"/>
                <w:highlight w:val="none"/>
                <w:lang w:val="en-US" w:eastAsia="zh-CN"/>
              </w:rPr>
              <w:t>了</w:t>
            </w:r>
            <w:r>
              <w:rPr>
                <w:rFonts w:ascii="Times New Roman" w:hAnsi="Times New Roman"/>
                <w:b w:val="0"/>
                <w:bCs w:val="0"/>
                <w:iCs w:val="0"/>
                <w:color w:val="auto"/>
                <w:sz w:val="24"/>
                <w:szCs w:val="24"/>
                <w:highlight w:val="none"/>
              </w:rPr>
              <w:t>14%，</w:t>
            </w:r>
            <w:r>
              <w:rPr>
                <w:rFonts w:ascii="Times New Roman" w:hAnsi="Times New Roman"/>
                <w:b w:val="0"/>
                <w:bCs w:val="0"/>
                <w:iCs w:val="0"/>
                <w:color w:val="auto"/>
                <w:sz w:val="24"/>
                <w:szCs w:val="24"/>
              </w:rPr>
              <w:t>非化石能源占一次能源消费比例达到32%。2035年指标以省人民政府下达为准。</w:t>
            </w:r>
          </w:p>
          <w:p w14:paraId="17BD7C70">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ascii="Times New Roman" w:hAnsi="Times New Roman"/>
                <w:b w:val="0"/>
                <w:bCs w:val="0"/>
                <w:iCs w:val="0"/>
                <w:color w:val="auto"/>
                <w:sz w:val="24"/>
                <w:szCs w:val="24"/>
              </w:rPr>
              <w:t>项目用水、用电为区域集中供应，项目运行过程通过内部管理、设备选择、原辅材料的选用和管理、废物回收利用、污染治理等多方面采取合理可行的防治措施，以</w:t>
            </w:r>
            <w:r>
              <w:rPr>
                <w:rFonts w:hint="eastAsia" w:ascii="Times New Roman" w:hAnsi="Times New Roman"/>
                <w:b w:val="0"/>
                <w:bCs w:val="0"/>
                <w:iCs w:val="0"/>
                <w:color w:val="auto"/>
                <w:sz w:val="24"/>
                <w:szCs w:val="24"/>
                <w:lang w:eastAsia="zh-CN"/>
              </w:rPr>
              <w:t>“</w:t>
            </w:r>
            <w:r>
              <w:rPr>
                <w:rFonts w:ascii="Times New Roman" w:hAnsi="Times New Roman"/>
                <w:b w:val="0"/>
                <w:bCs w:val="0"/>
                <w:iCs w:val="0"/>
                <w:color w:val="auto"/>
                <w:sz w:val="24"/>
                <w:szCs w:val="24"/>
              </w:rPr>
              <w:t>节能、降耗、减污</w:t>
            </w:r>
            <w:r>
              <w:rPr>
                <w:rFonts w:hint="eastAsia" w:ascii="Times New Roman" w:hAnsi="Times New Roman"/>
                <w:b w:val="0"/>
                <w:bCs w:val="0"/>
                <w:iCs w:val="0"/>
                <w:color w:val="auto"/>
                <w:sz w:val="24"/>
                <w:szCs w:val="24"/>
                <w:lang w:eastAsia="zh-CN"/>
              </w:rPr>
              <w:t>”</w:t>
            </w:r>
            <w:r>
              <w:rPr>
                <w:rFonts w:ascii="Times New Roman" w:hAnsi="Times New Roman"/>
                <w:b w:val="0"/>
                <w:bCs w:val="0"/>
                <w:iCs w:val="0"/>
                <w:color w:val="auto"/>
                <w:sz w:val="24"/>
                <w:szCs w:val="24"/>
              </w:rPr>
              <w:t>为目标，有效</w:t>
            </w:r>
            <w:r>
              <w:rPr>
                <w:rFonts w:hint="eastAsia" w:ascii="Times New Roman" w:hAnsi="Times New Roman"/>
                <w:b w:val="0"/>
                <w:bCs w:val="0"/>
                <w:iCs w:val="0"/>
                <w:color w:val="auto"/>
                <w:sz w:val="24"/>
                <w:szCs w:val="24"/>
              </w:rPr>
              <w:t>地</w:t>
            </w:r>
            <w:r>
              <w:rPr>
                <w:rFonts w:ascii="Times New Roman" w:hAnsi="Times New Roman"/>
                <w:b w:val="0"/>
                <w:bCs w:val="0"/>
                <w:iCs w:val="0"/>
                <w:color w:val="auto"/>
                <w:sz w:val="24"/>
                <w:szCs w:val="24"/>
              </w:rPr>
              <w:t>控制污染。项目的水、电等资源利用与福州市能源资源利用上线要求相符。</w:t>
            </w:r>
          </w:p>
          <w:p w14:paraId="0F0FF400">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（4）</w:t>
            </w:r>
            <w:r>
              <w:rPr>
                <w:rFonts w:ascii="Times New Roman" w:hAnsi="Times New Roman"/>
                <w:b w:val="0"/>
                <w:bCs w:val="0"/>
                <w:iCs w:val="0"/>
                <w:color w:val="auto"/>
                <w:sz w:val="24"/>
                <w:szCs w:val="24"/>
              </w:rPr>
              <w:t>生态环境准入清单</w:t>
            </w:r>
          </w:p>
          <w:p w14:paraId="61494993">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highlight w:val="none"/>
              </w:rPr>
            </w:pPr>
            <w:r>
              <w:rPr>
                <w:rFonts w:ascii="Times New Roman" w:hAnsi="Times New Roman"/>
                <w:b w:val="0"/>
                <w:bCs w:val="0"/>
                <w:iCs w:val="0"/>
                <w:color w:val="auto"/>
                <w:sz w:val="24"/>
                <w:szCs w:val="24"/>
              </w:rPr>
              <w:t>项目未列入《福建省第一批国家重点生态功能区县（市）产业准入负面清单（试行）》，</w:t>
            </w:r>
            <w:r>
              <w:rPr>
                <w:rFonts w:ascii="Times New Roman" w:hAnsi="Times New Roman"/>
                <w:b w:val="0"/>
                <w:bCs w:val="0"/>
                <w:iCs w:val="0"/>
                <w:color w:val="auto"/>
                <w:sz w:val="24"/>
                <w:szCs w:val="24"/>
                <w:highlight w:val="none"/>
              </w:rPr>
              <w:t>未列入《市场准入负面清单（20</w:t>
            </w:r>
            <w:r>
              <w:rPr>
                <w:rFonts w:hint="eastAsia" w:ascii="Times New Roman" w:hAnsi="Times New Roman"/>
                <w:b w:val="0"/>
                <w:bCs w:val="0"/>
                <w:iCs w:val="0"/>
                <w:color w:val="auto"/>
                <w:sz w:val="24"/>
                <w:szCs w:val="24"/>
                <w:highlight w:val="none"/>
                <w:lang w:val="en-US" w:eastAsia="zh-CN"/>
              </w:rPr>
              <w:t>25</w:t>
            </w:r>
            <w:r>
              <w:rPr>
                <w:rFonts w:ascii="Times New Roman" w:hAnsi="Times New Roman"/>
                <w:b w:val="0"/>
                <w:bCs w:val="0"/>
                <w:iCs w:val="0"/>
                <w:color w:val="auto"/>
                <w:sz w:val="24"/>
                <w:szCs w:val="24"/>
                <w:highlight w:val="none"/>
              </w:rPr>
              <w:t>年版）》禁止准入类。</w:t>
            </w:r>
          </w:p>
          <w:p w14:paraId="5B24FEFD">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b w:val="0"/>
                <w:bCs w:val="0"/>
                <w:iCs w:val="0"/>
                <w:color w:val="auto"/>
                <w:sz w:val="24"/>
                <w:szCs w:val="24"/>
              </w:rPr>
            </w:pPr>
            <w:r>
              <w:rPr>
                <w:rFonts w:hint="eastAsia" w:ascii="Times New Roman" w:hAnsi="Times New Roman"/>
                <w:b w:val="0"/>
                <w:bCs w:val="0"/>
                <w:iCs w:val="0"/>
                <w:color w:val="auto"/>
                <w:sz w:val="24"/>
                <w:szCs w:val="24"/>
              </w:rPr>
              <w:t>根据《福州市生态环境局关于发布福州市2024年生态环境分区管控动态更新成果的通知》（榕</w:t>
            </w:r>
            <w:r>
              <w:rPr>
                <w:rFonts w:hint="eastAsia" w:ascii="Times New Roman" w:hAnsi="Times New Roman"/>
                <w:b w:val="0"/>
                <w:bCs w:val="0"/>
                <w:iCs w:val="0"/>
                <w:color w:val="auto"/>
                <w:sz w:val="24"/>
                <w:szCs w:val="24"/>
                <w:lang w:val="en-US" w:eastAsia="zh-CN"/>
              </w:rPr>
              <w:t>环保综</w:t>
            </w:r>
            <w:r>
              <w:rPr>
                <w:rFonts w:hint="eastAsia" w:ascii="Times New Roman" w:hAnsi="Times New Roman"/>
                <w:b w:val="0"/>
                <w:bCs w:val="0"/>
                <w:iCs w:val="0"/>
                <w:color w:val="auto"/>
                <w:sz w:val="24"/>
                <w:szCs w:val="24"/>
              </w:rPr>
              <w:t>〔202</w:t>
            </w:r>
            <w:r>
              <w:rPr>
                <w:rFonts w:hint="eastAsia" w:ascii="Times New Roman" w:hAnsi="Times New Roman"/>
                <w:b w:val="0"/>
                <w:bCs w:val="0"/>
                <w:iCs w:val="0"/>
                <w:color w:val="auto"/>
                <w:sz w:val="24"/>
                <w:szCs w:val="24"/>
                <w:lang w:val="en-US" w:eastAsia="zh-CN"/>
              </w:rPr>
              <w:t>5</w:t>
            </w:r>
            <w:r>
              <w:rPr>
                <w:rFonts w:hint="eastAsia" w:ascii="Times New Roman" w:hAnsi="Times New Roman"/>
                <w:b w:val="0"/>
                <w:bCs w:val="0"/>
                <w:iCs w:val="0"/>
                <w:color w:val="auto"/>
                <w:sz w:val="24"/>
                <w:szCs w:val="24"/>
              </w:rPr>
              <w:t>〕</w:t>
            </w:r>
            <w:r>
              <w:rPr>
                <w:rFonts w:hint="eastAsia" w:ascii="Times New Roman" w:hAnsi="Times New Roman"/>
                <w:b w:val="0"/>
                <w:bCs w:val="0"/>
                <w:iCs w:val="0"/>
                <w:color w:val="auto"/>
                <w:sz w:val="24"/>
                <w:szCs w:val="24"/>
                <w:lang w:val="en-US" w:eastAsia="zh-CN"/>
              </w:rPr>
              <w:t>1</w:t>
            </w:r>
            <w:r>
              <w:rPr>
                <w:rFonts w:hint="eastAsia" w:ascii="Times New Roman" w:hAnsi="Times New Roman"/>
                <w:b w:val="0"/>
                <w:bCs w:val="0"/>
                <w:iCs w:val="0"/>
                <w:color w:val="auto"/>
                <w:sz w:val="24"/>
                <w:szCs w:val="24"/>
              </w:rPr>
              <w:t>号）中对</w:t>
            </w:r>
            <w:r>
              <w:rPr>
                <w:rFonts w:hint="eastAsia" w:ascii="Times New Roman" w:hAnsi="Times New Roman"/>
                <w:b w:val="0"/>
                <w:bCs w:val="0"/>
                <w:iCs w:val="0"/>
                <w:color w:val="auto"/>
                <w:sz w:val="24"/>
                <w:szCs w:val="24"/>
                <w:lang w:eastAsia="zh-CN"/>
              </w:rPr>
              <w:t>“</w:t>
            </w:r>
            <w:r>
              <w:rPr>
                <w:rFonts w:hint="eastAsia" w:ascii="Times New Roman" w:hAnsi="Times New Roman"/>
                <w:b w:val="0"/>
                <w:bCs w:val="0"/>
                <w:iCs w:val="0"/>
                <w:color w:val="auto"/>
                <w:sz w:val="24"/>
                <w:szCs w:val="24"/>
              </w:rPr>
              <w:t>生态分区管控的要求</w:t>
            </w:r>
            <w:r>
              <w:rPr>
                <w:rFonts w:hint="eastAsia" w:ascii="Times New Roman" w:hAnsi="Times New Roman"/>
                <w:b w:val="0"/>
                <w:bCs w:val="0"/>
                <w:iCs w:val="0"/>
                <w:color w:val="auto"/>
                <w:sz w:val="24"/>
                <w:szCs w:val="24"/>
                <w:lang w:eastAsia="zh-CN"/>
              </w:rPr>
              <w:t>”</w:t>
            </w:r>
            <w:r>
              <w:rPr>
                <w:rFonts w:hint="eastAsia" w:ascii="Times New Roman" w:hAnsi="Times New Roman"/>
                <w:b w:val="0"/>
                <w:bCs w:val="0"/>
                <w:iCs w:val="0"/>
                <w:color w:val="auto"/>
                <w:sz w:val="24"/>
                <w:szCs w:val="24"/>
              </w:rPr>
              <w:t>，</w:t>
            </w:r>
            <w:r>
              <w:rPr>
                <w:rFonts w:ascii="Times New Roman" w:hAnsi="Times New Roman"/>
                <w:b w:val="0"/>
                <w:bCs w:val="0"/>
                <w:iCs w:val="0"/>
                <w:color w:val="auto"/>
                <w:sz w:val="24"/>
                <w:szCs w:val="24"/>
              </w:rPr>
              <w:t>符合性分析详见表1</w:t>
            </w:r>
            <w:r>
              <w:rPr>
                <w:rFonts w:hint="eastAsia" w:ascii="Times New Roman" w:hAnsi="Times New Roman"/>
                <w:b w:val="0"/>
                <w:bCs w:val="0"/>
                <w:iCs w:val="0"/>
                <w:color w:val="auto"/>
                <w:sz w:val="24"/>
                <w:szCs w:val="24"/>
              </w:rPr>
              <w:t>.</w:t>
            </w:r>
            <w:r>
              <w:rPr>
                <w:rFonts w:hint="eastAsia" w:ascii="Times New Roman" w:hAnsi="Times New Roman"/>
                <w:b w:val="0"/>
                <w:bCs w:val="0"/>
                <w:iCs w:val="0"/>
                <w:color w:val="auto"/>
                <w:sz w:val="24"/>
                <w:szCs w:val="24"/>
                <w:lang w:val="en-US" w:eastAsia="zh-CN"/>
              </w:rPr>
              <w:t>6</w:t>
            </w:r>
            <w:r>
              <w:rPr>
                <w:rFonts w:ascii="Times New Roman" w:hAnsi="Times New Roman"/>
                <w:b w:val="0"/>
                <w:bCs w:val="0"/>
                <w:iCs w:val="0"/>
                <w:color w:val="auto"/>
                <w:sz w:val="24"/>
                <w:szCs w:val="24"/>
              </w:rPr>
              <w:t>-</w:t>
            </w:r>
            <w:r>
              <w:rPr>
                <w:rFonts w:hint="eastAsia" w:ascii="Times New Roman" w:hAnsi="Times New Roman"/>
                <w:b w:val="0"/>
                <w:bCs w:val="0"/>
                <w:iCs w:val="0"/>
                <w:color w:val="auto"/>
                <w:sz w:val="24"/>
                <w:szCs w:val="24"/>
              </w:rPr>
              <w:t>1，</w:t>
            </w:r>
            <w:r>
              <w:rPr>
                <w:rFonts w:ascii="Times New Roman" w:hAnsi="Times New Roman"/>
                <w:b w:val="0"/>
                <w:bCs w:val="0"/>
                <w:iCs w:val="0"/>
                <w:color w:val="auto"/>
                <w:sz w:val="24"/>
                <w:szCs w:val="24"/>
              </w:rPr>
              <w:t>表1</w:t>
            </w:r>
            <w:r>
              <w:rPr>
                <w:rFonts w:hint="eastAsia" w:ascii="Times New Roman" w:hAnsi="Times New Roman"/>
                <w:b w:val="0"/>
                <w:bCs w:val="0"/>
                <w:iCs w:val="0"/>
                <w:color w:val="auto"/>
                <w:sz w:val="24"/>
                <w:szCs w:val="24"/>
              </w:rPr>
              <w:t>.</w:t>
            </w:r>
            <w:r>
              <w:rPr>
                <w:rFonts w:hint="eastAsia" w:ascii="Times New Roman" w:hAnsi="Times New Roman"/>
                <w:b w:val="0"/>
                <w:bCs w:val="0"/>
                <w:iCs w:val="0"/>
                <w:color w:val="auto"/>
                <w:sz w:val="24"/>
                <w:szCs w:val="24"/>
                <w:lang w:val="en-US" w:eastAsia="zh-CN"/>
              </w:rPr>
              <w:t>6</w:t>
            </w:r>
            <w:r>
              <w:rPr>
                <w:rFonts w:ascii="Times New Roman" w:hAnsi="Times New Roman"/>
                <w:b w:val="0"/>
                <w:bCs w:val="0"/>
                <w:iCs w:val="0"/>
                <w:color w:val="auto"/>
                <w:sz w:val="24"/>
                <w:szCs w:val="24"/>
              </w:rPr>
              <w:t>-</w:t>
            </w:r>
            <w:r>
              <w:rPr>
                <w:rFonts w:hint="eastAsia" w:ascii="Times New Roman" w:hAnsi="Times New Roman"/>
                <w:b w:val="0"/>
                <w:bCs w:val="0"/>
                <w:iCs w:val="0"/>
                <w:color w:val="auto"/>
                <w:sz w:val="24"/>
                <w:szCs w:val="24"/>
              </w:rPr>
              <w:t>2</w:t>
            </w:r>
            <w:r>
              <w:rPr>
                <w:rFonts w:ascii="Times New Roman" w:hAnsi="Times New Roman"/>
                <w:b w:val="0"/>
                <w:bCs w:val="0"/>
                <w:iCs w:val="0"/>
                <w:color w:val="auto"/>
                <w:sz w:val="24"/>
                <w:szCs w:val="24"/>
              </w:rPr>
              <w:t>。</w:t>
            </w:r>
          </w:p>
          <w:p w14:paraId="6A8A7D3E">
            <w:pPr>
              <w:pStyle w:val="46"/>
              <w:bidi w:val="0"/>
              <w:ind w:firstLine="482" w:firstLineChars="200"/>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表1.</w:t>
            </w:r>
            <w:r>
              <w:rPr>
                <w:rFonts w:hint="eastAsia" w:ascii="Times New Roman" w:hAnsi="Times New Roman" w:cs="Times New Roman"/>
                <w:b/>
                <w:color w:val="auto"/>
                <w:kern w:val="0"/>
                <w:sz w:val="24"/>
                <w:szCs w:val="20"/>
                <w:lang w:val="en-US" w:eastAsia="zh-CN" w:bidi="ar-SA"/>
              </w:rPr>
              <w:t>6</w:t>
            </w:r>
            <w:r>
              <w:rPr>
                <w:rFonts w:hint="eastAsia" w:ascii="Times New Roman" w:hAnsi="Times New Roman" w:eastAsia="宋体" w:cs="Times New Roman"/>
                <w:b/>
                <w:color w:val="auto"/>
                <w:kern w:val="0"/>
                <w:sz w:val="24"/>
                <w:szCs w:val="20"/>
                <w:lang w:val="en-US" w:eastAsia="zh-CN" w:bidi="ar-SA"/>
              </w:rPr>
              <w:t>-1  项目与福州市生态环境整体准入要求符合性分析</w:t>
            </w:r>
          </w:p>
          <w:tbl>
            <w:tblPr>
              <w:tblStyle w:val="1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3"/>
              <w:gridCol w:w="528"/>
              <w:gridCol w:w="4690"/>
              <w:gridCol w:w="1910"/>
            </w:tblGrid>
            <w:tr w14:paraId="7A9CE9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l2br w:val="nil"/>
                    <w:tr2bl w:val="nil"/>
                  </w:tcBorders>
                  <w:noWrap w:val="0"/>
                  <w:vAlign w:val="center"/>
                </w:tcPr>
                <w:p w14:paraId="0ECD8908">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bCs/>
                      <w:color w:val="auto"/>
                      <w:sz w:val="21"/>
                      <w:szCs w:val="21"/>
                    </w:rPr>
                  </w:pPr>
                  <w:r>
                    <w:rPr>
                      <w:rFonts w:hint="eastAsia" w:ascii="Times New Roman" w:hAnsi="Times New Roman" w:eastAsia="宋体"/>
                      <w:b/>
                      <w:bCs/>
                      <w:color w:val="auto"/>
                      <w:sz w:val="21"/>
                      <w:szCs w:val="21"/>
                    </w:rPr>
                    <w:t>适用范围</w:t>
                  </w:r>
                </w:p>
              </w:tc>
              <w:tc>
                <w:tcPr>
                  <w:tcW w:w="344" w:type="pct"/>
                  <w:tcBorders>
                    <w:tl2br w:val="nil"/>
                    <w:tr2bl w:val="nil"/>
                  </w:tcBorders>
                  <w:noWrap w:val="0"/>
                  <w:vAlign w:val="center"/>
                </w:tcPr>
                <w:p w14:paraId="7556ECD4">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bCs/>
                      <w:color w:val="auto"/>
                      <w:sz w:val="21"/>
                      <w:szCs w:val="21"/>
                    </w:rPr>
                  </w:pPr>
                  <w:r>
                    <w:rPr>
                      <w:rFonts w:hint="eastAsia" w:ascii="Times New Roman" w:hAnsi="Times New Roman" w:eastAsia="宋体"/>
                      <w:b/>
                      <w:bCs/>
                      <w:color w:val="auto"/>
                      <w:sz w:val="21"/>
                      <w:szCs w:val="21"/>
                    </w:rPr>
                    <w:t>类别</w:t>
                  </w:r>
                </w:p>
              </w:tc>
              <w:tc>
                <w:tcPr>
                  <w:tcW w:w="3056" w:type="pct"/>
                  <w:tcBorders>
                    <w:tl2br w:val="nil"/>
                    <w:tr2bl w:val="nil"/>
                  </w:tcBorders>
                  <w:noWrap w:val="0"/>
                  <w:vAlign w:val="center"/>
                </w:tcPr>
                <w:p w14:paraId="00EA3BC3">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bCs/>
                      <w:color w:val="auto"/>
                      <w:sz w:val="21"/>
                      <w:szCs w:val="21"/>
                    </w:rPr>
                  </w:pPr>
                  <w:r>
                    <w:rPr>
                      <w:rFonts w:hint="eastAsia" w:ascii="Times New Roman" w:hAnsi="Times New Roman" w:eastAsia="宋体"/>
                      <w:b/>
                      <w:bCs/>
                      <w:color w:val="auto"/>
                      <w:sz w:val="21"/>
                      <w:szCs w:val="21"/>
                    </w:rPr>
                    <w:t>准入要求</w:t>
                  </w:r>
                </w:p>
              </w:tc>
              <w:tc>
                <w:tcPr>
                  <w:tcW w:w="1244" w:type="pct"/>
                  <w:tcBorders>
                    <w:tl2br w:val="nil"/>
                    <w:tr2bl w:val="nil"/>
                  </w:tcBorders>
                  <w:noWrap w:val="0"/>
                  <w:vAlign w:val="center"/>
                </w:tcPr>
                <w:p w14:paraId="3E6F9A22">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bCs/>
                      <w:color w:val="auto"/>
                      <w:sz w:val="21"/>
                      <w:szCs w:val="21"/>
                    </w:rPr>
                  </w:pPr>
                  <w:r>
                    <w:rPr>
                      <w:rFonts w:ascii="Times New Roman" w:hAnsi="Times New Roman" w:eastAsia="宋体"/>
                      <w:b/>
                      <w:bCs/>
                      <w:color w:val="auto"/>
                      <w:sz w:val="21"/>
                      <w:szCs w:val="21"/>
                    </w:rPr>
                    <w:t>符合性分析</w:t>
                  </w:r>
                </w:p>
              </w:tc>
            </w:tr>
            <w:tr w14:paraId="6F6C1E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354" w:type="pct"/>
                  <w:vMerge w:val="restart"/>
                  <w:tcBorders>
                    <w:tl2br w:val="nil"/>
                    <w:tr2bl w:val="nil"/>
                  </w:tcBorders>
                  <w:noWrap w:val="0"/>
                  <w:vAlign w:val="center"/>
                </w:tcPr>
                <w:p w14:paraId="566B4B45">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福州市陆域</w:t>
                  </w:r>
                </w:p>
              </w:tc>
              <w:tc>
                <w:tcPr>
                  <w:tcW w:w="344" w:type="pct"/>
                  <w:tcBorders>
                    <w:tl2br w:val="nil"/>
                    <w:tr2bl w:val="nil"/>
                  </w:tcBorders>
                  <w:noWrap w:val="0"/>
                  <w:vAlign w:val="center"/>
                </w:tcPr>
                <w:p w14:paraId="29B17C56">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空间布局约束</w:t>
                  </w:r>
                </w:p>
              </w:tc>
              <w:tc>
                <w:tcPr>
                  <w:tcW w:w="3056" w:type="pct"/>
                  <w:tcBorders>
                    <w:tl2br w:val="nil"/>
                    <w:tr2bl w:val="nil"/>
                  </w:tcBorders>
                  <w:noWrap w:val="0"/>
                  <w:vAlign w:val="center"/>
                </w:tcPr>
                <w:p w14:paraId="78863DC0">
                  <w:pPr>
                    <w:pStyle w:val="47"/>
                    <w:keepNext w:val="0"/>
                    <w:keepLines w:val="0"/>
                    <w:pageBreakBefore w:val="0"/>
                    <w:widowControl/>
                    <w:kinsoku/>
                    <w:wordWrap/>
                    <w:overflowPunct/>
                    <w:topLinePunct w:val="0"/>
                    <w:autoSpaceDE/>
                    <w:autoSpaceDN/>
                    <w:bidi w:val="0"/>
                    <w:adjustRightInd w:val="0"/>
                    <w:snapToGrid w:val="0"/>
                    <w:ind w:firstLine="420" w:firstLineChars="200"/>
                    <w:jc w:val="both"/>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一、优先保护单元中的生态保护红线</w:t>
                  </w:r>
                </w:p>
                <w:p w14:paraId="4DCD3428">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根据《关于在国土空间规划中统筹划定落实三条控制线的指导意见》《自然资源部生态环境部国家林业和草原局关于加强生态保护红线管理的通知（试行）》，加强生态保护红线管理，严守自然生态安全边界。生态保护红线内，自然保护地核心保护区原则上禁止人为活动，其它区域禁止开发性、生产性建设活动，在符合法律法规的前提下，仅允许以下对生态功能不造成破坏的有限人为活动。生态保护红线内自然保护区、风景名胜区、饮用水水源保护区等区域，依照法律法规执行。</w:t>
                  </w:r>
                </w:p>
                <w:p w14:paraId="79F2DCCC">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（1）管护巡护、保护执法、科学研究、调查监测、测绘导航、防灾减灾救灾、军事国防、疫情防控等活动及相关的必要设施修筑。</w:t>
                  </w:r>
                </w:p>
                <w:p w14:paraId="4F935A0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2）原住居民和其他合法权益主体，允许在不扩大现有建设用地、用海用岛、耕地、水产养殖规模和放牧强度（符合草畜平衡管理规定）的前提下，开展种植、放牧、捕捞、养殖（不包括投礁型海洋牧场、围海养殖）等活动，修筑生产生活设施。</w:t>
                  </w:r>
                </w:p>
                <w:p w14:paraId="21F453E4">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（3）经依法批准的考古调查发掘、古生物化石调查发掘、标本采集和文物保护活动。</w:t>
                  </w:r>
                </w:p>
                <w:p w14:paraId="459E47BE">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（4）按规定对人工商品林进行抚育采伐，或以提升森林质量、优化栖息地、建设生物防火隔离带等为目的的树种更新，依法开展的竹林采伐经营。</w:t>
                  </w:r>
                </w:p>
                <w:p w14:paraId="1BE7CAE8">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（5）不破坏生态功能的适度参观旅游、科普宣教及符合相关规划的配套性服务设施和相关的必要公共设施建设及维护。</w:t>
                  </w:r>
                </w:p>
                <w:p w14:paraId="3D42F7B5">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（6）必须且无法避让、符合县级以上国土空间规划的线性基础设施、通讯和防洪、供水设施建设和船舶航行、航道疏浚清淤等活动；已有的合法水利、交通运输等设施运行维护改造。</w:t>
                  </w:r>
                </w:p>
                <w:p w14:paraId="2C32A4CF">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7）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w:t>
                  </w:r>
                </w:p>
                <w:p w14:paraId="4A283BA8">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（8）依据县级以上国土空间规划和生态保护修复专项规划开展的生态修复。</w:t>
                  </w:r>
                </w:p>
                <w:p w14:paraId="52BD501B">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（9）法律法规规定允许的其他人为活动。</w:t>
                  </w:r>
                </w:p>
                <w:p w14:paraId="05FF0CC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2.依据《福建省自然资源厅福建省生态环境厅福建省林业局关于进一步加强生态保护红线监管的通知（试行）》（闽自然资发〔2023〕56号），允许占用生态保护红线的重大项目范围：</w:t>
                  </w:r>
                </w:p>
                <w:p w14:paraId="3D1D2788">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（1）党中央、国务院发布文件或批准规划中明确具体名称的项目和国务院批准的项目。</w:t>
                  </w:r>
                </w:p>
                <w:p w14:paraId="176E7697">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（2）中央军委及其有关部门批准的军事国防项目。</w:t>
                  </w:r>
                </w:p>
                <w:p w14:paraId="768DC809">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（3）国家级规划（指国务院及其有关部门正式颁布）明确的交通、水利项目。</w:t>
                  </w:r>
                </w:p>
                <w:p w14:paraId="734991BB">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（4）国家级规划明确的电网项目，国家级规划明确的且符合国家产业政策的能源矿产勘查开采、油气管线、水电、核电项目。</w:t>
                  </w:r>
                </w:p>
                <w:p w14:paraId="36094CB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（5）为贯彻落实党中央、国务院重大决策部署</w:t>
                  </w:r>
                  <w:r>
                    <w:rPr>
                      <w:rFonts w:hint="eastAsia" w:ascii="Times New Roman" w:hAnsi="Times New Roman" w:eastAsia="宋体"/>
                      <w:b w:val="0"/>
                      <w:bCs w:val="0"/>
                      <w:color w:val="auto"/>
                      <w:sz w:val="21"/>
                      <w:szCs w:val="21"/>
                      <w:lang w:eastAsia="zh-CN"/>
                    </w:rPr>
                    <w:t>，由</w:t>
                  </w:r>
                  <w:r>
                    <w:rPr>
                      <w:rFonts w:hint="eastAsia" w:ascii="Times New Roman" w:hAnsi="Times New Roman" w:eastAsia="宋体"/>
                      <w:b w:val="0"/>
                      <w:bCs w:val="0"/>
                      <w:color w:val="auto"/>
                      <w:sz w:val="21"/>
                      <w:szCs w:val="21"/>
                    </w:rPr>
                    <w:t>国务院投资主管部门或国务院投资主管部门会同有关部门确认的交通、能源、水利等基础设施项目。</w:t>
                  </w:r>
                </w:p>
                <w:p w14:paraId="4B027AA8">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（6）按照国家重大项目用地保障工作机制要求，国家发展改革委会同有关部门确认的需中央加大建设用地保障力度，确实难以避让的国家重大项目。</w:t>
                  </w:r>
                </w:p>
                <w:p w14:paraId="4E364ED2">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二、优先保护单元中的一般生态空间</w:t>
                  </w:r>
                </w:p>
                <w:p w14:paraId="584091E0">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1.一般生态空间以保护和修复生态环境、提供生态产品和服务为首要任务，因地制宜地发展不影响主体功能定位的适宜产业。</w:t>
                  </w:r>
                </w:p>
                <w:p w14:paraId="1B0DF9CC">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2.一般生态空间内未纳入生态保护红线的饮用水水源保护区等各类法定保护地，其管控要求依照相关法律法规执行。</w:t>
                  </w:r>
                </w:p>
                <w:p w14:paraId="57EBD9C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3.一般生态空间内现有合法的水泥厂、矿山开发等生产性设施及生活垃圾处置等民生工程予以保留，应按照法律法规要求落实污染防治和生态保护措施，避免对生态功能造成破坏。</w:t>
                  </w:r>
                </w:p>
                <w:p w14:paraId="63663D02">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三、其它要求</w:t>
                  </w:r>
                </w:p>
                <w:p w14:paraId="49673744">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1.福州市石化中上游项目重点在福州江阴港城经济区、可门港经济区化工新材料产业园布局。</w:t>
                  </w:r>
                </w:p>
                <w:p w14:paraId="48B5EE7E">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2.禁止在闽江马尾罗星塔以上流域范围新、扩建制革项目，严控新（扩）建植物制浆、印染、合成革及人造革、电镀项目。</w:t>
                  </w:r>
                </w:p>
                <w:p w14:paraId="2855D439">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3.禁止在通风廊道和主导风向的上风向布局大气重污染企业，推进建成区大气重污染企业搬迁或升级改造、环境风险企业搬迁或关闭退出。</w:t>
                  </w:r>
                </w:p>
                <w:p w14:paraId="69391D6C">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4.禁止新、改、扩建生产高VOCs含量有机溶剂型涂料、油墨和胶黏剂的项目。</w:t>
                  </w:r>
                </w:p>
                <w:p w14:paraId="5D73D076">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5.持续加强闽清等地建陶产业的环境综合治理，充分衔接国土空间规划和生态环境分区管控，并对照产业政策、城市总体发展规划等要求，进一步明确发展定位，优化产业布局和规模。</w:t>
                  </w:r>
                </w:p>
                <w:p w14:paraId="02C3432A">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6.新建、扩建的涉及重点重金属污染物</w:t>
                  </w:r>
                  <w:r>
                    <w:rPr>
                      <w:rFonts w:hint="eastAsia" w:ascii="Times New Roman" w:hAnsi="Times New Roman" w:eastAsia="宋体"/>
                      <w:b w:val="0"/>
                      <w:bCs w:val="0"/>
                      <w:color w:val="auto"/>
                      <w:sz w:val="21"/>
                      <w:szCs w:val="21"/>
                      <w:vertAlign w:val="superscript"/>
                    </w:rPr>
                    <w:t>［1］</w:t>
                  </w:r>
                  <w:r>
                    <w:rPr>
                      <w:rFonts w:hint="eastAsia" w:ascii="Times New Roman" w:hAnsi="Times New Roman" w:eastAsia="宋体"/>
                      <w:b w:val="0"/>
                      <w:bCs w:val="0"/>
                      <w:color w:val="auto"/>
                      <w:sz w:val="21"/>
                      <w:szCs w:val="21"/>
                    </w:rPr>
                    <w:t>的有色金属冶炼、电镀、制革、铅蓄电池制造企业应优先选择布设在依法合规设立并经规划环评、环境基础设施和环境风险防范措施齐全的产业园区。禁止低端落后产能向闽江中上游地区转移。禁止新建用汞的电石法（聚）氯乙烯生产工艺。加快推进专业电镀企业入园，到2025年底专业电镀企业入园率达到90%以上。</w:t>
                  </w:r>
                </w:p>
                <w:p w14:paraId="3409C3E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7.禁止在流域上游新建、扩建重污染企业和项目。</w:t>
                  </w:r>
                </w:p>
                <w:p w14:paraId="482183CA">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8.重要敏感水体及富营养化湖库生态缓冲带除相关政府部门批准的科学研究活动外，禁止其它可能对保护区构成危害或不良影响的大规模生产、建设活动。</w:t>
                  </w:r>
                </w:p>
                <w:p w14:paraId="47902A9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9.新、改、扩建煤电、钢铁、建材、石化、化工等“两高”项目，严格落实国家、省、市产业规划、产业政策、“三线一单”、规划环评，以及产能置换、煤炭消费减量替代、区域污染削减等相关要求。</w:t>
                  </w:r>
                </w:p>
                <w:p w14:paraId="712F64F2">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10.单元内涉及永久基本农田的，应按照《福建省基本农田保护条例》（2010年修正本）、《国土资源部关于全面实行永久</w:t>
                  </w:r>
                  <w:r>
                    <w:rPr>
                      <w:rFonts w:hint="eastAsia" w:ascii="Times New Roman" w:hAnsi="Times New Roman" w:eastAsia="宋体"/>
                      <w:b w:val="0"/>
                      <w:bCs w:val="0"/>
                      <w:color w:val="auto"/>
                      <w:sz w:val="21"/>
                      <w:szCs w:val="21"/>
                      <w:lang w:eastAsia="zh-CN"/>
                    </w:rPr>
                    <w:t>基本农田</w:t>
                  </w:r>
                  <w:r>
                    <w:rPr>
                      <w:rFonts w:hint="eastAsia" w:ascii="Times New Roman" w:hAnsi="Times New Roman" w:eastAsia="宋体"/>
                      <w:b w:val="0"/>
                      <w:bCs w:val="0"/>
                      <w:color w:val="auto"/>
                      <w:sz w:val="21"/>
                      <w:szCs w:val="21"/>
                    </w:rPr>
                    <w:t>特殊保护的通知》（国土资规〔2018〕1号）、《</w:t>
                  </w:r>
                  <w:r>
                    <w:rPr>
                      <w:rFonts w:hint="eastAsia" w:ascii="Times New Roman" w:hAnsi="Times New Roman" w:eastAsia="宋体"/>
                      <w:b w:val="0"/>
                      <w:bCs w:val="0"/>
                      <w:color w:val="auto"/>
                      <w:sz w:val="21"/>
                      <w:szCs w:val="21"/>
                      <w:lang w:eastAsia="zh-CN"/>
                    </w:rPr>
                    <w:t>中共中央、国务院</w:t>
                  </w:r>
                  <w:r>
                    <w:rPr>
                      <w:rFonts w:hint="eastAsia" w:ascii="Times New Roman" w:hAnsi="Times New Roman" w:eastAsia="宋体"/>
                      <w:b w:val="0"/>
                      <w:bCs w:val="0"/>
                      <w:color w:val="auto"/>
                      <w:sz w:val="21"/>
                      <w:szCs w:val="21"/>
                    </w:rPr>
                    <w:t>关于加强耕地保护和改进占补平衡的意见》（2017年1月9日）等相关文件要求进</w:t>
                  </w:r>
                  <w:r>
                    <w:rPr>
                      <w:rFonts w:hint="eastAsia" w:ascii="Times New Roman" w:hAnsi="Times New Roman" w:eastAsia="宋体"/>
                      <w:b w:val="0"/>
                      <w:bCs w:val="0"/>
                      <w:color w:val="auto"/>
                      <w:sz w:val="21"/>
                      <w:szCs w:val="21"/>
                      <w:lang w:eastAsia="zh-CN"/>
                    </w:rPr>
                    <w:t>行严</w:t>
                  </w:r>
                  <w:r>
                    <w:rPr>
                      <w:rFonts w:hint="eastAsia" w:ascii="Times New Roman" w:hAnsi="Times New Roman" w:eastAsia="宋体"/>
                      <w:b w:val="0"/>
                      <w:bCs w:val="0"/>
                      <w:color w:val="auto"/>
                      <w:sz w:val="21"/>
                      <w:szCs w:val="21"/>
                    </w:rPr>
                    <w:t>格管理，一般建设项目不得占用永久基本农田，重大建设项目选址确实难以避让永久基本农田的，必须依法依规办理。严禁通过擅自调整县乡国土空间规划，规避占用永久基本农田的审批。禁止随意砍伐防风固沙林和农田保护林。严格按照自然资源部、农业农村部、国家林业和草原局《关于严格耕地用途管制有关问题的通知》（自然资发〔2021〕166号）要求全面落实耕地用途管制。</w:t>
                  </w:r>
                </w:p>
              </w:tc>
              <w:tc>
                <w:tcPr>
                  <w:tcW w:w="1244" w:type="pct"/>
                  <w:tcBorders>
                    <w:tl2br w:val="nil"/>
                    <w:tr2bl w:val="nil"/>
                  </w:tcBorders>
                  <w:noWrap w:val="0"/>
                  <w:vAlign w:val="center"/>
                </w:tcPr>
                <w:p w14:paraId="482BA70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一、</w:t>
                  </w:r>
                  <w:r>
                    <w:rPr>
                      <w:rFonts w:hint="eastAsia" w:ascii="Times New Roman" w:hAnsi="Times New Roman" w:eastAsia="宋体"/>
                      <w:b w:val="0"/>
                      <w:bCs w:val="0"/>
                      <w:color w:val="auto"/>
                      <w:sz w:val="21"/>
                      <w:szCs w:val="21"/>
                    </w:rPr>
                    <w:t>1</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rPr>
                    <w:t>本项目位于</w:t>
                  </w:r>
                  <w:r>
                    <w:rPr>
                      <w:rFonts w:hint="eastAsia"/>
                      <w:color w:val="auto"/>
                      <w:sz w:val="21"/>
                      <w:szCs w:val="21"/>
                      <w:lang w:eastAsia="zh-CN"/>
                    </w:rPr>
                    <w:t>福建省福州市闽侯县上街镇高新大道巨泽中心1号楼2层、2号楼2-3层和3号楼2、4层</w:t>
                  </w:r>
                  <w:r>
                    <w:rPr>
                      <w:rFonts w:hint="eastAsia" w:ascii="Times New Roman" w:hAnsi="Times New Roman" w:eastAsia="宋体"/>
                      <w:b w:val="0"/>
                      <w:bCs w:val="0"/>
                      <w:color w:val="auto"/>
                      <w:sz w:val="21"/>
                      <w:szCs w:val="21"/>
                    </w:rPr>
                    <w:t>，利用已建成</w:t>
                  </w:r>
                  <w:r>
                    <w:rPr>
                      <w:rFonts w:hint="eastAsia" w:ascii="Times New Roman" w:hAnsi="Times New Roman" w:eastAsia="宋体"/>
                      <w:b w:val="0"/>
                      <w:bCs w:val="0"/>
                      <w:color w:val="auto"/>
                      <w:sz w:val="21"/>
                      <w:szCs w:val="21"/>
                      <w:lang w:val="en-US" w:eastAsia="zh-CN"/>
                    </w:rPr>
                    <w:t>闲置</w:t>
                  </w:r>
                  <w:r>
                    <w:rPr>
                      <w:rFonts w:hint="eastAsia" w:ascii="Times New Roman" w:hAnsi="Times New Roman" w:eastAsia="宋体"/>
                      <w:b w:val="0"/>
                      <w:bCs w:val="0"/>
                      <w:color w:val="auto"/>
                      <w:sz w:val="21"/>
                      <w:szCs w:val="21"/>
                    </w:rPr>
                    <w:t>厂房进行</w:t>
                  </w:r>
                  <w:r>
                    <w:rPr>
                      <w:rFonts w:hint="eastAsia"/>
                      <w:color w:val="auto"/>
                      <w:sz w:val="21"/>
                      <w:szCs w:val="21"/>
                      <w:lang w:val="en-US" w:eastAsia="zh-CN"/>
                    </w:rPr>
                    <w:t>晶体/光学元器件生产、加工</w:t>
                  </w:r>
                  <w:r>
                    <w:rPr>
                      <w:rFonts w:hint="eastAsia" w:ascii="Times New Roman" w:hAnsi="Times New Roman" w:eastAsia="宋体"/>
                      <w:b w:val="0"/>
                      <w:bCs w:val="0"/>
                      <w:color w:val="auto"/>
                      <w:sz w:val="21"/>
                      <w:szCs w:val="21"/>
                    </w:rPr>
                    <w:t>，不属于新建‘必须且无法避让的线性基础设施’等对国土空间规划有特殊要求的建设活动，不涉及种植、放牧、捕捞、养殖，考古研究、旅游业、地质调查与矿产资源勘查开采</w:t>
                  </w:r>
                  <w:r>
                    <w:rPr>
                      <w:rFonts w:hint="eastAsia" w:ascii="Times New Roman" w:hAnsi="Times New Roman" w:eastAsia="宋体"/>
                      <w:b w:val="0"/>
                      <w:bCs w:val="0"/>
                      <w:color w:val="auto"/>
                      <w:sz w:val="21"/>
                      <w:szCs w:val="21"/>
                      <w:lang w:eastAsia="zh-CN"/>
                    </w:rPr>
                    <w:t>；</w:t>
                  </w:r>
                </w:p>
                <w:p w14:paraId="14BFF36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2、本项目不属于重大项目范围。</w:t>
                  </w:r>
                </w:p>
                <w:p w14:paraId="749082CF">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二、</w:t>
                  </w:r>
                  <w:r>
                    <w:rPr>
                      <w:rFonts w:hint="eastAsia" w:ascii="Times New Roman" w:hAnsi="Times New Roman" w:eastAsia="宋体"/>
                      <w:b w:val="0"/>
                      <w:bCs w:val="0"/>
                      <w:color w:val="auto"/>
                      <w:sz w:val="21"/>
                      <w:szCs w:val="21"/>
                    </w:rPr>
                    <w:t>本项目位于</w:t>
                  </w:r>
                  <w:r>
                    <w:rPr>
                      <w:rFonts w:hint="eastAsia"/>
                      <w:color w:val="auto"/>
                      <w:sz w:val="21"/>
                      <w:szCs w:val="21"/>
                      <w:lang w:eastAsia="zh-CN"/>
                    </w:rPr>
                    <w:t>福建省福州市闽侯县上街镇高新大道巨泽中心1号楼2层、2号楼2-3层和3号楼2、4层</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lang w:val="en-US" w:eastAsia="zh-CN"/>
                    </w:rPr>
                    <w:t>不属于任何法定保护地，并承诺全面落实各项污染防治措施。</w:t>
                  </w:r>
                </w:p>
                <w:p w14:paraId="689106A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三、1、2、5、6.本项目位于</w:t>
                  </w:r>
                  <w:r>
                    <w:rPr>
                      <w:rFonts w:hint="eastAsia"/>
                      <w:color w:val="auto"/>
                      <w:sz w:val="21"/>
                      <w:szCs w:val="21"/>
                      <w:lang w:eastAsia="zh-CN"/>
                    </w:rPr>
                    <w:t>福建省福州市闽侯县上街镇高新大道巨泽中心1号楼2层、2号楼2-3层和3号楼2、4层</w:t>
                  </w:r>
                  <w:r>
                    <w:rPr>
                      <w:rFonts w:hint="eastAsia" w:ascii="Times New Roman" w:hAnsi="Times New Roman" w:eastAsia="宋体"/>
                      <w:b w:val="0"/>
                      <w:bCs w:val="0"/>
                      <w:color w:val="auto"/>
                      <w:sz w:val="21"/>
                      <w:szCs w:val="21"/>
                      <w:lang w:val="en-US" w:eastAsia="zh-CN"/>
                    </w:rPr>
                    <w:t>，主要从事</w:t>
                  </w:r>
                  <w:r>
                    <w:rPr>
                      <w:rFonts w:hint="eastAsia"/>
                      <w:lang w:val="en-US" w:eastAsia="zh-CN"/>
                    </w:rPr>
                    <w:t>晶体/光学元器件生产、加工</w:t>
                  </w:r>
                  <w:r>
                    <w:rPr>
                      <w:rFonts w:hint="eastAsia" w:ascii="Times New Roman" w:hAnsi="Times New Roman" w:eastAsia="宋体"/>
                      <w:b w:val="0"/>
                      <w:bCs w:val="0"/>
                      <w:color w:val="auto"/>
                      <w:sz w:val="21"/>
                      <w:szCs w:val="21"/>
                      <w:lang w:val="en-US" w:eastAsia="zh-CN"/>
                    </w:rPr>
                    <w:t>，不涉及</w:t>
                  </w:r>
                  <w:r>
                    <w:rPr>
                      <w:rFonts w:hint="eastAsia" w:ascii="Times New Roman" w:hAnsi="Times New Roman" w:eastAsia="宋体"/>
                      <w:b w:val="0"/>
                      <w:bCs w:val="0"/>
                      <w:color w:val="auto"/>
                      <w:sz w:val="21"/>
                      <w:szCs w:val="21"/>
                    </w:rPr>
                    <w:t>植物制浆、印染、合成革及人造革、电镀</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rPr>
                    <w:t>有色金属冶炼</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rPr>
                    <w:t>铅蓄电池制造</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rPr>
                    <w:t>用汞的电石法（聚）氯乙烯生产工艺</w:t>
                  </w:r>
                  <w:r>
                    <w:rPr>
                      <w:rFonts w:hint="eastAsia" w:ascii="Times New Roman" w:hAnsi="Times New Roman" w:eastAsia="宋体"/>
                      <w:b w:val="0"/>
                      <w:bCs w:val="0"/>
                      <w:color w:val="auto"/>
                      <w:sz w:val="21"/>
                      <w:szCs w:val="21"/>
                      <w:lang w:eastAsia="zh-CN"/>
                    </w:rPr>
                    <w:t>；</w:t>
                  </w:r>
                </w:p>
                <w:p w14:paraId="1A20D64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highlight w:val="none"/>
                      <w:lang w:eastAsia="zh-CN"/>
                    </w:rPr>
                  </w:pPr>
                  <w:r>
                    <w:rPr>
                      <w:rFonts w:hint="eastAsia" w:ascii="Times New Roman" w:hAnsi="Times New Roman" w:eastAsia="宋体"/>
                      <w:b w:val="0"/>
                      <w:bCs w:val="0"/>
                      <w:color w:val="auto"/>
                      <w:sz w:val="21"/>
                      <w:szCs w:val="21"/>
                      <w:lang w:val="en-US" w:eastAsia="zh-CN"/>
                    </w:rPr>
                    <w:t>3、7、不属于</w:t>
                  </w:r>
                  <w:r>
                    <w:rPr>
                      <w:rFonts w:hint="eastAsia" w:ascii="Times New Roman" w:hAnsi="Times New Roman" w:eastAsia="宋体"/>
                      <w:b w:val="0"/>
                      <w:bCs w:val="0"/>
                      <w:color w:val="auto"/>
                      <w:sz w:val="21"/>
                      <w:szCs w:val="21"/>
                    </w:rPr>
                    <w:t>大气重污染企</w:t>
                  </w:r>
                  <w:r>
                    <w:rPr>
                      <w:rFonts w:hint="eastAsia" w:ascii="Times New Roman" w:hAnsi="Times New Roman" w:eastAsia="宋体"/>
                      <w:b w:val="0"/>
                      <w:bCs w:val="0"/>
                      <w:color w:val="auto"/>
                      <w:sz w:val="21"/>
                      <w:szCs w:val="21"/>
                      <w:highlight w:val="none"/>
                    </w:rPr>
                    <w:t>业</w:t>
                  </w:r>
                  <w:r>
                    <w:rPr>
                      <w:rFonts w:hint="eastAsia" w:ascii="Times New Roman" w:hAnsi="Times New Roman" w:eastAsia="宋体"/>
                      <w:b w:val="0"/>
                      <w:bCs w:val="0"/>
                      <w:color w:val="auto"/>
                      <w:sz w:val="21"/>
                      <w:szCs w:val="21"/>
                      <w:highlight w:val="none"/>
                      <w:lang w:eastAsia="zh-CN"/>
                    </w:rPr>
                    <w:t>；</w:t>
                  </w:r>
                </w:p>
                <w:p w14:paraId="73AFD5FC">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highlight w:val="none"/>
                      <w:lang w:val="en-US" w:eastAsia="zh-CN"/>
                    </w:rPr>
                  </w:pPr>
                  <w:r>
                    <w:rPr>
                      <w:rFonts w:hint="eastAsia" w:ascii="Times New Roman" w:hAnsi="Times New Roman" w:eastAsia="宋体"/>
                      <w:b w:val="0"/>
                      <w:bCs w:val="0"/>
                      <w:color w:val="auto"/>
                      <w:sz w:val="21"/>
                      <w:szCs w:val="21"/>
                      <w:highlight w:val="none"/>
                      <w:lang w:val="en-US" w:eastAsia="zh-CN"/>
                    </w:rPr>
                    <w:t>4、</w:t>
                  </w:r>
                  <w:r>
                    <w:rPr>
                      <w:rFonts w:hint="default" w:ascii="Times New Roman" w:hAnsi="Times New Roman" w:eastAsia="宋体"/>
                      <w:b w:val="0"/>
                      <w:bCs w:val="0"/>
                      <w:color w:val="auto"/>
                      <w:sz w:val="21"/>
                      <w:szCs w:val="21"/>
                      <w:highlight w:val="none"/>
                      <w:lang w:val="en-US" w:eastAsia="zh-CN"/>
                    </w:rPr>
                    <w:t>本项目使用低VOCs含量原辅材料</w:t>
                  </w:r>
                  <w:r>
                    <w:rPr>
                      <w:rFonts w:hint="eastAsia" w:ascii="Times New Roman" w:hAnsi="Times New Roman" w:eastAsia="宋体"/>
                      <w:b w:val="0"/>
                      <w:bCs w:val="0"/>
                      <w:color w:val="auto"/>
                      <w:sz w:val="21"/>
                      <w:szCs w:val="21"/>
                      <w:highlight w:val="none"/>
                      <w:lang w:val="en-US" w:eastAsia="zh-CN"/>
                    </w:rPr>
                    <w:t>；</w:t>
                  </w:r>
                </w:p>
                <w:p w14:paraId="1CEE5740">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highlight w:val="none"/>
                      <w:lang w:val="en-US" w:eastAsia="zh-CN"/>
                    </w:rPr>
                    <w:t>8、附近无</w:t>
                  </w:r>
                  <w:r>
                    <w:rPr>
                      <w:rFonts w:hint="eastAsia" w:ascii="Times New Roman" w:hAnsi="Times New Roman" w:eastAsia="宋体"/>
                      <w:b w:val="0"/>
                      <w:bCs w:val="0"/>
                      <w:color w:val="auto"/>
                      <w:sz w:val="21"/>
                      <w:szCs w:val="21"/>
                      <w:highlight w:val="none"/>
                    </w:rPr>
                    <w:t>重要敏感水体及富营养化湖</w:t>
                  </w:r>
                  <w:r>
                    <w:rPr>
                      <w:rFonts w:hint="eastAsia" w:ascii="Times New Roman" w:hAnsi="Times New Roman" w:eastAsia="宋体"/>
                      <w:b w:val="0"/>
                      <w:bCs w:val="0"/>
                      <w:color w:val="auto"/>
                      <w:sz w:val="21"/>
                      <w:szCs w:val="21"/>
                    </w:rPr>
                    <w:t>库生态缓冲带</w:t>
                  </w:r>
                  <w:r>
                    <w:rPr>
                      <w:rFonts w:hint="eastAsia" w:ascii="Times New Roman" w:hAnsi="Times New Roman" w:eastAsia="宋体"/>
                      <w:b w:val="0"/>
                      <w:bCs w:val="0"/>
                      <w:color w:val="auto"/>
                      <w:sz w:val="21"/>
                      <w:szCs w:val="21"/>
                      <w:lang w:eastAsia="zh-CN"/>
                    </w:rPr>
                    <w:t>；</w:t>
                  </w:r>
                </w:p>
                <w:p w14:paraId="53058E00">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9、本项目不涉及</w:t>
                  </w:r>
                  <w:r>
                    <w:rPr>
                      <w:rFonts w:hint="eastAsia" w:ascii="Times New Roman" w:hAnsi="Times New Roman" w:eastAsia="宋体"/>
                      <w:b w:val="0"/>
                      <w:bCs w:val="0"/>
                      <w:color w:val="auto"/>
                      <w:sz w:val="21"/>
                      <w:szCs w:val="21"/>
                    </w:rPr>
                    <w:t>新、改、扩建煤电、钢铁、建材、石化、化工等“两高”项目</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lang w:val="en-US" w:eastAsia="zh-CN"/>
                    </w:rPr>
                    <w:t>非甲烷总烃实行</w:t>
                  </w:r>
                  <w:r>
                    <w:rPr>
                      <w:rFonts w:hint="eastAsia" w:ascii="Times New Roman" w:hAnsi="Times New Roman" w:eastAsia="宋体"/>
                      <w:b w:val="0"/>
                      <w:bCs w:val="0"/>
                      <w:color w:val="auto"/>
                      <w:sz w:val="21"/>
                      <w:szCs w:val="21"/>
                    </w:rPr>
                    <w:t>减量替代、区域污染削减等相关要求</w:t>
                  </w:r>
                  <w:r>
                    <w:rPr>
                      <w:rFonts w:hint="eastAsia" w:ascii="Times New Roman" w:hAnsi="Times New Roman" w:eastAsia="宋体"/>
                      <w:b w:val="0"/>
                      <w:bCs w:val="0"/>
                      <w:color w:val="auto"/>
                      <w:sz w:val="21"/>
                      <w:szCs w:val="21"/>
                      <w:lang w:eastAsia="zh-CN"/>
                    </w:rPr>
                    <w:t>；</w:t>
                  </w:r>
                </w:p>
                <w:p w14:paraId="0BC76DF6">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default"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10、本项目使用已建成厂房，不涉及永久基本农田。</w:t>
                  </w:r>
                </w:p>
              </w:tc>
            </w:tr>
            <w:tr w14:paraId="130DA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vMerge w:val="continue"/>
                  <w:tcBorders>
                    <w:tl2br w:val="nil"/>
                    <w:tr2bl w:val="nil"/>
                  </w:tcBorders>
                  <w:noWrap w:val="0"/>
                  <w:vAlign w:val="center"/>
                </w:tcPr>
                <w:p w14:paraId="1EEB6667">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p>
              </w:tc>
              <w:tc>
                <w:tcPr>
                  <w:tcW w:w="344" w:type="pct"/>
                  <w:tcBorders>
                    <w:tl2br w:val="nil"/>
                    <w:tr2bl w:val="nil"/>
                  </w:tcBorders>
                  <w:noWrap w:val="0"/>
                  <w:vAlign w:val="center"/>
                </w:tcPr>
                <w:p w14:paraId="3B2C78C9">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污染物排放管控</w:t>
                  </w:r>
                </w:p>
              </w:tc>
              <w:tc>
                <w:tcPr>
                  <w:tcW w:w="3056" w:type="pct"/>
                  <w:tcBorders>
                    <w:tl2br w:val="nil"/>
                    <w:tr2bl w:val="nil"/>
                  </w:tcBorders>
                  <w:noWrap w:val="0"/>
                  <w:vAlign w:val="center"/>
                </w:tcPr>
                <w:p w14:paraId="61F479F0">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工业类新（改、扩）建项目新增主要污染物（水污染物化学需氧量、氨氮和大气污染物二氧化硫、氮氧化物）排放总量指标应符合区域环境质量和总量控制要求，立足于通过“以新带老”、削减存量，努力实现区域、企业自身总量平衡。总量指标来源、审核和监督管理按照“榕环保综〔2017〕90号”等相关文件执行。</w:t>
                  </w:r>
                </w:p>
                <w:p w14:paraId="18075A5E">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2.新、改、扩建涉VOCs排放项目污染物排放量应满足《福州市“十四五”</w:t>
                  </w:r>
                  <w:r>
                    <w:rPr>
                      <w:rFonts w:hint="eastAsia" w:ascii="Times New Roman" w:hAnsi="Times New Roman" w:eastAsia="宋体"/>
                      <w:b w:val="0"/>
                      <w:bCs w:val="0"/>
                      <w:color w:val="auto"/>
                      <w:sz w:val="21"/>
                      <w:szCs w:val="21"/>
                      <w:lang w:eastAsia="zh-CN"/>
                    </w:rPr>
                    <w:t>空气质量持续改善行动计划</w:t>
                  </w:r>
                  <w:r>
                    <w:rPr>
                      <w:rFonts w:hint="eastAsia" w:ascii="Times New Roman" w:hAnsi="Times New Roman" w:eastAsia="宋体"/>
                      <w:b w:val="0"/>
                      <w:bCs w:val="0"/>
                      <w:color w:val="auto"/>
                      <w:sz w:val="21"/>
                      <w:szCs w:val="21"/>
                    </w:rPr>
                    <w:t>》（榕环保综〔2023〕40号），应从源头加强控制，使用低（无）VOCs含量的原辅材料。</w:t>
                  </w:r>
                </w:p>
                <w:p w14:paraId="78C3122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3.严格控制新建、改建、扩建钢铁、水泥、平板玻璃、有色金属冶炼、化工等工业项目。新改扩建钢铁、火电项目</w:t>
                  </w:r>
                  <w:r>
                    <w:rPr>
                      <w:rFonts w:hint="eastAsia" w:ascii="Times New Roman" w:hAnsi="Times New Roman" w:eastAsia="宋体"/>
                      <w:b w:val="0"/>
                      <w:bCs w:val="0"/>
                      <w:color w:val="auto"/>
                      <w:sz w:val="21"/>
                      <w:szCs w:val="21"/>
                      <w:lang w:eastAsia="zh-CN"/>
                    </w:rPr>
                    <w:t>应当</w:t>
                  </w:r>
                  <w:r>
                    <w:rPr>
                      <w:rFonts w:hint="eastAsia" w:ascii="Times New Roman" w:hAnsi="Times New Roman" w:eastAsia="宋体"/>
                      <w:b w:val="0"/>
                      <w:bCs w:val="0"/>
                      <w:color w:val="auto"/>
                      <w:sz w:val="21"/>
                      <w:szCs w:val="21"/>
                    </w:rPr>
                    <w:t>执行超低排放限值，有色项目应当执行大气污染物特别排放限值。重点控制区新建化工、石化应当执行大气污染物特别排放限值。</w:t>
                  </w:r>
                </w:p>
                <w:p w14:paraId="34C4402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4.氟化工、印染、电镀等行业企业实行水污染物特别排放限值。</w:t>
                  </w:r>
                </w:p>
                <w:p w14:paraId="72AA77E0">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5.新、改、扩建重点行业</w:t>
                  </w:r>
                  <w:r>
                    <w:rPr>
                      <w:rFonts w:hint="eastAsia" w:ascii="Times New Roman" w:hAnsi="Times New Roman" w:eastAsia="宋体"/>
                      <w:b w:val="0"/>
                      <w:bCs w:val="0"/>
                      <w:color w:val="auto"/>
                      <w:sz w:val="21"/>
                      <w:szCs w:val="21"/>
                      <w:vertAlign w:val="superscript"/>
                    </w:rPr>
                    <w:t>［2］</w:t>
                  </w:r>
                  <w:r>
                    <w:rPr>
                      <w:rFonts w:hint="eastAsia" w:ascii="Times New Roman" w:hAnsi="Times New Roman" w:eastAsia="宋体"/>
                      <w:b w:val="0"/>
                      <w:bCs w:val="0"/>
                      <w:color w:val="auto"/>
                      <w:sz w:val="21"/>
                      <w:szCs w:val="21"/>
                    </w:rPr>
                    <w:t>建设项目要遵循重点重金属污染物排放“等量替代”原则，总量来源原则上应是同一重点行业内的削减量，当同一重点行业无法满足时可从其他重点行业调剂。</w:t>
                  </w:r>
                </w:p>
                <w:p w14:paraId="16570604">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6.每小时35（含）—65蒸吨燃煤锅炉和位于县级及以上城市建成区内保留的燃煤、燃油、燃生物质锅炉，原则上2024年底前必须全面实现超低排放。</w:t>
                  </w:r>
                </w:p>
                <w:p w14:paraId="1BB007C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7.水泥行业新改扩建项目严格对照超低排放、能效标杆水平建设实施；现有项目超低排放改造应按文件（闽环规〔2023〕2号）的时限要求分步推进，2025年底前全面完成</w:t>
                  </w:r>
                  <w:r>
                    <w:rPr>
                      <w:rFonts w:hint="eastAsia" w:ascii="Times New Roman" w:hAnsi="Times New Roman" w:eastAsia="宋体"/>
                      <w:b w:val="0"/>
                      <w:bCs w:val="0"/>
                      <w:color w:val="auto"/>
                      <w:sz w:val="21"/>
                      <w:szCs w:val="21"/>
                      <w:vertAlign w:val="superscript"/>
                    </w:rPr>
                    <w:t>［3］［4］</w:t>
                  </w:r>
                  <w:r>
                    <w:rPr>
                      <w:rFonts w:hint="eastAsia" w:ascii="Times New Roman" w:hAnsi="Times New Roman" w:eastAsia="宋体"/>
                      <w:b w:val="0"/>
                      <w:bCs w:val="0"/>
                      <w:color w:val="auto"/>
                      <w:sz w:val="21"/>
                      <w:szCs w:val="21"/>
                    </w:rPr>
                    <w:t>。</w:t>
                  </w:r>
                </w:p>
                <w:p w14:paraId="207FEC84">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8.化工园区新建项目实施“禁限控”化学物质管控措施，项目在开展环境影响评价时应严格落实相关要求，严格涉新污染物建设项目源头防控和准入管理。以印染、皮革、农药、医药、涂料等行业为重点，推进有毒有害化学物质替代。严格落实废药品、废农药以及抗生素生产过程中产生的废母液、废反应基和废培养基等废物的收集利用处置要求。</w:t>
                  </w:r>
                </w:p>
              </w:tc>
              <w:tc>
                <w:tcPr>
                  <w:tcW w:w="1244" w:type="pct"/>
                  <w:tcBorders>
                    <w:tl2br w:val="nil"/>
                    <w:tr2bl w:val="nil"/>
                  </w:tcBorders>
                  <w:noWrap w:val="0"/>
                  <w:vAlign w:val="center"/>
                </w:tcPr>
                <w:p w14:paraId="619B1F3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highlight w:val="none"/>
                      <w:lang w:eastAsia="zh-CN"/>
                    </w:rPr>
                  </w:pPr>
                  <w:r>
                    <w:rPr>
                      <w:rFonts w:hint="eastAsia" w:ascii="Times New Roman" w:hAnsi="Times New Roman" w:eastAsia="宋体"/>
                      <w:b w:val="0"/>
                      <w:bCs w:val="0"/>
                      <w:color w:val="auto"/>
                      <w:sz w:val="21"/>
                      <w:szCs w:val="21"/>
                    </w:rPr>
                    <w:t>1</w:t>
                  </w:r>
                  <w:r>
                    <w:rPr>
                      <w:rFonts w:hint="eastAsia" w:ascii="Times New Roman" w:hAnsi="Times New Roman" w:eastAsia="宋体"/>
                      <w:b w:val="0"/>
                      <w:bCs w:val="0"/>
                      <w:color w:val="auto"/>
                      <w:sz w:val="21"/>
                      <w:szCs w:val="21"/>
                      <w:highlight w:val="none"/>
                      <w:lang w:eastAsia="zh-CN"/>
                    </w:rPr>
                    <w:t>、</w:t>
                  </w:r>
                  <w:r>
                    <w:rPr>
                      <w:rFonts w:hint="eastAsia" w:ascii="Times New Roman" w:hAnsi="Times New Roman" w:eastAsia="宋体"/>
                      <w:b w:val="0"/>
                      <w:bCs w:val="0"/>
                      <w:color w:val="auto"/>
                      <w:sz w:val="21"/>
                      <w:szCs w:val="21"/>
                      <w:highlight w:val="none"/>
                    </w:rPr>
                    <w:t>本项目</w:t>
                  </w:r>
                  <w:r>
                    <w:rPr>
                      <w:rFonts w:hint="eastAsia" w:ascii="Times New Roman" w:hAnsi="Times New Roman" w:eastAsia="宋体"/>
                      <w:b w:val="0"/>
                      <w:bCs w:val="0"/>
                      <w:color w:val="auto"/>
                      <w:sz w:val="21"/>
                      <w:szCs w:val="21"/>
                      <w:highlight w:val="none"/>
                      <w:lang w:val="en-US" w:eastAsia="zh-CN"/>
                    </w:rPr>
                    <w:t>为新建项目</w:t>
                  </w:r>
                  <w:r>
                    <w:rPr>
                      <w:rFonts w:hint="eastAsia" w:ascii="Times New Roman" w:hAnsi="Times New Roman" w:eastAsia="宋体"/>
                      <w:b w:val="0"/>
                      <w:bCs w:val="0"/>
                      <w:color w:val="auto"/>
                      <w:sz w:val="21"/>
                      <w:szCs w:val="21"/>
                      <w:highlight w:val="none"/>
                      <w:lang w:eastAsia="zh-CN"/>
                    </w:rPr>
                    <w:t>；</w:t>
                  </w:r>
                </w:p>
                <w:p w14:paraId="2316D99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highlight w:val="none"/>
                    </w:rPr>
                  </w:pPr>
                  <w:r>
                    <w:rPr>
                      <w:rFonts w:hint="eastAsia" w:ascii="Times New Roman" w:hAnsi="Times New Roman" w:eastAsia="宋体"/>
                      <w:b w:val="0"/>
                      <w:bCs w:val="0"/>
                      <w:color w:val="auto"/>
                      <w:sz w:val="21"/>
                      <w:szCs w:val="21"/>
                      <w:highlight w:val="none"/>
                    </w:rPr>
                    <w:t>2</w:t>
                  </w:r>
                  <w:r>
                    <w:rPr>
                      <w:rFonts w:hint="eastAsia" w:ascii="Times New Roman" w:hAnsi="Times New Roman" w:eastAsia="宋体"/>
                      <w:b w:val="0"/>
                      <w:bCs w:val="0"/>
                      <w:color w:val="auto"/>
                      <w:sz w:val="21"/>
                      <w:szCs w:val="21"/>
                      <w:highlight w:val="none"/>
                      <w:lang w:eastAsia="zh-CN"/>
                    </w:rPr>
                    <w:t>、</w:t>
                  </w:r>
                  <w:r>
                    <w:rPr>
                      <w:rFonts w:ascii="Times New Roman" w:hAnsi="Times New Roman" w:eastAsia="宋体"/>
                      <w:b w:val="0"/>
                      <w:bCs w:val="0"/>
                      <w:color w:val="auto"/>
                      <w:sz w:val="21"/>
                      <w:szCs w:val="21"/>
                      <w:highlight w:val="none"/>
                    </w:rPr>
                    <w:t>本项目使用低VOCs含量原辅材料</w:t>
                  </w:r>
                  <w:r>
                    <w:rPr>
                      <w:rFonts w:hint="eastAsia" w:ascii="Times New Roman" w:hAnsi="Times New Roman" w:eastAsia="宋体"/>
                      <w:b w:val="0"/>
                      <w:bCs w:val="0"/>
                      <w:color w:val="auto"/>
                      <w:sz w:val="21"/>
                      <w:szCs w:val="21"/>
                      <w:highlight w:val="none"/>
                    </w:rPr>
                    <w:t>；</w:t>
                  </w:r>
                </w:p>
                <w:p w14:paraId="19EC2486">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highlight w:val="none"/>
                    </w:rPr>
                  </w:pPr>
                  <w:r>
                    <w:rPr>
                      <w:rFonts w:hint="eastAsia" w:ascii="Times New Roman" w:hAnsi="Times New Roman" w:eastAsia="宋体"/>
                      <w:b w:val="0"/>
                      <w:bCs w:val="0"/>
                      <w:color w:val="auto"/>
                      <w:sz w:val="21"/>
                      <w:szCs w:val="21"/>
                      <w:highlight w:val="none"/>
                      <w:lang w:eastAsia="zh-CN"/>
                    </w:rPr>
                    <w:t>3、</w:t>
                  </w:r>
                  <w:r>
                    <w:rPr>
                      <w:rFonts w:hint="eastAsia" w:ascii="Times New Roman" w:hAnsi="Times New Roman" w:eastAsia="宋体"/>
                      <w:b w:val="0"/>
                      <w:bCs w:val="0"/>
                      <w:color w:val="auto"/>
                      <w:sz w:val="21"/>
                      <w:szCs w:val="21"/>
                      <w:highlight w:val="none"/>
                    </w:rPr>
                    <w:t>4</w:t>
                  </w:r>
                  <w:r>
                    <w:rPr>
                      <w:rFonts w:hint="eastAsia" w:ascii="Times New Roman" w:hAnsi="Times New Roman" w:eastAsia="宋体"/>
                      <w:b w:val="0"/>
                      <w:bCs w:val="0"/>
                      <w:color w:val="auto"/>
                      <w:sz w:val="21"/>
                      <w:szCs w:val="21"/>
                      <w:highlight w:val="none"/>
                      <w:lang w:eastAsia="zh-CN"/>
                    </w:rPr>
                    <w:t>、</w:t>
                  </w:r>
                  <w:r>
                    <w:rPr>
                      <w:rFonts w:hint="eastAsia" w:ascii="Times New Roman" w:hAnsi="Times New Roman" w:eastAsia="宋体"/>
                      <w:b w:val="0"/>
                      <w:bCs w:val="0"/>
                      <w:color w:val="auto"/>
                      <w:sz w:val="21"/>
                      <w:szCs w:val="21"/>
                      <w:highlight w:val="none"/>
                    </w:rPr>
                    <w:t>本项目不涉及钢铁、水泥、平板玻璃、有色金属冶炼、化工、氟化工、印染、电镀等行业；</w:t>
                  </w:r>
                </w:p>
                <w:p w14:paraId="0CEAE009">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highlight w:val="none"/>
                    </w:rPr>
                  </w:pPr>
                  <w:r>
                    <w:rPr>
                      <w:rFonts w:hint="eastAsia" w:ascii="Times New Roman" w:hAnsi="Times New Roman" w:eastAsia="宋体"/>
                      <w:b w:val="0"/>
                      <w:bCs w:val="0"/>
                      <w:color w:val="auto"/>
                      <w:sz w:val="21"/>
                      <w:szCs w:val="21"/>
                      <w:highlight w:val="none"/>
                    </w:rPr>
                    <w:t>5</w:t>
                  </w:r>
                  <w:r>
                    <w:rPr>
                      <w:rFonts w:hint="eastAsia" w:ascii="Times New Roman" w:hAnsi="Times New Roman" w:eastAsia="宋体"/>
                      <w:b w:val="0"/>
                      <w:bCs w:val="0"/>
                      <w:color w:val="auto"/>
                      <w:sz w:val="21"/>
                      <w:szCs w:val="21"/>
                      <w:highlight w:val="none"/>
                      <w:lang w:eastAsia="zh-CN"/>
                    </w:rPr>
                    <w:t>、</w:t>
                  </w:r>
                  <w:r>
                    <w:rPr>
                      <w:rFonts w:hint="eastAsia" w:ascii="Times New Roman" w:hAnsi="Times New Roman" w:eastAsia="宋体"/>
                      <w:b w:val="0"/>
                      <w:bCs w:val="0"/>
                      <w:color w:val="auto"/>
                      <w:sz w:val="21"/>
                      <w:szCs w:val="21"/>
                      <w:highlight w:val="none"/>
                    </w:rPr>
                    <w:t>本项目不涉及重金属污染物排放；</w:t>
                  </w:r>
                </w:p>
                <w:p w14:paraId="3C165E6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highlight w:val="none"/>
                      <w:lang w:eastAsia="zh-CN"/>
                    </w:rPr>
                    <w:t>6、</w:t>
                  </w:r>
                  <w:r>
                    <w:rPr>
                      <w:rFonts w:hint="eastAsia" w:ascii="Times New Roman" w:hAnsi="Times New Roman" w:eastAsia="宋体"/>
                      <w:b w:val="0"/>
                      <w:bCs w:val="0"/>
                      <w:color w:val="auto"/>
                      <w:sz w:val="21"/>
                      <w:szCs w:val="21"/>
                      <w:highlight w:val="none"/>
                      <w:lang w:val="en-US" w:eastAsia="zh-CN"/>
                    </w:rPr>
                    <w:t>7、</w:t>
                  </w:r>
                  <w:r>
                    <w:rPr>
                      <w:rFonts w:hint="eastAsia" w:ascii="Times New Roman" w:hAnsi="Times New Roman" w:eastAsia="宋体"/>
                      <w:b w:val="0"/>
                      <w:bCs w:val="0"/>
                      <w:color w:val="auto"/>
                      <w:sz w:val="21"/>
                      <w:szCs w:val="21"/>
                      <w:highlight w:val="none"/>
                    </w:rPr>
                    <w:t>8</w:t>
                  </w:r>
                  <w:r>
                    <w:rPr>
                      <w:rFonts w:hint="eastAsia" w:ascii="Times New Roman" w:hAnsi="Times New Roman" w:eastAsia="宋体"/>
                      <w:b w:val="0"/>
                      <w:bCs w:val="0"/>
                      <w:color w:val="auto"/>
                      <w:sz w:val="21"/>
                      <w:szCs w:val="21"/>
                      <w:highlight w:val="none"/>
                      <w:lang w:eastAsia="zh-CN"/>
                    </w:rPr>
                    <w:t>、</w:t>
                  </w:r>
                  <w:r>
                    <w:rPr>
                      <w:rFonts w:hint="eastAsia" w:ascii="Times New Roman" w:hAnsi="Times New Roman" w:eastAsia="宋体"/>
                      <w:b w:val="0"/>
                      <w:bCs w:val="0"/>
                      <w:color w:val="auto"/>
                      <w:sz w:val="21"/>
                      <w:szCs w:val="21"/>
                      <w:highlight w:val="none"/>
                    </w:rPr>
                    <w:t>本项目不涉及锅炉</w:t>
                  </w:r>
                  <w:r>
                    <w:rPr>
                      <w:rFonts w:hint="eastAsia" w:ascii="Times New Roman" w:hAnsi="Times New Roman" w:eastAsia="宋体"/>
                      <w:b w:val="0"/>
                      <w:bCs w:val="0"/>
                      <w:color w:val="auto"/>
                      <w:sz w:val="21"/>
                      <w:szCs w:val="21"/>
                    </w:rPr>
                    <w:t>使用，不涉及水泥及化工行业，且项目所在地不属于化工园区。</w:t>
                  </w:r>
                </w:p>
              </w:tc>
            </w:tr>
            <w:tr w14:paraId="10D14E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vMerge w:val="continue"/>
                  <w:tcBorders>
                    <w:tl2br w:val="nil"/>
                    <w:tr2bl w:val="nil"/>
                  </w:tcBorders>
                  <w:noWrap w:val="0"/>
                  <w:vAlign w:val="center"/>
                </w:tcPr>
                <w:p w14:paraId="42854BF2">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p>
              </w:tc>
              <w:tc>
                <w:tcPr>
                  <w:tcW w:w="344" w:type="pct"/>
                  <w:tcBorders>
                    <w:tl2br w:val="nil"/>
                    <w:tr2bl w:val="nil"/>
                  </w:tcBorders>
                  <w:noWrap w:val="0"/>
                  <w:vAlign w:val="center"/>
                </w:tcPr>
                <w:p w14:paraId="4C8B1F30">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资源开发效率要求</w:t>
                  </w:r>
                </w:p>
              </w:tc>
              <w:tc>
                <w:tcPr>
                  <w:tcW w:w="3056" w:type="pct"/>
                  <w:tcBorders>
                    <w:tl2br w:val="nil"/>
                    <w:tr2bl w:val="nil"/>
                  </w:tcBorders>
                  <w:noWrap w:val="0"/>
                  <w:vAlign w:val="center"/>
                </w:tcPr>
                <w:p w14:paraId="38F98D2E">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到2024年底，全市范围内每小时10蒸吨及以下燃煤锅炉全面淘汰；到2025年底，全市范围内每小时35蒸吨以下燃煤锅炉通过集中供热、清洁能源替代、深度治理等方式全面实现转型、升级、退出，县级及以上城市建成区在用锅炉（燃煤、燃油、燃生物质）全面改用电能等清洁能源或治理达到超低排放水平；禁止新建每小时35蒸吨以下燃煤锅炉，以及每小时10蒸吨及以下燃生物质和其他使用高污染燃料的锅炉。集中供热管网覆盖范围内禁止新建、扩建分散燃煤、燃油等供热锅炉。</w:t>
                  </w:r>
                </w:p>
                <w:p w14:paraId="03DB2B7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2.按照“提气、转电、控煤”的发展思路，推动陶瓷行业进一步优化用能结构，实现能源消费清洁低碳化。</w:t>
                  </w:r>
                </w:p>
              </w:tc>
              <w:tc>
                <w:tcPr>
                  <w:tcW w:w="1244" w:type="pct"/>
                  <w:tcBorders>
                    <w:tl2br w:val="nil"/>
                    <w:tr2bl w:val="nil"/>
                  </w:tcBorders>
                  <w:noWrap w:val="0"/>
                  <w:vAlign w:val="center"/>
                </w:tcPr>
                <w:p w14:paraId="29F1D05E">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1、</w:t>
                  </w:r>
                  <w:r>
                    <w:rPr>
                      <w:rFonts w:hint="eastAsia" w:ascii="Times New Roman" w:hAnsi="Times New Roman" w:eastAsia="宋体"/>
                      <w:b w:val="0"/>
                      <w:bCs w:val="0"/>
                      <w:color w:val="auto"/>
                      <w:sz w:val="21"/>
                      <w:szCs w:val="21"/>
                    </w:rPr>
                    <w:t>本项目不涉及锅炉使用</w:t>
                  </w:r>
                  <w:r>
                    <w:rPr>
                      <w:rFonts w:hint="eastAsia" w:ascii="Times New Roman" w:hAnsi="Times New Roman" w:eastAsia="宋体"/>
                      <w:b w:val="0"/>
                      <w:bCs w:val="0"/>
                      <w:color w:val="auto"/>
                      <w:sz w:val="21"/>
                      <w:szCs w:val="21"/>
                      <w:lang w:eastAsia="zh-CN"/>
                    </w:rPr>
                    <w:t>；</w:t>
                  </w:r>
                </w:p>
                <w:p w14:paraId="4B2670A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lang w:val="en-US" w:eastAsia="zh-CN"/>
                    </w:rPr>
                    <w:t>2、</w:t>
                  </w:r>
                  <w:r>
                    <w:rPr>
                      <w:rFonts w:hint="eastAsia" w:ascii="Times New Roman" w:hAnsi="Times New Roman" w:eastAsia="宋体"/>
                      <w:b w:val="0"/>
                      <w:bCs w:val="0"/>
                      <w:color w:val="auto"/>
                      <w:sz w:val="21"/>
                      <w:szCs w:val="21"/>
                    </w:rPr>
                    <w:t>不属于陶瓷行业。</w:t>
                  </w:r>
                </w:p>
              </w:tc>
            </w:tr>
            <w:tr w14:paraId="54BEEE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l2br w:val="nil"/>
                    <w:tr2bl w:val="nil"/>
                  </w:tcBorders>
                  <w:noWrap w:val="0"/>
                  <w:textDirection w:val="tbRlV"/>
                  <w:vAlign w:val="center"/>
                </w:tcPr>
                <w:p w14:paraId="04354427">
                  <w:pPr>
                    <w:pStyle w:val="47"/>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海岸线</w:t>
                  </w:r>
                </w:p>
              </w:tc>
              <w:tc>
                <w:tcPr>
                  <w:tcW w:w="344" w:type="pct"/>
                  <w:tcBorders>
                    <w:tl2br w:val="nil"/>
                    <w:tr2bl w:val="nil"/>
                  </w:tcBorders>
                  <w:noWrap w:val="0"/>
                  <w:vAlign w:val="center"/>
                </w:tcPr>
                <w:p w14:paraId="3D2FAA73">
                  <w:pPr>
                    <w:pStyle w:val="47"/>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空间布局约束</w:t>
                  </w:r>
                </w:p>
              </w:tc>
              <w:tc>
                <w:tcPr>
                  <w:tcW w:w="3056" w:type="pct"/>
                  <w:tcBorders>
                    <w:tl2br w:val="nil"/>
                    <w:tr2bl w:val="nil"/>
                  </w:tcBorders>
                  <w:noWrap w:val="0"/>
                  <w:vAlign w:val="center"/>
                </w:tcPr>
                <w:p w14:paraId="33BB7A0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1.严格限制建设项目占用自然岸线，项目选址和平面设计应当避让自然岸线国家重大项目需要新增围填海等改变海域自然属性，以及线性工程等基础设施，渔港、陆岛交通码头、防灾减灾等民生工程，海洋生态修复等公益项目，需要建设非透水构筑物且无法避让的，可以占用自然岸线。确需占用自然岸线的建设项目，要落实集约节约利用等要求，严格进行论证，按照规定允许建设项目占用自然岸线的，应当通过整治修复等措施补充生态恢复岸线，补充长度不少于占用长度。</w:t>
                  </w:r>
                </w:p>
                <w:p w14:paraId="302283D5">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2.适时搬迁或取消松门、长安、小长门等闽江口内港作业区的油品、液体化工品码头功能，适度控制新建企业专用码头，推行码头共用。</w:t>
                  </w:r>
                </w:p>
                <w:p w14:paraId="5D8CE526">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eastAsia="宋体"/>
                      <w:b w:val="0"/>
                      <w:bCs w:val="0"/>
                      <w:color w:val="auto"/>
                      <w:sz w:val="21"/>
                      <w:szCs w:val="21"/>
                      <w:lang w:val="en-US" w:eastAsia="zh-CN"/>
                    </w:rPr>
                    <w:t>3.实施港口建设分类引导和约束，严控港口重复建设。闽江口内港区重点准入对台“三通”客运项目，兼顾能源、集装箱等货运项目；福州（连江）国家远洋渔业基地核心区远洋渔业母港重点准入远洋渔业装卸码头、渔港、锚地、航道建设项目；江阴港区重点准入集装箱运输项目，兼顾散杂货、化工品和商品汽车运输项目；松下港区重点准入粮食、散杂货运输项目；罗源湾港区重点准入煤炭、矿石等散货运输项目。</w:t>
                  </w:r>
                </w:p>
              </w:tc>
              <w:tc>
                <w:tcPr>
                  <w:tcW w:w="1244" w:type="pct"/>
                  <w:tcBorders>
                    <w:tl2br w:val="nil"/>
                    <w:tr2bl w:val="nil"/>
                  </w:tcBorders>
                  <w:noWrap w:val="0"/>
                  <w:vAlign w:val="center"/>
                </w:tcPr>
                <w:p w14:paraId="13084E7B">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rPr>
                    <w:t>1</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rPr>
                    <w:t>本项目选址于</w:t>
                  </w:r>
                  <w:r>
                    <w:rPr>
                      <w:rFonts w:hint="eastAsia"/>
                      <w:color w:val="auto"/>
                      <w:sz w:val="21"/>
                      <w:szCs w:val="21"/>
                      <w:lang w:eastAsia="zh-CN"/>
                    </w:rPr>
                    <w:t>福建省福州市闽侯县上街镇高新大道巨泽中心1号楼2层、2号楼2-3层和3号楼2、4层</w:t>
                  </w:r>
                  <w:r>
                    <w:rPr>
                      <w:rFonts w:hint="eastAsia" w:ascii="Times New Roman" w:hAnsi="Times New Roman" w:eastAsia="宋体"/>
                      <w:b w:val="0"/>
                      <w:bCs w:val="0"/>
                      <w:color w:val="auto"/>
                      <w:sz w:val="21"/>
                      <w:szCs w:val="21"/>
                    </w:rPr>
                    <w:t>，</w:t>
                  </w:r>
                  <w:r>
                    <w:rPr>
                      <w:rFonts w:hint="eastAsia" w:ascii="Times New Roman" w:hAnsi="Times New Roman" w:eastAsia="宋体"/>
                      <w:b w:val="0"/>
                      <w:bCs w:val="0"/>
                      <w:color w:val="auto"/>
                      <w:sz w:val="21"/>
                      <w:szCs w:val="21"/>
                      <w:lang w:val="en-US" w:eastAsia="zh-CN"/>
                    </w:rPr>
                    <w:t>租赁</w:t>
                  </w:r>
                  <w:r>
                    <w:rPr>
                      <w:rFonts w:hint="eastAsia" w:ascii="Times New Roman" w:hAnsi="Times New Roman" w:eastAsia="宋体"/>
                      <w:b w:val="0"/>
                      <w:bCs w:val="0"/>
                      <w:color w:val="auto"/>
                      <w:sz w:val="21"/>
                      <w:szCs w:val="21"/>
                    </w:rPr>
                    <w:t>已建成</w:t>
                  </w:r>
                  <w:r>
                    <w:rPr>
                      <w:rFonts w:hint="eastAsia" w:ascii="Times New Roman" w:hAnsi="Times New Roman" w:eastAsia="宋体"/>
                      <w:b w:val="0"/>
                      <w:bCs w:val="0"/>
                      <w:color w:val="auto"/>
                      <w:sz w:val="21"/>
                      <w:szCs w:val="21"/>
                      <w:lang w:val="en-US" w:eastAsia="zh-CN"/>
                    </w:rPr>
                    <w:t>闲置</w:t>
                  </w:r>
                  <w:r>
                    <w:rPr>
                      <w:rFonts w:hint="eastAsia" w:ascii="Times New Roman" w:hAnsi="Times New Roman" w:eastAsia="宋体"/>
                      <w:b w:val="0"/>
                      <w:bCs w:val="0"/>
                      <w:color w:val="auto"/>
                      <w:sz w:val="21"/>
                      <w:szCs w:val="21"/>
                    </w:rPr>
                    <w:t>厂房，远离自然岸线</w:t>
                  </w:r>
                  <w:r>
                    <w:rPr>
                      <w:rFonts w:hint="eastAsia" w:ascii="Times New Roman" w:hAnsi="Times New Roman" w:eastAsia="宋体"/>
                      <w:b w:val="0"/>
                      <w:bCs w:val="0"/>
                      <w:color w:val="auto"/>
                      <w:sz w:val="21"/>
                      <w:szCs w:val="21"/>
                      <w:lang w:eastAsia="zh-CN"/>
                    </w:rPr>
                    <w:t>；</w:t>
                  </w:r>
                </w:p>
                <w:p w14:paraId="2D530B92">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eastAsia="zh-CN"/>
                    </w:rPr>
                    <w:t>2、</w:t>
                  </w:r>
                  <w:r>
                    <w:rPr>
                      <w:rFonts w:hint="eastAsia" w:ascii="Times New Roman" w:hAnsi="Times New Roman" w:eastAsia="宋体"/>
                      <w:b w:val="0"/>
                      <w:bCs w:val="0"/>
                      <w:color w:val="auto"/>
                      <w:sz w:val="21"/>
                      <w:szCs w:val="21"/>
                    </w:rPr>
                    <w:t>3</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rPr>
                    <w:t>本项目</w:t>
                  </w:r>
                  <w:r>
                    <w:rPr>
                      <w:rFonts w:hint="eastAsia" w:ascii="Times New Roman" w:hAnsi="Times New Roman" w:eastAsia="宋体"/>
                      <w:b w:val="0"/>
                      <w:bCs w:val="0"/>
                      <w:color w:val="auto"/>
                      <w:sz w:val="21"/>
                      <w:szCs w:val="21"/>
                      <w:lang w:eastAsia="zh-CN"/>
                    </w:rPr>
                    <w:t>主要从事</w:t>
                  </w:r>
                  <w:r>
                    <w:rPr>
                      <w:rFonts w:hint="eastAsia"/>
                      <w:b w:val="0"/>
                      <w:bCs w:val="0"/>
                      <w:color w:val="auto"/>
                      <w:sz w:val="21"/>
                      <w:szCs w:val="21"/>
                      <w:lang w:val="en-US" w:eastAsia="zh-CN"/>
                    </w:rPr>
                    <w:t>晶体/光学元器件生产、加工</w:t>
                  </w:r>
                  <w:r>
                    <w:rPr>
                      <w:rFonts w:hint="eastAsia" w:ascii="Times New Roman" w:hAnsi="Times New Roman" w:eastAsia="宋体"/>
                      <w:b w:val="0"/>
                      <w:bCs w:val="0"/>
                      <w:color w:val="auto"/>
                      <w:sz w:val="21"/>
                      <w:szCs w:val="21"/>
                    </w:rPr>
                    <w:t>，不属于闽江口内港作业区的油品、液体化工品码头以及港口建设</w:t>
                  </w:r>
                  <w:r>
                    <w:rPr>
                      <w:rFonts w:hint="eastAsia" w:ascii="Times New Roman" w:hAnsi="Times New Roman" w:eastAsia="宋体"/>
                      <w:b w:val="0"/>
                      <w:bCs w:val="0"/>
                      <w:color w:val="auto"/>
                      <w:sz w:val="21"/>
                      <w:szCs w:val="21"/>
                      <w:lang w:eastAsia="zh-CN"/>
                    </w:rPr>
                    <w:t>。</w:t>
                  </w:r>
                </w:p>
              </w:tc>
            </w:tr>
            <w:tr w14:paraId="3BF81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vMerge w:val="restart"/>
                  <w:tcBorders>
                    <w:tl2br w:val="nil"/>
                    <w:tr2bl w:val="nil"/>
                  </w:tcBorders>
                  <w:noWrap w:val="0"/>
                  <w:textDirection w:val="tbRlV"/>
                  <w:vAlign w:val="center"/>
                </w:tcPr>
                <w:p w14:paraId="688F4C8B">
                  <w:pPr>
                    <w:pStyle w:val="47"/>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b w:val="0"/>
                      <w:bCs w:val="0"/>
                      <w:color w:val="auto"/>
                      <w:sz w:val="21"/>
                      <w:szCs w:val="21"/>
                      <w:lang w:val="en-US"/>
                    </w:rPr>
                  </w:pPr>
                  <w:r>
                    <w:rPr>
                      <w:rFonts w:hint="eastAsia" w:ascii="Times New Roman" w:hAnsi="Times New Roman" w:eastAsia="宋体"/>
                      <w:b w:val="0"/>
                      <w:bCs w:val="0"/>
                      <w:color w:val="auto"/>
                      <w:sz w:val="21"/>
                      <w:szCs w:val="21"/>
                      <w:lang w:val="en-US" w:eastAsia="zh-CN"/>
                    </w:rPr>
                    <w:t>近岸海域</w:t>
                  </w:r>
                </w:p>
              </w:tc>
              <w:tc>
                <w:tcPr>
                  <w:tcW w:w="344" w:type="pct"/>
                  <w:tcBorders>
                    <w:tl2br w:val="nil"/>
                    <w:tr2bl w:val="nil"/>
                  </w:tcBorders>
                  <w:noWrap w:val="0"/>
                  <w:vAlign w:val="center"/>
                </w:tcPr>
                <w:p w14:paraId="36939030">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lang w:val="en-US" w:eastAsia="zh-CN"/>
                    </w:rPr>
                    <w:t>空间布局约束</w:t>
                  </w:r>
                </w:p>
              </w:tc>
              <w:tc>
                <w:tcPr>
                  <w:tcW w:w="3056" w:type="pct"/>
                  <w:tcBorders>
                    <w:tl2br w:val="nil"/>
                    <w:tr2bl w:val="nil"/>
                  </w:tcBorders>
                  <w:noWrap w:val="0"/>
                  <w:vAlign w:val="center"/>
                </w:tcPr>
                <w:p w14:paraId="145D17E4">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1.严格落实国家围填海管控规定，除国家重大项目外，全面禁止围填海。</w:t>
                  </w:r>
                  <w:r>
                    <w:rPr>
                      <w:rFonts w:ascii="Times New Roman" w:hAnsi="Times New Roman" w:eastAsia="宋体"/>
                      <w:b w:val="0"/>
                      <w:bCs w:val="0"/>
                      <w:color w:val="auto"/>
                      <w:sz w:val="21"/>
                      <w:szCs w:val="21"/>
                    </w:rPr>
                    <w:t>2.强化生态保护红线区的管控，确保邻近的交通运输用海、工矿通信用海等功能区开发活动不得影响生态保护红线区的功能。强化闽江口、福清湾及兴化湾重要滨海湿地保护，禁止破坏芦苇荡等植被群落，生产设施与水禽筑巢区、觅食及栖息地等集中分布区须保留安全距离；禁止高噪音等惊扰鸟类的作业，禁止大面积使用栖息水鸟害怕的颜色。</w:t>
                  </w:r>
                </w:p>
                <w:p w14:paraId="536E839E">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3.江阴特殊利用区内设置排污口，需严格论证并执行污水达标排放和设置深水排放口，不得影响临近的兴化湾水鸟省级自然保护区。</w:t>
                  </w:r>
                </w:p>
                <w:p w14:paraId="0A8B8A5B">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4.优化调整环罗源湾区域发展定位和产业布局。大官坂组团发展污染相对较低的石化中下游产业和精细化工产品，并适当控制其发展规模，不再扩大聚酰胺一体化及配套项目规模。松山片区禁止引进、建设集中电镀、制浆、医药、农药、酿造等重污染项目。</w:t>
                  </w:r>
                </w:p>
                <w:p w14:paraId="758FF8C4">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5.严格落实养殖水域滩涂规划，防止超规划养殖反弹回潮，进一步优化海水养殖空间布局禁养区内和规划范围外的海水养殖予以退出；罗源湾禁养区禁止开展水产养殖，限养区不得开展网箱养殖。</w:t>
                  </w:r>
                </w:p>
                <w:p w14:paraId="4E5E5D2F">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6.涉及利用无居民海岛的，原则上仅允许按照相关规定对海岛自然岸线、表面积、岛体、植被改变轻微的低影响利用方式。</w:t>
                  </w:r>
                </w:p>
              </w:tc>
              <w:tc>
                <w:tcPr>
                  <w:tcW w:w="1244" w:type="pct"/>
                  <w:tcBorders>
                    <w:tl2br w:val="nil"/>
                    <w:tr2bl w:val="nil"/>
                  </w:tcBorders>
                  <w:noWrap w:val="0"/>
                  <w:vAlign w:val="center"/>
                </w:tcPr>
                <w:p w14:paraId="0E1EB93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1、</w:t>
                  </w:r>
                  <w:r>
                    <w:rPr>
                      <w:rFonts w:hint="eastAsia" w:ascii="Times New Roman" w:hAnsi="Times New Roman" w:eastAsia="宋体"/>
                      <w:b w:val="0"/>
                      <w:bCs w:val="0"/>
                      <w:color w:val="auto"/>
                      <w:sz w:val="21"/>
                      <w:szCs w:val="21"/>
                    </w:rPr>
                    <w:t>本项目选址于</w:t>
                  </w:r>
                  <w:r>
                    <w:rPr>
                      <w:rFonts w:hint="eastAsia"/>
                      <w:color w:val="auto"/>
                      <w:sz w:val="21"/>
                      <w:szCs w:val="21"/>
                      <w:lang w:eastAsia="zh-CN"/>
                    </w:rPr>
                    <w:t>福建省福州市闽侯县上街镇高新大道巨泽中心1号楼2层、2号楼2-3层和3号楼2、4层</w:t>
                  </w:r>
                  <w:r>
                    <w:rPr>
                      <w:rFonts w:hint="eastAsia" w:ascii="Times New Roman" w:hAnsi="Times New Roman" w:eastAsia="宋体"/>
                      <w:b w:val="0"/>
                      <w:bCs w:val="0"/>
                      <w:color w:val="auto"/>
                      <w:sz w:val="21"/>
                      <w:szCs w:val="21"/>
                    </w:rPr>
                    <w:t>，利用已建成厂房，本项目</w:t>
                  </w:r>
                  <w:r>
                    <w:rPr>
                      <w:rFonts w:hint="eastAsia" w:ascii="Times New Roman" w:hAnsi="Times New Roman" w:eastAsia="宋体"/>
                      <w:b w:val="0"/>
                      <w:bCs w:val="0"/>
                      <w:color w:val="auto"/>
                      <w:sz w:val="21"/>
                      <w:szCs w:val="21"/>
                      <w:lang w:eastAsia="zh-CN"/>
                    </w:rPr>
                    <w:t>主要从事</w:t>
                  </w:r>
                  <w:r>
                    <w:rPr>
                      <w:rFonts w:hint="eastAsia"/>
                      <w:b w:val="0"/>
                      <w:bCs w:val="0"/>
                      <w:color w:val="auto"/>
                      <w:sz w:val="21"/>
                      <w:szCs w:val="21"/>
                      <w:lang w:val="en-US" w:eastAsia="zh-CN"/>
                    </w:rPr>
                    <w:t>晶体/光学元器件生产、加工</w:t>
                  </w:r>
                  <w:r>
                    <w:rPr>
                      <w:rFonts w:hint="eastAsia" w:ascii="Times New Roman" w:hAnsi="Times New Roman" w:eastAsia="宋体"/>
                      <w:b w:val="0"/>
                      <w:bCs w:val="0"/>
                      <w:color w:val="auto"/>
                      <w:sz w:val="21"/>
                      <w:szCs w:val="21"/>
                      <w:lang w:eastAsia="zh-CN"/>
                    </w:rPr>
                    <w:t>；</w:t>
                  </w:r>
                </w:p>
                <w:p w14:paraId="6F7B565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2、</w:t>
                  </w:r>
                  <w:r>
                    <w:rPr>
                      <w:rFonts w:hint="eastAsia" w:ascii="Times New Roman" w:hAnsi="Times New Roman" w:eastAsia="宋体"/>
                      <w:b w:val="0"/>
                      <w:bCs w:val="0"/>
                      <w:color w:val="auto"/>
                      <w:sz w:val="21"/>
                      <w:szCs w:val="21"/>
                    </w:rPr>
                    <w:t>不涉及围填海、海、工矿通信用海等功能区开发活动</w:t>
                  </w:r>
                  <w:r>
                    <w:rPr>
                      <w:rFonts w:hint="eastAsia" w:ascii="Times New Roman" w:hAnsi="Times New Roman" w:eastAsia="宋体"/>
                      <w:b w:val="0"/>
                      <w:bCs w:val="0"/>
                      <w:color w:val="auto"/>
                      <w:sz w:val="21"/>
                      <w:szCs w:val="21"/>
                      <w:lang w:eastAsia="zh-CN"/>
                    </w:rPr>
                    <w:t>；</w:t>
                  </w:r>
                </w:p>
                <w:p w14:paraId="22764C7C">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3、4、5、6.、</w:t>
                  </w:r>
                  <w:r>
                    <w:rPr>
                      <w:rFonts w:hint="eastAsia" w:ascii="Times New Roman" w:hAnsi="Times New Roman" w:eastAsia="宋体"/>
                      <w:b w:val="0"/>
                      <w:bCs w:val="0"/>
                      <w:color w:val="auto"/>
                      <w:sz w:val="21"/>
                      <w:szCs w:val="21"/>
                    </w:rPr>
                    <w:t>不位于闽江口、福清湾及兴化湾重要滨海湿地、江阴特殊利用区、兴化湾水鸟省级自然保护区、罗源湾区、大官坂组团、松山片区、罗源湾禁养区，不涉及利用无居民海岛</w:t>
                  </w:r>
                  <w:r>
                    <w:rPr>
                      <w:rFonts w:hint="eastAsia" w:ascii="Times New Roman" w:hAnsi="Times New Roman" w:eastAsia="宋体"/>
                      <w:b w:val="0"/>
                      <w:bCs w:val="0"/>
                      <w:color w:val="auto"/>
                      <w:sz w:val="21"/>
                      <w:szCs w:val="21"/>
                      <w:lang w:eastAsia="zh-CN"/>
                    </w:rPr>
                    <w:t>。</w:t>
                  </w:r>
                </w:p>
              </w:tc>
            </w:tr>
            <w:tr w14:paraId="10F0CE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vMerge w:val="continue"/>
                  <w:tcBorders>
                    <w:tl2br w:val="nil"/>
                    <w:tr2bl w:val="nil"/>
                  </w:tcBorders>
                  <w:noWrap w:val="0"/>
                  <w:textDirection w:val="tbRlV"/>
                  <w:vAlign w:val="center"/>
                </w:tcPr>
                <w:p w14:paraId="6FD7BFF5">
                  <w:pPr>
                    <w:pStyle w:val="47"/>
                    <w:keepNext w:val="0"/>
                    <w:keepLines w:val="0"/>
                    <w:pageBreakBefore w:val="0"/>
                    <w:widowControl/>
                    <w:kinsoku/>
                    <w:wordWrap/>
                    <w:overflowPunct/>
                    <w:topLinePunct w:val="0"/>
                    <w:autoSpaceDE/>
                    <w:autoSpaceDN/>
                    <w:bidi w:val="0"/>
                    <w:adjustRightInd w:val="0"/>
                    <w:snapToGrid w:val="0"/>
                    <w:jc w:val="center"/>
                    <w:textAlignment w:val="auto"/>
                    <w:rPr>
                      <w:rFonts w:ascii="Times New Roman" w:hAnsi="Times New Roman" w:eastAsia="宋体"/>
                      <w:b w:val="0"/>
                      <w:bCs w:val="0"/>
                      <w:color w:val="auto"/>
                      <w:sz w:val="21"/>
                      <w:szCs w:val="21"/>
                    </w:rPr>
                  </w:pPr>
                </w:p>
              </w:tc>
              <w:tc>
                <w:tcPr>
                  <w:tcW w:w="344" w:type="pct"/>
                  <w:tcBorders>
                    <w:tl2br w:val="nil"/>
                    <w:tr2bl w:val="nil"/>
                  </w:tcBorders>
                  <w:noWrap w:val="0"/>
                  <w:vAlign w:val="center"/>
                </w:tcPr>
                <w:p w14:paraId="502CD62F">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污染</w:t>
                  </w:r>
                </w:p>
                <w:p w14:paraId="4DD97AC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物排</w:t>
                  </w:r>
                </w:p>
                <w:p w14:paraId="1E7C110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放管 控</w:t>
                  </w:r>
                </w:p>
              </w:tc>
              <w:tc>
                <w:tcPr>
                  <w:tcW w:w="3056" w:type="pct"/>
                  <w:tcBorders>
                    <w:tl2br w:val="nil"/>
                    <w:tr2bl w:val="nil"/>
                  </w:tcBorders>
                  <w:noWrap w:val="0"/>
                  <w:vAlign w:val="center"/>
                </w:tcPr>
                <w:p w14:paraId="388CA2F6">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1.罗源湾实行主要污染物入海总量控制合理设置湾内排污口，化工废水应全部引至湾外排放，可门经济区污水排放落实湾外深海排放。全面推进罗源湾入海排污口排查溯源、分类整治和起步溪等入海溪流综合整治。提升罗源湾港区污染物接收处理能力。</w:t>
                  </w:r>
                </w:p>
                <w:p w14:paraId="6977E96C">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2.实行闽江口主要污染物入海总量控制，控制闽江入海断面水质，削减氮磷入海总量巩固深化闽江口综合整治成效，持续开展闽江口周边入海溪流水质提升行动，全面推进闽江口入海排污口排查溯源和分类整治。优化闽江口以北连江东部海域养殖结构和布局，控制养殖密度和规模。</w:t>
                  </w:r>
                </w:p>
                <w:p w14:paraId="690E77C5">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3.全面开展福清湾入海排污口排查溯源和分类整治，加强福清湾及龙江沿岸农村生活污水、生活垃圾的收集处理处置。严格控制湾内投饵型网箱养殖规模和密度，实行生态养殖，强化养殖污染防治和养殖尾水治理监管。</w:t>
                  </w:r>
                </w:p>
                <w:p w14:paraId="5AE16A01">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4.兴化湾实行主要污染物入海总量控制，全面开展兴化湾福州段入海排污口排查溯源和分类整治，加快推动沿岸乡镇配套污水管网建设及江阴工业区污水处理厂提标改造，湾内严格控制投饵型网箱养殖规模和密度，实行生态养殖，强化养殖污染防治和养殖尾水治理监管。</w:t>
                  </w:r>
                </w:p>
                <w:p w14:paraId="5C9C4349">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5.近岸海域汇水区域内城镇污水处理设施执行不低于一级A排放标准，推进沿海农村生活污水收集处理。</w:t>
                  </w:r>
                </w:p>
                <w:p w14:paraId="14CFAA5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6.出台福州市养殖尾水排放标准，强化养殖尾水治理和排放监测监管。控制养殖规模和密度，发展生态养殖，推进传统养殖设施的升级改造，推广环保型全塑胶鱼排和深水抗风浪网箱。实施海水养殖排污口排查整治，推进分类治理及规范化设置，实施规模化养殖池塘标准化改造。</w:t>
                  </w:r>
                </w:p>
                <w:p w14:paraId="3362A6A5">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7.强化陆海污染联防联控，推动“蓝色海湾”整治项目、海岸带生态保护修复工程等重大工程建设，推进沿海岸线自然化和生态保护修复。</w:t>
                  </w:r>
                </w:p>
                <w:p w14:paraId="4759B9EC">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ascii="Times New Roman" w:hAnsi="Times New Roman" w:eastAsia="宋体"/>
                      <w:b w:val="0"/>
                      <w:bCs w:val="0"/>
                      <w:color w:val="auto"/>
                      <w:sz w:val="21"/>
                      <w:szCs w:val="21"/>
                    </w:rPr>
                    <w:t>8.闽江口内港区现有油品和危险品（液化石油气）码头搬迁前应切实保障现有油污水处理设施的有效性，搬迁后由江阴港区、罗源湾港区在对应码头设立油污水接收处理系统。其他港区的生产性油污水由码头自建油污水处理设施处理达标后排入依托城市污水处理厂，杜绝港区油污水散排。</w:t>
                  </w:r>
                </w:p>
                <w:p w14:paraId="209A0A54">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ascii="Times New Roman" w:hAnsi="Times New Roman" w:eastAsia="宋体"/>
                      <w:b w:val="0"/>
                      <w:bCs w:val="0"/>
                      <w:color w:val="auto"/>
                      <w:sz w:val="21"/>
                      <w:szCs w:val="21"/>
                    </w:rPr>
                    <w:t>9.提升海上环卫队伍专业化水平，强化海陆环卫无缝衔接，完善海漂垃圾收集处置设施建设</w:t>
                  </w:r>
                  <w:r>
                    <w:rPr>
                      <w:rFonts w:hint="eastAsia" w:ascii="Times New Roman" w:hAnsi="Times New Roman" w:eastAsia="宋体"/>
                      <w:b w:val="0"/>
                      <w:bCs w:val="0"/>
                      <w:color w:val="auto"/>
                      <w:sz w:val="21"/>
                      <w:szCs w:val="21"/>
                    </w:rPr>
                    <w:t>实现海滩海面常态化清理保洁，强化渔业垃圾等管控，强化重点旅游岸段及罗源湾、兴化湾等重点岸段的监视监控，定期开展专项整治行动。</w:t>
                  </w:r>
                </w:p>
                <w:p w14:paraId="27D1B90D">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10.巩固深化罗源湾、闽江口、福清湾、兴化湾等重点海湾综合治理，持续改善近岸海域环境质量。</w:t>
                  </w:r>
                </w:p>
                <w:p w14:paraId="55DFDFB6">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11.加强陆海统筹和区域协同，深化闽江、敖江、龙江主要入海河流及占泽溪等入海小流域综合治理；因地制宜加强总氮排放控制，实施入海河流总氮削减工程。</w:t>
                  </w:r>
                </w:p>
                <w:p w14:paraId="01328473">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hint="eastAsia"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12.推进省级及以上工业园区完成污水零直排建设，建设福清江阴港城经济区等一批“污水零直排”示范园区。</w:t>
                  </w:r>
                </w:p>
                <w:p w14:paraId="1D745860">
                  <w:pPr>
                    <w:pStyle w:val="47"/>
                    <w:keepNext w:val="0"/>
                    <w:keepLines w:val="0"/>
                    <w:pageBreakBefore w:val="0"/>
                    <w:widowControl/>
                    <w:kinsoku/>
                    <w:wordWrap/>
                    <w:overflowPunct/>
                    <w:topLinePunct w:val="0"/>
                    <w:autoSpaceDE/>
                    <w:autoSpaceDN/>
                    <w:bidi w:val="0"/>
                    <w:adjustRightInd w:val="0"/>
                    <w:snapToGrid w:val="0"/>
                    <w:ind w:firstLine="420" w:firstLineChars="200"/>
                    <w:jc w:val="center"/>
                    <w:textAlignment w:val="auto"/>
                    <w:rPr>
                      <w:rFonts w:ascii="Times New Roman" w:hAnsi="Times New Roman" w:eastAsia="宋体"/>
                      <w:b w:val="0"/>
                      <w:bCs w:val="0"/>
                      <w:color w:val="auto"/>
                      <w:sz w:val="21"/>
                      <w:szCs w:val="21"/>
                    </w:rPr>
                  </w:pPr>
                  <w:r>
                    <w:rPr>
                      <w:rFonts w:hint="eastAsia" w:ascii="Times New Roman" w:hAnsi="Times New Roman" w:eastAsia="宋体"/>
                      <w:b w:val="0"/>
                      <w:bCs w:val="0"/>
                      <w:color w:val="auto"/>
                      <w:sz w:val="21"/>
                      <w:szCs w:val="21"/>
                    </w:rPr>
                    <w:t>13.持续推进福州市美丽海湾保护与建设，到2025年，鉴江半岛</w:t>
                  </w:r>
                  <w:r>
                    <w:rPr>
                      <w:rFonts w:hint="eastAsia" w:ascii="Times New Roman" w:hAnsi="Times New Roman" w:eastAsia="宋体"/>
                      <w:b w:val="0"/>
                      <w:bCs w:val="0"/>
                      <w:color w:val="auto"/>
                      <w:sz w:val="21"/>
                      <w:szCs w:val="21"/>
                      <w:lang w:eastAsia="zh-CN"/>
                    </w:rPr>
                    <w:t>－</w:t>
                  </w:r>
                  <w:r>
                    <w:rPr>
                      <w:rFonts w:hint="eastAsia" w:ascii="Times New Roman" w:hAnsi="Times New Roman" w:eastAsia="宋体"/>
                      <w:b w:val="0"/>
                      <w:bCs w:val="0"/>
                      <w:color w:val="auto"/>
                      <w:sz w:val="21"/>
                      <w:szCs w:val="21"/>
                    </w:rPr>
                    <w:t>黄岐半岛东部海域湾区、长乐东部海域湾区建成国家级美丽海湾。</w:t>
                  </w:r>
                </w:p>
              </w:tc>
              <w:tc>
                <w:tcPr>
                  <w:tcW w:w="1244" w:type="pct"/>
                  <w:tcBorders>
                    <w:tl2br w:val="nil"/>
                    <w:tr2bl w:val="nil"/>
                  </w:tcBorders>
                  <w:noWrap w:val="0"/>
                  <w:vAlign w:val="center"/>
                </w:tcPr>
                <w:p w14:paraId="1808956D">
                  <w:pPr>
                    <w:pStyle w:val="47"/>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宋体"/>
                      <w:b w:val="0"/>
                      <w:bCs w:val="0"/>
                      <w:color w:val="auto"/>
                      <w:sz w:val="21"/>
                      <w:szCs w:val="21"/>
                      <w:lang w:eastAsia="zh-CN"/>
                    </w:rPr>
                  </w:pPr>
                  <w:r>
                    <w:rPr>
                      <w:rFonts w:hint="eastAsia" w:ascii="Times New Roman" w:hAnsi="Times New Roman" w:eastAsia="宋体"/>
                      <w:b w:val="0"/>
                      <w:bCs w:val="0"/>
                      <w:color w:val="auto"/>
                      <w:sz w:val="21"/>
                      <w:szCs w:val="21"/>
                      <w:lang w:val="en-US" w:eastAsia="zh-CN"/>
                    </w:rPr>
                    <w:t>1~13、</w:t>
                  </w:r>
                  <w:r>
                    <w:rPr>
                      <w:rFonts w:hint="eastAsia" w:ascii="Times New Roman" w:hAnsi="Times New Roman" w:eastAsia="宋体"/>
                      <w:b w:val="0"/>
                      <w:bCs w:val="0"/>
                      <w:color w:val="auto"/>
                      <w:sz w:val="21"/>
                      <w:szCs w:val="21"/>
                    </w:rPr>
                    <w:t>本项目选址于</w:t>
                  </w:r>
                  <w:r>
                    <w:rPr>
                      <w:rFonts w:hint="eastAsia"/>
                      <w:color w:val="auto"/>
                      <w:sz w:val="21"/>
                      <w:szCs w:val="21"/>
                      <w:lang w:eastAsia="zh-CN"/>
                    </w:rPr>
                    <w:t>福建省福州市闽侯县上街镇高新大道巨泽中心1号楼2层、2号楼2-3层和3号楼2、4层</w:t>
                  </w:r>
                  <w:r>
                    <w:rPr>
                      <w:rFonts w:hint="eastAsia" w:ascii="Times New Roman" w:hAnsi="Times New Roman" w:eastAsia="宋体"/>
                      <w:b w:val="0"/>
                      <w:bCs w:val="0"/>
                      <w:color w:val="auto"/>
                      <w:sz w:val="21"/>
                      <w:szCs w:val="21"/>
                    </w:rPr>
                    <w:t>，利用已建成</w:t>
                  </w:r>
                  <w:r>
                    <w:rPr>
                      <w:rFonts w:hint="eastAsia" w:ascii="Times New Roman" w:hAnsi="Times New Roman" w:eastAsia="宋体"/>
                      <w:b w:val="0"/>
                      <w:bCs w:val="0"/>
                      <w:color w:val="auto"/>
                      <w:sz w:val="21"/>
                      <w:szCs w:val="21"/>
                      <w:lang w:val="en-US" w:eastAsia="zh-CN"/>
                    </w:rPr>
                    <w:t>闲置</w:t>
                  </w:r>
                  <w:r>
                    <w:rPr>
                      <w:rFonts w:hint="eastAsia" w:ascii="Times New Roman" w:hAnsi="Times New Roman" w:eastAsia="宋体"/>
                      <w:b w:val="0"/>
                      <w:bCs w:val="0"/>
                      <w:color w:val="auto"/>
                      <w:sz w:val="21"/>
                      <w:szCs w:val="21"/>
                    </w:rPr>
                    <w:t>厂房，本项目</w:t>
                  </w:r>
                  <w:r>
                    <w:rPr>
                      <w:rFonts w:hint="eastAsia" w:ascii="Times New Roman" w:hAnsi="Times New Roman" w:eastAsia="宋体"/>
                      <w:b w:val="0"/>
                      <w:bCs w:val="0"/>
                      <w:color w:val="auto"/>
                      <w:sz w:val="21"/>
                      <w:szCs w:val="21"/>
                      <w:lang w:eastAsia="zh-CN"/>
                    </w:rPr>
                    <w:t>主要从事</w:t>
                  </w:r>
                  <w:r>
                    <w:rPr>
                      <w:rFonts w:hint="eastAsia"/>
                      <w:b w:val="0"/>
                      <w:bCs w:val="0"/>
                      <w:color w:val="auto"/>
                      <w:sz w:val="21"/>
                      <w:szCs w:val="21"/>
                      <w:lang w:val="en-US" w:eastAsia="zh-CN"/>
                    </w:rPr>
                    <w:t>晶体/光学元器件生产、加工</w:t>
                  </w:r>
                  <w:r>
                    <w:rPr>
                      <w:rFonts w:hint="eastAsia" w:ascii="Times New Roman" w:hAnsi="Times New Roman" w:eastAsia="宋体"/>
                      <w:b w:val="0"/>
                      <w:bCs w:val="0"/>
                      <w:color w:val="auto"/>
                      <w:sz w:val="21"/>
                      <w:szCs w:val="21"/>
                    </w:rPr>
                    <w:t>，不涉及围填海、海、工矿通信用海等功能区开发活动，不位于罗源湾、可门经济区、</w:t>
                  </w:r>
                  <w:r>
                    <w:rPr>
                      <w:rFonts w:hint="eastAsia" w:ascii="Times New Roman" w:hAnsi="Times New Roman" w:eastAsia="宋体"/>
                      <w:b w:val="0"/>
                      <w:bCs w:val="0"/>
                      <w:color w:val="auto"/>
                      <w:sz w:val="21"/>
                      <w:szCs w:val="21"/>
                      <w:highlight w:val="none"/>
                    </w:rPr>
                    <w:t>福清湾、兴化湾、江阴工业区、不靠近海湾，不涉及养殖业</w:t>
                  </w:r>
                  <w:r>
                    <w:rPr>
                      <w:rFonts w:hint="eastAsia" w:ascii="Times New Roman" w:hAnsi="Times New Roman" w:eastAsia="宋体"/>
                      <w:b w:val="0"/>
                      <w:bCs w:val="0"/>
                      <w:color w:val="auto"/>
                      <w:sz w:val="21"/>
                      <w:szCs w:val="21"/>
                      <w:highlight w:val="none"/>
                      <w:lang w:eastAsia="zh-CN"/>
                    </w:rPr>
                    <w:t>。</w:t>
                  </w:r>
                </w:p>
              </w:tc>
            </w:tr>
          </w:tbl>
          <w:p w14:paraId="334DFA35">
            <w:pPr>
              <w:pStyle w:val="46"/>
              <w:bidi w:val="0"/>
              <w:ind w:firstLine="482" w:firstLineChars="200"/>
              <w:rPr>
                <w:rFonts w:hint="default" w:ascii="Times New Roman" w:hAnsi="Times New Roman"/>
                <w:color w:val="auto"/>
                <w:vertAlign w:val="baseline"/>
                <w:lang w:val="en-US" w:eastAsia="zh-CN"/>
              </w:rPr>
            </w:pPr>
            <w:r>
              <w:rPr>
                <w:rFonts w:hint="eastAsia" w:ascii="Times New Roman" w:hAnsi="Times New Roman" w:eastAsia="宋体" w:cs="Times New Roman"/>
                <w:b/>
                <w:color w:val="auto"/>
                <w:kern w:val="0"/>
                <w:sz w:val="24"/>
                <w:szCs w:val="20"/>
                <w:lang w:val="en-US" w:eastAsia="zh-CN" w:bidi="ar-SA"/>
              </w:rPr>
              <w:t>表1.</w:t>
            </w:r>
            <w:r>
              <w:rPr>
                <w:rFonts w:hint="eastAsia" w:ascii="Times New Roman" w:hAnsi="Times New Roman" w:cs="Times New Roman"/>
                <w:b/>
                <w:color w:val="auto"/>
                <w:kern w:val="0"/>
                <w:sz w:val="24"/>
                <w:szCs w:val="20"/>
                <w:lang w:val="en-US" w:eastAsia="zh-CN" w:bidi="ar-SA"/>
              </w:rPr>
              <w:t>6</w:t>
            </w:r>
            <w:r>
              <w:rPr>
                <w:rFonts w:hint="eastAsia" w:ascii="Times New Roman" w:hAnsi="Times New Roman" w:eastAsia="宋体" w:cs="Times New Roman"/>
                <w:b/>
                <w:color w:val="auto"/>
                <w:kern w:val="0"/>
                <w:sz w:val="24"/>
                <w:szCs w:val="20"/>
                <w:lang w:val="en-US" w:eastAsia="zh-CN" w:bidi="ar-SA"/>
              </w:rPr>
              <w:t>-2  本项目与</w:t>
            </w:r>
            <w:r>
              <w:rPr>
                <w:rFonts w:hint="eastAsia" w:ascii="Times New Roman" w:hAnsi="Times New Roman" w:cs="Times New Roman"/>
                <w:b/>
                <w:color w:val="auto"/>
                <w:kern w:val="0"/>
                <w:sz w:val="24"/>
                <w:szCs w:val="20"/>
                <w:lang w:val="en-US" w:eastAsia="zh-CN" w:bidi="ar-SA"/>
              </w:rPr>
              <w:t>闽侯县重点管控单元3</w:t>
            </w:r>
            <w:r>
              <w:rPr>
                <w:rFonts w:hint="eastAsia" w:ascii="Times New Roman" w:hAnsi="Times New Roman" w:eastAsia="宋体" w:cs="Times New Roman"/>
                <w:b/>
                <w:color w:val="auto"/>
                <w:kern w:val="0"/>
                <w:sz w:val="24"/>
                <w:szCs w:val="20"/>
                <w:lang w:val="en-US" w:eastAsia="zh-CN" w:bidi="ar-SA"/>
              </w:rPr>
              <w:t>生态环境准入清单符合性分析</w:t>
            </w:r>
          </w:p>
          <w:tbl>
            <w:tblPr>
              <w:tblStyle w:val="19"/>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52"/>
              <w:gridCol w:w="693"/>
              <w:gridCol w:w="784"/>
              <w:gridCol w:w="496"/>
              <w:gridCol w:w="3543"/>
              <w:gridCol w:w="1597"/>
            </w:tblGrid>
            <w:tr w14:paraId="7D602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20" w:hRule="atLeast"/>
              </w:trPr>
              <w:tc>
                <w:tcPr>
                  <w:tcW w:w="360" w:type="pct"/>
                  <w:tcBorders>
                    <w:tl2br w:val="nil"/>
                    <w:tr2bl w:val="nil"/>
                  </w:tcBorders>
                  <w:noWrap w:val="0"/>
                  <w:vAlign w:val="center"/>
                </w:tcPr>
                <w:p w14:paraId="1B71CAB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环境管控单元编码</w:t>
                  </w:r>
                </w:p>
              </w:tc>
              <w:tc>
                <w:tcPr>
                  <w:tcW w:w="452" w:type="pct"/>
                  <w:tcBorders>
                    <w:tl2br w:val="nil"/>
                    <w:tr2bl w:val="nil"/>
                  </w:tcBorders>
                  <w:noWrap w:val="0"/>
                  <w:vAlign w:val="center"/>
                </w:tcPr>
                <w:p w14:paraId="3E59B68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环境管控单元名称</w:t>
                  </w:r>
                </w:p>
              </w:tc>
              <w:tc>
                <w:tcPr>
                  <w:tcW w:w="511" w:type="pct"/>
                  <w:tcBorders>
                    <w:tl2br w:val="nil"/>
                    <w:tr2bl w:val="nil"/>
                  </w:tcBorders>
                  <w:noWrap w:val="0"/>
                  <w:vAlign w:val="center"/>
                </w:tcPr>
                <w:p w14:paraId="4C7AF76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管控单元类别</w:t>
                  </w:r>
                </w:p>
              </w:tc>
              <w:tc>
                <w:tcPr>
                  <w:tcW w:w="2634" w:type="pct"/>
                  <w:gridSpan w:val="2"/>
                  <w:tcBorders>
                    <w:tl2br w:val="nil"/>
                    <w:tr2bl w:val="nil"/>
                  </w:tcBorders>
                  <w:noWrap w:val="0"/>
                  <w:vAlign w:val="center"/>
                </w:tcPr>
                <w:p w14:paraId="6B5830C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管控要求</w:t>
                  </w:r>
                </w:p>
              </w:tc>
              <w:tc>
                <w:tcPr>
                  <w:tcW w:w="1041" w:type="pct"/>
                  <w:tcBorders>
                    <w:tl2br w:val="nil"/>
                    <w:tr2bl w:val="nil"/>
                  </w:tcBorders>
                  <w:noWrap w:val="0"/>
                  <w:vAlign w:val="center"/>
                </w:tcPr>
                <w:p w14:paraId="498820E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符合性</w:t>
                  </w:r>
                </w:p>
              </w:tc>
            </w:tr>
            <w:tr w14:paraId="02138C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8" w:hRule="atLeast"/>
              </w:trPr>
              <w:tc>
                <w:tcPr>
                  <w:tcW w:w="360" w:type="pct"/>
                  <w:vMerge w:val="restart"/>
                  <w:tcBorders>
                    <w:tl2br w:val="nil"/>
                    <w:tr2bl w:val="nil"/>
                  </w:tcBorders>
                  <w:noWrap w:val="0"/>
                  <w:vAlign w:val="center"/>
                </w:tcPr>
                <w:p w14:paraId="3D5EB21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vertAlign w:val="baseline"/>
                      <w:lang w:val="en-US" w:eastAsia="zh-CN"/>
                    </w:rPr>
                    <w:t>ZH35012120005</w:t>
                  </w:r>
                </w:p>
              </w:tc>
              <w:tc>
                <w:tcPr>
                  <w:tcW w:w="452" w:type="pct"/>
                  <w:vMerge w:val="restart"/>
                  <w:tcBorders>
                    <w:tl2br w:val="nil"/>
                    <w:tr2bl w:val="nil"/>
                  </w:tcBorders>
                  <w:noWrap w:val="0"/>
                  <w:vAlign w:val="center"/>
                </w:tcPr>
                <w:p w14:paraId="2FAB566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闽侯县重点管控单元3</w:t>
                  </w:r>
                </w:p>
              </w:tc>
              <w:tc>
                <w:tcPr>
                  <w:tcW w:w="511" w:type="pct"/>
                  <w:vMerge w:val="restart"/>
                  <w:tcBorders>
                    <w:tl2br w:val="nil"/>
                    <w:tr2bl w:val="nil"/>
                  </w:tcBorders>
                  <w:noWrap w:val="0"/>
                  <w:vAlign w:val="center"/>
                </w:tcPr>
                <w:p w14:paraId="644F5EA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重点管控单元</w:t>
                  </w:r>
                </w:p>
              </w:tc>
              <w:tc>
                <w:tcPr>
                  <w:tcW w:w="323" w:type="pct"/>
                  <w:tcBorders>
                    <w:tl2br w:val="nil"/>
                    <w:tr2bl w:val="nil"/>
                  </w:tcBorders>
                  <w:noWrap w:val="0"/>
                  <w:vAlign w:val="center"/>
                </w:tcPr>
                <w:p w14:paraId="508A690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空间布局约束</w:t>
                  </w:r>
                </w:p>
              </w:tc>
              <w:tc>
                <w:tcPr>
                  <w:tcW w:w="2311" w:type="pct"/>
                  <w:tcBorders>
                    <w:tl2br w:val="nil"/>
                    <w:tr2bl w:val="nil"/>
                  </w:tcBorders>
                  <w:noWrap w:val="0"/>
                  <w:vAlign w:val="center"/>
                </w:tcPr>
                <w:p w14:paraId="7140394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jc w:val="center"/>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严禁在城镇人口密集区新建危险化学品生产企业；现有不符合安全和卫生防护距离要求的危险化学品生产企业2025年底前完成就地改造达标、搬迁进入规范化工园区或关闭退出。城市建成区内现有化工等污染较重的企业应有序搬迁改造或依法关闭。</w:t>
                  </w:r>
                </w:p>
                <w:p w14:paraId="7ECC7D2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jc w:val="center"/>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2.禁止在通风廊道和主导风向的上风向布局大气重污染企业。严格控制包装印刷、工业涂装、制鞋等高VOCs排放的项目建设，相关新建项目必须进入工业园区。</w:t>
                  </w:r>
                </w:p>
                <w:p w14:paraId="4FF50CD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3.禁止开发利用未经评估和无害化处理的列入建设用地污染地块名录及开发利用负面清单的土地。</w:t>
                  </w:r>
                </w:p>
              </w:tc>
              <w:tc>
                <w:tcPr>
                  <w:tcW w:w="1041" w:type="pct"/>
                  <w:tcBorders>
                    <w:tl2br w:val="nil"/>
                    <w:tr2bl w:val="nil"/>
                  </w:tcBorders>
                  <w:noWrap w:val="0"/>
                  <w:vAlign w:val="center"/>
                </w:tcPr>
                <w:p w14:paraId="24F24E3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jc w:val="center"/>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1、本项目不涉及化工；</w:t>
                  </w:r>
                </w:p>
                <w:p w14:paraId="214DA8F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jc w:val="center"/>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2、本项目不涉及包装印刷、工业涂装、制鞋等高VOCs排放的项目；</w:t>
                  </w:r>
                </w:p>
                <w:p w14:paraId="28C0682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3、本项目不属于建设用地污染地块名录及开发利用负面清单的土地。符合</w:t>
                  </w:r>
                </w:p>
              </w:tc>
            </w:tr>
            <w:tr w14:paraId="73E424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60" w:type="pct"/>
                  <w:vMerge w:val="continue"/>
                  <w:tcBorders>
                    <w:tl2br w:val="nil"/>
                    <w:tr2bl w:val="nil"/>
                  </w:tcBorders>
                  <w:noWrap w:val="0"/>
                  <w:vAlign w:val="center"/>
                </w:tcPr>
                <w:p w14:paraId="7D1A4CE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p>
              </w:tc>
              <w:tc>
                <w:tcPr>
                  <w:tcW w:w="452" w:type="pct"/>
                  <w:vMerge w:val="continue"/>
                  <w:tcBorders>
                    <w:tl2br w:val="nil"/>
                    <w:tr2bl w:val="nil"/>
                  </w:tcBorders>
                  <w:noWrap w:val="0"/>
                  <w:vAlign w:val="center"/>
                </w:tcPr>
                <w:p w14:paraId="5ADBE1A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p>
              </w:tc>
              <w:tc>
                <w:tcPr>
                  <w:tcW w:w="511" w:type="pct"/>
                  <w:vMerge w:val="continue"/>
                  <w:tcBorders>
                    <w:tl2br w:val="nil"/>
                    <w:tr2bl w:val="nil"/>
                  </w:tcBorders>
                  <w:noWrap w:val="0"/>
                  <w:vAlign w:val="center"/>
                </w:tcPr>
                <w:p w14:paraId="4115C9B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p>
              </w:tc>
              <w:tc>
                <w:tcPr>
                  <w:tcW w:w="323" w:type="pct"/>
                  <w:tcBorders>
                    <w:tl2br w:val="nil"/>
                    <w:tr2bl w:val="nil"/>
                  </w:tcBorders>
                  <w:noWrap w:val="0"/>
                  <w:vAlign w:val="center"/>
                </w:tcPr>
                <w:p w14:paraId="3715EB2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污染物排放管控</w:t>
                  </w:r>
                </w:p>
              </w:tc>
              <w:tc>
                <w:tcPr>
                  <w:tcW w:w="2311" w:type="pct"/>
                  <w:tcBorders>
                    <w:tl2br w:val="nil"/>
                    <w:tr2bl w:val="nil"/>
                  </w:tcBorders>
                  <w:noWrap w:val="0"/>
                  <w:vAlign w:val="center"/>
                </w:tcPr>
                <w:p w14:paraId="185B8828">
                  <w:pPr>
                    <w:ind w:firstLine="420" w:firstLineChars="200"/>
                    <w:jc w:val="center"/>
                    <w:rPr>
                      <w:rFonts w:hint="eastAsia" w:ascii="Times New Roman" w:hAnsi="Times New Roman" w:eastAsia="宋体"/>
                      <w:color w:val="auto"/>
                      <w:sz w:val="21"/>
                      <w:szCs w:val="21"/>
                      <w:vertAlign w:val="baseline"/>
                      <w:lang w:val="en-US" w:eastAsia="zh-CN"/>
                    </w:rPr>
                  </w:pPr>
                  <w:r>
                    <w:rPr>
                      <w:rFonts w:hint="eastAsia" w:ascii="Times New Roman" w:hAnsi="Times New Roman" w:eastAsia="宋体"/>
                      <w:color w:val="auto"/>
                      <w:sz w:val="21"/>
                      <w:szCs w:val="21"/>
                      <w:vertAlign w:val="baseline"/>
                      <w:lang w:val="en-US" w:eastAsia="zh-CN"/>
                    </w:rPr>
                    <w:t>1.禁止向农田灌溉渠道排放工业废水或者医疗污水。向农田灌溉渠道排放城镇污水以及未综合利用的畜禽养殖废水、农产品加工废水的，应当保证其下游最近的灌溉取水点的水质符合农田灌溉水质标准。</w:t>
                  </w:r>
                </w:p>
                <w:p w14:paraId="15EDD976">
                  <w:pPr>
                    <w:ind w:firstLine="420" w:firstLineChars="200"/>
                    <w:jc w:val="center"/>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vertAlign w:val="baseline"/>
                      <w:lang w:val="en-US" w:eastAsia="zh-CN"/>
                    </w:rPr>
                    <w:t>2.落实新增二氧化硫、氮氧化物和VOCs排放总量控制要求。</w:t>
                  </w:r>
                </w:p>
              </w:tc>
              <w:tc>
                <w:tcPr>
                  <w:tcW w:w="1041" w:type="pct"/>
                  <w:tcBorders>
                    <w:tl2br w:val="nil"/>
                    <w:tr2bl w:val="nil"/>
                  </w:tcBorders>
                  <w:noWrap w:val="0"/>
                  <w:vAlign w:val="center"/>
                </w:tcPr>
                <w:p w14:paraId="2DD5BAF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1、本</w:t>
                  </w:r>
                  <w:r>
                    <w:rPr>
                      <w:rFonts w:hint="eastAsia" w:ascii="Times New Roman" w:hAnsi="Times New Roman" w:eastAsia="宋体" w:cs="Times New Roman"/>
                      <w:color w:val="auto"/>
                      <w:kern w:val="0"/>
                      <w:sz w:val="21"/>
                      <w:szCs w:val="21"/>
                      <w:lang w:val="en-US" w:eastAsia="zh-CN" w:bidi="ar-SA"/>
                    </w:rPr>
                    <w:t>项目外排的生产废水和生活污水经处理达标后排入市政管网后纳入大学城污水处理厂</w:t>
                  </w:r>
                  <w:r>
                    <w:rPr>
                      <w:rFonts w:hint="eastAsia" w:ascii="Times New Roman" w:hAnsi="Times New Roman" w:eastAsia="宋体"/>
                      <w:color w:val="auto"/>
                      <w:sz w:val="21"/>
                      <w:szCs w:val="21"/>
                      <w:lang w:val="en-US" w:eastAsia="zh-CN"/>
                    </w:rPr>
                    <w:t>；2、本项目不涉及新增二氧化硫、氮氧化物排放，VOCs排放总量按照控制要求。符合</w:t>
                  </w:r>
                </w:p>
              </w:tc>
            </w:tr>
            <w:tr w14:paraId="4C675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trPr>
              <w:tc>
                <w:tcPr>
                  <w:tcW w:w="360" w:type="pct"/>
                  <w:vMerge w:val="continue"/>
                  <w:tcBorders>
                    <w:tl2br w:val="nil"/>
                    <w:tr2bl w:val="nil"/>
                  </w:tcBorders>
                  <w:noWrap w:val="0"/>
                  <w:vAlign w:val="center"/>
                </w:tcPr>
                <w:p w14:paraId="615AAF6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p>
              </w:tc>
              <w:tc>
                <w:tcPr>
                  <w:tcW w:w="452" w:type="pct"/>
                  <w:vMerge w:val="continue"/>
                  <w:tcBorders>
                    <w:tl2br w:val="nil"/>
                    <w:tr2bl w:val="nil"/>
                  </w:tcBorders>
                  <w:noWrap w:val="0"/>
                  <w:vAlign w:val="center"/>
                </w:tcPr>
                <w:p w14:paraId="68C2D4F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p>
              </w:tc>
              <w:tc>
                <w:tcPr>
                  <w:tcW w:w="511" w:type="pct"/>
                  <w:vMerge w:val="continue"/>
                  <w:tcBorders>
                    <w:tl2br w:val="nil"/>
                    <w:tr2bl w:val="nil"/>
                  </w:tcBorders>
                  <w:noWrap w:val="0"/>
                  <w:vAlign w:val="center"/>
                </w:tcPr>
                <w:p w14:paraId="04DE340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p>
              </w:tc>
              <w:tc>
                <w:tcPr>
                  <w:tcW w:w="323" w:type="pct"/>
                  <w:tcBorders>
                    <w:tl2br w:val="nil"/>
                    <w:tr2bl w:val="nil"/>
                  </w:tcBorders>
                  <w:noWrap w:val="0"/>
                  <w:vAlign w:val="center"/>
                </w:tcPr>
                <w:p w14:paraId="334A84F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环境风险防控</w:t>
                  </w:r>
                </w:p>
              </w:tc>
              <w:tc>
                <w:tcPr>
                  <w:tcW w:w="2311" w:type="pct"/>
                  <w:tcBorders>
                    <w:tl2br w:val="nil"/>
                    <w:tr2bl w:val="nil"/>
                  </w:tcBorders>
                  <w:noWrap w:val="0"/>
                  <w:vAlign w:val="center"/>
                </w:tcPr>
                <w:p w14:paraId="756DA59F">
                  <w:pPr>
                    <w:jc w:val="center"/>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vertAlign w:val="baseline"/>
                      <w:lang w:val="en-US" w:eastAsia="zh-CN"/>
                    </w:rPr>
                    <w:t>单元内现有化学原料和化学制品制造业等具有潜在土壤污染环境风险的企业退役后，应开展土壤环境状况评估，经评估认为污染地块可能损害人体健康和环境，应当进行修复的，由造成污染的单位和个人负责被污染土壤的修复。</w:t>
                  </w:r>
                </w:p>
              </w:tc>
              <w:tc>
                <w:tcPr>
                  <w:tcW w:w="1041" w:type="pct"/>
                  <w:tcBorders>
                    <w:tl2br w:val="nil"/>
                    <w:tr2bl w:val="nil"/>
                  </w:tcBorders>
                  <w:noWrap w:val="0"/>
                  <w:vAlign w:val="center"/>
                </w:tcPr>
                <w:p w14:paraId="36808FF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s="Times New Roman"/>
                      <w:color w:val="auto"/>
                      <w:kern w:val="2"/>
                      <w:sz w:val="21"/>
                      <w:szCs w:val="21"/>
                      <w:vertAlign w:val="baseline"/>
                      <w:lang w:val="en-US" w:eastAsia="zh-CN" w:bidi="ar-SA"/>
                    </w:rPr>
                    <w:t>本项目不涉及</w:t>
                  </w:r>
                </w:p>
              </w:tc>
            </w:tr>
          </w:tbl>
          <w:p w14:paraId="4295E694">
            <w:pPr>
              <w:pStyle w:val="3"/>
              <w:keepNext/>
              <w:keepLines/>
              <w:pageBreakBefore w:val="0"/>
              <w:widowControl w:val="0"/>
              <w:kinsoku/>
              <w:wordWrap/>
              <w:topLinePunct w:val="0"/>
              <w:autoSpaceDE/>
              <w:autoSpaceDN/>
              <w:bidi w:val="0"/>
              <w:adjustRightInd/>
              <w:spacing w:before="0" w:after="0"/>
              <w:ind w:left="0" w:firstLine="562" w:firstLineChars="200"/>
              <w:textAlignment w:val="auto"/>
              <w:rPr>
                <w:rFonts w:hint="eastAsia" w:ascii="Times New Roman" w:hAnsi="Times New Roman"/>
                <w:b/>
                <w:bCs w:val="0"/>
                <w:color w:val="auto"/>
                <w:lang w:val="en-US" w:eastAsia="zh-CN"/>
              </w:rPr>
            </w:pPr>
            <w:bookmarkStart w:id="22" w:name="_Toc26376"/>
            <w:bookmarkStart w:id="23" w:name="_Toc17086"/>
            <w:r>
              <w:rPr>
                <w:rFonts w:hint="eastAsia" w:ascii="Times New Roman" w:hAnsi="Times New Roman"/>
                <w:b/>
                <w:bCs w:val="0"/>
                <w:color w:val="auto"/>
                <w:lang w:val="en-US" w:eastAsia="zh-CN"/>
              </w:rPr>
              <w:t>1.7与挥发性有机物污染防治相关政策符合性分析</w:t>
            </w:r>
            <w:bookmarkEnd w:id="22"/>
            <w:bookmarkEnd w:id="23"/>
          </w:p>
          <w:p w14:paraId="45AFCB3C">
            <w:pPr>
              <w:pStyle w:val="4"/>
              <w:keepNext/>
              <w:keepLines/>
              <w:pageBreakBefore w:val="0"/>
              <w:widowControl w:val="0"/>
              <w:kinsoku/>
              <w:wordWrap/>
              <w:topLinePunct w:val="0"/>
              <w:autoSpaceDE/>
              <w:autoSpaceDN/>
              <w:bidi w:val="0"/>
              <w:adjustRightInd/>
              <w:ind w:left="0" w:firstLine="482" w:firstLineChars="200"/>
              <w:textAlignment w:val="auto"/>
              <w:rPr>
                <w:rFonts w:hint="eastAsia" w:ascii="Times New Roman" w:hAnsi="Times New Roman"/>
                <w:color w:val="auto"/>
                <w:lang w:val="en-US" w:eastAsia="zh-CN"/>
              </w:rPr>
            </w:pPr>
            <w:bookmarkStart w:id="24" w:name="_Toc12006"/>
            <w:r>
              <w:rPr>
                <w:rFonts w:hint="eastAsia" w:ascii="Times New Roman" w:hAnsi="Times New Roman"/>
                <w:color w:val="auto"/>
                <w:lang w:val="en-US" w:eastAsia="zh-CN"/>
              </w:rPr>
              <w:t>1.7.1与《重点行业挥发性有机物综合治理方案》（环大气〔2019〕53号）的符合性分析</w:t>
            </w:r>
            <w:bookmarkEnd w:id="24"/>
          </w:p>
          <w:p w14:paraId="5895E761">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表1.</w:t>
            </w:r>
            <w:r>
              <w:rPr>
                <w:rFonts w:hint="eastAsia" w:ascii="Times New Roman" w:hAnsi="Times New Roman" w:cs="Times New Roman"/>
                <w:b/>
                <w:color w:val="auto"/>
                <w:kern w:val="0"/>
                <w:sz w:val="24"/>
                <w:szCs w:val="20"/>
                <w:lang w:val="en-US" w:eastAsia="zh-CN" w:bidi="ar-SA"/>
              </w:rPr>
              <w:t>7</w:t>
            </w:r>
            <w:r>
              <w:rPr>
                <w:rFonts w:hint="eastAsia" w:ascii="Times New Roman" w:hAnsi="Times New Roman" w:eastAsia="宋体" w:cs="Times New Roman"/>
                <w:b/>
                <w:color w:val="auto"/>
                <w:kern w:val="0"/>
                <w:sz w:val="24"/>
                <w:szCs w:val="20"/>
                <w:lang w:val="en-US" w:eastAsia="zh-CN" w:bidi="ar-SA"/>
              </w:rPr>
              <w:t>-1  本项目与《重点行业挥发性有机物综合治理方案》（环大气〔2019〕53号）的符合性分析</w:t>
            </w:r>
          </w:p>
          <w:tbl>
            <w:tblPr>
              <w:tblStyle w:val="18"/>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66"/>
              <w:gridCol w:w="4184"/>
              <w:gridCol w:w="1892"/>
              <w:gridCol w:w="726"/>
            </w:tblGrid>
            <w:tr w14:paraId="2B5ECB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65" w:type="pct"/>
                  <w:tcBorders>
                    <w:tl2br w:val="nil"/>
                    <w:tr2bl w:val="nil"/>
                  </w:tcBorders>
                  <w:noWrap w:val="0"/>
                  <w:vAlign w:val="center"/>
                </w:tcPr>
                <w:p w14:paraId="2373629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源项</w:t>
                  </w:r>
                </w:p>
              </w:tc>
              <w:tc>
                <w:tcPr>
                  <w:tcW w:w="2727" w:type="pct"/>
                  <w:tcBorders>
                    <w:tl2br w:val="nil"/>
                    <w:tr2bl w:val="nil"/>
                  </w:tcBorders>
                  <w:noWrap w:val="0"/>
                  <w:vAlign w:val="center"/>
                </w:tcPr>
                <w:p w14:paraId="287FA6E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检查要点</w:t>
                  </w:r>
                </w:p>
              </w:tc>
              <w:tc>
                <w:tcPr>
                  <w:tcW w:w="1233" w:type="pct"/>
                  <w:tcBorders>
                    <w:tl2br w:val="nil"/>
                    <w:tr2bl w:val="nil"/>
                  </w:tcBorders>
                  <w:noWrap w:val="0"/>
                  <w:vAlign w:val="center"/>
                </w:tcPr>
                <w:p w14:paraId="32BE8BA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本项目情况</w:t>
                  </w:r>
                </w:p>
              </w:tc>
              <w:tc>
                <w:tcPr>
                  <w:tcW w:w="473" w:type="pct"/>
                  <w:tcBorders>
                    <w:tl2br w:val="nil"/>
                    <w:tr2bl w:val="nil"/>
                  </w:tcBorders>
                  <w:noWrap w:val="0"/>
                  <w:vAlign w:val="center"/>
                </w:tcPr>
                <w:p w14:paraId="6EF877E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符合性</w:t>
                  </w:r>
                </w:p>
              </w:tc>
            </w:tr>
            <w:tr w14:paraId="0AF0EE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66" w:hRule="atLeast"/>
              </w:trPr>
              <w:tc>
                <w:tcPr>
                  <w:tcW w:w="565" w:type="pct"/>
                  <w:tcBorders>
                    <w:tl2br w:val="nil"/>
                    <w:tr2bl w:val="nil"/>
                  </w:tcBorders>
                  <w:noWrap w:val="0"/>
                  <w:vAlign w:val="center"/>
                </w:tcPr>
                <w:p w14:paraId="7D1D451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VOCs物料储存</w:t>
                  </w:r>
                </w:p>
              </w:tc>
              <w:tc>
                <w:tcPr>
                  <w:tcW w:w="2727" w:type="pct"/>
                  <w:tcBorders>
                    <w:tl2br w:val="nil"/>
                    <w:tr2bl w:val="nil"/>
                  </w:tcBorders>
                  <w:noWrap w:val="0"/>
                  <w:vAlign w:val="center"/>
                </w:tcPr>
                <w:p w14:paraId="512039A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1、容器或包装袋在非取用状态时是否加盖、封口，保持密闭；盛装过VOCs物料的废包装容器是否加盖密闭。</w:t>
                  </w:r>
                </w:p>
                <w:p w14:paraId="429829F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2、容器或包装袋是否存放于室内，或存放于设置有雨棚、遮阳和防渗设施的专用场地。</w:t>
                  </w:r>
                </w:p>
              </w:tc>
              <w:tc>
                <w:tcPr>
                  <w:tcW w:w="1233" w:type="pct"/>
                  <w:tcBorders>
                    <w:tl2br w:val="nil"/>
                    <w:tr2bl w:val="nil"/>
                  </w:tcBorders>
                  <w:noWrap w:val="0"/>
                  <w:vAlign w:val="center"/>
                </w:tcPr>
                <w:p w14:paraId="67DECE6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1、VOCs物料放在有加盖、封口的容器内，保持密闭；2、容器放于室内</w:t>
                  </w:r>
                </w:p>
              </w:tc>
              <w:tc>
                <w:tcPr>
                  <w:tcW w:w="473" w:type="pct"/>
                  <w:tcBorders>
                    <w:tl2br w:val="nil"/>
                    <w:tr2bl w:val="nil"/>
                  </w:tcBorders>
                  <w:noWrap w:val="0"/>
                  <w:vAlign w:val="center"/>
                </w:tcPr>
                <w:p w14:paraId="666ED37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符合</w:t>
                  </w:r>
                </w:p>
              </w:tc>
            </w:tr>
            <w:tr w14:paraId="50A1C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29" w:hRule="atLeast"/>
              </w:trPr>
              <w:tc>
                <w:tcPr>
                  <w:tcW w:w="565" w:type="pct"/>
                  <w:tcBorders>
                    <w:tl2br w:val="nil"/>
                    <w:tr2bl w:val="nil"/>
                  </w:tcBorders>
                  <w:noWrap w:val="0"/>
                  <w:vAlign w:val="center"/>
                </w:tcPr>
                <w:p w14:paraId="025B664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有组织VOCs排放</w:t>
                  </w:r>
                </w:p>
              </w:tc>
              <w:tc>
                <w:tcPr>
                  <w:tcW w:w="2727" w:type="pct"/>
                  <w:tcBorders>
                    <w:tl2br w:val="nil"/>
                    <w:tr2bl w:val="nil"/>
                  </w:tcBorders>
                  <w:noWrap w:val="0"/>
                  <w:vAlign w:val="center"/>
                </w:tcPr>
                <w:p w14:paraId="649672A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1、VOCs排放浓度是否稳定达标。</w:t>
                  </w:r>
                </w:p>
                <w:p w14:paraId="750328F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2、车间或生产设施收集排放的废气，VOCs初始排放速率大于等于3千克/小时、重点区域大于等于2千克/小时的，VOCs治理效率是否符合要求；采用的原辅材料符合国家有关低VOCs含量产品规定的除外。</w:t>
                  </w:r>
                </w:p>
                <w:p w14:paraId="53E8FEC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3、是否安装自动监控设施，自动监控设施是否正常运行，是否与生态环境部门联网。</w:t>
                  </w:r>
                </w:p>
              </w:tc>
              <w:tc>
                <w:tcPr>
                  <w:tcW w:w="1233" w:type="pct"/>
                  <w:tcBorders>
                    <w:tl2br w:val="nil"/>
                    <w:tr2bl w:val="nil"/>
                  </w:tcBorders>
                  <w:noWrap w:val="0"/>
                  <w:vAlign w:val="center"/>
                </w:tcPr>
                <w:p w14:paraId="3D6111C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1、本项目VOCs排放浓度能稳定达标；2、排放速率均小于2千克/小时，治理效率符合要求；</w:t>
                  </w:r>
                </w:p>
                <w:p w14:paraId="3180A20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3、无安装自动监控设施。</w:t>
                  </w:r>
                </w:p>
              </w:tc>
              <w:tc>
                <w:tcPr>
                  <w:tcW w:w="473" w:type="pct"/>
                  <w:tcBorders>
                    <w:tl2br w:val="nil"/>
                    <w:tr2bl w:val="nil"/>
                  </w:tcBorders>
                  <w:noWrap w:val="0"/>
                  <w:vAlign w:val="center"/>
                </w:tcPr>
                <w:p w14:paraId="01511E0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符合</w:t>
                  </w:r>
                </w:p>
              </w:tc>
            </w:tr>
            <w:tr w14:paraId="53C2A2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66" w:hRule="atLeast"/>
              </w:trPr>
              <w:tc>
                <w:tcPr>
                  <w:tcW w:w="565" w:type="pct"/>
                  <w:tcBorders>
                    <w:tl2br w:val="nil"/>
                    <w:tr2bl w:val="nil"/>
                  </w:tcBorders>
                  <w:noWrap w:val="0"/>
                  <w:vAlign w:val="center"/>
                </w:tcPr>
                <w:p w14:paraId="6DCD959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废气治理设施</w:t>
                  </w:r>
                </w:p>
              </w:tc>
              <w:tc>
                <w:tcPr>
                  <w:tcW w:w="2727" w:type="pct"/>
                  <w:tcBorders>
                    <w:tl2br w:val="nil"/>
                    <w:tr2bl w:val="nil"/>
                  </w:tcBorders>
                  <w:noWrap w:val="0"/>
                  <w:vAlign w:val="center"/>
                </w:tcPr>
                <w:p w14:paraId="45395F2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4、吸附剂种类及填装情况。</w:t>
                  </w:r>
                </w:p>
                <w:p w14:paraId="771BCB1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5、一次性吸附剂更换时间和更换量。</w:t>
                  </w:r>
                </w:p>
                <w:p w14:paraId="7AAD32A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6、再生型吸附剂再生周期、更换情况。</w:t>
                  </w:r>
                </w:p>
                <w:p w14:paraId="5B05F6E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0" w:firstLineChars="20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7、废吸附剂储存、处置情况。</w:t>
                  </w:r>
                </w:p>
              </w:tc>
              <w:tc>
                <w:tcPr>
                  <w:tcW w:w="1233" w:type="pct"/>
                  <w:tcBorders>
                    <w:tl2br w:val="nil"/>
                    <w:tr2bl w:val="nil"/>
                  </w:tcBorders>
                  <w:noWrap w:val="0"/>
                  <w:vAlign w:val="center"/>
                </w:tcPr>
                <w:p w14:paraId="424679E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4~7、吸附填料为活性炭，更换时间和更换量依照环评设计执行，废活性炭存放于危险废物贮存库中，定期委托有资质的单位进行处置</w:t>
                  </w:r>
                </w:p>
              </w:tc>
              <w:tc>
                <w:tcPr>
                  <w:tcW w:w="473" w:type="pct"/>
                  <w:tcBorders>
                    <w:tl2br w:val="nil"/>
                    <w:tr2bl w:val="nil"/>
                  </w:tcBorders>
                  <w:noWrap w:val="0"/>
                  <w:vAlign w:val="center"/>
                </w:tcPr>
                <w:p w14:paraId="4EE24E9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符合</w:t>
                  </w:r>
                </w:p>
              </w:tc>
            </w:tr>
          </w:tbl>
          <w:p w14:paraId="223A49B7">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本项目通过有效的污染防治措施后，挥发性有机物能够得到合理的控制，符合挥发性有机物污染防治的相关政策的要求。</w:t>
            </w:r>
          </w:p>
          <w:p w14:paraId="47C1BE98">
            <w:pPr>
              <w:pStyle w:val="4"/>
              <w:bidi w:val="0"/>
              <w:ind w:firstLine="482" w:firstLineChars="200"/>
              <w:rPr>
                <w:rFonts w:hint="eastAsia" w:ascii="Times New Roman" w:hAnsi="Times New Roman"/>
                <w:color w:val="auto"/>
                <w:lang w:val="en-US" w:eastAsia="zh-CN"/>
              </w:rPr>
            </w:pPr>
            <w:bookmarkStart w:id="25" w:name="_Toc12058"/>
            <w:bookmarkStart w:id="26" w:name="_Toc30198"/>
            <w:r>
              <w:rPr>
                <w:rFonts w:hint="eastAsia" w:ascii="Times New Roman" w:hAnsi="Times New Roman"/>
                <w:color w:val="auto"/>
                <w:lang w:val="en-US" w:eastAsia="zh-CN"/>
              </w:rPr>
              <w:t>1.</w:t>
            </w:r>
            <w:r>
              <w:rPr>
                <w:rFonts w:hint="eastAsia"/>
                <w:color w:val="auto"/>
                <w:lang w:val="en-US" w:eastAsia="zh-CN"/>
              </w:rPr>
              <w:t>7</w:t>
            </w:r>
            <w:r>
              <w:rPr>
                <w:rFonts w:hint="eastAsia" w:ascii="Times New Roman" w:hAnsi="Times New Roman"/>
                <w:color w:val="auto"/>
                <w:lang w:val="en-US" w:eastAsia="zh-CN"/>
              </w:rPr>
              <w:t>.2</w:t>
            </w:r>
            <w:r>
              <w:rPr>
                <w:rFonts w:ascii="Times New Roman" w:hAnsi="Times New Roman"/>
                <w:color w:val="auto"/>
                <w:lang w:val="en-US" w:eastAsia="zh-CN"/>
              </w:rPr>
              <w:t>与《福建省2020年挥发性有机污染物治理攻坚实施方案》重点任务表符合性分析</w:t>
            </w:r>
            <w:bookmarkEnd w:id="25"/>
            <w:bookmarkEnd w:id="26"/>
          </w:p>
          <w:p w14:paraId="0B81C9F4">
            <w:pPr>
              <w:pStyle w:val="27"/>
              <w:bidi w:val="0"/>
              <w:ind w:firstLine="482" w:firstLineChars="200"/>
              <w:rPr>
                <w:rFonts w:hint="eastAsia" w:ascii="Times New Roman" w:hAnsi="Times New Roman"/>
                <w:color w:val="auto"/>
                <w:lang w:val="en-US" w:eastAsia="zh-CN"/>
              </w:rPr>
            </w:pPr>
            <w:r>
              <w:rPr>
                <w:rFonts w:ascii="Times New Roman" w:hAnsi="Times New Roman"/>
                <w:color w:val="auto"/>
                <w:lang w:val="en-US" w:eastAsia="zh-CN"/>
              </w:rPr>
              <w:t>表1</w:t>
            </w:r>
            <w:r>
              <w:rPr>
                <w:rFonts w:hint="eastAsia" w:ascii="Times New Roman" w:hAnsi="Times New Roman"/>
                <w:color w:val="auto"/>
                <w:lang w:val="en-US" w:eastAsia="zh-CN"/>
              </w:rPr>
              <w:t>.</w:t>
            </w:r>
            <w:r>
              <w:rPr>
                <w:rFonts w:hint="eastAsia"/>
                <w:color w:val="auto"/>
                <w:lang w:val="en-US" w:eastAsia="zh-CN"/>
              </w:rPr>
              <w:t>7</w:t>
            </w:r>
            <w:r>
              <w:rPr>
                <w:rFonts w:hint="eastAsia" w:ascii="Times New Roman" w:hAnsi="Times New Roman"/>
                <w:color w:val="auto"/>
                <w:lang w:val="en-US" w:eastAsia="zh-CN"/>
              </w:rPr>
              <w:t>-2  本项目</w:t>
            </w:r>
            <w:r>
              <w:rPr>
                <w:rFonts w:ascii="Times New Roman" w:hAnsi="Times New Roman"/>
                <w:color w:val="auto"/>
                <w:lang w:val="en-US" w:eastAsia="zh-CN"/>
              </w:rPr>
              <w:t>与《福建省2020年挥发性有机污染物治理攻坚实施方案》重点任务表符合性分析</w:t>
            </w:r>
          </w:p>
          <w:tbl>
            <w:tblPr>
              <w:tblStyle w:val="18"/>
              <w:tblW w:w="771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8"/>
              <w:gridCol w:w="3826"/>
              <w:gridCol w:w="2193"/>
              <w:gridCol w:w="711"/>
            </w:tblGrid>
            <w:tr w14:paraId="78E9E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88" w:type="dxa"/>
                  <w:tcBorders>
                    <w:tl2br w:val="nil"/>
                    <w:tr2bl w:val="nil"/>
                  </w:tcBorders>
                  <w:noWrap w:val="0"/>
                  <w:vAlign w:val="center"/>
                </w:tcPr>
                <w:p w14:paraId="0354EA67">
                  <w:pPr>
                    <w:pStyle w:val="30"/>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重点任务</w:t>
                  </w:r>
                </w:p>
              </w:tc>
              <w:tc>
                <w:tcPr>
                  <w:tcW w:w="3826" w:type="dxa"/>
                  <w:tcBorders>
                    <w:tl2br w:val="nil"/>
                    <w:tr2bl w:val="nil"/>
                  </w:tcBorders>
                  <w:noWrap w:val="0"/>
                  <w:vAlign w:val="center"/>
                </w:tcPr>
                <w:p w14:paraId="64867D2A">
                  <w:pPr>
                    <w:pStyle w:val="30"/>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内容</w:t>
                  </w:r>
                </w:p>
              </w:tc>
              <w:tc>
                <w:tcPr>
                  <w:tcW w:w="2193" w:type="dxa"/>
                  <w:tcBorders>
                    <w:tl2br w:val="nil"/>
                    <w:tr2bl w:val="nil"/>
                  </w:tcBorders>
                  <w:noWrap w:val="0"/>
                  <w:vAlign w:val="center"/>
                </w:tcPr>
                <w:p w14:paraId="2C3A85F3">
                  <w:pPr>
                    <w:pStyle w:val="30"/>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本项目</w:t>
                  </w:r>
                </w:p>
              </w:tc>
              <w:tc>
                <w:tcPr>
                  <w:tcW w:w="711" w:type="dxa"/>
                  <w:tcBorders>
                    <w:tl2br w:val="nil"/>
                    <w:tr2bl w:val="nil"/>
                  </w:tcBorders>
                  <w:noWrap w:val="0"/>
                  <w:vAlign w:val="center"/>
                </w:tcPr>
                <w:p w14:paraId="097D8666">
                  <w:pPr>
                    <w:pStyle w:val="30"/>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符合性</w:t>
                  </w:r>
                </w:p>
              </w:tc>
            </w:tr>
            <w:tr w14:paraId="2AD8DF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988" w:type="dxa"/>
                  <w:tcBorders>
                    <w:tl2br w:val="nil"/>
                    <w:tr2bl w:val="nil"/>
                  </w:tcBorders>
                  <w:noWrap w:val="0"/>
                  <w:vAlign w:val="center"/>
                </w:tcPr>
                <w:p w14:paraId="0A5CA91E">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大力推进源头替代，有效减少VOC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产生</w:t>
                  </w:r>
                </w:p>
              </w:tc>
              <w:tc>
                <w:tcPr>
                  <w:tcW w:w="3826" w:type="dxa"/>
                  <w:tcBorders>
                    <w:tl2br w:val="nil"/>
                    <w:tr2bl w:val="nil"/>
                  </w:tcBorders>
                  <w:noWrap w:val="0"/>
                  <w:vAlign w:val="center"/>
                </w:tcPr>
                <w:p w14:paraId="749130A7">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企业应建立原辅材料台账，记录VOC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原辅材料名称、成分、VOC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含量、采购量、使用量、库存量、回收方式、回收信息等信息，并保存相关证明材料。</w:t>
                  </w:r>
                </w:p>
              </w:tc>
              <w:tc>
                <w:tcPr>
                  <w:tcW w:w="2193" w:type="dxa"/>
                  <w:tcBorders>
                    <w:tl2br w:val="nil"/>
                    <w:tr2bl w:val="nil"/>
                  </w:tcBorders>
                  <w:noWrap w:val="0"/>
                  <w:vAlign w:val="center"/>
                </w:tcPr>
                <w:p w14:paraId="3D897DAC">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企业</w:t>
                  </w:r>
                  <w:r>
                    <w:rPr>
                      <w:rFonts w:hint="eastAsia" w:ascii="Times New Roman" w:hAnsi="Times New Roman" w:eastAsia="宋体"/>
                      <w:color w:val="auto"/>
                      <w:lang w:val="en-US" w:eastAsia="zh-CN"/>
                    </w:rPr>
                    <w:t>建设完成后严格落实</w:t>
                  </w:r>
                  <w:r>
                    <w:rPr>
                      <w:rFonts w:ascii="Times New Roman" w:hAnsi="Times New Roman" w:eastAsia="宋体"/>
                      <w:color w:val="auto"/>
                      <w:lang w:val="en-US" w:eastAsia="zh-CN"/>
                    </w:rPr>
                    <w:t>建立原辅材料台账，记录VOC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原辅材料名称、成分等信息，并在厂区内存档。</w:t>
                  </w:r>
                </w:p>
              </w:tc>
              <w:tc>
                <w:tcPr>
                  <w:tcW w:w="711" w:type="dxa"/>
                  <w:tcBorders>
                    <w:tl2br w:val="nil"/>
                    <w:tr2bl w:val="nil"/>
                  </w:tcBorders>
                  <w:noWrap w:val="0"/>
                  <w:vAlign w:val="center"/>
                </w:tcPr>
                <w:p w14:paraId="571605F6">
                  <w:pPr>
                    <w:pStyle w:val="30"/>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r w14:paraId="6BCD8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9" w:hRule="atLeast"/>
              </w:trPr>
              <w:tc>
                <w:tcPr>
                  <w:tcW w:w="988" w:type="dxa"/>
                  <w:tcBorders>
                    <w:tl2br w:val="nil"/>
                    <w:tr2bl w:val="nil"/>
                  </w:tcBorders>
                  <w:noWrap w:val="0"/>
                  <w:vAlign w:val="center"/>
                </w:tcPr>
                <w:p w14:paraId="031C59B3">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全面落实标准要求，强化无组织排放控制</w:t>
                  </w:r>
                </w:p>
              </w:tc>
              <w:tc>
                <w:tcPr>
                  <w:tcW w:w="3826" w:type="dxa"/>
                  <w:tcBorders>
                    <w:tl2br w:val="nil"/>
                    <w:tr2bl w:val="nil"/>
                  </w:tcBorders>
                  <w:noWrap w:val="0"/>
                  <w:vAlign w:val="center"/>
                </w:tcPr>
                <w:p w14:paraId="25B7AE7A">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加强含VOC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物料全方位、全链条、全环节密闭管理。储存环节应采用密闭容器、包装袋、高效密封储罐、封闭式储库、料仓等。装卸、转移和输送环节应采用密闭管道或密闭容器、罐车等。生产和使用环节应采用密闭设备，或在密闭车间中操作并有效收集废气，或进行局部气体收集。</w:t>
                  </w:r>
                </w:p>
              </w:tc>
              <w:tc>
                <w:tcPr>
                  <w:tcW w:w="2193" w:type="dxa"/>
                  <w:tcBorders>
                    <w:tl2br w:val="nil"/>
                    <w:tr2bl w:val="nil"/>
                  </w:tcBorders>
                  <w:noWrap w:val="0"/>
                  <w:vAlign w:val="center"/>
                </w:tcPr>
                <w:p w14:paraId="553431BC">
                  <w:pPr>
                    <w:pStyle w:val="30"/>
                    <w:bidi w:val="0"/>
                    <w:rPr>
                      <w:rFonts w:hint="default" w:ascii="Times New Roman" w:hAnsi="Times New Roman" w:eastAsia="宋体"/>
                      <w:color w:val="auto"/>
                      <w:lang w:val="en-US" w:eastAsia="zh-CN"/>
                    </w:rPr>
                  </w:pPr>
                  <w:r>
                    <w:rPr>
                      <w:rFonts w:ascii="Times New Roman" w:hAnsi="Times New Roman" w:eastAsia="宋体"/>
                      <w:color w:val="auto"/>
                      <w:lang w:val="en-US" w:eastAsia="zh-CN"/>
                    </w:rPr>
                    <w:t>项目采用的</w:t>
                  </w:r>
                  <w:r>
                    <w:rPr>
                      <w:rFonts w:hint="eastAsia" w:ascii="Times New Roman" w:hAnsi="Times New Roman" w:eastAsia="宋体"/>
                      <w:color w:val="auto"/>
                      <w:lang w:val="en-US" w:eastAsia="zh-CN"/>
                    </w:rPr>
                    <w:t>VOCs物料</w:t>
                  </w:r>
                  <w:r>
                    <w:rPr>
                      <w:rFonts w:ascii="Times New Roman" w:hAnsi="Times New Roman" w:eastAsia="宋体"/>
                      <w:color w:val="auto"/>
                      <w:lang w:val="en-US" w:eastAsia="zh-CN"/>
                    </w:rPr>
                    <w:t>储存过程采用</w:t>
                  </w:r>
                  <w:r>
                    <w:rPr>
                      <w:rFonts w:hint="eastAsia" w:ascii="Times New Roman" w:hAnsi="Times New Roman" w:eastAsia="宋体"/>
                      <w:color w:val="auto"/>
                      <w:lang w:val="en-US" w:eastAsia="zh-CN"/>
                    </w:rPr>
                    <w:t>密封包装袋容器</w:t>
                  </w:r>
                  <w:r>
                    <w:rPr>
                      <w:rFonts w:ascii="Times New Roman" w:hAnsi="Times New Roman" w:eastAsia="宋体"/>
                      <w:color w:val="auto"/>
                      <w:lang w:val="en-US" w:eastAsia="zh-CN"/>
                    </w:rPr>
                    <w:t>保存，不会有VOC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挥发；</w:t>
                  </w:r>
                  <w:r>
                    <w:rPr>
                      <w:rFonts w:hint="eastAsia" w:ascii="Times New Roman" w:hAnsi="Times New Roman" w:eastAsia="宋体"/>
                      <w:color w:val="auto"/>
                      <w:lang w:val="en-US" w:eastAsia="zh-CN"/>
                    </w:rPr>
                    <w:t>项目</w:t>
                  </w:r>
                  <w:r>
                    <w:rPr>
                      <w:rFonts w:ascii="Times New Roman" w:hAnsi="Times New Roman" w:eastAsia="宋体"/>
                      <w:color w:val="auto"/>
                      <w:lang w:val="en-US" w:eastAsia="zh-CN"/>
                    </w:rPr>
                    <w:t>产生的有机废气采用</w:t>
                  </w:r>
                  <w:r>
                    <w:rPr>
                      <w:rFonts w:hint="eastAsia" w:ascii="Times New Roman" w:hAnsi="Times New Roman" w:eastAsia="宋体"/>
                      <w:color w:val="auto"/>
                      <w:lang w:val="en-US" w:eastAsia="zh-CN"/>
                    </w:rPr>
                    <w:t>二级活性炭吸附装置处理</w:t>
                  </w:r>
                </w:p>
              </w:tc>
              <w:tc>
                <w:tcPr>
                  <w:tcW w:w="711" w:type="dxa"/>
                  <w:tcBorders>
                    <w:tl2br w:val="nil"/>
                    <w:tr2bl w:val="nil"/>
                  </w:tcBorders>
                  <w:noWrap w:val="0"/>
                  <w:vAlign w:val="center"/>
                </w:tcPr>
                <w:p w14:paraId="1BA66DDF">
                  <w:pPr>
                    <w:pStyle w:val="30"/>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r w14:paraId="3BD650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6" w:hRule="atLeast"/>
              </w:trPr>
              <w:tc>
                <w:tcPr>
                  <w:tcW w:w="988" w:type="dxa"/>
                  <w:vMerge w:val="restart"/>
                  <w:tcBorders>
                    <w:tl2br w:val="nil"/>
                    <w:tr2bl w:val="nil"/>
                  </w:tcBorders>
                  <w:noWrap w:val="0"/>
                  <w:vAlign w:val="center"/>
                </w:tcPr>
                <w:p w14:paraId="648380E5">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聚焦治污设施</w:t>
                  </w:r>
                  <w:r>
                    <w:rPr>
                      <w:rFonts w:hint="eastAsia" w:ascii="Times New Roman" w:hAnsi="Times New Roman" w:eastAsia="宋体"/>
                      <w:color w:val="auto"/>
                      <w:lang w:val="en-US" w:eastAsia="zh-CN"/>
                    </w:rPr>
                    <w:t>“三率”</w:t>
                  </w:r>
                  <w:r>
                    <w:rPr>
                      <w:rFonts w:ascii="Times New Roman" w:hAnsi="Times New Roman" w:eastAsia="宋体"/>
                      <w:color w:val="auto"/>
                      <w:lang w:val="en-US" w:eastAsia="zh-CN"/>
                    </w:rPr>
                    <w:t>，提升综合治理效率</w:t>
                  </w:r>
                </w:p>
              </w:tc>
              <w:tc>
                <w:tcPr>
                  <w:tcW w:w="3826" w:type="dxa"/>
                  <w:tcBorders>
                    <w:tl2br w:val="nil"/>
                    <w:tr2bl w:val="nil"/>
                  </w:tcBorders>
                  <w:noWrap w:val="0"/>
                  <w:vAlign w:val="center"/>
                </w:tcPr>
                <w:p w14:paraId="7FF52EC7">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推进建设适宜高效的治污设施。企业新建治污设施或对现有治污设施实施改造，应依据排放废气的浓度、组分、风量，温度、湿度、压力，以及生产工况等，合理选择治理技术。</w:t>
                  </w:r>
                </w:p>
              </w:tc>
              <w:tc>
                <w:tcPr>
                  <w:tcW w:w="2193" w:type="dxa"/>
                  <w:tcBorders>
                    <w:tl2br w:val="nil"/>
                    <w:tr2bl w:val="nil"/>
                  </w:tcBorders>
                  <w:noWrap w:val="0"/>
                  <w:vAlign w:val="center"/>
                </w:tcPr>
                <w:p w14:paraId="4D3C27A4">
                  <w:pPr>
                    <w:pStyle w:val="30"/>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擦拭</w:t>
                  </w:r>
                  <w:r>
                    <w:rPr>
                      <w:rFonts w:hint="eastAsia"/>
                      <w:color w:val="auto"/>
                      <w:lang w:val="en-US" w:eastAsia="zh-CN"/>
                    </w:rPr>
                    <w:t>检测</w:t>
                  </w:r>
                  <w:r>
                    <w:rPr>
                      <w:rFonts w:hint="eastAsia" w:ascii="Times New Roman" w:hAnsi="Times New Roman" w:eastAsia="宋体"/>
                      <w:color w:val="auto"/>
                      <w:lang w:val="en-US" w:eastAsia="zh-CN"/>
                    </w:rPr>
                    <w:t>废气、</w:t>
                  </w:r>
                  <w:r>
                    <w:rPr>
                      <w:rFonts w:hint="eastAsia"/>
                      <w:color w:val="auto"/>
                      <w:lang w:val="en-US" w:eastAsia="zh-CN"/>
                    </w:rPr>
                    <w:t>清洗</w:t>
                  </w:r>
                  <w:r>
                    <w:rPr>
                      <w:rFonts w:hint="eastAsia" w:ascii="Times New Roman" w:hAnsi="Times New Roman" w:eastAsia="宋体"/>
                      <w:color w:val="auto"/>
                      <w:lang w:val="en-US" w:eastAsia="zh-CN"/>
                    </w:rPr>
                    <w:t>废气、经密闭车间负压收集后通过二级活性炭吸附装置处理达标后由</w:t>
                  </w:r>
                  <w:r>
                    <w:rPr>
                      <w:rFonts w:hint="eastAsia"/>
                      <w:color w:val="auto"/>
                      <w:lang w:val="en-US" w:eastAsia="zh-CN"/>
                    </w:rPr>
                    <w:t>日20</w:t>
                  </w:r>
                  <w:r>
                    <w:rPr>
                      <w:rFonts w:hint="eastAsia" w:ascii="Times New Roman" w:hAnsi="Times New Roman" w:eastAsia="宋体"/>
                      <w:color w:val="auto"/>
                      <w:lang w:val="en-US" w:eastAsia="zh-CN"/>
                    </w:rPr>
                    <w:t>m高的DA001排气筒排放；</w:t>
                  </w:r>
                  <w:r>
                    <w:rPr>
                      <w:rFonts w:hint="eastAsia"/>
                      <w:color w:val="auto"/>
                      <w:lang w:val="en-US" w:eastAsia="zh-CN"/>
                    </w:rPr>
                    <w:t>切割</w:t>
                  </w:r>
                  <w:r>
                    <w:rPr>
                      <w:rFonts w:hint="eastAsia" w:ascii="Times New Roman" w:hAnsi="Times New Roman" w:eastAsia="宋体"/>
                      <w:color w:val="auto"/>
                      <w:lang w:val="en-US" w:eastAsia="zh-CN"/>
                    </w:rPr>
                    <w:t>废气通过设备密闭管道收集后通过二级活性炭吸附装置处理达标</w:t>
                  </w:r>
                  <w:r>
                    <w:rPr>
                      <w:rFonts w:hint="eastAsia"/>
                      <w:color w:val="auto"/>
                      <w:lang w:val="en-US" w:eastAsia="zh-CN"/>
                    </w:rPr>
                    <w:t>后</w:t>
                  </w:r>
                  <w:r>
                    <w:rPr>
                      <w:rFonts w:hint="eastAsia" w:ascii="Times New Roman" w:hAnsi="Times New Roman" w:eastAsia="宋体"/>
                      <w:color w:val="auto"/>
                      <w:lang w:val="en-US" w:eastAsia="zh-CN"/>
                    </w:rPr>
                    <w:t>通过</w:t>
                  </w:r>
                  <w:r>
                    <w:rPr>
                      <w:rFonts w:hint="eastAsia"/>
                      <w:color w:val="auto"/>
                      <w:lang w:val="en-US" w:eastAsia="zh-CN"/>
                    </w:rPr>
                    <w:t>20</w:t>
                  </w:r>
                  <w:r>
                    <w:rPr>
                      <w:rFonts w:hint="eastAsia" w:ascii="Times New Roman" w:hAnsi="Times New Roman" w:eastAsia="宋体"/>
                      <w:color w:val="auto"/>
                      <w:lang w:val="en-US" w:eastAsia="zh-CN"/>
                    </w:rPr>
                    <w:t>m高的DA00</w:t>
                  </w:r>
                  <w:r>
                    <w:rPr>
                      <w:rFonts w:hint="eastAsia"/>
                      <w:color w:val="auto"/>
                      <w:lang w:val="en-US" w:eastAsia="zh-CN"/>
                    </w:rPr>
                    <w:t>2</w:t>
                  </w:r>
                  <w:r>
                    <w:rPr>
                      <w:rFonts w:hint="eastAsia" w:ascii="Times New Roman" w:hAnsi="Times New Roman" w:eastAsia="宋体"/>
                      <w:color w:val="auto"/>
                      <w:lang w:val="en-US" w:eastAsia="zh-CN"/>
                    </w:rPr>
                    <w:t>排气筒排放</w:t>
                  </w:r>
                </w:p>
              </w:tc>
              <w:tc>
                <w:tcPr>
                  <w:tcW w:w="711" w:type="dxa"/>
                  <w:tcBorders>
                    <w:tl2br w:val="nil"/>
                    <w:tr2bl w:val="nil"/>
                  </w:tcBorders>
                  <w:noWrap w:val="0"/>
                  <w:vAlign w:val="center"/>
                </w:tcPr>
                <w:p w14:paraId="49A3C9F0">
                  <w:pPr>
                    <w:pStyle w:val="30"/>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r w14:paraId="64EBF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988" w:type="dxa"/>
                  <w:vMerge w:val="continue"/>
                  <w:tcBorders>
                    <w:tl2br w:val="nil"/>
                    <w:tr2bl w:val="nil"/>
                  </w:tcBorders>
                  <w:noWrap w:val="0"/>
                  <w:vAlign w:val="center"/>
                </w:tcPr>
                <w:p w14:paraId="198BCB9C">
                  <w:pPr>
                    <w:pStyle w:val="30"/>
                    <w:bidi w:val="0"/>
                    <w:rPr>
                      <w:rFonts w:hint="eastAsia" w:ascii="Times New Roman" w:hAnsi="Times New Roman" w:eastAsia="宋体"/>
                      <w:color w:val="FF0000"/>
                      <w:lang w:val="en-US" w:eastAsia="zh-CN"/>
                    </w:rPr>
                  </w:pPr>
                </w:p>
              </w:tc>
              <w:tc>
                <w:tcPr>
                  <w:tcW w:w="3826" w:type="dxa"/>
                  <w:tcBorders>
                    <w:tl2br w:val="nil"/>
                    <w:tr2bl w:val="nil"/>
                  </w:tcBorders>
                  <w:noWrap w:val="0"/>
                  <w:vAlign w:val="center"/>
                </w:tcPr>
                <w:p w14:paraId="2E39E950">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按照与生产设备</w:t>
                  </w:r>
                  <w:r>
                    <w:rPr>
                      <w:rFonts w:hint="eastAsia" w:ascii="Times New Roman" w:hAnsi="Times New Roman" w:eastAsia="宋体"/>
                      <w:color w:val="auto"/>
                      <w:lang w:val="en-US" w:eastAsia="zh-CN"/>
                    </w:rPr>
                    <w:t>“</w:t>
                  </w:r>
                  <w:r>
                    <w:rPr>
                      <w:rFonts w:ascii="Times New Roman" w:hAnsi="Times New Roman" w:eastAsia="宋体"/>
                      <w:color w:val="auto"/>
                      <w:lang w:val="en-US" w:eastAsia="zh-CN"/>
                    </w:rPr>
                    <w:t>同启同停</w:t>
                  </w:r>
                  <w:r>
                    <w:rPr>
                      <w:rFonts w:hint="eastAsia" w:ascii="Times New Roman" w:hAnsi="Times New Roman" w:eastAsia="宋体"/>
                      <w:color w:val="auto"/>
                      <w:lang w:val="en-US" w:eastAsia="zh-CN"/>
                    </w:rPr>
                    <w:t>”</w:t>
                  </w:r>
                  <w:r>
                    <w:rPr>
                      <w:rFonts w:ascii="Times New Roman" w:hAnsi="Times New Roman" w:eastAsia="宋体"/>
                      <w:color w:val="auto"/>
                      <w:lang w:val="en-US" w:eastAsia="zh-CN"/>
                    </w:rPr>
                    <w:t>的原则提升治理设施运行效率。根据处理工艺要求，在处理设施达到正常运行条件后方可启动生产设备，在生产设备停止、残留VOC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废气收集处理完毕后，方可停运处理设施。VOC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废气处理系统发生故障或检修时，对应生产工艺设备应停止运行，待检修完毕后投入使用。</w:t>
                  </w:r>
                </w:p>
              </w:tc>
              <w:tc>
                <w:tcPr>
                  <w:tcW w:w="2193" w:type="dxa"/>
                  <w:tcBorders>
                    <w:tl2br w:val="nil"/>
                    <w:tr2bl w:val="nil"/>
                  </w:tcBorders>
                  <w:noWrap w:val="0"/>
                  <w:vAlign w:val="center"/>
                </w:tcPr>
                <w:p w14:paraId="1CDA65A2">
                  <w:pPr>
                    <w:pStyle w:val="30"/>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项目废气收集治理设施与生产设备同启同停，定期检修设备，设施故障时待检修完毕再共同投入使用。</w:t>
                  </w:r>
                </w:p>
              </w:tc>
              <w:tc>
                <w:tcPr>
                  <w:tcW w:w="711" w:type="dxa"/>
                  <w:tcBorders>
                    <w:tl2br w:val="nil"/>
                    <w:tr2bl w:val="nil"/>
                  </w:tcBorders>
                  <w:noWrap w:val="0"/>
                  <w:vAlign w:val="center"/>
                </w:tcPr>
                <w:p w14:paraId="70A55C19">
                  <w:pPr>
                    <w:pStyle w:val="30"/>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bl>
          <w:p w14:paraId="69BDB967">
            <w:pPr>
              <w:pStyle w:val="4"/>
              <w:bidi w:val="0"/>
              <w:ind w:firstLine="482" w:firstLineChars="200"/>
              <w:rPr>
                <w:rFonts w:hint="eastAsia" w:ascii="Times New Roman" w:hAnsi="Times New Roman"/>
                <w:color w:val="auto"/>
                <w:lang w:val="en-US" w:eastAsia="zh-CN"/>
              </w:rPr>
            </w:pPr>
            <w:bookmarkStart w:id="27" w:name="_Toc16935"/>
            <w:bookmarkStart w:id="28" w:name="_Toc14361"/>
            <w:r>
              <w:rPr>
                <w:rFonts w:hint="eastAsia" w:ascii="Times New Roman" w:hAnsi="Times New Roman"/>
                <w:color w:val="auto"/>
                <w:lang w:val="en-US" w:eastAsia="zh-CN"/>
              </w:rPr>
              <w:t>1.</w:t>
            </w:r>
            <w:r>
              <w:rPr>
                <w:rFonts w:hint="eastAsia"/>
                <w:color w:val="auto"/>
                <w:lang w:val="en-US" w:eastAsia="zh-CN"/>
              </w:rPr>
              <w:t>7</w:t>
            </w:r>
            <w:r>
              <w:rPr>
                <w:rFonts w:hint="eastAsia" w:ascii="Times New Roman" w:hAnsi="Times New Roman"/>
                <w:color w:val="auto"/>
                <w:lang w:val="en-US" w:eastAsia="zh-CN"/>
              </w:rPr>
              <w:t>.3与《“十四五”节能减排综合工作方案》符合性分析</w:t>
            </w:r>
            <w:bookmarkEnd w:id="27"/>
            <w:bookmarkEnd w:id="28"/>
          </w:p>
          <w:p w14:paraId="55C1A0BD">
            <w:pPr>
              <w:pStyle w:val="27"/>
              <w:bidi w:val="0"/>
              <w:ind w:firstLine="482" w:firstLineChars="200"/>
              <w:rPr>
                <w:rFonts w:hint="eastAsia" w:ascii="Times New Roman" w:hAnsi="Times New Roman"/>
                <w:color w:val="auto"/>
                <w:lang w:val="en-US" w:eastAsia="zh-CN"/>
              </w:rPr>
            </w:pPr>
            <w:r>
              <w:rPr>
                <w:rFonts w:hint="eastAsia" w:ascii="Times New Roman" w:hAnsi="Times New Roman"/>
                <w:color w:val="auto"/>
                <w:lang w:val="en-US" w:eastAsia="zh-CN"/>
              </w:rPr>
              <w:t>表1.</w:t>
            </w:r>
            <w:r>
              <w:rPr>
                <w:rFonts w:hint="eastAsia"/>
                <w:color w:val="auto"/>
                <w:lang w:val="en-US" w:eastAsia="zh-CN"/>
              </w:rPr>
              <w:t>7</w:t>
            </w:r>
            <w:r>
              <w:rPr>
                <w:rFonts w:hint="eastAsia" w:ascii="Times New Roman" w:hAnsi="Times New Roman"/>
                <w:color w:val="auto"/>
                <w:lang w:val="en-US" w:eastAsia="zh-CN"/>
              </w:rPr>
              <w:t>-3  与《“十四五”节能减排综合工作方案》符合性分析</w:t>
            </w:r>
          </w:p>
          <w:tbl>
            <w:tblPr>
              <w:tblStyle w:val="18"/>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8"/>
              <w:gridCol w:w="4412"/>
              <w:gridCol w:w="1837"/>
              <w:gridCol w:w="741"/>
            </w:tblGrid>
            <w:tr w14:paraId="17EB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597" w:type="pct"/>
                  <w:tcBorders>
                    <w:top w:val="single" w:color="auto" w:sz="12" w:space="0"/>
                  </w:tcBorders>
                  <w:noWrap w:val="0"/>
                  <w:vAlign w:val="center"/>
                </w:tcPr>
                <w:p w14:paraId="47C81952">
                  <w:pPr>
                    <w:pStyle w:val="30"/>
                    <w:bidi w:val="0"/>
                    <w:rPr>
                      <w:rFonts w:ascii="Times New Roman" w:hAnsi="Times New Roman"/>
                      <w:b/>
                      <w:bCs/>
                      <w:color w:val="auto"/>
                      <w:lang w:val="en-US" w:eastAsia="zh-CN"/>
                    </w:rPr>
                  </w:pPr>
                  <w:r>
                    <w:rPr>
                      <w:rFonts w:ascii="Times New Roman" w:hAnsi="Times New Roman"/>
                      <w:b/>
                      <w:bCs/>
                      <w:color w:val="auto"/>
                      <w:lang w:val="en-US" w:eastAsia="zh-CN"/>
                    </w:rPr>
                    <w:t>相关文件名称</w:t>
                  </w:r>
                </w:p>
              </w:tc>
              <w:tc>
                <w:tcPr>
                  <w:tcW w:w="2779" w:type="pct"/>
                  <w:tcBorders>
                    <w:top w:val="single" w:color="auto" w:sz="12" w:space="0"/>
                  </w:tcBorders>
                  <w:noWrap w:val="0"/>
                  <w:vAlign w:val="center"/>
                </w:tcPr>
                <w:p w14:paraId="61EE6CE1">
                  <w:pPr>
                    <w:pStyle w:val="30"/>
                    <w:bidi w:val="0"/>
                    <w:rPr>
                      <w:rFonts w:ascii="Times New Roman" w:hAnsi="Times New Roman"/>
                      <w:b/>
                      <w:bCs/>
                      <w:color w:val="auto"/>
                      <w:lang w:val="en-US" w:eastAsia="zh-CN"/>
                    </w:rPr>
                  </w:pPr>
                  <w:r>
                    <w:rPr>
                      <w:rFonts w:ascii="Times New Roman" w:hAnsi="Times New Roman"/>
                      <w:b/>
                      <w:bCs/>
                      <w:color w:val="auto"/>
                      <w:lang w:val="en-US" w:eastAsia="zh-CN"/>
                    </w:rPr>
                    <w:t>相关内容</w:t>
                  </w:r>
                </w:p>
              </w:tc>
              <w:tc>
                <w:tcPr>
                  <w:tcW w:w="1157" w:type="pct"/>
                  <w:tcBorders>
                    <w:top w:val="single" w:color="auto" w:sz="12" w:space="0"/>
                  </w:tcBorders>
                  <w:noWrap w:val="0"/>
                  <w:vAlign w:val="center"/>
                </w:tcPr>
                <w:p w14:paraId="6FAF39BF">
                  <w:pPr>
                    <w:pStyle w:val="30"/>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本项目内容</w:t>
                  </w:r>
                </w:p>
              </w:tc>
              <w:tc>
                <w:tcPr>
                  <w:tcW w:w="466" w:type="pct"/>
                  <w:tcBorders>
                    <w:top w:val="single" w:color="auto" w:sz="12" w:space="0"/>
                    <w:right w:val="nil"/>
                  </w:tcBorders>
                  <w:noWrap w:val="0"/>
                  <w:vAlign w:val="center"/>
                </w:tcPr>
                <w:p w14:paraId="1A8A8693">
                  <w:pPr>
                    <w:pStyle w:val="30"/>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符合性</w:t>
                  </w:r>
                </w:p>
              </w:tc>
            </w:tr>
            <w:tr w14:paraId="26E7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1" w:hRule="atLeast"/>
                <w:jc w:val="center"/>
              </w:trPr>
              <w:tc>
                <w:tcPr>
                  <w:tcW w:w="597" w:type="pct"/>
                  <w:tcBorders>
                    <w:left w:val="nil"/>
                  </w:tcBorders>
                  <w:noWrap w:val="0"/>
                  <w:vAlign w:val="center"/>
                </w:tcPr>
                <w:p w14:paraId="241B6AFE">
                  <w:pPr>
                    <w:pStyle w:val="30"/>
                    <w:bidi w:val="0"/>
                    <w:rPr>
                      <w:rFonts w:ascii="Times New Roman" w:hAnsi="Times New Roman"/>
                      <w:color w:val="auto"/>
                      <w:lang w:val="en-US" w:eastAsia="zh-CN"/>
                    </w:rPr>
                  </w:pPr>
                  <w:r>
                    <w:rPr>
                      <w:rFonts w:hint="eastAsia" w:ascii="Times New Roman" w:hAnsi="Times New Roman"/>
                      <w:color w:val="auto"/>
                      <w:lang w:val="en-US" w:eastAsia="zh-CN"/>
                    </w:rPr>
                    <w:t>“</w:t>
                  </w:r>
                  <w:r>
                    <w:rPr>
                      <w:rFonts w:hint="default" w:ascii="Times New Roman" w:hAnsi="Times New Roman"/>
                      <w:color w:val="auto"/>
                      <w:lang w:val="en-US" w:eastAsia="zh-CN"/>
                    </w:rPr>
                    <w:t>十</w:t>
                  </w:r>
                  <w:r>
                    <w:rPr>
                      <w:rFonts w:hint="eastAsia" w:ascii="Times New Roman" w:hAnsi="Times New Roman"/>
                      <w:color w:val="auto"/>
                      <w:lang w:val="en-US" w:eastAsia="zh-CN"/>
                    </w:rPr>
                    <w:t>四</w:t>
                  </w:r>
                  <w:r>
                    <w:rPr>
                      <w:rFonts w:hint="default" w:ascii="Times New Roman" w:hAnsi="Times New Roman"/>
                      <w:color w:val="auto"/>
                      <w:lang w:val="en-US" w:eastAsia="zh-CN"/>
                    </w:rPr>
                    <w:t>五</w:t>
                  </w:r>
                  <w:r>
                    <w:rPr>
                      <w:rFonts w:hint="eastAsia" w:ascii="Times New Roman" w:hAnsi="Times New Roman"/>
                      <w:color w:val="auto"/>
                      <w:lang w:val="en-US" w:eastAsia="zh-CN"/>
                    </w:rPr>
                    <w:t>”节能减排</w:t>
                  </w:r>
                  <w:r>
                    <w:rPr>
                      <w:rFonts w:hint="default" w:ascii="Times New Roman" w:hAnsi="Times New Roman"/>
                      <w:color w:val="auto"/>
                      <w:lang w:val="en-US" w:eastAsia="zh-CN"/>
                    </w:rPr>
                    <w:t>工作方案</w:t>
                  </w:r>
                </w:p>
              </w:tc>
              <w:tc>
                <w:tcPr>
                  <w:tcW w:w="2779" w:type="pct"/>
                  <w:noWrap w:val="0"/>
                  <w:vAlign w:val="center"/>
                </w:tcPr>
                <w:p w14:paraId="25534785">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挥发性有机物综合整治工程。推进原辅材料和产品源头替代工程，实施全过程污染物治理。以工业涂装、包装印刷等行业为重点，推动使用低挥发性有机物含量的涂料、油墨、</w:t>
                  </w:r>
                  <w:r>
                    <w:rPr>
                      <w:rFonts w:hint="eastAsia"/>
                      <w:color w:val="auto"/>
                      <w:lang w:val="en-US" w:eastAsia="zh-CN"/>
                    </w:rPr>
                    <w:t>胶黏剂</w:t>
                  </w:r>
                  <w:r>
                    <w:rPr>
                      <w:rFonts w:hint="eastAsia" w:ascii="Times New Roman" w:hAnsi="Times New Roman"/>
                      <w:color w:val="auto"/>
                      <w:lang w:val="en-US" w:eastAsia="zh-CN"/>
                    </w:rPr>
                    <w:t>、清洗剂。深化石化化工等行业挥发性有机物污染治理，全面提升废气收集率、治理设施同步运行率和去除率。对易挥发有机液体储罐实施改造，对浮顶罐推广采用全接液浮盘和高效双重密封技术，对废水系统高浓度废气实施单独收集处理。加强油船和原油、成品油码头油气回收治理。到2025年，溶剂型工业涂料、油墨使用比例分别降低20个百分点、10个百分点，溶剂型</w:t>
                  </w:r>
                  <w:r>
                    <w:rPr>
                      <w:rFonts w:hint="eastAsia"/>
                      <w:color w:val="auto"/>
                      <w:lang w:val="en-US" w:eastAsia="zh-CN"/>
                    </w:rPr>
                    <w:t>胶黏剂</w:t>
                  </w:r>
                  <w:r>
                    <w:rPr>
                      <w:rFonts w:hint="eastAsia" w:ascii="Times New Roman" w:hAnsi="Times New Roman"/>
                      <w:color w:val="auto"/>
                      <w:lang w:val="en-US" w:eastAsia="zh-CN"/>
                    </w:rPr>
                    <w:t>使用量降低20%。</w:t>
                  </w:r>
                </w:p>
              </w:tc>
              <w:tc>
                <w:tcPr>
                  <w:tcW w:w="1157" w:type="pct"/>
                  <w:noWrap w:val="0"/>
                  <w:vAlign w:val="center"/>
                </w:tcPr>
                <w:p w14:paraId="091AFFFB">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本项目所涉及行业不为工业涂装、包装印刷、石化化工等行业。项目使用低挥发性有机物含量的清洗剂。项目采用高效的废气收集措施和废气处理措施</w:t>
                  </w:r>
                </w:p>
              </w:tc>
              <w:tc>
                <w:tcPr>
                  <w:tcW w:w="466" w:type="pct"/>
                  <w:tcBorders>
                    <w:right w:val="nil"/>
                  </w:tcBorders>
                  <w:noWrap w:val="0"/>
                  <w:vAlign w:val="center"/>
                </w:tcPr>
                <w:p w14:paraId="51BED1BE">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r w14:paraId="7CD1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jc w:val="center"/>
              </w:trPr>
              <w:tc>
                <w:tcPr>
                  <w:tcW w:w="5000" w:type="pct"/>
                  <w:gridSpan w:val="4"/>
                  <w:tcBorders>
                    <w:left w:val="nil"/>
                    <w:bottom w:val="single" w:color="auto" w:sz="12" w:space="0"/>
                    <w:right w:val="nil"/>
                  </w:tcBorders>
                  <w:noWrap w:val="0"/>
                  <w:vAlign w:val="center"/>
                </w:tcPr>
                <w:p w14:paraId="431E10C6">
                  <w:pPr>
                    <w:pStyle w:val="30"/>
                    <w:bidi w:val="0"/>
                    <w:jc w:val="both"/>
                    <w:rPr>
                      <w:rFonts w:hint="eastAsia" w:ascii="Times New Roman" w:hAnsi="Times New Roman"/>
                      <w:color w:val="auto"/>
                      <w:lang w:val="en-US" w:eastAsia="zh-CN"/>
                    </w:rPr>
                  </w:pPr>
                  <w:r>
                    <w:rPr>
                      <w:rStyle w:val="21"/>
                      <w:rFonts w:hint="eastAsia" w:ascii="Times New Roman" w:hAnsi="Times New Roman" w:cs="宋体"/>
                      <w:b w:val="0"/>
                      <w:bCs/>
                      <w:color w:val="auto"/>
                      <w:sz w:val="18"/>
                      <w:szCs w:val="18"/>
                      <w:lang w:val="en-US" w:eastAsia="zh-CN"/>
                    </w:rPr>
                    <w:t>注：</w:t>
                  </w:r>
                  <w:r>
                    <w:rPr>
                      <w:rStyle w:val="21"/>
                      <w:rFonts w:ascii="Times New Roman" w:hAnsi="Times New Roman" w:eastAsia="宋体" w:cs="宋体"/>
                      <w:b w:val="0"/>
                      <w:bCs/>
                      <w:color w:val="auto"/>
                      <w:sz w:val="18"/>
                      <w:szCs w:val="18"/>
                    </w:rPr>
                    <w:t>低VOC</w:t>
                  </w:r>
                  <w:r>
                    <w:rPr>
                      <w:rStyle w:val="21"/>
                      <w:rFonts w:hint="eastAsia" w:ascii="Times New Roman" w:hAnsi="Times New Roman" w:cs="宋体"/>
                      <w:b w:val="0"/>
                      <w:bCs/>
                      <w:color w:val="auto"/>
                      <w:sz w:val="18"/>
                      <w:szCs w:val="18"/>
                      <w:lang w:val="en-US" w:eastAsia="zh-CN"/>
                    </w:rPr>
                    <w:t>s</w:t>
                  </w:r>
                  <w:r>
                    <w:rPr>
                      <w:rStyle w:val="21"/>
                      <w:rFonts w:ascii="Times New Roman" w:hAnsi="Times New Roman" w:eastAsia="宋体" w:cs="宋体"/>
                      <w:b w:val="0"/>
                      <w:bCs/>
                      <w:color w:val="auto"/>
                      <w:sz w:val="18"/>
                      <w:szCs w:val="18"/>
                    </w:rPr>
                    <w:t>原辅材料替代、有机废气全过程收集治理</w:t>
                  </w:r>
                  <w:r>
                    <w:rPr>
                      <w:rFonts w:ascii="Times New Roman" w:hAnsi="Times New Roman" w:eastAsia="宋体" w:cs="宋体"/>
                      <w:b w:val="0"/>
                      <w:bCs/>
                      <w:color w:val="auto"/>
                      <w:sz w:val="18"/>
                      <w:szCs w:val="18"/>
                    </w:rPr>
                    <w:t>为长期固定环保管控要求，项目建设内容与方案总体治理思路、管控原则保持一致；后续将同步衔接“十五五”节能减排相关政策要求</w:t>
                  </w:r>
                </w:p>
              </w:tc>
            </w:tr>
          </w:tbl>
          <w:p w14:paraId="62ECDC91">
            <w:pPr>
              <w:pStyle w:val="4"/>
              <w:bidi w:val="0"/>
              <w:ind w:firstLine="482" w:firstLineChars="200"/>
              <w:rPr>
                <w:rFonts w:hint="eastAsia" w:ascii="Times New Roman" w:hAnsi="Times New Roman"/>
                <w:color w:val="auto"/>
                <w:lang w:val="en-US" w:eastAsia="zh-CN"/>
              </w:rPr>
            </w:pPr>
            <w:bookmarkStart w:id="29" w:name="_Toc26868"/>
            <w:bookmarkStart w:id="30" w:name="_Toc19584"/>
            <w:r>
              <w:rPr>
                <w:rFonts w:hint="eastAsia" w:ascii="Times New Roman" w:hAnsi="Times New Roman"/>
                <w:color w:val="auto"/>
                <w:lang w:val="en-US" w:eastAsia="zh-CN"/>
              </w:rPr>
              <w:t>1.</w:t>
            </w:r>
            <w:r>
              <w:rPr>
                <w:rFonts w:hint="eastAsia"/>
                <w:color w:val="auto"/>
                <w:lang w:val="en-US" w:eastAsia="zh-CN"/>
              </w:rPr>
              <w:t>7</w:t>
            </w:r>
            <w:r>
              <w:rPr>
                <w:rFonts w:hint="eastAsia" w:ascii="Times New Roman" w:hAnsi="Times New Roman"/>
                <w:color w:val="auto"/>
                <w:lang w:val="en-US" w:eastAsia="zh-CN"/>
              </w:rPr>
              <w:t>.4与《福建省重点行业挥发性有机物污染防治工作方案》（闽环保大气〔2017〕6号）符合性分析</w:t>
            </w:r>
            <w:bookmarkEnd w:id="29"/>
            <w:bookmarkEnd w:id="30"/>
          </w:p>
          <w:p w14:paraId="449637C5">
            <w:pPr>
              <w:pStyle w:val="27"/>
              <w:bidi w:val="0"/>
              <w:ind w:firstLine="482" w:firstLineChars="200"/>
              <w:rPr>
                <w:rFonts w:hint="eastAsia" w:ascii="Times New Roman" w:hAnsi="Times New Roman"/>
                <w:color w:val="auto"/>
                <w:lang w:val="en-US" w:eastAsia="zh-CN"/>
              </w:rPr>
            </w:pPr>
            <w:r>
              <w:rPr>
                <w:rFonts w:hint="eastAsia" w:ascii="Times New Roman" w:hAnsi="Times New Roman"/>
                <w:color w:val="auto"/>
                <w:lang w:val="en-US" w:eastAsia="zh-CN"/>
              </w:rPr>
              <w:t>表1.</w:t>
            </w:r>
            <w:r>
              <w:rPr>
                <w:rFonts w:hint="eastAsia"/>
                <w:color w:val="auto"/>
                <w:lang w:val="en-US" w:eastAsia="zh-CN"/>
              </w:rPr>
              <w:t>7</w:t>
            </w:r>
            <w:r>
              <w:rPr>
                <w:rFonts w:hint="eastAsia" w:ascii="Times New Roman" w:hAnsi="Times New Roman"/>
                <w:color w:val="auto"/>
                <w:lang w:val="en-US" w:eastAsia="zh-CN"/>
              </w:rPr>
              <w:t>-4  与《福建省重点行业挥发性有机物污染防治工作方案》（闽环保大气〔2017〕6号）符合性分析</w:t>
            </w:r>
          </w:p>
          <w:tbl>
            <w:tblPr>
              <w:tblStyle w:val="18"/>
              <w:tblW w:w="79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89"/>
              <w:gridCol w:w="4283"/>
              <w:gridCol w:w="2012"/>
              <w:gridCol w:w="654"/>
            </w:tblGrid>
            <w:tr w14:paraId="57534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23" w:type="pct"/>
                  <w:tcBorders>
                    <w:tl2br w:val="nil"/>
                    <w:tr2bl w:val="nil"/>
                  </w:tcBorders>
                  <w:noWrap w:val="0"/>
                  <w:vAlign w:val="center"/>
                </w:tcPr>
                <w:p w14:paraId="4F42CFD4">
                  <w:pPr>
                    <w:pStyle w:val="30"/>
                    <w:bidi w:val="0"/>
                    <w:rPr>
                      <w:rFonts w:ascii="Times New Roman" w:hAnsi="Times New Roman" w:eastAsia="宋体"/>
                      <w:b/>
                      <w:bCs/>
                      <w:color w:val="auto"/>
                      <w:lang w:val="en-US" w:eastAsia="zh-CN"/>
                    </w:rPr>
                  </w:pPr>
                  <w:r>
                    <w:rPr>
                      <w:rFonts w:ascii="Times New Roman" w:hAnsi="Times New Roman" w:eastAsia="宋体"/>
                      <w:b/>
                      <w:bCs/>
                      <w:color w:val="auto"/>
                      <w:lang w:val="en-US" w:eastAsia="zh-CN"/>
                    </w:rPr>
                    <w:t>相关文件名称</w:t>
                  </w:r>
                </w:p>
              </w:tc>
              <w:tc>
                <w:tcPr>
                  <w:tcW w:w="2697" w:type="pct"/>
                  <w:tcBorders>
                    <w:tl2br w:val="nil"/>
                    <w:tr2bl w:val="nil"/>
                  </w:tcBorders>
                  <w:noWrap w:val="0"/>
                  <w:vAlign w:val="center"/>
                </w:tcPr>
                <w:p w14:paraId="45B7F257">
                  <w:pPr>
                    <w:pStyle w:val="30"/>
                    <w:bidi w:val="0"/>
                    <w:rPr>
                      <w:rFonts w:ascii="Times New Roman" w:hAnsi="Times New Roman" w:eastAsia="宋体"/>
                      <w:b/>
                      <w:bCs/>
                      <w:color w:val="auto"/>
                      <w:lang w:val="en-US" w:eastAsia="zh-CN"/>
                    </w:rPr>
                  </w:pPr>
                  <w:r>
                    <w:rPr>
                      <w:rFonts w:ascii="Times New Roman" w:hAnsi="Times New Roman" w:eastAsia="宋体"/>
                      <w:b/>
                      <w:bCs/>
                      <w:color w:val="auto"/>
                      <w:lang w:val="en-US" w:eastAsia="zh-CN"/>
                    </w:rPr>
                    <w:t>相关内容</w:t>
                  </w:r>
                </w:p>
              </w:tc>
              <w:tc>
                <w:tcPr>
                  <w:tcW w:w="1267" w:type="pct"/>
                  <w:tcBorders>
                    <w:tl2br w:val="nil"/>
                    <w:tr2bl w:val="nil"/>
                  </w:tcBorders>
                  <w:noWrap w:val="0"/>
                  <w:vAlign w:val="center"/>
                </w:tcPr>
                <w:p w14:paraId="3CC8A9DC">
                  <w:pPr>
                    <w:pStyle w:val="30"/>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本项目内容</w:t>
                  </w:r>
                </w:p>
              </w:tc>
              <w:tc>
                <w:tcPr>
                  <w:tcW w:w="411" w:type="pct"/>
                  <w:tcBorders>
                    <w:tl2br w:val="nil"/>
                    <w:tr2bl w:val="nil"/>
                  </w:tcBorders>
                  <w:noWrap w:val="0"/>
                  <w:vAlign w:val="center"/>
                </w:tcPr>
                <w:p w14:paraId="065CA36F">
                  <w:pPr>
                    <w:pStyle w:val="30"/>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符合性</w:t>
                  </w:r>
                </w:p>
              </w:tc>
            </w:tr>
            <w:tr w14:paraId="10F988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23" w:type="pct"/>
                  <w:tcBorders>
                    <w:tl2br w:val="nil"/>
                    <w:tr2bl w:val="nil"/>
                  </w:tcBorders>
                  <w:noWrap w:val="0"/>
                  <w:vAlign w:val="center"/>
                </w:tcPr>
                <w:p w14:paraId="0599352C">
                  <w:pPr>
                    <w:pStyle w:val="30"/>
                    <w:bidi w:val="0"/>
                    <w:rPr>
                      <w:rFonts w:ascii="Times New Roman" w:hAnsi="Times New Roman" w:eastAsia="宋体"/>
                      <w:color w:val="auto"/>
                      <w:lang w:val="en-US" w:eastAsia="zh-CN"/>
                    </w:rPr>
                  </w:pPr>
                  <w:r>
                    <w:rPr>
                      <w:rFonts w:ascii="Times New Roman" w:hAnsi="Times New Roman" w:eastAsia="宋体"/>
                      <w:color w:val="auto"/>
                      <w:lang w:val="en-US" w:eastAsia="zh-CN"/>
                    </w:rPr>
                    <w:t>福建省重点行业挥发性有机物污染防治工作方案</w:t>
                  </w:r>
                </w:p>
              </w:tc>
              <w:tc>
                <w:tcPr>
                  <w:tcW w:w="2697" w:type="pct"/>
                  <w:tcBorders>
                    <w:tl2br w:val="nil"/>
                    <w:tr2bl w:val="nil"/>
                  </w:tcBorders>
                  <w:noWrap w:val="0"/>
                  <w:vAlign w:val="center"/>
                </w:tcPr>
                <w:p w14:paraId="7CC32A0A">
                  <w:pPr>
                    <w:pStyle w:val="30"/>
                    <w:bidi w:val="0"/>
                    <w:ind w:firstLine="420" w:firstLineChars="200"/>
                    <w:rPr>
                      <w:rFonts w:ascii="Times New Roman" w:hAnsi="Times New Roman" w:eastAsia="宋体"/>
                      <w:color w:val="auto"/>
                      <w:lang w:val="en-US" w:eastAsia="zh-CN"/>
                    </w:rPr>
                  </w:pPr>
                  <w:r>
                    <w:rPr>
                      <w:rFonts w:ascii="Times New Roman" w:hAnsi="Times New Roman" w:eastAsia="宋体"/>
                      <w:color w:val="auto"/>
                      <w:lang w:val="en-US" w:eastAsia="zh-CN"/>
                    </w:rPr>
                    <w:t>二、主要任务</w:t>
                  </w:r>
                </w:p>
                <w:p w14:paraId="76DC1373">
                  <w:pPr>
                    <w:pStyle w:val="30"/>
                    <w:bidi w:val="0"/>
                    <w:ind w:firstLine="420" w:firstLineChars="200"/>
                    <w:rPr>
                      <w:rFonts w:ascii="Times New Roman" w:hAnsi="Times New Roman" w:eastAsia="宋体"/>
                      <w:color w:val="auto"/>
                      <w:lang w:val="en-US" w:eastAsia="zh-CN"/>
                    </w:rPr>
                  </w:pPr>
                  <w:r>
                    <w:rPr>
                      <w:rFonts w:ascii="Times New Roman" w:hAnsi="Times New Roman" w:eastAsia="宋体"/>
                      <w:color w:val="auto"/>
                      <w:lang w:val="en-US" w:eastAsia="zh-CN"/>
                    </w:rPr>
                    <w:t>（一）严格环境准入</w:t>
                  </w:r>
                </w:p>
                <w:p w14:paraId="39414EC9">
                  <w:pPr>
                    <w:pStyle w:val="30"/>
                    <w:bidi w:val="0"/>
                    <w:ind w:firstLine="420" w:firstLineChars="200"/>
                    <w:rPr>
                      <w:rFonts w:ascii="Times New Roman" w:hAnsi="Times New Roman" w:eastAsia="宋体"/>
                      <w:color w:val="auto"/>
                      <w:lang w:val="en-US" w:eastAsia="zh-CN"/>
                    </w:rPr>
                  </w:pPr>
                  <w:r>
                    <w:rPr>
                      <w:rFonts w:ascii="Times New Roman" w:hAnsi="Times New Roman" w:eastAsia="宋体"/>
                      <w:color w:val="auto"/>
                      <w:lang w:val="en-US" w:eastAsia="zh-CN"/>
                    </w:rPr>
                    <w:t>进一步提高行业准入门槛，严格控制新增污染物排放量。严格限制石化、化工、包装印刷、工业涂装等高VOCs排放建设项目。新改扩建项目要使用低VOCs含量原辅材料，采取密闭措施，加强废气收集，配套安装高效治理设施，减少污染排放。淘汰国家及地方明令禁止的落后工艺和设备。</w:t>
                  </w:r>
                </w:p>
                <w:p w14:paraId="34A6E4BB">
                  <w:pPr>
                    <w:pStyle w:val="30"/>
                    <w:bidi w:val="0"/>
                    <w:ind w:firstLine="420" w:firstLineChars="200"/>
                    <w:rPr>
                      <w:rFonts w:ascii="Times New Roman" w:hAnsi="Times New Roman" w:eastAsia="宋体"/>
                      <w:color w:val="auto"/>
                      <w:lang w:val="en-US" w:eastAsia="zh-CN"/>
                    </w:rPr>
                  </w:pPr>
                  <w:r>
                    <w:rPr>
                      <w:rFonts w:ascii="Times New Roman" w:hAnsi="Times New Roman" w:eastAsia="宋体"/>
                      <w:color w:val="auto"/>
                      <w:lang w:val="en-US" w:eastAsia="zh-CN"/>
                    </w:rPr>
                    <w:t>（二）大力推进清洁生产</w:t>
                  </w:r>
                </w:p>
                <w:p w14:paraId="14098B10">
                  <w:pPr>
                    <w:pStyle w:val="30"/>
                    <w:bidi w:val="0"/>
                    <w:ind w:firstLine="420" w:firstLineChars="200"/>
                    <w:rPr>
                      <w:rFonts w:ascii="Times New Roman" w:hAnsi="Times New Roman" w:eastAsia="宋体"/>
                      <w:color w:val="auto"/>
                      <w:lang w:val="en-US" w:eastAsia="zh-CN"/>
                    </w:rPr>
                  </w:pPr>
                  <w:r>
                    <w:rPr>
                      <w:rFonts w:ascii="Times New Roman" w:hAnsi="Times New Roman" w:eastAsia="宋体"/>
                      <w:color w:val="auto"/>
                      <w:lang w:val="en-US" w:eastAsia="zh-CN"/>
                    </w:rPr>
                    <w:t>……在重点行业大力倡导环境标志产品生产及使用，尤其是水性涂料的生产和使用，从源头控制VOCs排放。</w:t>
                  </w:r>
                </w:p>
              </w:tc>
              <w:tc>
                <w:tcPr>
                  <w:tcW w:w="1267" w:type="pct"/>
                  <w:tcBorders>
                    <w:tl2br w:val="nil"/>
                    <w:tr2bl w:val="nil"/>
                  </w:tcBorders>
                  <w:noWrap w:val="0"/>
                  <w:vAlign w:val="center"/>
                </w:tcPr>
                <w:p w14:paraId="6AF003DA">
                  <w:pPr>
                    <w:pStyle w:val="30"/>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擦拭废气、超洗废气经密闭车间负压收集后通过二级活性炭吸附装置处理达标后由</w:t>
                  </w:r>
                  <w:r>
                    <w:rPr>
                      <w:rFonts w:hint="eastAsia"/>
                      <w:color w:val="auto"/>
                      <w:lang w:val="en-US" w:eastAsia="zh-CN"/>
                    </w:rPr>
                    <w:t>20</w:t>
                  </w:r>
                  <w:r>
                    <w:rPr>
                      <w:rFonts w:hint="eastAsia" w:ascii="Times New Roman" w:hAnsi="Times New Roman"/>
                      <w:color w:val="auto"/>
                      <w:lang w:val="en-US" w:eastAsia="zh-CN"/>
                    </w:rPr>
                    <w:t>m高的DA001</w:t>
                  </w:r>
                  <w:r>
                    <w:rPr>
                      <w:rFonts w:hint="eastAsia" w:ascii="Times New Roman" w:hAnsi="Times New Roman" w:eastAsia="宋体"/>
                      <w:color w:val="auto"/>
                      <w:lang w:val="en-US" w:eastAsia="zh-CN"/>
                    </w:rPr>
                    <w:t>排气筒排放；</w:t>
                  </w:r>
                  <w:r>
                    <w:rPr>
                      <w:rFonts w:hint="eastAsia"/>
                      <w:color w:val="auto"/>
                      <w:lang w:val="en-US" w:eastAsia="zh-CN"/>
                    </w:rPr>
                    <w:t>切割</w:t>
                  </w:r>
                  <w:r>
                    <w:rPr>
                      <w:rFonts w:hint="eastAsia" w:ascii="Times New Roman" w:hAnsi="Times New Roman" w:eastAsia="宋体"/>
                      <w:color w:val="auto"/>
                      <w:lang w:val="en-US" w:eastAsia="zh-CN"/>
                    </w:rPr>
                    <w:t>废气通过设备密闭管道收集后通过二级活性炭吸附装置处理达标</w:t>
                  </w:r>
                  <w:r>
                    <w:rPr>
                      <w:rFonts w:hint="eastAsia"/>
                      <w:color w:val="auto"/>
                      <w:lang w:val="en-US" w:eastAsia="zh-CN"/>
                    </w:rPr>
                    <w:t>后</w:t>
                  </w:r>
                  <w:r>
                    <w:rPr>
                      <w:rFonts w:hint="eastAsia" w:ascii="Times New Roman" w:hAnsi="Times New Roman" w:eastAsia="宋体"/>
                      <w:color w:val="auto"/>
                      <w:lang w:val="en-US" w:eastAsia="zh-CN"/>
                    </w:rPr>
                    <w:t>通过</w:t>
                  </w:r>
                  <w:r>
                    <w:rPr>
                      <w:rFonts w:hint="eastAsia"/>
                      <w:color w:val="auto"/>
                      <w:lang w:val="en-US" w:eastAsia="zh-CN"/>
                    </w:rPr>
                    <w:t>20</w:t>
                  </w:r>
                  <w:r>
                    <w:rPr>
                      <w:rFonts w:hint="eastAsia" w:ascii="Times New Roman" w:hAnsi="Times New Roman"/>
                      <w:color w:val="auto"/>
                      <w:lang w:val="en-US" w:eastAsia="zh-CN"/>
                    </w:rPr>
                    <w:t>m高的DA00</w:t>
                  </w:r>
                  <w:r>
                    <w:rPr>
                      <w:rFonts w:hint="eastAsia"/>
                      <w:color w:val="auto"/>
                      <w:lang w:val="en-US" w:eastAsia="zh-CN"/>
                    </w:rPr>
                    <w:t>2</w:t>
                  </w:r>
                  <w:r>
                    <w:rPr>
                      <w:rFonts w:hint="eastAsia" w:ascii="Times New Roman" w:hAnsi="Times New Roman" w:eastAsia="宋体"/>
                      <w:color w:val="auto"/>
                      <w:lang w:val="en-US" w:eastAsia="zh-CN"/>
                    </w:rPr>
                    <w:t>排气筒排放，为高效的治理设施，能够有效地减少污染排放。</w:t>
                  </w:r>
                </w:p>
              </w:tc>
              <w:tc>
                <w:tcPr>
                  <w:tcW w:w="411" w:type="pct"/>
                  <w:tcBorders>
                    <w:tl2br w:val="nil"/>
                    <w:tr2bl w:val="nil"/>
                  </w:tcBorders>
                  <w:noWrap w:val="0"/>
                  <w:vAlign w:val="center"/>
                </w:tcPr>
                <w:p w14:paraId="784D6846">
                  <w:pPr>
                    <w:pStyle w:val="30"/>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bl>
          <w:p w14:paraId="52FC8038">
            <w:pPr>
              <w:pStyle w:val="4"/>
              <w:bidi w:val="0"/>
              <w:ind w:firstLine="482" w:firstLineChars="200"/>
              <w:rPr>
                <w:rFonts w:hint="eastAsia" w:ascii="Times New Roman" w:hAnsi="Times New Roman"/>
                <w:color w:val="auto"/>
                <w:lang w:val="en-US" w:eastAsia="zh-CN"/>
              </w:rPr>
            </w:pPr>
            <w:bookmarkStart w:id="31" w:name="_Toc6729"/>
            <w:bookmarkStart w:id="32" w:name="_Toc17383"/>
            <w:r>
              <w:rPr>
                <w:rFonts w:hint="eastAsia" w:ascii="Times New Roman" w:hAnsi="Times New Roman"/>
                <w:color w:val="auto"/>
                <w:lang w:val="en-US" w:eastAsia="zh-CN"/>
              </w:rPr>
              <w:t>1.</w:t>
            </w:r>
            <w:r>
              <w:rPr>
                <w:rFonts w:hint="eastAsia"/>
                <w:color w:val="auto"/>
                <w:lang w:val="en-US" w:eastAsia="zh-CN"/>
              </w:rPr>
              <w:t>7</w:t>
            </w:r>
            <w:r>
              <w:rPr>
                <w:rFonts w:hint="eastAsia" w:ascii="Times New Roman" w:hAnsi="Times New Roman"/>
                <w:color w:val="auto"/>
                <w:lang w:val="en-US" w:eastAsia="zh-CN"/>
              </w:rPr>
              <w:t>.5与《福州市挥发性有机物污染整治工作方案》（榕政办〔2017〕169号）符合性分析</w:t>
            </w:r>
            <w:bookmarkEnd w:id="31"/>
            <w:bookmarkEnd w:id="32"/>
          </w:p>
          <w:p w14:paraId="6863B499">
            <w:pPr>
              <w:pStyle w:val="27"/>
              <w:bidi w:val="0"/>
              <w:ind w:firstLine="482" w:firstLineChars="200"/>
              <w:rPr>
                <w:rFonts w:hint="default" w:ascii="Times New Roman" w:hAnsi="Times New Roman"/>
                <w:color w:val="auto"/>
                <w:lang w:val="en-US" w:eastAsia="zh-CN"/>
              </w:rPr>
            </w:pPr>
            <w:r>
              <w:rPr>
                <w:rFonts w:hint="eastAsia" w:ascii="Times New Roman" w:hAnsi="Times New Roman"/>
                <w:color w:val="auto"/>
                <w:lang w:val="en-US" w:eastAsia="zh-CN"/>
              </w:rPr>
              <w:t>表1.</w:t>
            </w:r>
            <w:r>
              <w:rPr>
                <w:rFonts w:hint="eastAsia"/>
                <w:color w:val="auto"/>
                <w:lang w:val="en-US" w:eastAsia="zh-CN"/>
              </w:rPr>
              <w:t>7</w:t>
            </w:r>
            <w:r>
              <w:rPr>
                <w:rFonts w:hint="eastAsia" w:ascii="Times New Roman" w:hAnsi="Times New Roman"/>
                <w:color w:val="auto"/>
                <w:lang w:val="en-US" w:eastAsia="zh-CN"/>
              </w:rPr>
              <w:t>-5  与《福州市挥发性有机物污染整治工作方案》（榕政办〔2017〕169号）符合性分析</w:t>
            </w:r>
          </w:p>
          <w:tbl>
            <w:tblPr>
              <w:tblStyle w:val="1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40"/>
              <w:gridCol w:w="3202"/>
              <w:gridCol w:w="2736"/>
              <w:gridCol w:w="788"/>
            </w:tblGrid>
            <w:tr w14:paraId="084D9B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32" w:hRule="atLeast"/>
                <w:jc w:val="center"/>
              </w:trPr>
              <w:tc>
                <w:tcPr>
                  <w:tcW w:w="613" w:type="pct"/>
                  <w:tcBorders>
                    <w:tl2br w:val="nil"/>
                    <w:tr2bl w:val="nil"/>
                  </w:tcBorders>
                  <w:noWrap w:val="0"/>
                  <w:vAlign w:val="center"/>
                </w:tcPr>
                <w:p w14:paraId="7AD197FC">
                  <w:pPr>
                    <w:pStyle w:val="30"/>
                    <w:bidi w:val="0"/>
                    <w:rPr>
                      <w:rFonts w:ascii="Times New Roman" w:hAnsi="Times New Roman"/>
                      <w:b/>
                      <w:bCs/>
                      <w:color w:val="auto"/>
                      <w:lang w:val="en-US" w:eastAsia="zh-CN"/>
                    </w:rPr>
                  </w:pPr>
                  <w:r>
                    <w:rPr>
                      <w:rFonts w:ascii="Times New Roman" w:hAnsi="Times New Roman"/>
                      <w:b/>
                      <w:bCs/>
                      <w:color w:val="auto"/>
                      <w:lang w:val="en-US" w:eastAsia="zh-CN"/>
                    </w:rPr>
                    <w:t>相关文件名称</w:t>
                  </w:r>
                </w:p>
              </w:tc>
              <w:tc>
                <w:tcPr>
                  <w:tcW w:w="2088" w:type="pct"/>
                  <w:tcBorders>
                    <w:tl2br w:val="nil"/>
                    <w:tr2bl w:val="nil"/>
                  </w:tcBorders>
                  <w:noWrap w:val="0"/>
                  <w:vAlign w:val="center"/>
                </w:tcPr>
                <w:p w14:paraId="2DF8402B">
                  <w:pPr>
                    <w:pStyle w:val="30"/>
                    <w:bidi w:val="0"/>
                    <w:rPr>
                      <w:rFonts w:ascii="Times New Roman" w:hAnsi="Times New Roman"/>
                      <w:b/>
                      <w:bCs/>
                      <w:color w:val="auto"/>
                      <w:lang w:val="en-US" w:eastAsia="zh-CN"/>
                    </w:rPr>
                  </w:pPr>
                  <w:r>
                    <w:rPr>
                      <w:rFonts w:ascii="Times New Roman" w:hAnsi="Times New Roman"/>
                      <w:b/>
                      <w:bCs/>
                      <w:color w:val="auto"/>
                      <w:lang w:val="en-US" w:eastAsia="zh-CN"/>
                    </w:rPr>
                    <w:t>相关内容</w:t>
                  </w:r>
                </w:p>
              </w:tc>
              <w:tc>
                <w:tcPr>
                  <w:tcW w:w="1784" w:type="pct"/>
                  <w:tcBorders>
                    <w:tl2br w:val="nil"/>
                    <w:tr2bl w:val="nil"/>
                  </w:tcBorders>
                  <w:noWrap w:val="0"/>
                  <w:vAlign w:val="center"/>
                </w:tcPr>
                <w:p w14:paraId="35AEC0D6">
                  <w:pPr>
                    <w:pStyle w:val="30"/>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本项目内容</w:t>
                  </w:r>
                </w:p>
              </w:tc>
              <w:tc>
                <w:tcPr>
                  <w:tcW w:w="514" w:type="pct"/>
                  <w:tcBorders>
                    <w:tl2br w:val="nil"/>
                    <w:tr2bl w:val="nil"/>
                  </w:tcBorders>
                  <w:noWrap w:val="0"/>
                  <w:vAlign w:val="center"/>
                </w:tcPr>
                <w:p w14:paraId="29A7AF3F">
                  <w:pPr>
                    <w:pStyle w:val="30"/>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符合性</w:t>
                  </w:r>
                </w:p>
              </w:tc>
            </w:tr>
            <w:tr w14:paraId="24A11D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13" w:type="pct"/>
                  <w:tcBorders>
                    <w:tl2br w:val="nil"/>
                    <w:tr2bl w:val="nil"/>
                  </w:tcBorders>
                  <w:noWrap w:val="0"/>
                  <w:vAlign w:val="center"/>
                </w:tcPr>
                <w:p w14:paraId="212EFF7F">
                  <w:pPr>
                    <w:pStyle w:val="30"/>
                    <w:bidi w:val="0"/>
                    <w:rPr>
                      <w:rFonts w:ascii="Times New Roman" w:hAnsi="Times New Roman"/>
                      <w:color w:val="auto"/>
                      <w:lang w:val="en-US" w:eastAsia="zh-CN"/>
                    </w:rPr>
                  </w:pPr>
                  <w:r>
                    <w:rPr>
                      <w:rFonts w:ascii="Times New Roman" w:hAnsi="Times New Roman"/>
                      <w:color w:val="auto"/>
                      <w:lang w:val="en-US" w:eastAsia="zh-CN"/>
                    </w:rPr>
                    <w:t>福州市挥发性有机物污染整治工作方案</w:t>
                  </w:r>
                </w:p>
              </w:tc>
              <w:tc>
                <w:tcPr>
                  <w:tcW w:w="2088" w:type="pct"/>
                  <w:tcBorders>
                    <w:tl2br w:val="nil"/>
                    <w:tr2bl w:val="nil"/>
                  </w:tcBorders>
                  <w:noWrap w:val="0"/>
                  <w:vAlign w:val="center"/>
                </w:tcPr>
                <w:p w14:paraId="501C7908">
                  <w:pPr>
                    <w:pStyle w:val="30"/>
                    <w:bidi w:val="0"/>
                    <w:ind w:firstLine="420" w:firstLineChars="200"/>
                    <w:rPr>
                      <w:rFonts w:ascii="Times New Roman" w:hAnsi="Times New Roman"/>
                      <w:color w:val="auto"/>
                      <w:lang w:val="en-US" w:eastAsia="zh-CN"/>
                    </w:rPr>
                  </w:pPr>
                  <w:r>
                    <w:rPr>
                      <w:rFonts w:ascii="Times New Roman" w:hAnsi="Times New Roman"/>
                      <w:color w:val="auto"/>
                      <w:lang w:val="en-US" w:eastAsia="zh-CN"/>
                    </w:rPr>
                    <w:t>（二）严格VOCs项目环境准入</w:t>
                  </w:r>
                </w:p>
                <w:p w14:paraId="38A3622D">
                  <w:pPr>
                    <w:pStyle w:val="30"/>
                    <w:bidi w:val="0"/>
                    <w:ind w:firstLine="420" w:firstLineChars="200"/>
                    <w:rPr>
                      <w:rFonts w:ascii="Times New Roman" w:hAnsi="Times New Roman"/>
                      <w:color w:val="auto"/>
                      <w:lang w:val="en-US" w:eastAsia="zh-CN"/>
                    </w:rPr>
                  </w:pPr>
                  <w:r>
                    <w:rPr>
                      <w:rFonts w:ascii="Times New Roman" w:hAnsi="Times New Roman"/>
                      <w:color w:val="auto"/>
                      <w:lang w:val="en-US" w:eastAsia="zh-CN"/>
                    </w:rPr>
                    <w:t>提高行业准入门槛，鼓励支持企业通过技改减少挥发性有机物排放，严格控制新增污染物排放量，对挥发性有机物新增排放量实行现役源2倍削减量替代。</w:t>
                  </w:r>
                </w:p>
              </w:tc>
              <w:tc>
                <w:tcPr>
                  <w:tcW w:w="1784" w:type="pct"/>
                  <w:tcBorders>
                    <w:tl2br w:val="nil"/>
                    <w:tr2bl w:val="nil"/>
                  </w:tcBorders>
                  <w:noWrap w:val="0"/>
                  <w:vAlign w:val="center"/>
                </w:tcPr>
                <w:p w14:paraId="5A5FCF34">
                  <w:pPr>
                    <w:pStyle w:val="30"/>
                    <w:bidi w:val="0"/>
                    <w:rPr>
                      <w:rFonts w:ascii="Times New Roman" w:hAnsi="Times New Roman"/>
                      <w:color w:val="auto"/>
                      <w:lang w:val="en-US" w:eastAsia="zh-CN"/>
                    </w:rPr>
                  </w:pPr>
                  <w:r>
                    <w:rPr>
                      <w:rFonts w:hint="eastAsia" w:ascii="Times New Roman" w:hAnsi="Times New Roman"/>
                      <w:color w:val="auto"/>
                      <w:lang w:val="en-US" w:eastAsia="zh-CN"/>
                    </w:rPr>
                    <w:t>本项目VOCs排放实行区域内倍量替代，新、改扩建涉VOCs排放项目，擦拭废气、超洗废气经密闭车间负压收集后通过二级活性炭吸附装置处理达标后由</w:t>
                  </w:r>
                  <w:r>
                    <w:rPr>
                      <w:rFonts w:hint="eastAsia"/>
                      <w:color w:val="auto"/>
                      <w:lang w:val="en-US" w:eastAsia="zh-CN"/>
                    </w:rPr>
                    <w:t>20</w:t>
                  </w:r>
                  <w:r>
                    <w:rPr>
                      <w:rFonts w:hint="eastAsia" w:ascii="Times New Roman" w:hAnsi="Times New Roman"/>
                      <w:color w:val="auto"/>
                      <w:lang w:val="en-US" w:eastAsia="zh-CN"/>
                    </w:rPr>
                    <w:t>m高的DA001排气筒排放；</w:t>
                  </w:r>
                  <w:r>
                    <w:rPr>
                      <w:rFonts w:hint="eastAsia"/>
                      <w:color w:val="auto"/>
                      <w:lang w:val="en-US" w:eastAsia="zh-CN"/>
                    </w:rPr>
                    <w:t>切割</w:t>
                  </w:r>
                  <w:r>
                    <w:rPr>
                      <w:rFonts w:hint="eastAsia" w:ascii="Times New Roman" w:hAnsi="Times New Roman" w:eastAsia="宋体"/>
                      <w:color w:val="auto"/>
                      <w:lang w:val="en-US" w:eastAsia="zh-CN"/>
                    </w:rPr>
                    <w:t>废气通过设备密闭管道收集后通过二级活性炭吸附装置处理达标后</w:t>
                  </w:r>
                  <w:r>
                    <w:rPr>
                      <w:rFonts w:hint="eastAsia"/>
                      <w:color w:val="auto"/>
                      <w:lang w:val="en-US" w:eastAsia="zh-CN"/>
                    </w:rPr>
                    <w:t>再</w:t>
                  </w:r>
                  <w:r>
                    <w:rPr>
                      <w:rFonts w:hint="eastAsia" w:ascii="Times New Roman" w:hAnsi="Times New Roman" w:eastAsia="宋体"/>
                      <w:color w:val="auto"/>
                      <w:lang w:val="en-US" w:eastAsia="zh-CN"/>
                    </w:rPr>
                    <w:t>通过</w:t>
                  </w:r>
                  <w:r>
                    <w:rPr>
                      <w:rFonts w:hint="eastAsia"/>
                      <w:color w:val="auto"/>
                      <w:lang w:val="en-US" w:eastAsia="zh-CN"/>
                    </w:rPr>
                    <w:t>20</w:t>
                  </w:r>
                  <w:r>
                    <w:rPr>
                      <w:rFonts w:hint="eastAsia" w:ascii="Times New Roman" w:hAnsi="Times New Roman" w:eastAsia="宋体"/>
                      <w:color w:val="auto"/>
                      <w:lang w:val="en-US" w:eastAsia="zh-CN"/>
                    </w:rPr>
                    <w:t>m高的DA00</w:t>
                  </w:r>
                  <w:r>
                    <w:rPr>
                      <w:rFonts w:hint="eastAsia"/>
                      <w:color w:val="auto"/>
                      <w:lang w:val="en-US" w:eastAsia="zh-CN"/>
                    </w:rPr>
                    <w:t>2</w:t>
                  </w:r>
                  <w:r>
                    <w:rPr>
                      <w:rFonts w:hint="eastAsia" w:ascii="Times New Roman" w:hAnsi="Times New Roman" w:eastAsia="宋体"/>
                      <w:color w:val="auto"/>
                      <w:lang w:val="en-US" w:eastAsia="zh-CN"/>
                    </w:rPr>
                    <w:t>排气筒排放</w:t>
                  </w:r>
                  <w:r>
                    <w:rPr>
                      <w:rFonts w:hint="eastAsia" w:ascii="Times New Roman" w:hAnsi="Times New Roman"/>
                      <w:color w:val="auto"/>
                      <w:lang w:val="en-US" w:eastAsia="zh-CN"/>
                    </w:rPr>
                    <w:t>，</w:t>
                  </w:r>
                  <w:r>
                    <w:rPr>
                      <w:rFonts w:ascii="Times New Roman" w:hAnsi="Times New Roman"/>
                      <w:color w:val="auto"/>
                      <w:lang w:val="en-US" w:eastAsia="zh-CN"/>
                    </w:rPr>
                    <w:t>建设单位将严格按照文件规定要求对VOC</w:t>
                  </w:r>
                  <w:r>
                    <w:rPr>
                      <w:rFonts w:hint="eastAsia" w:ascii="Times New Roman" w:hAnsi="Times New Roman"/>
                      <w:color w:val="auto"/>
                      <w:lang w:val="en-US" w:eastAsia="zh-CN"/>
                    </w:rPr>
                    <w:t>s</w:t>
                  </w:r>
                  <w:r>
                    <w:rPr>
                      <w:rFonts w:ascii="Times New Roman" w:hAnsi="Times New Roman"/>
                      <w:color w:val="auto"/>
                      <w:lang w:val="en-US" w:eastAsia="zh-CN"/>
                    </w:rPr>
                    <w:t>排放实行倍量替代。</w:t>
                  </w:r>
                </w:p>
              </w:tc>
              <w:tc>
                <w:tcPr>
                  <w:tcW w:w="514" w:type="pct"/>
                  <w:tcBorders>
                    <w:tl2br w:val="nil"/>
                    <w:tr2bl w:val="nil"/>
                  </w:tcBorders>
                  <w:noWrap w:val="0"/>
                  <w:vAlign w:val="center"/>
                </w:tcPr>
                <w:p w14:paraId="5A7486C3">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bl>
          <w:p w14:paraId="56078E81">
            <w:pPr>
              <w:pStyle w:val="4"/>
              <w:bidi w:val="0"/>
              <w:ind w:firstLine="482" w:firstLineChars="200"/>
              <w:rPr>
                <w:rFonts w:hint="eastAsia" w:ascii="Times New Roman" w:hAnsi="Times New Roman"/>
                <w:color w:val="auto"/>
                <w:lang w:val="en-US" w:eastAsia="zh-CN"/>
              </w:rPr>
            </w:pPr>
            <w:bookmarkStart w:id="33" w:name="_Toc14192"/>
            <w:bookmarkStart w:id="34" w:name="_Toc32159"/>
            <w:r>
              <w:rPr>
                <w:rFonts w:hint="eastAsia" w:ascii="Times New Roman" w:hAnsi="Times New Roman"/>
                <w:color w:val="auto"/>
                <w:lang w:val="en-US" w:eastAsia="zh-CN"/>
              </w:rPr>
              <w:t>1.</w:t>
            </w:r>
            <w:r>
              <w:rPr>
                <w:rFonts w:hint="eastAsia"/>
                <w:color w:val="auto"/>
                <w:lang w:val="en-US" w:eastAsia="zh-CN"/>
              </w:rPr>
              <w:t>7</w:t>
            </w:r>
            <w:r>
              <w:rPr>
                <w:rFonts w:hint="eastAsia" w:ascii="Times New Roman" w:hAnsi="Times New Roman"/>
                <w:color w:val="auto"/>
                <w:lang w:val="en-US" w:eastAsia="zh-CN"/>
              </w:rPr>
              <w:t>.6与《2021年福州市提升空气质量行动计划》的通知（榕环委办〔2021〕23号）</w:t>
            </w:r>
            <w:bookmarkEnd w:id="33"/>
            <w:bookmarkEnd w:id="34"/>
          </w:p>
          <w:p w14:paraId="7F24BFA7">
            <w:pPr>
              <w:pStyle w:val="27"/>
              <w:bidi w:val="0"/>
              <w:ind w:firstLine="482" w:firstLineChars="200"/>
              <w:rPr>
                <w:rFonts w:hint="default" w:ascii="Times New Roman" w:hAnsi="Times New Roman"/>
                <w:color w:val="auto"/>
                <w:lang w:val="en-US" w:eastAsia="zh-CN"/>
              </w:rPr>
            </w:pPr>
            <w:r>
              <w:rPr>
                <w:rFonts w:hint="eastAsia" w:ascii="Times New Roman" w:hAnsi="Times New Roman"/>
                <w:color w:val="auto"/>
                <w:lang w:val="en-US" w:eastAsia="zh-CN"/>
              </w:rPr>
              <w:t>表1.</w:t>
            </w:r>
            <w:r>
              <w:rPr>
                <w:rFonts w:hint="eastAsia"/>
                <w:color w:val="auto"/>
                <w:lang w:val="en-US" w:eastAsia="zh-CN"/>
              </w:rPr>
              <w:t>7</w:t>
            </w:r>
            <w:r>
              <w:rPr>
                <w:rFonts w:hint="eastAsia" w:ascii="Times New Roman" w:hAnsi="Times New Roman"/>
                <w:color w:val="auto"/>
                <w:lang w:val="en-US" w:eastAsia="zh-CN"/>
              </w:rPr>
              <w:t>-6  与《2021年福州市提升空气质量行动计划》符合性分析</w:t>
            </w:r>
          </w:p>
          <w:tbl>
            <w:tblPr>
              <w:tblStyle w:val="1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40"/>
              <w:gridCol w:w="3717"/>
              <w:gridCol w:w="2033"/>
              <w:gridCol w:w="978"/>
            </w:tblGrid>
            <w:tr w14:paraId="26015F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13" w:type="pct"/>
                  <w:tcBorders>
                    <w:tl2br w:val="nil"/>
                    <w:tr2bl w:val="nil"/>
                  </w:tcBorders>
                  <w:noWrap w:val="0"/>
                  <w:vAlign w:val="center"/>
                </w:tcPr>
                <w:p w14:paraId="621FB3F0">
                  <w:pPr>
                    <w:pStyle w:val="30"/>
                    <w:bidi w:val="0"/>
                    <w:rPr>
                      <w:rFonts w:ascii="Times New Roman" w:hAnsi="Times New Roman"/>
                      <w:b/>
                      <w:bCs/>
                      <w:color w:val="auto"/>
                      <w:lang w:val="en-US" w:eastAsia="zh-CN"/>
                    </w:rPr>
                  </w:pPr>
                  <w:r>
                    <w:rPr>
                      <w:rFonts w:ascii="Times New Roman" w:hAnsi="Times New Roman"/>
                      <w:b/>
                      <w:bCs/>
                      <w:color w:val="auto"/>
                      <w:lang w:val="en-US" w:eastAsia="zh-CN"/>
                    </w:rPr>
                    <w:t>相关文件名称</w:t>
                  </w:r>
                </w:p>
              </w:tc>
              <w:tc>
                <w:tcPr>
                  <w:tcW w:w="2422" w:type="pct"/>
                  <w:tcBorders>
                    <w:tl2br w:val="nil"/>
                    <w:tr2bl w:val="nil"/>
                  </w:tcBorders>
                  <w:noWrap w:val="0"/>
                  <w:vAlign w:val="center"/>
                </w:tcPr>
                <w:p w14:paraId="7CE0AAEF">
                  <w:pPr>
                    <w:pStyle w:val="30"/>
                    <w:bidi w:val="0"/>
                    <w:rPr>
                      <w:rFonts w:ascii="Times New Roman" w:hAnsi="Times New Roman"/>
                      <w:b/>
                      <w:bCs/>
                      <w:color w:val="auto"/>
                      <w:lang w:val="en-US" w:eastAsia="zh-CN"/>
                    </w:rPr>
                  </w:pPr>
                  <w:r>
                    <w:rPr>
                      <w:rFonts w:ascii="Times New Roman" w:hAnsi="Times New Roman"/>
                      <w:b/>
                      <w:bCs/>
                      <w:color w:val="auto"/>
                      <w:lang w:val="en-US" w:eastAsia="zh-CN"/>
                    </w:rPr>
                    <w:t>相关内容</w:t>
                  </w:r>
                </w:p>
              </w:tc>
              <w:tc>
                <w:tcPr>
                  <w:tcW w:w="1325" w:type="pct"/>
                  <w:tcBorders>
                    <w:tl2br w:val="nil"/>
                    <w:tr2bl w:val="nil"/>
                  </w:tcBorders>
                  <w:noWrap w:val="0"/>
                  <w:vAlign w:val="center"/>
                </w:tcPr>
                <w:p w14:paraId="54C3B86C">
                  <w:pPr>
                    <w:pStyle w:val="30"/>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本项目内容</w:t>
                  </w:r>
                </w:p>
              </w:tc>
              <w:tc>
                <w:tcPr>
                  <w:tcW w:w="637" w:type="pct"/>
                  <w:tcBorders>
                    <w:tl2br w:val="nil"/>
                    <w:tr2bl w:val="nil"/>
                  </w:tcBorders>
                  <w:noWrap w:val="0"/>
                  <w:vAlign w:val="center"/>
                </w:tcPr>
                <w:p w14:paraId="4D6A8F88">
                  <w:pPr>
                    <w:pStyle w:val="30"/>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符合性</w:t>
                  </w:r>
                </w:p>
              </w:tc>
            </w:tr>
            <w:tr w14:paraId="7F62C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13" w:type="pct"/>
                  <w:tcBorders>
                    <w:tl2br w:val="nil"/>
                    <w:tr2bl w:val="nil"/>
                  </w:tcBorders>
                  <w:noWrap w:val="0"/>
                  <w:vAlign w:val="center"/>
                </w:tcPr>
                <w:p w14:paraId="19883563">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《2021年福州市提升空气质量行动计划》的通知</w:t>
                  </w:r>
                </w:p>
              </w:tc>
              <w:tc>
                <w:tcPr>
                  <w:tcW w:w="2422" w:type="pct"/>
                  <w:tcBorders>
                    <w:tl2br w:val="nil"/>
                    <w:tr2bl w:val="nil"/>
                  </w:tcBorders>
                  <w:noWrap w:val="0"/>
                  <w:vAlign w:val="center"/>
                </w:tcPr>
                <w:p w14:paraId="43512D1D">
                  <w:pPr>
                    <w:pStyle w:val="30"/>
                    <w:bidi w:val="0"/>
                    <w:rPr>
                      <w:rFonts w:ascii="Times New Roman" w:hAnsi="Times New Roman"/>
                      <w:color w:val="auto"/>
                      <w:lang w:val="en-US" w:eastAsia="zh-CN"/>
                    </w:rPr>
                  </w:pPr>
                  <w:r>
                    <w:rPr>
                      <w:rFonts w:hint="eastAsia" w:ascii="Times New Roman" w:hAnsi="Times New Roman"/>
                      <w:color w:val="auto"/>
                      <w:lang w:val="en-US" w:eastAsia="zh-CN"/>
                    </w:rPr>
                    <w:t>（2）严格涉VOCs建设项目环境影响评价审批，新、改、扩建涉VOCs排放项目，应使用低（无）VOCs涂料、粘胶剂等，实施新建项目VOCs排放区域内倍量替代。VOCs年排放量大于10吨的新建项目投运前应安装VOCs在线监控设备，并接入市生态云平台。</w:t>
                  </w:r>
                </w:p>
              </w:tc>
              <w:tc>
                <w:tcPr>
                  <w:tcW w:w="1325" w:type="pct"/>
                  <w:tcBorders>
                    <w:tl2br w:val="nil"/>
                    <w:tr2bl w:val="nil"/>
                  </w:tcBorders>
                  <w:noWrap w:val="0"/>
                  <w:vAlign w:val="center"/>
                </w:tcPr>
                <w:p w14:paraId="445D8C19">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VOCs年排放量小于10吨，无需安装VOCs在线监控设备。</w:t>
                  </w:r>
                </w:p>
              </w:tc>
              <w:tc>
                <w:tcPr>
                  <w:tcW w:w="637" w:type="pct"/>
                  <w:tcBorders>
                    <w:tl2br w:val="nil"/>
                    <w:tr2bl w:val="nil"/>
                  </w:tcBorders>
                  <w:noWrap w:val="0"/>
                  <w:vAlign w:val="center"/>
                </w:tcPr>
                <w:p w14:paraId="2C942E6C">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bl>
          <w:p w14:paraId="3E79A6F3">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综上所述，本项目通过有效的污染防治措施后，挥发性有机物能够得到合理的控制，符合挥发性有机物污染防治的相关</w:t>
            </w:r>
            <w:r>
              <w:rPr>
                <w:rFonts w:hint="eastAsia"/>
                <w:color w:val="auto"/>
                <w:lang w:val="en-US" w:eastAsia="zh-CN"/>
              </w:rPr>
              <w:t>政策</w:t>
            </w:r>
            <w:r>
              <w:rPr>
                <w:rFonts w:hint="eastAsia" w:ascii="Times New Roman" w:hAnsi="Times New Roman"/>
                <w:color w:val="auto"/>
                <w:lang w:val="en-US" w:eastAsia="zh-CN"/>
              </w:rPr>
              <w:t>要求。</w:t>
            </w:r>
          </w:p>
          <w:p w14:paraId="577EE0E4">
            <w:pPr>
              <w:pStyle w:val="3"/>
              <w:keepNext/>
              <w:keepLines/>
              <w:pageBreakBefore w:val="0"/>
              <w:widowControl w:val="0"/>
              <w:kinsoku/>
              <w:wordWrap/>
              <w:topLinePunct w:val="0"/>
              <w:autoSpaceDE/>
              <w:autoSpaceDN/>
              <w:bidi w:val="0"/>
              <w:adjustRightInd/>
              <w:spacing w:before="0" w:after="0"/>
              <w:ind w:left="0" w:firstLine="562" w:firstLineChars="200"/>
              <w:textAlignment w:val="auto"/>
              <w:rPr>
                <w:rFonts w:hint="eastAsia" w:ascii="Times New Roman" w:hAnsi="Times New Roman"/>
                <w:b/>
                <w:bCs w:val="0"/>
                <w:color w:val="auto"/>
                <w:lang w:val="en-US" w:eastAsia="zh-CN"/>
              </w:rPr>
            </w:pPr>
            <w:bookmarkStart w:id="35" w:name="_Toc14428"/>
            <w:r>
              <w:rPr>
                <w:rFonts w:hint="eastAsia" w:ascii="Times New Roman" w:hAnsi="Times New Roman"/>
                <w:b/>
                <w:bCs w:val="0"/>
                <w:color w:val="auto"/>
                <w:lang w:val="en-US" w:eastAsia="zh-CN"/>
              </w:rPr>
              <w:t>1.8与清洗剂挥发性有机化合物含量限值相关政策符合性分析</w:t>
            </w:r>
            <w:bookmarkEnd w:id="35"/>
          </w:p>
          <w:p w14:paraId="463CA9B8">
            <w:pPr>
              <w:ind w:firstLine="482" w:firstLineChars="200"/>
              <w:jc w:val="center"/>
              <w:rPr>
                <w:rFonts w:hint="default" w:ascii="Times New Roman" w:hAnsi="Times New Roman"/>
                <w:color w:val="auto"/>
                <w:lang w:val="en-US" w:eastAsia="zh-CN"/>
              </w:rPr>
            </w:pPr>
            <w:r>
              <w:rPr>
                <w:rFonts w:hint="eastAsia" w:ascii="Times New Roman" w:hAnsi="Times New Roman" w:eastAsia="宋体" w:cs="Times New Roman"/>
                <w:b/>
                <w:color w:val="auto"/>
                <w:kern w:val="0"/>
                <w:sz w:val="24"/>
                <w:szCs w:val="20"/>
                <w:lang w:val="en-US" w:eastAsia="zh-CN" w:bidi="ar-SA"/>
              </w:rPr>
              <w:t>表1.</w:t>
            </w:r>
            <w:r>
              <w:rPr>
                <w:rFonts w:hint="eastAsia" w:ascii="Times New Roman" w:hAnsi="Times New Roman" w:cs="Times New Roman"/>
                <w:b/>
                <w:color w:val="auto"/>
                <w:kern w:val="0"/>
                <w:sz w:val="24"/>
                <w:szCs w:val="20"/>
                <w:lang w:val="en-US" w:eastAsia="zh-CN" w:bidi="ar-SA"/>
              </w:rPr>
              <w:t>8</w:t>
            </w:r>
            <w:r>
              <w:rPr>
                <w:rFonts w:hint="eastAsia" w:ascii="Times New Roman" w:hAnsi="Times New Roman" w:eastAsia="宋体" w:cs="Times New Roman"/>
                <w:b/>
                <w:color w:val="auto"/>
                <w:kern w:val="0"/>
                <w:sz w:val="24"/>
                <w:szCs w:val="20"/>
                <w:lang w:val="en-US" w:eastAsia="zh-CN" w:bidi="ar-SA"/>
              </w:rPr>
              <w:t>-1  本项目与</w:t>
            </w:r>
            <w:r>
              <w:rPr>
                <w:rFonts w:hint="eastAsia" w:ascii="Times New Roman" w:hAnsi="Times New Roman" w:cs="Times New Roman"/>
                <w:b/>
                <w:color w:val="auto"/>
                <w:kern w:val="0"/>
                <w:sz w:val="24"/>
                <w:szCs w:val="20"/>
                <w:lang w:val="en-US" w:eastAsia="zh-CN" w:bidi="ar-SA"/>
              </w:rPr>
              <w:t>清洗剂挥发性有机化合物含量限值相关政策</w:t>
            </w:r>
            <w:r>
              <w:rPr>
                <w:rFonts w:hint="eastAsia" w:ascii="Times New Roman" w:hAnsi="Times New Roman" w:eastAsia="宋体" w:cs="Times New Roman"/>
                <w:b/>
                <w:color w:val="auto"/>
                <w:kern w:val="0"/>
                <w:sz w:val="24"/>
                <w:szCs w:val="20"/>
                <w:lang w:val="en-US" w:eastAsia="zh-CN" w:bidi="ar-SA"/>
              </w:rPr>
              <w:t>的符合性分析</w:t>
            </w:r>
          </w:p>
          <w:tbl>
            <w:tblPr>
              <w:tblStyle w:val="19"/>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20"/>
              <w:gridCol w:w="1712"/>
              <w:gridCol w:w="4136"/>
            </w:tblGrid>
            <w:tr w14:paraId="30D07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tcBorders>
                    <w:tl2br w:val="nil"/>
                    <w:tr2bl w:val="nil"/>
                  </w:tcBorders>
                  <w:vAlign w:val="center"/>
                </w:tcPr>
                <w:p w14:paraId="729D3930">
                  <w:pPr>
                    <w:pStyle w:val="2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bCs/>
                      <w:color w:val="auto"/>
                      <w:sz w:val="21"/>
                      <w:szCs w:val="21"/>
                      <w:vertAlign w:val="baseline"/>
                      <w:lang w:val="en-US" w:eastAsia="zh-CN"/>
                    </w:rPr>
                  </w:pPr>
                  <w:r>
                    <w:rPr>
                      <w:rFonts w:hint="eastAsia" w:ascii="Times New Roman" w:hAnsi="Times New Roman" w:eastAsia="宋体"/>
                      <w:b/>
                      <w:bCs/>
                      <w:color w:val="auto"/>
                      <w:sz w:val="21"/>
                      <w:szCs w:val="21"/>
                      <w:vertAlign w:val="baseline"/>
                      <w:lang w:val="en-US" w:eastAsia="zh-CN"/>
                    </w:rPr>
                    <w:t>标准来源</w:t>
                  </w:r>
                </w:p>
              </w:tc>
              <w:tc>
                <w:tcPr>
                  <w:tcW w:w="1116" w:type="pct"/>
                  <w:tcBorders>
                    <w:tl2br w:val="nil"/>
                    <w:tr2bl w:val="nil"/>
                  </w:tcBorders>
                  <w:vAlign w:val="center"/>
                </w:tcPr>
                <w:p w14:paraId="4D51E603">
                  <w:pPr>
                    <w:pStyle w:val="2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bCs/>
                      <w:color w:val="auto"/>
                      <w:sz w:val="21"/>
                      <w:szCs w:val="21"/>
                      <w:vertAlign w:val="baseline"/>
                      <w:lang w:val="en-US" w:eastAsia="zh-CN"/>
                    </w:rPr>
                  </w:pPr>
                  <w:r>
                    <w:rPr>
                      <w:rFonts w:hint="eastAsia" w:ascii="Times New Roman" w:hAnsi="Times New Roman" w:eastAsia="宋体"/>
                      <w:b/>
                      <w:bCs/>
                      <w:color w:val="auto"/>
                      <w:sz w:val="21"/>
                      <w:szCs w:val="21"/>
                      <w:vertAlign w:val="baseline"/>
                      <w:lang w:val="en-US" w:eastAsia="zh-CN"/>
                    </w:rPr>
                    <w:t>含量限值</w:t>
                  </w:r>
                </w:p>
              </w:tc>
              <w:tc>
                <w:tcPr>
                  <w:tcW w:w="2696" w:type="pct"/>
                  <w:tcBorders>
                    <w:tl2br w:val="nil"/>
                    <w:tr2bl w:val="nil"/>
                  </w:tcBorders>
                  <w:vAlign w:val="center"/>
                </w:tcPr>
                <w:p w14:paraId="639A1956">
                  <w:pPr>
                    <w:pStyle w:val="2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bCs/>
                      <w:color w:val="auto"/>
                      <w:sz w:val="21"/>
                      <w:szCs w:val="21"/>
                      <w:vertAlign w:val="baseline"/>
                      <w:lang w:val="en-US" w:eastAsia="zh-CN"/>
                    </w:rPr>
                  </w:pPr>
                  <w:r>
                    <w:rPr>
                      <w:rFonts w:hint="eastAsia" w:ascii="Times New Roman" w:hAnsi="Times New Roman" w:eastAsia="宋体"/>
                      <w:b/>
                      <w:bCs/>
                      <w:color w:val="auto"/>
                      <w:sz w:val="21"/>
                      <w:szCs w:val="21"/>
                      <w:vertAlign w:val="baseline"/>
                      <w:lang w:val="en-US" w:eastAsia="zh-CN"/>
                    </w:rPr>
                    <w:t>原辅材料种类</w:t>
                  </w:r>
                </w:p>
              </w:tc>
            </w:tr>
            <w:tr w14:paraId="1F809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vMerge w:val="restart"/>
                  <w:tcBorders>
                    <w:tl2br w:val="nil"/>
                    <w:tr2bl w:val="nil"/>
                  </w:tcBorders>
                  <w:vAlign w:val="center"/>
                </w:tcPr>
                <w:p w14:paraId="553DF7CC">
                  <w:pPr>
                    <w:pStyle w:val="5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pacing w:val="-2"/>
                      <w:sz w:val="21"/>
                      <w:szCs w:val="21"/>
                    </w:rPr>
                    <w:t>《清洗剂挥发性有</w:t>
                  </w:r>
                  <w:r>
                    <w:rPr>
                      <w:rFonts w:ascii="Times New Roman" w:hAnsi="Times New Roman" w:eastAsia="宋体"/>
                      <w:color w:val="auto"/>
                      <w:sz w:val="21"/>
                      <w:szCs w:val="21"/>
                    </w:rPr>
                    <w:t>机化合物含量限值》（GB38508-2020</w:t>
                  </w:r>
                </w:p>
              </w:tc>
              <w:tc>
                <w:tcPr>
                  <w:tcW w:w="1116" w:type="pct"/>
                  <w:vMerge w:val="restart"/>
                  <w:tcBorders>
                    <w:tl2br w:val="nil"/>
                    <w:tr2bl w:val="nil"/>
                  </w:tcBorders>
                  <w:vAlign w:val="center"/>
                </w:tcPr>
                <w:p w14:paraId="363C2E1B">
                  <w:pPr>
                    <w:pStyle w:val="5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pacing w:val="-8"/>
                      <w:sz w:val="21"/>
                      <w:szCs w:val="21"/>
                    </w:rPr>
                    <w:t>有机溶剂清洗剂</w:t>
                  </w:r>
                  <w:r>
                    <w:rPr>
                      <w:rFonts w:ascii="Times New Roman" w:hAnsi="Times New Roman" w:eastAsia="宋体"/>
                      <w:color w:val="auto"/>
                      <w:sz w:val="21"/>
                      <w:szCs w:val="21"/>
                    </w:rPr>
                    <w:t>VOCs含量限值≤900g/L</w:t>
                  </w:r>
                </w:p>
              </w:tc>
              <w:tc>
                <w:tcPr>
                  <w:tcW w:w="2696" w:type="pct"/>
                  <w:tcBorders>
                    <w:tl2br w:val="nil"/>
                    <w:tr2bl w:val="nil"/>
                  </w:tcBorders>
                  <w:vAlign w:val="center"/>
                </w:tcPr>
                <w:p w14:paraId="45704F16">
                  <w:pPr>
                    <w:pStyle w:val="5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z w:val="21"/>
                      <w:szCs w:val="21"/>
                    </w:rPr>
                    <w:t>本次项目使用有机溶剂乙醇，乙醇的相</w:t>
                  </w:r>
                  <w:r>
                    <w:rPr>
                      <w:rFonts w:ascii="Times New Roman" w:hAnsi="Times New Roman" w:eastAsia="宋体"/>
                      <w:color w:val="auto"/>
                      <w:spacing w:val="-6"/>
                      <w:sz w:val="21"/>
                      <w:szCs w:val="21"/>
                    </w:rPr>
                    <w:t>对密度</w:t>
                  </w:r>
                  <w:r>
                    <w:rPr>
                      <w:rFonts w:ascii="Times New Roman" w:hAnsi="Times New Roman" w:eastAsia="宋体"/>
                      <w:color w:val="auto"/>
                      <w:sz w:val="21"/>
                      <w:szCs w:val="21"/>
                    </w:rPr>
                    <w:t>（水</w:t>
                  </w:r>
                  <w:r>
                    <w:rPr>
                      <w:rFonts w:ascii="Times New Roman" w:hAnsi="Times New Roman" w:eastAsia="宋体"/>
                      <w:color w:val="auto"/>
                      <w:spacing w:val="-3"/>
                      <w:sz w:val="21"/>
                      <w:szCs w:val="21"/>
                    </w:rPr>
                    <w:t>=1）：0.789g/cm</w:t>
                  </w:r>
                  <w:r>
                    <w:rPr>
                      <w:rFonts w:hint="eastAsia" w:ascii="Times New Roman" w:hAnsi="Times New Roman"/>
                      <w:color w:val="auto"/>
                      <w:spacing w:val="-3"/>
                      <w:sz w:val="21"/>
                      <w:szCs w:val="21"/>
                      <w:vertAlign w:val="superscript"/>
                      <w:lang w:val="en-US" w:eastAsia="zh-CN"/>
                    </w:rPr>
                    <w:t>3</w:t>
                  </w:r>
                  <w:r>
                    <w:rPr>
                      <w:rFonts w:ascii="Times New Roman" w:hAnsi="Times New Roman" w:eastAsia="宋体"/>
                      <w:color w:val="auto"/>
                      <w:sz w:val="21"/>
                      <w:szCs w:val="21"/>
                    </w:rPr>
                    <w:t>（20℃），项目用乙醇纯度</w:t>
                  </w:r>
                  <w:r>
                    <w:rPr>
                      <w:rFonts w:ascii="Times New Roman" w:hAnsi="Times New Roman" w:eastAsia="宋体"/>
                      <w:color w:val="auto"/>
                      <w:spacing w:val="-1"/>
                      <w:w w:val="99"/>
                      <w:sz w:val="21"/>
                      <w:szCs w:val="21"/>
                    </w:rPr>
                    <w:t>高达</w:t>
                  </w:r>
                  <w:r>
                    <w:rPr>
                      <w:rFonts w:ascii="Times New Roman" w:hAnsi="Times New Roman" w:eastAsia="宋体"/>
                      <w:color w:val="auto"/>
                      <w:spacing w:val="1"/>
                      <w:w w:val="99"/>
                      <w:sz w:val="21"/>
                      <w:szCs w:val="21"/>
                    </w:rPr>
                    <w:t>99</w:t>
                  </w:r>
                  <w:r>
                    <w:rPr>
                      <w:rFonts w:ascii="Times New Roman" w:hAnsi="Times New Roman" w:eastAsia="宋体"/>
                      <w:color w:val="auto"/>
                      <w:w w:val="99"/>
                      <w:sz w:val="21"/>
                      <w:szCs w:val="21"/>
                    </w:rPr>
                    <w:t>.</w:t>
                  </w:r>
                  <w:r>
                    <w:rPr>
                      <w:rFonts w:ascii="Times New Roman" w:hAnsi="Times New Roman" w:eastAsia="宋体"/>
                      <w:color w:val="auto"/>
                      <w:spacing w:val="-2"/>
                      <w:w w:val="99"/>
                      <w:sz w:val="21"/>
                      <w:szCs w:val="21"/>
                    </w:rPr>
                    <w:t>7%</w:t>
                  </w:r>
                  <w:r>
                    <w:rPr>
                      <w:rFonts w:ascii="Times New Roman" w:hAnsi="Times New Roman" w:eastAsia="宋体"/>
                      <w:color w:val="auto"/>
                      <w:spacing w:val="-14"/>
                      <w:w w:val="99"/>
                      <w:sz w:val="21"/>
                      <w:szCs w:val="21"/>
                    </w:rPr>
                    <w:t>，几乎可视为纯乙</w:t>
                  </w:r>
                  <w:r>
                    <w:rPr>
                      <w:rFonts w:ascii="Times New Roman" w:hAnsi="Times New Roman" w:eastAsia="宋体"/>
                      <w:color w:val="auto"/>
                      <w:sz w:val="21"/>
                      <w:szCs w:val="21"/>
                    </w:rPr>
                    <w:t>醇，按纯乙醇考虑，VOCs含量限值最大为789g/L≤900g/L</w:t>
                  </w:r>
                </w:p>
              </w:tc>
            </w:tr>
            <w:tr w14:paraId="0A95A5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vMerge w:val="continue"/>
                  <w:tcBorders>
                    <w:tl2br w:val="nil"/>
                    <w:tr2bl w:val="nil"/>
                  </w:tcBorders>
                  <w:vAlign w:val="center"/>
                </w:tcPr>
                <w:p w14:paraId="20B8865A">
                  <w:pPr>
                    <w:pStyle w:val="2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1116" w:type="pct"/>
                  <w:vMerge w:val="continue"/>
                  <w:tcBorders>
                    <w:tl2br w:val="nil"/>
                    <w:tr2bl w:val="nil"/>
                  </w:tcBorders>
                  <w:vAlign w:val="center"/>
                </w:tcPr>
                <w:p w14:paraId="3C973C8A">
                  <w:pPr>
                    <w:pStyle w:val="2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2696" w:type="pct"/>
                  <w:tcBorders>
                    <w:tl2br w:val="nil"/>
                    <w:tr2bl w:val="nil"/>
                  </w:tcBorders>
                  <w:vAlign w:val="center"/>
                </w:tcPr>
                <w:p w14:paraId="6061479B">
                  <w:pPr>
                    <w:pStyle w:val="5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olor w:val="auto"/>
                      <w:sz w:val="21"/>
                      <w:szCs w:val="21"/>
                      <w:vertAlign w:val="baseline"/>
                      <w:lang w:val="en-US" w:eastAsia="zh-CN"/>
                    </w:rPr>
                  </w:pPr>
                  <w:r>
                    <w:rPr>
                      <w:rFonts w:ascii="Times New Roman" w:hAnsi="Times New Roman" w:eastAsia="宋体"/>
                      <w:color w:val="auto"/>
                      <w:sz w:val="21"/>
                      <w:szCs w:val="21"/>
                    </w:rPr>
                    <w:t>本次项目使用有机溶剂乙醚，乙醚相对密度（水=1）：0.7135g/cm</w:t>
                  </w:r>
                  <w:r>
                    <w:rPr>
                      <w:rFonts w:hint="eastAsia" w:ascii="Times New Roman" w:hAnsi="Times New Roman"/>
                      <w:color w:val="auto"/>
                      <w:sz w:val="21"/>
                      <w:szCs w:val="21"/>
                      <w:vertAlign w:val="superscript"/>
                      <w:lang w:val="en-US" w:eastAsia="zh-CN"/>
                    </w:rPr>
                    <w:t>3</w:t>
                  </w:r>
                  <w:r>
                    <w:rPr>
                      <w:rFonts w:ascii="Times New Roman" w:hAnsi="Times New Roman" w:eastAsia="宋体"/>
                      <w:color w:val="auto"/>
                      <w:sz w:val="21"/>
                      <w:szCs w:val="21"/>
                    </w:rPr>
                    <w:t>（20℃），项目用乙醚纯度</w:t>
                  </w:r>
                  <w:r>
                    <w:rPr>
                      <w:rFonts w:ascii="Times New Roman" w:hAnsi="Times New Roman" w:eastAsia="宋体"/>
                      <w:color w:val="auto"/>
                      <w:spacing w:val="-1"/>
                      <w:w w:val="99"/>
                      <w:sz w:val="21"/>
                      <w:szCs w:val="21"/>
                    </w:rPr>
                    <w:t>高达</w:t>
                  </w:r>
                  <w:r>
                    <w:rPr>
                      <w:rFonts w:ascii="Times New Roman" w:hAnsi="Times New Roman" w:eastAsia="宋体"/>
                      <w:color w:val="auto"/>
                      <w:spacing w:val="1"/>
                      <w:w w:val="99"/>
                      <w:sz w:val="21"/>
                      <w:szCs w:val="21"/>
                    </w:rPr>
                    <w:t>99</w:t>
                  </w:r>
                  <w:r>
                    <w:rPr>
                      <w:rFonts w:ascii="Times New Roman" w:hAnsi="Times New Roman" w:eastAsia="宋体"/>
                      <w:color w:val="auto"/>
                      <w:w w:val="99"/>
                      <w:sz w:val="21"/>
                      <w:szCs w:val="21"/>
                    </w:rPr>
                    <w:t>.</w:t>
                  </w:r>
                  <w:r>
                    <w:rPr>
                      <w:rFonts w:ascii="Times New Roman" w:hAnsi="Times New Roman" w:eastAsia="宋体"/>
                      <w:color w:val="auto"/>
                      <w:spacing w:val="-2"/>
                      <w:w w:val="99"/>
                      <w:sz w:val="21"/>
                      <w:szCs w:val="21"/>
                    </w:rPr>
                    <w:t>5%</w:t>
                  </w:r>
                  <w:r>
                    <w:rPr>
                      <w:rFonts w:ascii="Times New Roman" w:hAnsi="Times New Roman" w:eastAsia="宋体"/>
                      <w:color w:val="auto"/>
                      <w:spacing w:val="-14"/>
                      <w:w w:val="99"/>
                      <w:sz w:val="21"/>
                      <w:szCs w:val="21"/>
                    </w:rPr>
                    <w:t>，几乎可视为纯乙</w:t>
                  </w:r>
                  <w:r>
                    <w:rPr>
                      <w:rFonts w:ascii="Times New Roman" w:hAnsi="Times New Roman" w:eastAsia="宋体"/>
                      <w:color w:val="auto"/>
                      <w:sz w:val="21"/>
                      <w:szCs w:val="21"/>
                    </w:rPr>
                    <w:t>醚，按纯乙醚考虑，VOCs含量限值最大为714</w:t>
                  </w:r>
                  <w:r>
                    <w:rPr>
                      <w:rFonts w:hint="eastAsia" w:ascii="Times New Roman" w:hAnsi="Times New Roman"/>
                      <w:color w:val="auto"/>
                      <w:sz w:val="21"/>
                      <w:szCs w:val="21"/>
                      <w:lang w:val="en-US" w:eastAsia="zh-CN"/>
                    </w:rPr>
                    <w:t>g</w:t>
                  </w:r>
                  <w:r>
                    <w:rPr>
                      <w:rFonts w:ascii="Times New Roman" w:hAnsi="Times New Roman" w:eastAsia="宋体"/>
                      <w:color w:val="auto"/>
                      <w:sz w:val="21"/>
                      <w:szCs w:val="21"/>
                    </w:rPr>
                    <w:t>/L≤900g/L</w:t>
                  </w:r>
                </w:p>
              </w:tc>
            </w:tr>
            <w:tr w14:paraId="22C831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vMerge w:val="continue"/>
                  <w:tcBorders>
                    <w:tl2br w:val="nil"/>
                    <w:tr2bl w:val="nil"/>
                  </w:tcBorders>
                  <w:vAlign w:val="center"/>
                </w:tcPr>
                <w:p w14:paraId="456DCB8A">
                  <w:pPr>
                    <w:pStyle w:val="2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1116" w:type="pct"/>
                  <w:vMerge w:val="continue"/>
                  <w:tcBorders>
                    <w:tl2br w:val="nil"/>
                    <w:tr2bl w:val="nil"/>
                  </w:tcBorders>
                  <w:vAlign w:val="center"/>
                </w:tcPr>
                <w:p w14:paraId="32CB076D">
                  <w:pPr>
                    <w:pStyle w:val="2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2696" w:type="pct"/>
                  <w:tcBorders>
                    <w:tl2br w:val="nil"/>
                    <w:tr2bl w:val="nil"/>
                  </w:tcBorders>
                  <w:vAlign w:val="center"/>
                </w:tcPr>
                <w:p w14:paraId="1C864D37">
                  <w:pPr>
                    <w:pStyle w:val="5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z w:val="21"/>
                      <w:szCs w:val="21"/>
                    </w:rPr>
                    <w:t>本次项目使用有机溶剂丙酮，丙酮相对密度（水=1）：0.788g/cm</w:t>
                  </w:r>
                  <w:r>
                    <w:rPr>
                      <w:rFonts w:hint="eastAsia" w:ascii="Times New Roman" w:hAnsi="Times New Roman"/>
                      <w:color w:val="auto"/>
                      <w:sz w:val="21"/>
                      <w:szCs w:val="21"/>
                      <w:vertAlign w:val="superscript"/>
                      <w:lang w:val="en-US" w:eastAsia="zh-CN"/>
                    </w:rPr>
                    <w:t>3</w:t>
                  </w:r>
                  <w:r>
                    <w:rPr>
                      <w:rFonts w:ascii="Times New Roman" w:hAnsi="Times New Roman" w:eastAsia="宋体"/>
                      <w:color w:val="auto"/>
                      <w:sz w:val="21"/>
                      <w:szCs w:val="21"/>
                    </w:rPr>
                    <w:t>项目用丙酮纯度高达99.5%几乎可视为纯丙酮，按纯丙</w:t>
                  </w:r>
                  <w:r>
                    <w:rPr>
                      <w:rFonts w:ascii="Times New Roman" w:hAnsi="Times New Roman" w:eastAsia="宋体"/>
                      <w:color w:val="auto"/>
                      <w:spacing w:val="-5"/>
                      <w:sz w:val="21"/>
                      <w:szCs w:val="21"/>
                    </w:rPr>
                    <w:t>酮考虑，</w:t>
                  </w:r>
                  <w:r>
                    <w:rPr>
                      <w:rFonts w:ascii="Times New Roman" w:hAnsi="Times New Roman" w:eastAsia="宋体"/>
                      <w:color w:val="auto"/>
                      <w:spacing w:val="-17"/>
                      <w:sz w:val="21"/>
                      <w:szCs w:val="21"/>
                    </w:rPr>
                    <w:t>VOCs</w:t>
                  </w:r>
                  <w:r>
                    <w:rPr>
                      <w:rFonts w:ascii="Times New Roman" w:hAnsi="Times New Roman" w:eastAsia="宋体"/>
                      <w:color w:val="auto"/>
                      <w:sz w:val="21"/>
                      <w:szCs w:val="21"/>
                    </w:rPr>
                    <w:t>含量限值最大为788</w:t>
                  </w:r>
                  <w:r>
                    <w:rPr>
                      <w:rFonts w:hint="eastAsia" w:ascii="Times New Roman" w:hAnsi="Times New Roman"/>
                      <w:color w:val="auto"/>
                      <w:sz w:val="21"/>
                      <w:szCs w:val="21"/>
                      <w:lang w:val="en-US" w:eastAsia="zh-CN"/>
                    </w:rPr>
                    <w:t>g</w:t>
                  </w:r>
                  <w:r>
                    <w:rPr>
                      <w:rFonts w:ascii="Times New Roman" w:hAnsi="Times New Roman" w:eastAsia="宋体"/>
                      <w:color w:val="auto"/>
                      <w:sz w:val="21"/>
                      <w:szCs w:val="21"/>
                    </w:rPr>
                    <w:t>/L≤900g/L</w:t>
                  </w:r>
                </w:p>
              </w:tc>
            </w:tr>
            <w:tr w14:paraId="67241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1186" w:type="pct"/>
                  <w:vMerge w:val="continue"/>
                  <w:tcBorders>
                    <w:tl2br w:val="nil"/>
                    <w:tr2bl w:val="nil"/>
                  </w:tcBorders>
                  <w:vAlign w:val="center"/>
                </w:tcPr>
                <w:p w14:paraId="173361FA">
                  <w:pPr>
                    <w:pStyle w:val="2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1116" w:type="pct"/>
                  <w:tcBorders>
                    <w:tl2br w:val="nil"/>
                    <w:tr2bl w:val="nil"/>
                  </w:tcBorders>
                  <w:vAlign w:val="center"/>
                </w:tcPr>
                <w:p w14:paraId="7E068FF3">
                  <w:pPr>
                    <w:pStyle w:val="2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hint="eastAsia"/>
                      <w:color w:val="auto"/>
                      <w:spacing w:val="-8"/>
                      <w:sz w:val="21"/>
                      <w:szCs w:val="21"/>
                      <w:lang w:val="en-US" w:eastAsia="zh-CN"/>
                    </w:rPr>
                    <w:t>水基</w:t>
                  </w:r>
                  <w:r>
                    <w:rPr>
                      <w:rFonts w:ascii="Times New Roman" w:hAnsi="Times New Roman" w:eastAsia="宋体"/>
                      <w:color w:val="auto"/>
                      <w:spacing w:val="-8"/>
                      <w:sz w:val="21"/>
                      <w:szCs w:val="21"/>
                    </w:rPr>
                    <w:t>清洗剂</w:t>
                  </w:r>
                  <w:r>
                    <w:rPr>
                      <w:rFonts w:ascii="Times New Roman" w:hAnsi="Times New Roman" w:eastAsia="宋体"/>
                      <w:color w:val="auto"/>
                      <w:sz w:val="21"/>
                      <w:szCs w:val="21"/>
                    </w:rPr>
                    <w:t>VOCs含量限值≤</w:t>
                  </w:r>
                  <w:r>
                    <w:rPr>
                      <w:rFonts w:hint="eastAsia"/>
                      <w:color w:val="auto"/>
                      <w:sz w:val="21"/>
                      <w:szCs w:val="21"/>
                      <w:lang w:val="en-US" w:eastAsia="zh-CN"/>
                    </w:rPr>
                    <w:t>50</w:t>
                  </w:r>
                  <w:r>
                    <w:rPr>
                      <w:rFonts w:ascii="Times New Roman" w:hAnsi="Times New Roman" w:eastAsia="宋体"/>
                      <w:color w:val="auto"/>
                      <w:sz w:val="21"/>
                      <w:szCs w:val="21"/>
                    </w:rPr>
                    <w:t>g/L</w:t>
                  </w:r>
                </w:p>
              </w:tc>
              <w:tc>
                <w:tcPr>
                  <w:tcW w:w="2696" w:type="pct"/>
                  <w:tcBorders>
                    <w:tl2br w:val="nil"/>
                    <w:tr2bl w:val="nil"/>
                  </w:tcBorders>
                  <w:shd w:val="clear" w:color="auto" w:fill="auto"/>
                  <w:vAlign w:val="center"/>
                </w:tcPr>
                <w:p w14:paraId="77B65CD9">
                  <w:pPr>
                    <w:pStyle w:val="5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宋体"/>
                      <w:color w:val="auto"/>
                      <w:kern w:val="2"/>
                      <w:sz w:val="21"/>
                      <w:szCs w:val="21"/>
                      <w:lang w:val="en-US" w:eastAsia="zh-CN" w:bidi="zh-CN"/>
                    </w:rPr>
                  </w:pPr>
                  <w:r>
                    <w:rPr>
                      <w:rFonts w:ascii="Times New Roman" w:hAnsi="Times New Roman" w:eastAsia="宋体"/>
                      <w:color w:val="auto"/>
                      <w:sz w:val="21"/>
                      <w:szCs w:val="21"/>
                    </w:rPr>
                    <w:t>本次项目使用</w:t>
                  </w:r>
                  <w:r>
                    <w:rPr>
                      <w:rFonts w:hint="eastAsia" w:ascii="Times New Roman" w:hAnsi="Times New Roman"/>
                      <w:color w:val="auto"/>
                      <w:sz w:val="21"/>
                      <w:szCs w:val="21"/>
                      <w:lang w:val="en-US" w:eastAsia="zh-CN"/>
                    </w:rPr>
                    <w:t>水基型清洗剂</w:t>
                  </w:r>
                  <w:r>
                    <w:rPr>
                      <w:rFonts w:ascii="Times New Roman" w:hAnsi="Times New Roman" w:eastAsia="宋体"/>
                      <w:color w:val="auto"/>
                      <w:sz w:val="21"/>
                      <w:szCs w:val="21"/>
                    </w:rPr>
                    <w:t>，根据企业提供资料，其相对密度：</w:t>
                  </w:r>
                  <w:r>
                    <w:rPr>
                      <w:rFonts w:hint="eastAsia" w:ascii="Times New Roman" w:hAnsi="Times New Roman"/>
                      <w:color w:val="auto"/>
                      <w:sz w:val="21"/>
                      <w:szCs w:val="21"/>
                      <w:lang w:val="en-US" w:eastAsia="zh-CN"/>
                    </w:rPr>
                    <w:t>1.18±0.05</w:t>
                  </w:r>
                  <w:r>
                    <w:rPr>
                      <w:rFonts w:ascii="Times New Roman" w:hAnsi="Times New Roman" w:eastAsia="宋体"/>
                      <w:color w:val="auto"/>
                      <w:sz w:val="21"/>
                      <w:szCs w:val="21"/>
                    </w:rPr>
                    <w:t>g/cm</w:t>
                  </w:r>
                  <w:r>
                    <w:rPr>
                      <w:rFonts w:hint="eastAsia" w:ascii="Times New Roman" w:hAnsi="Times New Roman"/>
                      <w:color w:val="auto"/>
                      <w:sz w:val="21"/>
                      <w:szCs w:val="21"/>
                      <w:vertAlign w:val="superscript"/>
                      <w:lang w:val="en-US" w:eastAsia="zh-CN"/>
                    </w:rPr>
                    <w:t>3</w:t>
                  </w:r>
                  <w:r>
                    <w:rPr>
                      <w:rFonts w:ascii="Times New Roman" w:hAnsi="Times New Roman" w:eastAsia="宋体"/>
                      <w:color w:val="auto"/>
                      <w:sz w:val="21"/>
                      <w:szCs w:val="21"/>
                    </w:rPr>
                    <w:t>，则每升</w:t>
                  </w:r>
                  <w:r>
                    <w:rPr>
                      <w:rFonts w:hint="eastAsia" w:ascii="Times New Roman" w:hAnsi="Times New Roman"/>
                      <w:color w:val="auto"/>
                      <w:sz w:val="21"/>
                      <w:szCs w:val="21"/>
                      <w:lang w:val="en-US" w:eastAsia="zh-CN"/>
                    </w:rPr>
                    <w:t>清洗剂</w:t>
                  </w:r>
                  <w:r>
                    <w:rPr>
                      <w:rFonts w:ascii="Times New Roman" w:hAnsi="Times New Roman" w:eastAsia="宋体"/>
                      <w:color w:val="auto"/>
                      <w:spacing w:val="-15"/>
                      <w:sz w:val="21"/>
                      <w:szCs w:val="21"/>
                    </w:rPr>
                    <w:t>重约</w:t>
                  </w:r>
                  <w:r>
                    <w:rPr>
                      <w:rFonts w:hint="eastAsia" w:ascii="Times New Roman" w:hAnsi="Times New Roman"/>
                      <w:color w:val="auto"/>
                      <w:sz w:val="21"/>
                      <w:szCs w:val="21"/>
                      <w:lang w:val="en-US" w:eastAsia="zh-CN"/>
                    </w:rPr>
                    <w:t>1180</w:t>
                  </w:r>
                  <w:r>
                    <w:rPr>
                      <w:rFonts w:ascii="Times New Roman" w:hAnsi="Times New Roman" w:eastAsia="宋体"/>
                      <w:color w:val="auto"/>
                      <w:sz w:val="21"/>
                      <w:szCs w:val="21"/>
                    </w:rPr>
                    <w:t>g，又根据</w:t>
                  </w:r>
                  <w:r>
                    <w:rPr>
                      <w:rFonts w:ascii="Times New Roman" w:hAnsi="Times New Roman" w:eastAsia="宋体"/>
                      <w:color w:val="auto"/>
                      <w:spacing w:val="-7"/>
                      <w:sz w:val="21"/>
                      <w:szCs w:val="21"/>
                    </w:rPr>
                    <w:t>企业资料，</w:t>
                  </w:r>
                  <w:r>
                    <w:rPr>
                      <w:rFonts w:hint="eastAsia" w:ascii="Times New Roman" w:hAnsi="Times New Roman"/>
                      <w:color w:val="auto"/>
                      <w:sz w:val="21"/>
                      <w:szCs w:val="21"/>
                      <w:lang w:val="en-US" w:eastAsia="zh-CN"/>
                    </w:rPr>
                    <w:t>清洗剂73</w:t>
                  </w:r>
                  <w:r>
                    <w:rPr>
                      <w:rFonts w:ascii="Times New Roman" w:hAnsi="Times New Roman" w:eastAsia="宋体"/>
                      <w:color w:val="auto"/>
                      <w:sz w:val="21"/>
                      <w:szCs w:val="21"/>
                    </w:rPr>
                    <w:t>%为</w:t>
                  </w:r>
                  <w:r>
                    <w:rPr>
                      <w:rFonts w:hint="eastAsia" w:ascii="Times New Roman" w:hAnsi="Times New Roman"/>
                      <w:color w:val="auto"/>
                      <w:sz w:val="21"/>
                      <w:szCs w:val="21"/>
                      <w:lang w:val="en-US" w:eastAsia="zh-CN"/>
                    </w:rPr>
                    <w:t>水、脂肪醇聚氧乙烯醚为1%、碳酸钠为10%、甘油聚氧丙烯聚氧乙烯醚为1%、单烷基磷酸酯钾盐为13%</w:t>
                  </w:r>
                  <w:r>
                    <w:rPr>
                      <w:rFonts w:ascii="Times New Roman" w:hAnsi="Times New Roman" w:eastAsia="宋体"/>
                      <w:color w:val="auto"/>
                      <w:sz w:val="21"/>
                      <w:szCs w:val="21"/>
                    </w:rPr>
                    <w:t>，其余部分为助剂，按</w:t>
                  </w:r>
                  <w:r>
                    <w:rPr>
                      <w:rFonts w:hint="eastAsia" w:ascii="Times New Roman" w:hAnsi="Times New Roman"/>
                      <w:color w:val="auto"/>
                      <w:sz w:val="21"/>
                      <w:szCs w:val="21"/>
                      <w:lang w:val="en-US" w:eastAsia="zh-CN"/>
                    </w:rPr>
                    <w:t>有机成分</w:t>
                  </w:r>
                  <w:r>
                    <w:rPr>
                      <w:rFonts w:ascii="Times New Roman" w:hAnsi="Times New Roman" w:eastAsia="宋体"/>
                      <w:color w:val="auto"/>
                      <w:sz w:val="21"/>
                      <w:szCs w:val="21"/>
                    </w:rPr>
                    <w:t>全部挥发计，则挥发分含量约</w:t>
                  </w:r>
                  <w:r>
                    <w:rPr>
                      <w:rFonts w:hint="eastAsia" w:ascii="Times New Roman" w:hAnsi="Times New Roman"/>
                      <w:color w:val="auto"/>
                      <w:sz w:val="21"/>
                      <w:szCs w:val="21"/>
                      <w:lang w:val="en-US" w:eastAsia="zh-CN"/>
                    </w:rPr>
                    <w:t>47.2</w:t>
                  </w:r>
                  <w:r>
                    <w:rPr>
                      <w:rFonts w:ascii="Times New Roman" w:hAnsi="Times New Roman" w:eastAsia="宋体"/>
                      <w:color w:val="auto"/>
                      <w:sz w:val="21"/>
                      <w:szCs w:val="21"/>
                    </w:rPr>
                    <w:t>g/L≤</w:t>
                  </w:r>
                  <w:r>
                    <w:rPr>
                      <w:rFonts w:hint="eastAsia" w:ascii="Times New Roman" w:hAnsi="Times New Roman"/>
                      <w:color w:val="auto"/>
                      <w:sz w:val="21"/>
                      <w:szCs w:val="21"/>
                      <w:lang w:val="en-US" w:eastAsia="zh-CN"/>
                    </w:rPr>
                    <w:t>50</w:t>
                  </w:r>
                  <w:r>
                    <w:rPr>
                      <w:rFonts w:ascii="Times New Roman" w:hAnsi="Times New Roman" w:eastAsia="宋体"/>
                      <w:color w:val="auto"/>
                      <w:sz w:val="21"/>
                      <w:szCs w:val="21"/>
                    </w:rPr>
                    <w:t>g/</w:t>
                  </w:r>
                  <w:r>
                    <w:rPr>
                      <w:rFonts w:hint="eastAsia" w:ascii="Times New Roman" w:hAnsi="Times New Roman"/>
                      <w:color w:val="auto"/>
                      <w:sz w:val="21"/>
                      <w:szCs w:val="21"/>
                      <w:lang w:val="en-US" w:eastAsia="zh-CN"/>
                    </w:rPr>
                    <w:t>L</w:t>
                  </w:r>
                </w:p>
              </w:tc>
            </w:tr>
          </w:tbl>
          <w:p w14:paraId="085E3908">
            <w:pPr>
              <w:pStyle w:val="22"/>
              <w:bidi w:val="0"/>
              <w:rPr>
                <w:rFonts w:hint="default" w:ascii="Times New Roman" w:hAnsi="Times New Roman"/>
                <w:color w:val="auto"/>
                <w:lang w:val="en-US" w:eastAsia="zh-CN"/>
              </w:rPr>
            </w:pPr>
          </w:p>
        </w:tc>
      </w:tr>
    </w:tbl>
    <w:p w14:paraId="01DCE03E">
      <w:pPr>
        <w:spacing w:line="360" w:lineRule="auto"/>
        <w:outlineLvl w:val="0"/>
        <w:rPr>
          <w:rFonts w:ascii="Times New Roman" w:hAnsi="Times New Roman" w:eastAsia="黑体"/>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7A7B0E6D">
      <w:pPr>
        <w:pStyle w:val="2"/>
        <w:bidi w:val="0"/>
        <w:ind w:firstLine="602" w:firstLineChars="200"/>
        <w:jc w:val="center"/>
        <w:outlineLvl w:val="0"/>
        <w:rPr>
          <w:rFonts w:hint="eastAsia" w:ascii="Times New Roman" w:hAnsi="Times New Roman"/>
          <w:color w:val="auto"/>
        </w:rPr>
      </w:pPr>
      <w:r>
        <w:rPr>
          <w:rFonts w:hint="eastAsia" w:ascii="Times New Roman" w:hAnsi="Times New Roman"/>
          <w:color w:val="auto"/>
        </w:rPr>
        <w:t>二、建设项目工程分析</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8635"/>
      </w:tblGrid>
      <w:tr w14:paraId="718979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444" w:type="dxa"/>
            <w:noWrap w:val="0"/>
            <w:vAlign w:val="center"/>
          </w:tcPr>
          <w:p w14:paraId="223FC396">
            <w:pPr>
              <w:adjustRightInd w:val="0"/>
              <w:snapToGrid w:val="0"/>
              <w:spacing w:before="0" w:beforeAutospacing="0" w:after="0" w:afterAutospacing="0"/>
              <w:jc w:val="center"/>
              <w:rPr>
                <w:rFonts w:ascii="Times New Roman" w:hAnsi="Times New Roman" w:cs="宋体"/>
                <w:color w:val="auto"/>
                <w:sz w:val="21"/>
                <w:szCs w:val="21"/>
              </w:rPr>
            </w:pPr>
            <w:r>
              <w:rPr>
                <w:rFonts w:hint="eastAsia" w:ascii="Times New Roman" w:hAnsi="Times New Roman" w:cs="宋体"/>
                <w:color w:val="auto"/>
                <w:sz w:val="21"/>
                <w:szCs w:val="21"/>
              </w:rPr>
              <w:t>建设内容</w:t>
            </w:r>
          </w:p>
        </w:tc>
        <w:tc>
          <w:tcPr>
            <w:tcW w:w="8616" w:type="dxa"/>
            <w:noWrap w:val="0"/>
            <w:vAlign w:val="top"/>
          </w:tcPr>
          <w:p w14:paraId="55EAC13E">
            <w:pPr>
              <w:pStyle w:val="3"/>
              <w:keepNext/>
              <w:keepLines/>
              <w:pageBreakBefore w:val="0"/>
              <w:widowControl w:val="0"/>
              <w:kinsoku/>
              <w:wordWrap/>
              <w:topLinePunct w:val="0"/>
              <w:autoSpaceDE/>
              <w:autoSpaceDN/>
              <w:bidi w:val="0"/>
              <w:adjustRightInd/>
              <w:spacing w:before="0" w:after="0"/>
              <w:ind w:left="0" w:firstLine="562" w:firstLineChars="200"/>
              <w:textAlignment w:val="auto"/>
              <w:rPr>
                <w:rFonts w:hint="eastAsia" w:ascii="Times New Roman" w:hAnsi="Times New Roman"/>
                <w:b/>
                <w:bCs w:val="0"/>
                <w:color w:val="auto"/>
                <w:lang w:val="en-US" w:eastAsia="zh-CN"/>
              </w:rPr>
            </w:pPr>
            <w:bookmarkStart w:id="36" w:name="_Toc17886"/>
            <w:bookmarkStart w:id="37" w:name="_Toc10477"/>
            <w:r>
              <w:rPr>
                <w:rFonts w:hint="eastAsia" w:ascii="Times New Roman" w:hAnsi="Times New Roman"/>
                <w:b/>
                <w:bCs w:val="0"/>
                <w:color w:val="auto"/>
                <w:lang w:val="en-US" w:eastAsia="zh-CN"/>
              </w:rPr>
              <w:t>2.1项目基本情况</w:t>
            </w:r>
            <w:bookmarkEnd w:id="36"/>
            <w:bookmarkEnd w:id="37"/>
          </w:p>
          <w:p w14:paraId="23A4D3ED">
            <w:pPr>
              <w:pStyle w:val="4"/>
              <w:keepNext/>
              <w:keepLines/>
              <w:pageBreakBefore w:val="0"/>
              <w:widowControl w:val="0"/>
              <w:kinsoku/>
              <w:wordWrap/>
              <w:topLinePunct w:val="0"/>
              <w:autoSpaceDE/>
              <w:autoSpaceDN/>
              <w:bidi w:val="0"/>
              <w:adjustRightInd/>
              <w:ind w:left="0" w:firstLine="482" w:firstLineChars="200"/>
              <w:textAlignment w:val="auto"/>
              <w:rPr>
                <w:rFonts w:hint="eastAsia" w:ascii="Times New Roman" w:hAnsi="Times New Roman"/>
                <w:color w:val="auto"/>
                <w:lang w:val="en-US" w:eastAsia="zh-CN"/>
              </w:rPr>
            </w:pPr>
            <w:bookmarkStart w:id="38" w:name="_Toc11114"/>
            <w:r>
              <w:rPr>
                <w:rFonts w:hint="eastAsia" w:ascii="Times New Roman" w:hAnsi="Times New Roman"/>
                <w:color w:val="auto"/>
                <w:lang w:val="en-US" w:eastAsia="zh-CN"/>
              </w:rPr>
              <w:t>2.1.1项目由来</w:t>
            </w:r>
            <w:bookmarkEnd w:id="38"/>
          </w:p>
          <w:p w14:paraId="14C95891">
            <w:pPr>
              <w:pStyle w:val="22"/>
              <w:bidi w:val="0"/>
              <w:ind w:firstLine="480" w:firstLineChars="200"/>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磁晶光电科技(福州)有限责任公司是一家2020年11月成立，专注精密光学与晶体元件研发、生产及销售。拟在福建省福州市闽侯县上街镇高新大道巨泽中心1号楼2层、2号楼2-3层和3号楼2、4层（租赁福建巨泽生物医药有限公司空置厂房）建设磁晶光电科技(福州)有限责任公司年产45万片晶体、5万片精密光学元件项目。项目总投资</w:t>
            </w:r>
            <w:r>
              <w:rPr>
                <w:rFonts w:hint="eastAsia"/>
                <w:color w:val="auto"/>
                <w:sz w:val="24"/>
                <w:szCs w:val="24"/>
                <w:lang w:val="en-US" w:eastAsia="zh-CN"/>
              </w:rPr>
              <w:t>50</w:t>
            </w:r>
            <w:r>
              <w:rPr>
                <w:rFonts w:hint="eastAsia" w:ascii="Times New Roman" w:hAnsi="Times New Roman"/>
                <w:color w:val="auto"/>
                <w:sz w:val="24"/>
                <w:szCs w:val="24"/>
                <w:lang w:val="en-US" w:eastAsia="zh-CN"/>
              </w:rPr>
              <w:t>0万元，购买晶体生长设备、切割设备、加工设备、清洗设备以及镀膜设备等先进设备。原材料外购抛光粉、清洗剂、绿碳化硅、乙醇、丙酮、光学玻璃等。工艺:晶体生长、切割、粗磨、抛光、清洗等工序，生产能力为建设年产45万片晶体，其中双折射晶体（YVO4)15万片、激光晶体3万片、磁光晶体27万片，以及年产精密光学元件5万片。</w:t>
            </w:r>
          </w:p>
          <w:p w14:paraId="5462D3E4">
            <w:pPr>
              <w:pStyle w:val="22"/>
              <w:bidi w:val="0"/>
              <w:ind w:firstLine="480" w:firstLineChars="200"/>
              <w:rPr>
                <w:rFonts w:hint="eastAsia"/>
                <w:color w:val="auto"/>
                <w:sz w:val="24"/>
                <w:szCs w:val="24"/>
                <w:lang w:val="en-US" w:eastAsia="zh-CN"/>
              </w:rPr>
            </w:pPr>
            <w:r>
              <w:rPr>
                <w:rFonts w:hint="eastAsia" w:ascii="Times New Roman" w:hAnsi="Times New Roman"/>
                <w:color w:val="auto"/>
                <w:sz w:val="24"/>
                <w:szCs w:val="24"/>
                <w:lang w:val="en-US" w:eastAsia="zh-CN"/>
              </w:rPr>
              <w:t>根据《中华人民共和国环境保护法》《中华人民共和国环境影响评价法》《建设项目环境保护管理条例》，本项目需进行环境影响评价工作，再对照《建设项目环境影响评价分类管理名录》（2021年版），本项目属于</w:t>
            </w:r>
            <w:r>
              <w:rPr>
                <w:rFonts w:hint="eastAsia"/>
                <w:color w:val="auto"/>
                <w:lang w:eastAsia="zh-CN"/>
              </w:rPr>
              <w:t>“三十六、计算机、通信和其他电子设备制造业39，81、电子元件及电子专用材料制造398——印刷电路板制造；电子专用材料制造（电子化工材料制造除外）；使用有机溶剂的；有酸洗的；以上均不含仅分割、焊接、组装的</w:t>
            </w:r>
            <w:r>
              <w:rPr>
                <w:rFonts w:hint="eastAsia"/>
                <w:color w:val="auto"/>
              </w:rPr>
              <w:t>为报告表</w:t>
            </w:r>
            <w:r>
              <w:rPr>
                <w:rFonts w:hint="eastAsia"/>
                <w:color w:val="auto"/>
                <w:lang w:eastAsia="zh-CN"/>
              </w:rPr>
              <w:t>”</w:t>
            </w:r>
            <w:r>
              <w:rPr>
                <w:rFonts w:hint="default"/>
                <w:color w:val="auto"/>
              </w:rPr>
              <w:t>的相关规定</w:t>
            </w:r>
            <w:r>
              <w:rPr>
                <w:rFonts w:hint="default"/>
                <w:color w:val="auto"/>
                <w:lang w:val="en-US" w:eastAsia="zh-CN"/>
              </w:rPr>
              <w:t>，</w:t>
            </w:r>
            <w:r>
              <w:rPr>
                <w:rFonts w:hint="eastAsia"/>
                <w:color w:val="auto"/>
                <w:lang w:val="en-US" w:eastAsia="zh-CN"/>
              </w:rPr>
              <w:t>本项目工艺流程包括</w:t>
            </w:r>
            <w:r>
              <w:rPr>
                <w:rFonts w:hint="default"/>
                <w:color w:val="auto"/>
                <w:lang w:val="en-US" w:eastAsia="zh-CN"/>
              </w:rPr>
              <w:t>括晶</w:t>
            </w:r>
            <w:r>
              <w:rPr>
                <w:rFonts w:hint="eastAsia"/>
                <w:color w:val="auto"/>
                <w:lang w:val="en-US" w:eastAsia="zh-CN"/>
              </w:rPr>
              <w:t>体生长、切割、粗磨、抛光、清洗等工序</w:t>
            </w:r>
            <w:r>
              <w:rPr>
                <w:rFonts w:hint="eastAsia" w:ascii="Times New Roman" w:hAnsi="Times New Roman"/>
                <w:color w:val="auto"/>
                <w:sz w:val="24"/>
                <w:szCs w:val="24"/>
                <w:lang w:val="en-US" w:eastAsia="zh-CN"/>
              </w:rPr>
              <w:t>，使用原辅材料包括乙醇、丙酮等，因此本项目应当编制环境影响报告表。</w:t>
            </w:r>
            <w:r>
              <w:rPr>
                <w:rFonts w:hint="eastAsia"/>
                <w:color w:val="auto"/>
                <w:sz w:val="24"/>
                <w:szCs w:val="24"/>
                <w:lang w:val="en-US" w:eastAsia="zh-CN"/>
              </w:rPr>
              <w:t>详见表2.1-1。</w:t>
            </w:r>
          </w:p>
          <w:p w14:paraId="52574C61">
            <w:pPr>
              <w:pStyle w:val="22"/>
              <w:bidi w:val="0"/>
              <w:ind w:firstLine="480" w:firstLineChars="200"/>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为此</w:t>
            </w:r>
            <w:r>
              <w:rPr>
                <w:rFonts w:hint="eastAsia"/>
                <w:color w:val="auto"/>
                <w:sz w:val="24"/>
                <w:szCs w:val="24"/>
                <w:lang w:val="en-US" w:eastAsia="zh-CN"/>
              </w:rPr>
              <w:t>磁晶光电科技(福州)有限责任公司</w:t>
            </w:r>
            <w:r>
              <w:rPr>
                <w:rFonts w:hint="eastAsia" w:ascii="Times New Roman" w:hAnsi="Times New Roman"/>
                <w:color w:val="auto"/>
                <w:sz w:val="24"/>
                <w:szCs w:val="24"/>
                <w:lang w:val="en-US" w:eastAsia="zh-CN"/>
              </w:rPr>
              <w:t>委托我公司承担该项目环境影响报告表的编制工作（委托书详见附件一）。我公司技术人员经过现场勘察和工程分析，依据《环境影响评价技术导则》的要求，编制《</w:t>
            </w:r>
            <w:r>
              <w:rPr>
                <w:rFonts w:hint="eastAsia"/>
                <w:color w:val="auto"/>
                <w:sz w:val="24"/>
                <w:szCs w:val="24"/>
                <w:lang w:val="en-US" w:eastAsia="zh-CN"/>
              </w:rPr>
              <w:t>磁晶光电科技(福州)有限责任公司年产45万片晶体、5万片精密光学元件项目</w:t>
            </w:r>
            <w:r>
              <w:rPr>
                <w:rFonts w:hint="eastAsia" w:ascii="Times New Roman" w:hAnsi="Times New Roman"/>
                <w:color w:val="auto"/>
                <w:sz w:val="24"/>
                <w:szCs w:val="24"/>
                <w:lang w:val="en-US" w:eastAsia="zh-CN"/>
              </w:rPr>
              <w:t>环境影响报告表》对项目产生的污染和对环境的影响进行分析，从环境保护角度评估项目建设的可行性。</w:t>
            </w:r>
          </w:p>
          <w:p w14:paraId="37768164">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p>
          <w:p w14:paraId="07A10C83">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p>
          <w:p w14:paraId="61B9A337">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p>
          <w:p w14:paraId="1BC5EB3B">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p>
          <w:p w14:paraId="59CCC538">
            <w:pPr>
              <w:pStyle w:val="46"/>
              <w:bidi w:val="0"/>
              <w:ind w:firstLine="482" w:firstLineChars="200"/>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表2.1-</w:t>
            </w:r>
            <w:r>
              <w:rPr>
                <w:rFonts w:hint="eastAsia" w:cs="Times New Roman"/>
                <w:b/>
                <w:color w:val="auto"/>
                <w:kern w:val="0"/>
                <w:sz w:val="24"/>
                <w:szCs w:val="20"/>
                <w:lang w:val="en-US" w:eastAsia="zh-CN" w:bidi="ar-SA"/>
              </w:rPr>
              <w:t>1</w:t>
            </w:r>
            <w:r>
              <w:rPr>
                <w:rFonts w:hint="eastAsia" w:ascii="Times New Roman" w:hAnsi="Times New Roman" w:eastAsia="宋体" w:cs="Times New Roman"/>
                <w:b/>
                <w:color w:val="auto"/>
                <w:kern w:val="0"/>
                <w:sz w:val="24"/>
                <w:szCs w:val="20"/>
                <w:lang w:val="en-US" w:eastAsia="zh-CN" w:bidi="ar-SA"/>
              </w:rPr>
              <w:t xml:space="preserve">  </w:t>
            </w:r>
            <w:r>
              <w:rPr>
                <w:rFonts w:hint="default" w:ascii="Times New Roman" w:hAnsi="Times New Roman" w:eastAsia="宋体" w:cs="Times New Roman"/>
                <w:b/>
                <w:color w:val="auto"/>
                <w:kern w:val="0"/>
                <w:sz w:val="24"/>
                <w:szCs w:val="20"/>
                <w:lang w:val="en-US" w:eastAsia="zh-CN" w:bidi="ar-SA"/>
              </w:rPr>
              <w:t>建设项目环境影响评价分类管理名录</w:t>
            </w:r>
            <w:r>
              <w:rPr>
                <w:rFonts w:hint="eastAsia" w:ascii="Times New Roman" w:hAnsi="Times New Roman" w:eastAsia="宋体" w:cs="Times New Roman"/>
                <w:b/>
                <w:color w:val="auto"/>
                <w:kern w:val="0"/>
                <w:sz w:val="24"/>
                <w:szCs w:val="20"/>
                <w:lang w:val="en-US" w:eastAsia="zh-CN" w:bidi="ar-SA"/>
              </w:rPr>
              <w:t>（</w:t>
            </w:r>
            <w:r>
              <w:rPr>
                <w:rFonts w:hint="default" w:ascii="Times New Roman" w:hAnsi="Times New Roman" w:eastAsia="宋体" w:cs="Times New Roman"/>
                <w:b/>
                <w:color w:val="auto"/>
                <w:kern w:val="0"/>
                <w:sz w:val="24"/>
                <w:szCs w:val="20"/>
                <w:lang w:val="en-US" w:eastAsia="zh-CN" w:bidi="ar-SA"/>
              </w:rPr>
              <w:t>摘录</w:t>
            </w:r>
            <w:r>
              <w:rPr>
                <w:rFonts w:hint="eastAsia" w:ascii="Times New Roman" w:hAnsi="Times New Roman" w:eastAsia="宋体" w:cs="Times New Roman"/>
                <w:b/>
                <w:color w:val="auto"/>
                <w:kern w:val="0"/>
                <w:sz w:val="24"/>
                <w:szCs w:val="20"/>
                <w:lang w:val="en-US" w:eastAsia="zh-CN" w:bidi="ar-SA"/>
              </w:rPr>
              <w:t>）</w:t>
            </w:r>
          </w:p>
          <w:tbl>
            <w:tblPr>
              <w:tblStyle w:val="1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9"/>
              <w:gridCol w:w="2030"/>
              <w:gridCol w:w="1512"/>
              <w:gridCol w:w="3459"/>
              <w:gridCol w:w="956"/>
            </w:tblGrid>
            <w:tr w14:paraId="24A94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479" w:type="pct"/>
                  <w:gridSpan w:val="2"/>
                  <w:tcBorders>
                    <w:tl2br w:val="nil"/>
                    <w:tr2bl w:val="nil"/>
                  </w:tcBorders>
                  <w:shd w:val="clear" w:color="auto" w:fill="auto"/>
                  <w:noWrap w:val="0"/>
                  <w:vAlign w:val="center"/>
                </w:tcPr>
                <w:p w14:paraId="73FCC9F3">
                  <w:pPr>
                    <w:widowControl w:val="0"/>
                    <w:bidi w:val="0"/>
                    <w:adjustRightInd w:val="0"/>
                    <w:snapToGrid w:val="0"/>
                    <w:spacing w:before="10" w:beforeLines="10" w:after="10" w:afterLines="10" w:line="240" w:lineRule="auto"/>
                    <w:ind w:firstLine="422" w:firstLineChars="200"/>
                    <w:jc w:val="right"/>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 xml:space="preserve">            环评类别</w:t>
                  </w:r>
                </w:p>
                <w:p w14:paraId="4EEE7152">
                  <w:pPr>
                    <w:widowControl w:val="0"/>
                    <w:bidi w:val="0"/>
                    <w:adjustRightInd w:val="0"/>
                    <w:snapToGrid w:val="0"/>
                    <w:spacing w:before="10" w:beforeLines="10" w:after="10" w:afterLines="10" w:line="240" w:lineRule="auto"/>
                    <w:ind w:firstLine="422" w:firstLineChars="200"/>
                    <w:jc w:val="left"/>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项目类别</w:t>
                  </w:r>
                </w:p>
              </w:tc>
              <w:tc>
                <w:tcPr>
                  <w:tcW w:w="898" w:type="pct"/>
                  <w:tcBorders>
                    <w:tl2br w:val="nil"/>
                    <w:tr2bl w:val="nil"/>
                  </w:tcBorders>
                  <w:shd w:val="clear" w:color="auto" w:fill="auto"/>
                  <w:noWrap w:val="0"/>
                  <w:vAlign w:val="center"/>
                </w:tcPr>
                <w:p w14:paraId="0460BFD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报告书</w:t>
                  </w:r>
                </w:p>
              </w:tc>
              <w:tc>
                <w:tcPr>
                  <w:tcW w:w="2055" w:type="pct"/>
                  <w:tcBorders>
                    <w:tl2br w:val="nil"/>
                    <w:tr2bl w:val="nil"/>
                  </w:tcBorders>
                  <w:shd w:val="clear" w:color="auto" w:fill="A4A4A4"/>
                  <w:noWrap w:val="0"/>
                  <w:vAlign w:val="center"/>
                </w:tcPr>
                <w:p w14:paraId="7C28E56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报告表</w:t>
                  </w:r>
                </w:p>
              </w:tc>
              <w:tc>
                <w:tcPr>
                  <w:tcW w:w="566" w:type="pct"/>
                  <w:tcBorders>
                    <w:tl2br w:val="nil"/>
                    <w:tr2bl w:val="nil"/>
                  </w:tcBorders>
                  <w:noWrap w:val="0"/>
                  <w:vAlign w:val="center"/>
                </w:tcPr>
                <w:p w14:paraId="5F465F7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登记表</w:t>
                  </w:r>
                </w:p>
              </w:tc>
            </w:tr>
            <w:tr w14:paraId="1436CA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tcBorders>
                    <w:tl2br w:val="nil"/>
                    <w:tr2bl w:val="nil"/>
                  </w:tcBorders>
                  <w:shd w:val="clear" w:color="auto" w:fill="A4A4A4"/>
                  <w:noWrap w:val="0"/>
                  <w:vAlign w:val="center"/>
                </w:tcPr>
                <w:p w14:paraId="3895B7D9">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FF0000"/>
                      <w:kern w:val="0"/>
                      <w:sz w:val="21"/>
                      <w:szCs w:val="21"/>
                      <w:lang w:val="en-US" w:eastAsia="zh-CN" w:bidi="ar-SA"/>
                    </w:rPr>
                  </w:pPr>
                  <w:r>
                    <w:rPr>
                      <w:rFonts w:hint="eastAsia"/>
                      <w:color w:val="auto"/>
                      <w:sz w:val="21"/>
                      <w:szCs w:val="21"/>
                      <w:lang w:eastAsia="zh-CN"/>
                    </w:rPr>
                    <w:t>三十六、计算机、通信和其他电子设备制造业39</w:t>
                  </w:r>
                </w:p>
              </w:tc>
            </w:tr>
            <w:tr w14:paraId="6B2D82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3" w:type="pct"/>
                  <w:tcBorders>
                    <w:tl2br w:val="nil"/>
                    <w:tr2bl w:val="nil"/>
                  </w:tcBorders>
                  <w:shd w:val="clear" w:color="auto" w:fill="auto"/>
                  <w:noWrap w:val="0"/>
                  <w:vAlign w:val="center"/>
                </w:tcPr>
                <w:p w14:paraId="66090AA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81</w:t>
                  </w:r>
                </w:p>
              </w:tc>
              <w:tc>
                <w:tcPr>
                  <w:tcW w:w="1206" w:type="pct"/>
                  <w:tcBorders>
                    <w:tl2br w:val="nil"/>
                    <w:tr2bl w:val="nil"/>
                  </w:tcBorders>
                  <w:shd w:val="clear" w:color="auto" w:fill="auto"/>
                  <w:noWrap w:val="0"/>
                  <w:vAlign w:val="center"/>
                </w:tcPr>
                <w:p w14:paraId="7EDFA88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color w:val="auto"/>
                      <w:sz w:val="21"/>
                      <w:szCs w:val="21"/>
                      <w:lang w:eastAsia="zh-CN"/>
                    </w:rPr>
                    <w:t>电子元件及电子专用材料制造 398</w:t>
                  </w:r>
                </w:p>
              </w:tc>
              <w:tc>
                <w:tcPr>
                  <w:tcW w:w="898" w:type="pct"/>
                  <w:tcBorders>
                    <w:tl2br w:val="nil"/>
                    <w:tr2bl w:val="nil"/>
                  </w:tcBorders>
                  <w:shd w:val="clear" w:color="auto" w:fill="auto"/>
                  <w:noWrap w:val="0"/>
                  <w:vAlign w:val="center"/>
                </w:tcPr>
                <w:p w14:paraId="0C7AEE61">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SA"/>
                    </w:rPr>
                  </w:pPr>
                  <w:r>
                    <w:rPr>
                      <w:rFonts w:hint="eastAsia" w:ascii="宋体" w:hAnsi="宋体" w:eastAsia="宋体" w:cs="宋体"/>
                      <w:color w:val="auto"/>
                      <w:kern w:val="0"/>
                      <w:sz w:val="21"/>
                      <w:szCs w:val="21"/>
                      <w:lang w:val="en-US" w:eastAsia="zh-CN" w:bidi="ar"/>
                    </w:rPr>
                    <w:t>半导体材料制造；电子化工材料制造</w:t>
                  </w:r>
                </w:p>
              </w:tc>
              <w:tc>
                <w:tcPr>
                  <w:tcW w:w="2055" w:type="pct"/>
                  <w:tcBorders>
                    <w:tl2br w:val="nil"/>
                    <w:tr2bl w:val="nil"/>
                  </w:tcBorders>
                  <w:shd w:val="clear" w:color="auto" w:fill="A4A4A4"/>
                  <w:noWrap w:val="0"/>
                  <w:vAlign w:val="center"/>
                </w:tcPr>
                <w:p w14:paraId="2816BBC9">
                  <w:pPr>
                    <w:keepNext w:val="0"/>
                    <w:keepLines w:val="0"/>
                    <w:widowControl/>
                    <w:suppressLineNumbers w:val="0"/>
                    <w:jc w:val="both"/>
                    <w:rPr>
                      <w:rFonts w:hint="default" w:ascii="Times New Roman" w:hAnsi="Times New Roman" w:eastAsia="宋体" w:cs="Times New Roman"/>
                      <w:color w:val="auto"/>
                      <w:kern w:val="0"/>
                      <w:sz w:val="21"/>
                      <w:szCs w:val="21"/>
                      <w:lang w:val="en-US" w:eastAsia="zh-CN" w:bidi="ar-SA"/>
                    </w:rPr>
                  </w:pPr>
                  <w:r>
                    <w:rPr>
                      <w:rFonts w:hint="eastAsia" w:ascii="宋体" w:hAnsi="宋体" w:eastAsia="宋体" w:cs="宋体"/>
                      <w:color w:val="auto"/>
                      <w:kern w:val="0"/>
                      <w:sz w:val="21"/>
                      <w:szCs w:val="21"/>
                      <w:lang w:val="en-US" w:eastAsia="zh-CN" w:bidi="ar"/>
                    </w:rPr>
                    <w:t>印刷电路板制造；电子专用材料制造（电子化工材料制造除外）；使用有机溶剂的；有酸洗的以上均不含仅分割、焊接、组装的</w:t>
                  </w:r>
                </w:p>
              </w:tc>
              <w:tc>
                <w:tcPr>
                  <w:tcW w:w="566" w:type="pct"/>
                  <w:tcBorders>
                    <w:tl2br w:val="nil"/>
                    <w:tr2bl w:val="nil"/>
                  </w:tcBorders>
                  <w:noWrap w:val="0"/>
                  <w:vAlign w:val="center"/>
                </w:tcPr>
                <w:p w14:paraId="4C99DB1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FF0000"/>
                      <w:kern w:val="0"/>
                      <w:sz w:val="21"/>
                      <w:szCs w:val="20"/>
                      <w:lang w:val="en-US" w:eastAsia="zh-CN" w:bidi="ar-SA"/>
                    </w:rPr>
                  </w:pPr>
                  <w:r>
                    <w:rPr>
                      <w:rFonts w:hint="default" w:ascii="Times New Roman" w:hAnsi="Times New Roman" w:eastAsia="宋体" w:cs="Times New Roman"/>
                      <w:color w:val="FF0000"/>
                      <w:kern w:val="0"/>
                      <w:sz w:val="21"/>
                      <w:szCs w:val="20"/>
                      <w:lang w:val="en-US" w:eastAsia="zh-CN" w:bidi="ar-SA"/>
                    </w:rPr>
                    <w:t>/</w:t>
                  </w:r>
                </w:p>
              </w:tc>
            </w:tr>
          </w:tbl>
          <w:p w14:paraId="099513C9">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39" w:name="_Toc23768"/>
            <w:r>
              <w:rPr>
                <w:rFonts w:hint="eastAsia" w:ascii="Times New Roman" w:hAnsi="Times New Roman" w:eastAsia="宋体" w:cs="Times New Roman"/>
                <w:b/>
                <w:color w:val="auto"/>
                <w:kern w:val="2"/>
                <w:sz w:val="24"/>
                <w:szCs w:val="24"/>
                <w:lang w:val="en-US" w:eastAsia="zh-CN" w:bidi="ar-SA"/>
              </w:rPr>
              <w:t>2.1.2项目基本情况</w:t>
            </w:r>
            <w:bookmarkEnd w:id="39"/>
          </w:p>
          <w:p w14:paraId="265727F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（1）项目名称：</w:t>
            </w:r>
            <w:r>
              <w:rPr>
                <w:rFonts w:hint="eastAsia" w:cs="宋体"/>
                <w:color w:val="auto"/>
                <w:kern w:val="2"/>
                <w:sz w:val="24"/>
                <w:szCs w:val="24"/>
                <w:lang w:val="en-US" w:eastAsia="zh-CN" w:bidi="ar-SA"/>
              </w:rPr>
              <w:t>磁晶光电科技(福州)有限责任公司年产45万片晶体、5万片精密光学元件项目</w:t>
            </w:r>
            <w:r>
              <w:rPr>
                <w:rFonts w:hint="eastAsia" w:ascii="Times New Roman" w:hAnsi="Times New Roman" w:eastAsia="宋体" w:cs="宋体"/>
                <w:color w:val="auto"/>
                <w:kern w:val="2"/>
                <w:sz w:val="24"/>
                <w:szCs w:val="24"/>
                <w:lang w:val="en-US" w:eastAsia="zh-CN" w:bidi="ar-SA"/>
              </w:rPr>
              <w:t>；</w:t>
            </w:r>
          </w:p>
          <w:p w14:paraId="4138AEA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（2）建设单位：</w:t>
            </w:r>
            <w:r>
              <w:rPr>
                <w:rFonts w:hint="eastAsia" w:cs="宋体"/>
                <w:color w:val="auto"/>
                <w:kern w:val="2"/>
                <w:sz w:val="24"/>
                <w:szCs w:val="24"/>
                <w:lang w:val="en-US" w:eastAsia="zh-CN" w:bidi="ar-SA"/>
              </w:rPr>
              <w:t>磁晶光电科技(福州)有限责任公司</w:t>
            </w:r>
            <w:r>
              <w:rPr>
                <w:rFonts w:hint="eastAsia" w:ascii="Times New Roman" w:hAnsi="Times New Roman" w:eastAsia="宋体" w:cs="宋体"/>
                <w:color w:val="auto"/>
                <w:kern w:val="2"/>
                <w:sz w:val="24"/>
                <w:szCs w:val="24"/>
                <w:lang w:val="en-US" w:eastAsia="zh-CN" w:bidi="ar-SA"/>
              </w:rPr>
              <w:t>；</w:t>
            </w:r>
          </w:p>
          <w:p w14:paraId="573FD90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（3）建设地点：</w:t>
            </w:r>
            <w:r>
              <w:rPr>
                <w:rFonts w:hint="eastAsia" w:cs="宋体"/>
                <w:color w:val="auto"/>
                <w:kern w:val="2"/>
                <w:sz w:val="24"/>
                <w:szCs w:val="24"/>
                <w:lang w:val="en-US" w:eastAsia="zh-CN" w:bidi="ar-SA"/>
              </w:rPr>
              <w:t>福建省福州市闽侯县上街镇高新大道巨泽中心1号楼2层、2号楼2-3层和3号楼2、4层</w:t>
            </w:r>
            <w:r>
              <w:rPr>
                <w:rFonts w:hint="eastAsia" w:ascii="Times New Roman" w:hAnsi="Times New Roman" w:eastAsia="宋体" w:cs="宋体"/>
                <w:color w:val="auto"/>
                <w:kern w:val="2"/>
                <w:sz w:val="24"/>
                <w:szCs w:val="24"/>
                <w:lang w:val="en-US" w:eastAsia="zh-CN" w:bidi="ar-SA"/>
              </w:rPr>
              <w:t>；</w:t>
            </w:r>
          </w:p>
          <w:p w14:paraId="57AF4AA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（4）项目</w:t>
            </w:r>
            <w:r>
              <w:rPr>
                <w:rFonts w:hint="eastAsia" w:cs="宋体"/>
                <w:color w:val="auto"/>
                <w:kern w:val="2"/>
                <w:sz w:val="24"/>
                <w:szCs w:val="24"/>
                <w:lang w:val="en-US" w:eastAsia="zh-CN" w:bidi="ar-SA"/>
              </w:rPr>
              <w:t>拟</w:t>
            </w:r>
            <w:r>
              <w:rPr>
                <w:rFonts w:hint="default" w:ascii="Times New Roman" w:hAnsi="Times New Roman" w:eastAsia="宋体" w:cs="宋体"/>
                <w:color w:val="auto"/>
                <w:kern w:val="2"/>
                <w:sz w:val="24"/>
                <w:szCs w:val="24"/>
                <w:lang w:val="en-US" w:eastAsia="zh-CN" w:bidi="ar-SA"/>
              </w:rPr>
              <w:t>投资：</w:t>
            </w:r>
            <w:r>
              <w:rPr>
                <w:rFonts w:hint="eastAsia" w:cs="宋体"/>
                <w:color w:val="auto"/>
                <w:kern w:val="2"/>
                <w:sz w:val="24"/>
                <w:szCs w:val="24"/>
                <w:lang w:val="en-US" w:eastAsia="zh-CN" w:bidi="ar-SA"/>
              </w:rPr>
              <w:t>500</w:t>
            </w:r>
            <w:r>
              <w:rPr>
                <w:rFonts w:hint="default" w:ascii="Times New Roman" w:hAnsi="Times New Roman" w:eastAsia="宋体" w:cs="宋体"/>
                <w:color w:val="auto"/>
                <w:kern w:val="2"/>
                <w:sz w:val="24"/>
                <w:szCs w:val="24"/>
                <w:lang w:val="en-US" w:eastAsia="zh-CN" w:bidi="ar-SA"/>
              </w:rPr>
              <w:t>万元</w:t>
            </w:r>
            <w:r>
              <w:rPr>
                <w:rFonts w:hint="eastAsia" w:ascii="Times New Roman" w:hAnsi="Times New Roman" w:eastAsia="宋体" w:cs="宋体"/>
                <w:color w:val="auto"/>
                <w:kern w:val="2"/>
                <w:sz w:val="24"/>
                <w:szCs w:val="24"/>
                <w:lang w:val="en-US" w:eastAsia="zh-CN" w:bidi="ar-SA"/>
              </w:rPr>
              <w:t>；</w:t>
            </w:r>
          </w:p>
          <w:p w14:paraId="0DE58436">
            <w:pPr>
              <w:widowControl w:val="0"/>
              <w:bidi w:val="0"/>
              <w:spacing w:line="360" w:lineRule="auto"/>
              <w:ind w:firstLine="480" w:firstLineChars="200"/>
              <w:jc w:val="both"/>
              <w:rPr>
                <w:rFonts w:hint="default" w:ascii="Times New Roman" w:hAnsi="Times New Roman" w:eastAsia="宋体" w:cs="宋体"/>
                <w:color w:val="auto"/>
                <w:kern w:val="2"/>
                <w:sz w:val="24"/>
                <w:szCs w:val="24"/>
                <w:vertAlign w:val="baseline"/>
                <w:lang w:val="en-US" w:eastAsia="zh-CN" w:bidi="ar-SA"/>
              </w:rPr>
            </w:pPr>
            <w:r>
              <w:rPr>
                <w:rFonts w:hint="default" w:ascii="Times New Roman" w:hAnsi="Times New Roman" w:eastAsia="宋体" w:cs="宋体"/>
                <w:color w:val="auto"/>
                <w:kern w:val="2"/>
                <w:sz w:val="24"/>
                <w:szCs w:val="24"/>
                <w:lang w:val="en-US" w:eastAsia="zh-CN" w:bidi="ar-SA"/>
              </w:rPr>
              <w:t>（5）建设规模：</w:t>
            </w:r>
            <w:r>
              <w:rPr>
                <w:rFonts w:hint="eastAsia" w:ascii="Times New Roman" w:hAnsi="Times New Roman" w:eastAsia="宋体" w:cs="宋体"/>
                <w:color w:val="auto"/>
                <w:kern w:val="2"/>
                <w:sz w:val="24"/>
                <w:szCs w:val="24"/>
                <w:lang w:val="en-US" w:eastAsia="zh-CN" w:bidi="ar-SA"/>
              </w:rPr>
              <w:t>建筑</w:t>
            </w:r>
            <w:r>
              <w:rPr>
                <w:rFonts w:hint="default" w:ascii="Times New Roman" w:hAnsi="Times New Roman" w:eastAsia="宋体" w:cs="宋体"/>
                <w:color w:val="auto"/>
                <w:kern w:val="2"/>
                <w:sz w:val="24"/>
                <w:szCs w:val="24"/>
                <w:lang w:val="en-US" w:eastAsia="zh-CN" w:bidi="ar-SA"/>
              </w:rPr>
              <w:t>面积</w:t>
            </w:r>
            <w:r>
              <w:rPr>
                <w:rFonts w:hint="eastAsia" w:cs="宋体"/>
                <w:color w:val="auto"/>
                <w:kern w:val="2"/>
                <w:sz w:val="24"/>
                <w:szCs w:val="24"/>
                <w:lang w:val="en-US" w:eastAsia="zh-CN" w:bidi="ar-SA"/>
              </w:rPr>
              <w:t>7528.28</w:t>
            </w:r>
            <w:r>
              <w:rPr>
                <w:rFonts w:hint="default" w:ascii="Times New Roman" w:hAnsi="Times New Roman" w:eastAsia="宋体" w:cs="宋体"/>
                <w:color w:val="auto"/>
                <w:kern w:val="2"/>
                <w:sz w:val="24"/>
                <w:szCs w:val="24"/>
                <w:lang w:val="en-US" w:eastAsia="zh-CN" w:bidi="ar-SA"/>
              </w:rPr>
              <w:t>m</w:t>
            </w:r>
            <w:r>
              <w:rPr>
                <w:rFonts w:hint="default" w:ascii="Times New Roman" w:hAnsi="Times New Roman" w:eastAsia="宋体" w:cs="宋体"/>
                <w:color w:val="auto"/>
                <w:kern w:val="2"/>
                <w:sz w:val="24"/>
                <w:szCs w:val="24"/>
                <w:vertAlign w:val="superscript"/>
                <w:lang w:val="en-US" w:eastAsia="zh-CN" w:bidi="ar-SA"/>
              </w:rPr>
              <w:t>2</w:t>
            </w:r>
            <w:r>
              <w:rPr>
                <w:rFonts w:hint="eastAsia" w:ascii="Times New Roman" w:hAnsi="Times New Roman" w:eastAsia="宋体" w:cs="宋体"/>
                <w:color w:val="auto"/>
                <w:kern w:val="2"/>
                <w:sz w:val="24"/>
                <w:szCs w:val="24"/>
                <w:vertAlign w:val="baseline"/>
                <w:lang w:val="en-US" w:eastAsia="zh-CN" w:bidi="ar-SA"/>
              </w:rPr>
              <w:t>；</w:t>
            </w:r>
          </w:p>
          <w:p w14:paraId="2CAA9C7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（6）生产规模：</w:t>
            </w:r>
            <w:r>
              <w:rPr>
                <w:rFonts w:hint="eastAsia" w:cs="宋体"/>
                <w:color w:val="auto"/>
                <w:kern w:val="2"/>
                <w:sz w:val="24"/>
                <w:szCs w:val="24"/>
                <w:lang w:val="en-US" w:eastAsia="zh-CN" w:bidi="ar-SA"/>
              </w:rPr>
              <w:t>年产45万片晶体、5万片精密光学元件</w:t>
            </w:r>
            <w:r>
              <w:rPr>
                <w:rFonts w:hint="eastAsia" w:ascii="Times New Roman" w:hAnsi="Times New Roman" w:eastAsia="宋体" w:cs="宋体"/>
                <w:color w:val="auto"/>
                <w:kern w:val="2"/>
                <w:sz w:val="24"/>
                <w:szCs w:val="24"/>
                <w:lang w:val="en-US" w:eastAsia="zh-CN" w:bidi="ar-SA"/>
              </w:rPr>
              <w:t>；</w:t>
            </w:r>
          </w:p>
          <w:p w14:paraId="7347E2B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（7）职工人数：</w:t>
            </w:r>
            <w:r>
              <w:rPr>
                <w:rFonts w:hint="eastAsia" w:cs="宋体"/>
                <w:color w:val="auto"/>
                <w:kern w:val="2"/>
                <w:sz w:val="24"/>
                <w:szCs w:val="24"/>
                <w:lang w:val="en-US" w:eastAsia="zh-CN" w:bidi="ar-SA"/>
              </w:rPr>
              <w:t>项目</w:t>
            </w:r>
            <w:r>
              <w:rPr>
                <w:rFonts w:hint="default" w:ascii="Times New Roman" w:hAnsi="Times New Roman" w:eastAsia="宋体" w:cs="宋体"/>
                <w:color w:val="auto"/>
                <w:kern w:val="2"/>
                <w:sz w:val="24"/>
                <w:szCs w:val="24"/>
                <w:lang w:val="en-US" w:eastAsia="zh-CN" w:bidi="ar-SA"/>
              </w:rPr>
              <w:t>劳动定员</w:t>
            </w:r>
            <w:r>
              <w:rPr>
                <w:rFonts w:hint="eastAsia" w:cs="宋体"/>
                <w:color w:val="auto"/>
                <w:kern w:val="2"/>
                <w:sz w:val="24"/>
                <w:szCs w:val="24"/>
                <w:lang w:val="en-US" w:eastAsia="zh-CN" w:bidi="ar-SA"/>
              </w:rPr>
              <w:t>200</w:t>
            </w:r>
            <w:r>
              <w:rPr>
                <w:rFonts w:hint="default" w:ascii="Times New Roman" w:hAnsi="Times New Roman" w:eastAsia="宋体" w:cs="宋体"/>
                <w:color w:val="auto"/>
                <w:kern w:val="2"/>
                <w:sz w:val="24"/>
                <w:szCs w:val="24"/>
                <w:lang w:val="en-US" w:eastAsia="zh-CN" w:bidi="ar-SA"/>
              </w:rPr>
              <w:t>人</w:t>
            </w:r>
            <w:r>
              <w:rPr>
                <w:rFonts w:hint="eastAsia" w:ascii="Times New Roman" w:hAnsi="Times New Roman"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不</w:t>
            </w:r>
            <w:r>
              <w:rPr>
                <w:rFonts w:hint="eastAsia" w:cs="宋体"/>
                <w:color w:val="auto"/>
                <w:kern w:val="2"/>
                <w:sz w:val="24"/>
                <w:szCs w:val="24"/>
                <w:lang w:val="en-US" w:eastAsia="zh-CN" w:bidi="ar-SA"/>
              </w:rPr>
              <w:t>设置食</w:t>
            </w:r>
            <w:r>
              <w:rPr>
                <w:rFonts w:hint="default" w:ascii="Times New Roman" w:hAnsi="Times New Roman" w:eastAsia="宋体" w:cs="宋体"/>
                <w:color w:val="auto"/>
                <w:kern w:val="2"/>
                <w:sz w:val="24"/>
                <w:szCs w:val="24"/>
                <w:lang w:val="en-US" w:eastAsia="zh-CN" w:bidi="ar-SA"/>
              </w:rPr>
              <w:t>宿</w:t>
            </w:r>
            <w:r>
              <w:rPr>
                <w:rFonts w:hint="eastAsia" w:ascii="Times New Roman" w:hAnsi="Times New Roman" w:eastAsia="宋体" w:cs="宋体"/>
                <w:color w:val="auto"/>
                <w:kern w:val="2"/>
                <w:sz w:val="24"/>
                <w:szCs w:val="24"/>
                <w:lang w:val="en-US" w:eastAsia="zh-CN" w:bidi="ar-SA"/>
              </w:rPr>
              <w:t>；</w:t>
            </w:r>
          </w:p>
          <w:p w14:paraId="2808CC4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（8）工作制度</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年工作</w:t>
            </w:r>
            <w:r>
              <w:rPr>
                <w:rFonts w:hint="eastAsia" w:cs="宋体"/>
                <w:color w:val="auto"/>
                <w:kern w:val="2"/>
                <w:sz w:val="24"/>
                <w:szCs w:val="24"/>
                <w:lang w:val="en-US" w:eastAsia="zh-CN" w:bidi="ar-SA"/>
              </w:rPr>
              <w:t>260</w:t>
            </w:r>
            <w:r>
              <w:rPr>
                <w:rFonts w:hint="default" w:ascii="Times New Roman" w:hAnsi="Times New Roman" w:eastAsia="宋体" w:cs="宋体"/>
                <w:color w:val="auto"/>
                <w:kern w:val="2"/>
                <w:sz w:val="24"/>
                <w:szCs w:val="24"/>
                <w:lang w:val="en-US" w:eastAsia="zh-CN" w:bidi="ar-SA"/>
              </w:rPr>
              <w:t>天，</w:t>
            </w:r>
            <w:r>
              <w:rPr>
                <w:rFonts w:hint="eastAsia" w:ascii="Times New Roman" w:hAnsi="Times New Roman" w:eastAsia="宋体" w:cs="宋体"/>
                <w:color w:val="auto"/>
                <w:kern w:val="2"/>
                <w:sz w:val="24"/>
                <w:szCs w:val="24"/>
                <w:lang w:val="en-US" w:eastAsia="zh-CN" w:bidi="ar-SA"/>
              </w:rPr>
              <w:t>单</w:t>
            </w:r>
            <w:r>
              <w:rPr>
                <w:rFonts w:hint="default" w:ascii="Times New Roman" w:hAnsi="Times New Roman" w:eastAsia="宋体" w:cs="宋体"/>
                <w:color w:val="auto"/>
                <w:kern w:val="2"/>
                <w:sz w:val="24"/>
                <w:szCs w:val="24"/>
                <w:lang w:val="en-US" w:eastAsia="zh-CN" w:bidi="ar-SA"/>
              </w:rPr>
              <w:t>班制，每班</w:t>
            </w:r>
            <w:r>
              <w:rPr>
                <w:rFonts w:hint="eastAsia" w:ascii="Times New Roman" w:hAnsi="Times New Roman" w:eastAsia="宋体" w:cs="宋体"/>
                <w:color w:val="auto"/>
                <w:kern w:val="2"/>
                <w:sz w:val="24"/>
                <w:szCs w:val="24"/>
                <w:lang w:val="en-US" w:eastAsia="zh-CN" w:bidi="ar-SA"/>
              </w:rPr>
              <w:t>8</w:t>
            </w:r>
            <w:r>
              <w:rPr>
                <w:rFonts w:hint="default" w:ascii="Times New Roman" w:hAnsi="Times New Roman" w:eastAsia="宋体" w:cs="宋体"/>
                <w:color w:val="auto"/>
                <w:kern w:val="2"/>
                <w:sz w:val="24"/>
                <w:szCs w:val="24"/>
                <w:lang w:val="en-US" w:eastAsia="zh-CN" w:bidi="ar-SA"/>
              </w:rPr>
              <w:t>小时</w:t>
            </w:r>
            <w:r>
              <w:rPr>
                <w:rFonts w:hint="eastAsia" w:ascii="Times New Roman" w:hAnsi="Times New Roman" w:eastAsia="宋体" w:cs="宋体"/>
                <w:color w:val="auto"/>
                <w:kern w:val="2"/>
                <w:sz w:val="24"/>
                <w:szCs w:val="24"/>
                <w:lang w:val="en-US" w:eastAsia="zh-CN" w:bidi="ar-SA"/>
              </w:rPr>
              <w:t>；</w:t>
            </w:r>
          </w:p>
          <w:p w14:paraId="2978498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（9）建设性质：</w:t>
            </w:r>
            <w:r>
              <w:rPr>
                <w:rFonts w:hint="eastAsia" w:cs="宋体"/>
                <w:color w:val="auto"/>
                <w:kern w:val="2"/>
                <w:sz w:val="24"/>
                <w:szCs w:val="24"/>
                <w:lang w:val="en-US" w:eastAsia="zh-CN" w:bidi="ar-SA"/>
              </w:rPr>
              <w:t>新</w:t>
            </w:r>
            <w:r>
              <w:rPr>
                <w:rFonts w:hint="default" w:ascii="Times New Roman" w:hAnsi="Times New Roman" w:eastAsia="宋体" w:cs="宋体"/>
                <w:color w:val="auto"/>
                <w:kern w:val="2"/>
                <w:sz w:val="24"/>
                <w:szCs w:val="24"/>
                <w:lang w:val="en-US" w:eastAsia="zh-CN" w:bidi="ar-SA"/>
              </w:rPr>
              <w:t>建</w:t>
            </w:r>
            <w:r>
              <w:rPr>
                <w:rFonts w:hint="eastAsia" w:ascii="Times New Roman" w:hAnsi="Times New Roman" w:eastAsia="宋体" w:cs="宋体"/>
                <w:color w:val="auto"/>
                <w:kern w:val="2"/>
                <w:sz w:val="24"/>
                <w:szCs w:val="24"/>
                <w:lang w:val="en-US" w:eastAsia="zh-CN" w:bidi="ar-SA"/>
              </w:rPr>
              <w:t>。</w:t>
            </w:r>
          </w:p>
          <w:p w14:paraId="5AFFC45E">
            <w:pPr>
              <w:pStyle w:val="43"/>
              <w:keepNext w:val="0"/>
              <w:keepLines w:val="0"/>
              <w:pageBreakBefore w:val="0"/>
              <w:widowControl/>
              <w:kinsoku/>
              <w:wordWrap/>
              <w:overflowPunct/>
              <w:topLinePunct w:val="0"/>
              <w:autoSpaceDE/>
              <w:autoSpaceDN/>
              <w:bidi w:val="0"/>
              <w:adjustRightInd/>
              <w:snapToGrid/>
              <w:spacing w:line="360" w:lineRule="auto"/>
              <w:ind w:left="0" w:firstLine="474" w:firstLineChars="200"/>
              <w:textAlignment w:val="auto"/>
              <w:outlineLvl w:val="9"/>
              <w:rPr>
                <w:rFonts w:ascii="Times New Roman" w:hAnsi="Times New Roman" w:eastAsia="宋体" w:cs="Times New Roman"/>
                <w:b/>
                <w:bCs/>
                <w:color w:val="auto"/>
                <w:spacing w:val="-2"/>
                <w:sz w:val="24"/>
                <w:szCs w:val="24"/>
                <w:lang w:eastAsia="zh-CN"/>
              </w:rPr>
            </w:pPr>
            <w:r>
              <w:rPr>
                <w:rFonts w:ascii="Times New Roman" w:hAnsi="Times New Roman" w:eastAsia="宋体" w:cs="Times New Roman"/>
                <w:b/>
                <w:bCs/>
                <w:color w:val="auto"/>
                <w:spacing w:val="-2"/>
                <w:sz w:val="24"/>
                <w:szCs w:val="24"/>
                <w:lang w:eastAsia="zh-CN"/>
              </w:rPr>
              <w:t>2.1.3项目产品方案</w:t>
            </w:r>
          </w:p>
          <w:p w14:paraId="6EC70DC8">
            <w:pPr>
              <w:pStyle w:val="43"/>
              <w:keepNext w:val="0"/>
              <w:keepLines w:val="0"/>
              <w:pageBreakBefore w:val="0"/>
              <w:widowControl w:val="0"/>
              <w:kinsoku/>
              <w:wordWrap/>
              <w:overflowPunct/>
              <w:topLinePunct w:val="0"/>
              <w:autoSpaceDE/>
              <w:autoSpaceDN/>
              <w:bidi w:val="0"/>
              <w:adjustRightInd/>
              <w:snapToGrid/>
              <w:spacing w:line="360" w:lineRule="auto"/>
              <w:ind w:left="0" w:firstLine="472" w:firstLineChars="200"/>
              <w:textAlignment w:val="auto"/>
              <w:rPr>
                <w:rFonts w:ascii="Times New Roman" w:hAnsi="Times New Roman"/>
                <w:color w:val="auto"/>
                <w:sz w:val="24"/>
                <w:szCs w:val="24"/>
              </w:rPr>
            </w:pPr>
            <w:r>
              <w:rPr>
                <w:rFonts w:ascii="Times New Roman" w:hAnsi="Times New Roman"/>
                <w:color w:val="auto"/>
                <w:spacing w:val="-2"/>
                <w:sz w:val="24"/>
                <w:szCs w:val="24"/>
              </w:rPr>
              <w:t>本项目产品方案见表</w:t>
            </w:r>
            <w:r>
              <w:rPr>
                <w:rFonts w:ascii="Times New Roman" w:hAnsi="Times New Roman" w:eastAsia="Times New Roman" w:cs="Times New Roman"/>
                <w:color w:val="auto"/>
                <w:spacing w:val="-2"/>
                <w:sz w:val="24"/>
                <w:szCs w:val="24"/>
              </w:rPr>
              <w:t>2.1-2</w:t>
            </w:r>
            <w:r>
              <w:rPr>
                <w:rFonts w:ascii="Times New Roman" w:hAnsi="Times New Roman"/>
                <w:color w:val="auto"/>
                <w:spacing w:val="-2"/>
                <w:sz w:val="24"/>
                <w:szCs w:val="24"/>
              </w:rPr>
              <w:t>。</w:t>
            </w:r>
          </w:p>
          <w:p w14:paraId="721287D8">
            <w:pPr>
              <w:pStyle w:val="43"/>
              <w:keepNext w:val="0"/>
              <w:keepLines w:val="0"/>
              <w:pageBreakBefore w:val="0"/>
              <w:widowControl w:val="0"/>
              <w:kinsoku/>
              <w:wordWrap/>
              <w:overflowPunct/>
              <w:topLinePunct w:val="0"/>
              <w:autoSpaceDE/>
              <w:autoSpaceDN/>
              <w:bidi w:val="0"/>
              <w:adjustRightInd/>
              <w:snapToGrid/>
              <w:spacing w:line="240" w:lineRule="auto"/>
              <w:ind w:firstLine="474" w:firstLineChars="200"/>
              <w:jc w:val="center"/>
              <w:textAlignment w:val="auto"/>
              <w:rPr>
                <w:rFonts w:ascii="Times New Roman" w:hAnsi="Times New Roman"/>
                <w:color w:val="auto"/>
                <w:sz w:val="24"/>
                <w:szCs w:val="24"/>
              </w:rPr>
            </w:pPr>
            <w:r>
              <w:rPr>
                <w:rFonts w:ascii="Times New Roman" w:hAnsi="Times New Roman"/>
                <w:b/>
                <w:bCs/>
                <w:color w:val="auto"/>
                <w:spacing w:val="-2"/>
                <w:sz w:val="24"/>
                <w:szCs w:val="24"/>
              </w:rPr>
              <w:t>表</w:t>
            </w:r>
            <w:r>
              <w:rPr>
                <w:rFonts w:ascii="Times New Roman" w:hAnsi="Times New Roman" w:eastAsia="Times New Roman" w:cs="Times New Roman"/>
                <w:b/>
                <w:bCs/>
                <w:color w:val="auto"/>
                <w:spacing w:val="-2"/>
                <w:sz w:val="24"/>
                <w:szCs w:val="24"/>
              </w:rPr>
              <w:t>2.1-2</w:t>
            </w:r>
            <w:r>
              <w:rPr>
                <w:rFonts w:hint="eastAsia" w:ascii="Times New Roman" w:hAnsi="Times New Roman" w:eastAsia="宋体" w:cs="Times New Roman"/>
                <w:b/>
                <w:bCs/>
                <w:color w:val="auto"/>
                <w:spacing w:val="-2"/>
                <w:sz w:val="24"/>
                <w:szCs w:val="24"/>
                <w:lang w:val="en-US" w:eastAsia="zh-CN"/>
              </w:rPr>
              <w:t xml:space="preserve">  </w:t>
            </w:r>
            <w:r>
              <w:rPr>
                <w:rFonts w:ascii="Times New Roman" w:hAnsi="Times New Roman"/>
                <w:b/>
                <w:bCs/>
                <w:color w:val="auto"/>
                <w:spacing w:val="-2"/>
                <w:sz w:val="24"/>
                <w:szCs w:val="24"/>
              </w:rPr>
              <w:t>本项目产品方案一览表</w:t>
            </w:r>
          </w:p>
          <w:tbl>
            <w:tblPr>
              <w:tblStyle w:val="44"/>
              <w:tblW w:w="4998"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694"/>
              <w:gridCol w:w="1886"/>
              <w:gridCol w:w="2119"/>
              <w:gridCol w:w="3717"/>
            </w:tblGrid>
            <w:tr w14:paraId="2A4B287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412" w:type="pct"/>
                  <w:tcBorders>
                    <w:tl2br w:val="nil"/>
                    <w:tr2bl w:val="nil"/>
                  </w:tcBorders>
                  <w:vAlign w:val="center"/>
                </w:tcPr>
                <w:p w14:paraId="232DA939">
                  <w:pPr>
                    <w:pStyle w:val="4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宋体"/>
                      <w:b/>
                      <w:bCs/>
                      <w:color w:val="auto"/>
                      <w:sz w:val="21"/>
                      <w:szCs w:val="21"/>
                    </w:rPr>
                  </w:pPr>
                  <w:r>
                    <w:rPr>
                      <w:rFonts w:ascii="Times New Roman" w:hAnsi="Times New Roman" w:eastAsia="宋体"/>
                      <w:b/>
                      <w:bCs/>
                      <w:color w:val="auto"/>
                      <w:spacing w:val="5"/>
                      <w:sz w:val="21"/>
                      <w:szCs w:val="21"/>
                    </w:rPr>
                    <w:t>序号</w:t>
                  </w:r>
                </w:p>
              </w:tc>
              <w:tc>
                <w:tcPr>
                  <w:tcW w:w="1120" w:type="pct"/>
                  <w:tcBorders>
                    <w:tl2br w:val="nil"/>
                    <w:tr2bl w:val="nil"/>
                  </w:tcBorders>
                  <w:vAlign w:val="center"/>
                </w:tcPr>
                <w:p w14:paraId="3EF59B62">
                  <w:pPr>
                    <w:pStyle w:val="4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宋体"/>
                      <w:b/>
                      <w:bCs/>
                      <w:color w:val="auto"/>
                      <w:sz w:val="21"/>
                      <w:szCs w:val="21"/>
                    </w:rPr>
                  </w:pPr>
                  <w:r>
                    <w:rPr>
                      <w:rFonts w:ascii="Times New Roman" w:hAnsi="Times New Roman" w:eastAsia="宋体"/>
                      <w:b/>
                      <w:bCs/>
                      <w:color w:val="auto"/>
                      <w:spacing w:val="7"/>
                      <w:sz w:val="21"/>
                      <w:szCs w:val="21"/>
                    </w:rPr>
                    <w:t>产品名称</w:t>
                  </w:r>
                </w:p>
              </w:tc>
              <w:tc>
                <w:tcPr>
                  <w:tcW w:w="1258" w:type="pct"/>
                  <w:tcBorders>
                    <w:tl2br w:val="nil"/>
                    <w:tr2bl w:val="nil"/>
                  </w:tcBorders>
                  <w:vAlign w:val="center"/>
                </w:tcPr>
                <w:p w14:paraId="49735F7B">
                  <w:pPr>
                    <w:pStyle w:val="4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宋体"/>
                      <w:b/>
                      <w:bCs/>
                      <w:color w:val="auto"/>
                      <w:sz w:val="21"/>
                      <w:szCs w:val="21"/>
                    </w:rPr>
                  </w:pPr>
                  <w:r>
                    <w:rPr>
                      <w:rFonts w:ascii="Times New Roman" w:hAnsi="Times New Roman" w:eastAsia="宋体"/>
                      <w:b/>
                      <w:bCs/>
                      <w:color w:val="auto"/>
                      <w:spacing w:val="7"/>
                      <w:sz w:val="21"/>
                      <w:szCs w:val="21"/>
                    </w:rPr>
                    <w:t>产品产能</w:t>
                  </w:r>
                </w:p>
              </w:tc>
              <w:tc>
                <w:tcPr>
                  <w:tcW w:w="2207" w:type="pct"/>
                  <w:tcBorders>
                    <w:tl2br w:val="nil"/>
                    <w:tr2bl w:val="nil"/>
                  </w:tcBorders>
                  <w:vAlign w:val="center"/>
                </w:tcPr>
                <w:p w14:paraId="08A7441E">
                  <w:pPr>
                    <w:pStyle w:val="4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宋体"/>
                      <w:b/>
                      <w:bCs/>
                      <w:color w:val="auto"/>
                      <w:sz w:val="21"/>
                      <w:szCs w:val="21"/>
                    </w:rPr>
                  </w:pPr>
                  <w:r>
                    <w:rPr>
                      <w:rFonts w:ascii="Times New Roman" w:hAnsi="Times New Roman" w:eastAsia="宋体"/>
                      <w:b/>
                      <w:bCs/>
                      <w:color w:val="auto"/>
                      <w:spacing w:val="7"/>
                      <w:sz w:val="21"/>
                      <w:szCs w:val="21"/>
                    </w:rPr>
                    <w:t>产品用途</w:t>
                  </w:r>
                </w:p>
              </w:tc>
            </w:tr>
            <w:tr w14:paraId="7984B93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96" w:hRule="atLeast"/>
                <w:jc w:val="center"/>
              </w:trPr>
              <w:tc>
                <w:tcPr>
                  <w:tcW w:w="412" w:type="pct"/>
                  <w:tcBorders>
                    <w:tl2br w:val="nil"/>
                    <w:tr2bl w:val="nil"/>
                  </w:tcBorders>
                  <w:vAlign w:val="center"/>
                </w:tcPr>
                <w:p w14:paraId="6C719CA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120" w:type="pct"/>
                  <w:tcBorders>
                    <w:tl2br w:val="nil"/>
                    <w:tr2bl w:val="nil"/>
                  </w:tcBorders>
                  <w:shd w:val="clear" w:color="auto" w:fill="auto"/>
                  <w:vAlign w:val="center"/>
                </w:tcPr>
                <w:p w14:paraId="44B22FDC">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lang w:val="en-US" w:eastAsia="zh-CN"/>
                    </w:rPr>
                  </w:pPr>
                  <w:r>
                    <w:rPr>
                      <w:rFonts w:hint="eastAsia" w:ascii="Times New Roman" w:hAnsi="Times New Roman" w:eastAsia="宋体"/>
                      <w:color w:val="auto"/>
                      <w:sz w:val="21"/>
                      <w:szCs w:val="21"/>
                    </w:rPr>
                    <w:t>双折射晶体</w:t>
                  </w:r>
                </w:p>
              </w:tc>
              <w:tc>
                <w:tcPr>
                  <w:tcW w:w="1258" w:type="pct"/>
                  <w:tcBorders>
                    <w:tl2br w:val="nil"/>
                    <w:tr2bl w:val="nil"/>
                  </w:tcBorders>
                  <w:vAlign w:val="center"/>
                </w:tcPr>
                <w:p w14:paraId="03D96E25">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rPr>
                  </w:pPr>
                  <w:r>
                    <w:rPr>
                      <w:rFonts w:hint="eastAsia" w:ascii="Times New Roman" w:hAnsi="Times New Roman" w:eastAsia="宋体"/>
                      <w:color w:val="auto"/>
                      <w:sz w:val="21"/>
                      <w:szCs w:val="21"/>
                      <w:lang w:val="en-US" w:eastAsia="zh-CN"/>
                    </w:rPr>
                    <w:t>15</w:t>
                  </w:r>
                  <w:r>
                    <w:rPr>
                      <w:rFonts w:ascii="Times New Roman" w:hAnsi="Times New Roman" w:eastAsia="宋体"/>
                      <w:color w:val="auto"/>
                      <w:sz w:val="21"/>
                      <w:szCs w:val="21"/>
                    </w:rPr>
                    <w:t>万片/年</w:t>
                  </w:r>
                  <w:r>
                    <w:rPr>
                      <w:rFonts w:hint="eastAsia" w:ascii="Times New Roman" w:hAnsi="Times New Roman" w:eastAsia="宋体"/>
                      <w:color w:val="auto"/>
                      <w:sz w:val="21"/>
                      <w:szCs w:val="21"/>
                    </w:rPr>
                    <w:t xml:space="preserve"> </w:t>
                  </w:r>
                </w:p>
              </w:tc>
              <w:tc>
                <w:tcPr>
                  <w:tcW w:w="2207" w:type="pct"/>
                  <w:tcBorders>
                    <w:tl2br w:val="nil"/>
                    <w:tr2bl w:val="nil"/>
                  </w:tcBorders>
                  <w:vAlign w:val="center"/>
                </w:tcPr>
                <w:p w14:paraId="4ACA98CC">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rPr>
                  </w:pPr>
                  <w:r>
                    <w:rPr>
                      <w:rFonts w:hint="eastAsia" w:ascii="Times New Roman" w:hAnsi="Times New Roman" w:eastAsia="宋体"/>
                      <w:color w:val="auto"/>
                      <w:sz w:val="21"/>
                      <w:szCs w:val="21"/>
                    </w:rPr>
                    <w:t>光通讯等</w:t>
                  </w:r>
                </w:p>
              </w:tc>
            </w:tr>
            <w:tr w14:paraId="6B6D196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412" w:type="pct"/>
                  <w:tcBorders>
                    <w:tl2br w:val="nil"/>
                    <w:tr2bl w:val="nil"/>
                  </w:tcBorders>
                  <w:vAlign w:val="center"/>
                </w:tcPr>
                <w:p w14:paraId="1CA7A24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120" w:type="pct"/>
                  <w:tcBorders>
                    <w:tl2br w:val="nil"/>
                    <w:tr2bl w:val="nil"/>
                  </w:tcBorders>
                  <w:shd w:val="clear" w:color="auto" w:fill="auto"/>
                  <w:vAlign w:val="center"/>
                </w:tcPr>
                <w:p w14:paraId="6DEF2C7A">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lang w:val="en-US" w:eastAsia="zh-CN"/>
                    </w:rPr>
                  </w:pPr>
                  <w:r>
                    <w:rPr>
                      <w:rFonts w:hint="eastAsia" w:ascii="Times New Roman" w:hAnsi="Times New Roman" w:eastAsia="宋体"/>
                      <w:color w:val="auto"/>
                      <w:sz w:val="21"/>
                      <w:szCs w:val="21"/>
                    </w:rPr>
                    <w:t>激光晶体</w:t>
                  </w:r>
                </w:p>
              </w:tc>
              <w:tc>
                <w:tcPr>
                  <w:tcW w:w="1258" w:type="pct"/>
                  <w:tcBorders>
                    <w:tl2br w:val="nil"/>
                    <w:tr2bl w:val="nil"/>
                  </w:tcBorders>
                  <w:vAlign w:val="center"/>
                </w:tcPr>
                <w:p w14:paraId="0829674B">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rPr>
                  </w:pPr>
                  <w:r>
                    <w:rPr>
                      <w:rFonts w:hint="eastAsia" w:ascii="Times New Roman" w:hAnsi="Times New Roman" w:eastAsia="宋体"/>
                      <w:color w:val="auto"/>
                      <w:sz w:val="21"/>
                      <w:szCs w:val="21"/>
                      <w:lang w:val="en-US" w:eastAsia="zh-CN"/>
                    </w:rPr>
                    <w:t>3</w:t>
                  </w:r>
                  <w:r>
                    <w:rPr>
                      <w:rFonts w:ascii="Times New Roman" w:hAnsi="Times New Roman" w:eastAsia="宋体"/>
                      <w:color w:val="auto"/>
                      <w:sz w:val="21"/>
                      <w:szCs w:val="21"/>
                    </w:rPr>
                    <w:t>万片/年</w:t>
                  </w:r>
                </w:p>
              </w:tc>
              <w:tc>
                <w:tcPr>
                  <w:tcW w:w="2207" w:type="pct"/>
                  <w:tcBorders>
                    <w:tl2br w:val="nil"/>
                    <w:tr2bl w:val="nil"/>
                  </w:tcBorders>
                  <w:vAlign w:val="center"/>
                </w:tcPr>
                <w:p w14:paraId="20C981B1">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rPr>
                  </w:pPr>
                  <w:r>
                    <w:rPr>
                      <w:rFonts w:hint="eastAsia" w:ascii="Times New Roman" w:hAnsi="Times New Roman" w:eastAsia="宋体"/>
                      <w:color w:val="auto"/>
                      <w:sz w:val="21"/>
                      <w:szCs w:val="21"/>
                    </w:rPr>
                    <w:t>激光、医疗、军工等</w:t>
                  </w:r>
                </w:p>
              </w:tc>
            </w:tr>
            <w:tr w14:paraId="5B978A8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412" w:type="pct"/>
                  <w:tcBorders>
                    <w:tl2br w:val="nil"/>
                    <w:tr2bl w:val="nil"/>
                  </w:tcBorders>
                  <w:vAlign w:val="center"/>
                </w:tcPr>
                <w:p w14:paraId="4A57AC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120" w:type="pct"/>
                  <w:tcBorders>
                    <w:tl2br w:val="nil"/>
                    <w:tr2bl w:val="nil"/>
                  </w:tcBorders>
                  <w:shd w:val="clear" w:color="auto" w:fill="auto"/>
                  <w:vAlign w:val="center"/>
                </w:tcPr>
                <w:p w14:paraId="0C5C4758">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lang w:val="en-US" w:eastAsia="zh-CN"/>
                    </w:rPr>
                  </w:pPr>
                  <w:r>
                    <w:rPr>
                      <w:rFonts w:hint="eastAsia" w:ascii="Times New Roman" w:hAnsi="Times New Roman" w:eastAsia="宋体"/>
                      <w:color w:val="auto"/>
                      <w:sz w:val="21"/>
                      <w:szCs w:val="21"/>
                    </w:rPr>
                    <w:t>磁光晶体</w:t>
                  </w:r>
                </w:p>
              </w:tc>
              <w:tc>
                <w:tcPr>
                  <w:tcW w:w="1258" w:type="pct"/>
                  <w:tcBorders>
                    <w:tl2br w:val="nil"/>
                    <w:tr2bl w:val="nil"/>
                  </w:tcBorders>
                  <w:shd w:val="clear" w:color="auto" w:fill="auto"/>
                  <w:vAlign w:val="center"/>
                </w:tcPr>
                <w:p w14:paraId="75DF931B">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27</w:t>
                  </w:r>
                  <w:r>
                    <w:rPr>
                      <w:rFonts w:ascii="Times New Roman" w:hAnsi="Times New Roman" w:eastAsia="宋体"/>
                      <w:color w:val="auto"/>
                      <w:sz w:val="21"/>
                      <w:szCs w:val="21"/>
                    </w:rPr>
                    <w:t>万片/年</w:t>
                  </w:r>
                </w:p>
              </w:tc>
              <w:tc>
                <w:tcPr>
                  <w:tcW w:w="2207" w:type="pct"/>
                  <w:tcBorders>
                    <w:tl2br w:val="nil"/>
                    <w:tr2bl w:val="nil"/>
                  </w:tcBorders>
                  <w:shd w:val="clear" w:color="auto" w:fill="auto"/>
                  <w:vAlign w:val="center"/>
                </w:tcPr>
                <w:p w14:paraId="2C7F9DF6">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lang w:val="en-US" w:eastAsia="zh-CN"/>
                    </w:rPr>
                  </w:pPr>
                  <w:r>
                    <w:rPr>
                      <w:rFonts w:hint="eastAsia" w:ascii="Times New Roman" w:hAnsi="Times New Roman" w:eastAsia="宋体"/>
                      <w:color w:val="auto"/>
                      <w:sz w:val="21"/>
                      <w:szCs w:val="21"/>
                    </w:rPr>
                    <w:t>激光、医疗、军工等</w:t>
                  </w:r>
                </w:p>
              </w:tc>
            </w:tr>
            <w:tr w14:paraId="08E3063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412" w:type="pct"/>
                  <w:tcBorders>
                    <w:tl2br w:val="nil"/>
                    <w:tr2bl w:val="nil"/>
                  </w:tcBorders>
                  <w:vAlign w:val="center"/>
                </w:tcPr>
                <w:p w14:paraId="59EC46C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1120" w:type="pct"/>
                  <w:tcBorders>
                    <w:tl2br w:val="nil"/>
                    <w:tr2bl w:val="nil"/>
                  </w:tcBorders>
                  <w:shd w:val="clear" w:color="auto" w:fill="auto"/>
                  <w:vAlign w:val="center"/>
                </w:tcPr>
                <w:p w14:paraId="6940E451">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lang w:val="en-US" w:eastAsia="zh-CN"/>
                    </w:rPr>
                  </w:pPr>
                  <w:r>
                    <w:rPr>
                      <w:rFonts w:hint="eastAsia" w:ascii="Times New Roman" w:hAnsi="Times New Roman" w:eastAsia="宋体"/>
                      <w:color w:val="auto"/>
                      <w:sz w:val="21"/>
                      <w:szCs w:val="21"/>
                    </w:rPr>
                    <w:t>精密光学元件</w:t>
                  </w:r>
                </w:p>
              </w:tc>
              <w:tc>
                <w:tcPr>
                  <w:tcW w:w="1258" w:type="pct"/>
                  <w:tcBorders>
                    <w:tl2br w:val="nil"/>
                    <w:tr2bl w:val="nil"/>
                  </w:tcBorders>
                  <w:shd w:val="clear" w:color="auto" w:fill="auto"/>
                  <w:vAlign w:val="center"/>
                </w:tcPr>
                <w:p w14:paraId="024A9321">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w:t>
                  </w:r>
                  <w:r>
                    <w:rPr>
                      <w:rFonts w:ascii="Times New Roman" w:hAnsi="Times New Roman" w:eastAsia="宋体"/>
                      <w:color w:val="auto"/>
                      <w:sz w:val="21"/>
                      <w:szCs w:val="21"/>
                    </w:rPr>
                    <w:t>万片/年</w:t>
                  </w:r>
                </w:p>
              </w:tc>
              <w:tc>
                <w:tcPr>
                  <w:tcW w:w="2207" w:type="pct"/>
                  <w:tcBorders>
                    <w:tl2br w:val="nil"/>
                    <w:tr2bl w:val="nil"/>
                  </w:tcBorders>
                  <w:shd w:val="clear" w:color="auto" w:fill="auto"/>
                  <w:vAlign w:val="center"/>
                </w:tcPr>
                <w:p w14:paraId="1BFE5D07">
                  <w:pPr>
                    <w:pStyle w:val="4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olor w:val="auto"/>
                      <w:sz w:val="21"/>
                      <w:szCs w:val="21"/>
                      <w:lang w:val="en-US" w:eastAsia="zh-CN"/>
                    </w:rPr>
                  </w:pPr>
                  <w:r>
                    <w:rPr>
                      <w:rFonts w:hint="eastAsia" w:ascii="Times New Roman" w:hAnsi="Times New Roman" w:eastAsia="宋体"/>
                      <w:color w:val="auto"/>
                      <w:sz w:val="21"/>
                      <w:szCs w:val="21"/>
                    </w:rPr>
                    <w:t>激光、医疗等</w:t>
                  </w:r>
                </w:p>
              </w:tc>
            </w:tr>
          </w:tbl>
          <w:p w14:paraId="47627590">
            <w:pPr>
              <w:pStyle w:val="4"/>
              <w:bidi w:val="0"/>
              <w:ind w:firstLine="482" w:firstLineChars="200"/>
              <w:rPr>
                <w:rFonts w:hint="eastAsia" w:ascii="Times New Roman" w:hAnsi="Times New Roman"/>
                <w:color w:val="auto"/>
                <w:lang w:val="en-US" w:eastAsia="zh-CN"/>
              </w:rPr>
            </w:pPr>
            <w:bookmarkStart w:id="40" w:name="_Toc15761"/>
            <w:r>
              <w:rPr>
                <w:rFonts w:hint="eastAsia" w:ascii="Times New Roman" w:hAnsi="Times New Roman"/>
                <w:color w:val="auto"/>
                <w:lang w:val="en-US" w:eastAsia="zh-CN"/>
              </w:rPr>
              <w:t>2.1.4项目组成及建设内容</w:t>
            </w:r>
            <w:bookmarkEnd w:id="40"/>
          </w:p>
          <w:p w14:paraId="2EF24A3C">
            <w:pPr>
              <w:pStyle w:val="22"/>
              <w:bidi w:val="0"/>
              <w:ind w:firstLine="480" w:firstLineChars="200"/>
              <w:rPr>
                <w:rFonts w:hint="eastAsia" w:ascii="Times New Roman" w:hAnsi="Times New Roman"/>
                <w:color w:val="auto"/>
                <w:lang w:val="en-US" w:eastAsia="zh-CN"/>
              </w:rPr>
            </w:pPr>
            <w:r>
              <w:rPr>
                <w:rFonts w:hint="eastAsia"/>
                <w:color w:val="auto"/>
                <w:lang w:val="en-US" w:eastAsia="zh-CN"/>
              </w:rPr>
              <w:t>项目</w:t>
            </w:r>
            <w:r>
              <w:rPr>
                <w:rFonts w:hint="eastAsia" w:ascii="Times New Roman" w:hAnsi="Times New Roman"/>
                <w:color w:val="auto"/>
                <w:lang w:val="en-US" w:eastAsia="zh-CN"/>
              </w:rPr>
              <w:t>组成及建设内容见表2.1-3。</w:t>
            </w:r>
          </w:p>
          <w:p w14:paraId="7C5B6037">
            <w:pPr>
              <w:pStyle w:val="22"/>
              <w:bidi w:val="0"/>
              <w:ind w:firstLine="482" w:firstLineChars="20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表2.1-3  项目组成及建设内容一览表</w:t>
            </w:r>
          </w:p>
          <w:tbl>
            <w:tblPr>
              <w:tblStyle w:val="44"/>
              <w:tblW w:w="4982" w:type="pct"/>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778"/>
              <w:gridCol w:w="1212"/>
              <w:gridCol w:w="1029"/>
              <w:gridCol w:w="5370"/>
            </w:tblGrid>
            <w:tr w14:paraId="3B8F0B2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78" w:type="dxa"/>
                  <w:tcBorders>
                    <w:tl2br w:val="nil"/>
                    <w:tr2bl w:val="nil"/>
                  </w:tcBorders>
                  <w:vAlign w:val="center"/>
                </w:tcPr>
                <w:p w14:paraId="186B8FF4">
                  <w:pPr>
                    <w:pStyle w:val="30"/>
                    <w:bidi w:val="0"/>
                    <w:rPr>
                      <w:rFonts w:hint="default" w:ascii="Times New Roman" w:hAnsi="Times New Roman" w:eastAsia="宋体"/>
                      <w:b/>
                      <w:bCs/>
                      <w:color w:val="auto"/>
                      <w:sz w:val="21"/>
                      <w:szCs w:val="21"/>
                      <w:lang w:val="en-US" w:eastAsia="zh-CN"/>
                    </w:rPr>
                  </w:pPr>
                  <w:r>
                    <w:rPr>
                      <w:rFonts w:ascii="Times New Roman" w:hAnsi="Times New Roman" w:eastAsia="宋体"/>
                      <w:b/>
                      <w:bCs/>
                      <w:color w:val="auto"/>
                      <w:sz w:val="21"/>
                      <w:szCs w:val="21"/>
                    </w:rPr>
                    <w:t>工程类别</w:t>
                  </w:r>
                </w:p>
              </w:tc>
              <w:tc>
                <w:tcPr>
                  <w:tcW w:w="2241" w:type="dxa"/>
                  <w:gridSpan w:val="2"/>
                  <w:tcBorders>
                    <w:tl2br w:val="nil"/>
                    <w:tr2bl w:val="nil"/>
                  </w:tcBorders>
                  <w:vAlign w:val="center"/>
                </w:tcPr>
                <w:p w14:paraId="715774C9">
                  <w:pPr>
                    <w:pStyle w:val="30"/>
                    <w:bidi w:val="0"/>
                    <w:rPr>
                      <w:rFonts w:ascii="Times New Roman" w:hAnsi="Times New Roman" w:eastAsia="宋体"/>
                      <w:b/>
                      <w:bCs/>
                      <w:color w:val="auto"/>
                      <w:sz w:val="21"/>
                      <w:szCs w:val="21"/>
                    </w:rPr>
                  </w:pPr>
                  <w:r>
                    <w:rPr>
                      <w:rFonts w:ascii="Times New Roman" w:hAnsi="Times New Roman" w:eastAsia="宋体"/>
                      <w:b/>
                      <w:bCs/>
                      <w:color w:val="auto"/>
                      <w:sz w:val="21"/>
                      <w:szCs w:val="21"/>
                    </w:rPr>
                    <w:t>项目组成</w:t>
                  </w:r>
                </w:p>
              </w:tc>
              <w:tc>
                <w:tcPr>
                  <w:tcW w:w="5370" w:type="dxa"/>
                  <w:tcBorders>
                    <w:tl2br w:val="nil"/>
                    <w:tr2bl w:val="nil"/>
                  </w:tcBorders>
                  <w:vAlign w:val="center"/>
                </w:tcPr>
                <w:p w14:paraId="07C3005D">
                  <w:pPr>
                    <w:pStyle w:val="30"/>
                    <w:bidi w:val="0"/>
                    <w:rPr>
                      <w:rFonts w:ascii="Times New Roman" w:hAnsi="Times New Roman" w:eastAsia="宋体"/>
                      <w:b/>
                      <w:bCs/>
                      <w:color w:val="auto"/>
                      <w:sz w:val="21"/>
                      <w:szCs w:val="21"/>
                    </w:rPr>
                  </w:pPr>
                  <w:r>
                    <w:rPr>
                      <w:rFonts w:ascii="Times New Roman" w:hAnsi="Times New Roman" w:eastAsia="宋体"/>
                      <w:b/>
                      <w:bCs/>
                      <w:color w:val="auto"/>
                      <w:sz w:val="21"/>
                      <w:szCs w:val="21"/>
                    </w:rPr>
                    <w:t>具体建设内容</w:t>
                  </w:r>
                </w:p>
              </w:tc>
            </w:tr>
            <w:tr w14:paraId="282D40F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4" w:type="pct"/>
                  <w:vMerge w:val="restart"/>
                  <w:tcBorders>
                    <w:tl2br w:val="nil"/>
                    <w:tr2bl w:val="nil"/>
                  </w:tcBorders>
                  <w:vAlign w:val="center"/>
                </w:tcPr>
                <w:p w14:paraId="4D01943F">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主体</w:t>
                  </w:r>
                </w:p>
                <w:p w14:paraId="73910924">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工程</w:t>
                  </w:r>
                </w:p>
              </w:tc>
              <w:tc>
                <w:tcPr>
                  <w:tcW w:w="2241" w:type="dxa"/>
                  <w:gridSpan w:val="2"/>
                  <w:tcBorders>
                    <w:tl2br w:val="nil"/>
                    <w:tr2bl w:val="nil"/>
                  </w:tcBorders>
                  <w:vAlign w:val="center"/>
                </w:tcPr>
                <w:p w14:paraId="17E0F8FC">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olor w:val="0000FF"/>
                      <w:sz w:val="21"/>
                      <w:szCs w:val="21"/>
                      <w:lang w:val="en-US" w:eastAsia="zh-CN"/>
                    </w:rPr>
                  </w:pPr>
                  <w:r>
                    <w:rPr>
                      <w:rFonts w:hint="eastAsia" w:ascii="Times New Roman" w:hAnsi="Times New Roman"/>
                      <w:color w:val="auto"/>
                      <w:sz w:val="21"/>
                      <w:szCs w:val="21"/>
                      <w:lang w:val="en-US" w:eastAsia="zh-CN"/>
                    </w:rPr>
                    <w:t>1号楼2F</w:t>
                  </w:r>
                </w:p>
              </w:tc>
              <w:tc>
                <w:tcPr>
                  <w:tcW w:w="5370" w:type="dxa"/>
                  <w:tcBorders>
                    <w:tl2br w:val="nil"/>
                    <w:tr2bl w:val="nil"/>
                  </w:tcBorders>
                  <w:shd w:val="clear" w:color="auto" w:fill="auto"/>
                  <w:vAlign w:val="center"/>
                </w:tcPr>
                <w:p w14:paraId="1315462D">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宋体"/>
                      <w:color w:val="0000FF"/>
                      <w:sz w:val="21"/>
                      <w:szCs w:val="21"/>
                      <w:lang w:val="en-US" w:eastAsia="zh-CN" w:bidi="ar-SA"/>
                    </w:rPr>
                  </w:pPr>
                  <w:r>
                    <w:rPr>
                      <w:rFonts w:hint="default" w:ascii="Times New Roman" w:hAnsi="Times New Roman" w:eastAsia="宋体" w:cs="Times New Roman"/>
                      <w:color w:val="auto"/>
                      <w:sz w:val="21"/>
                      <w:szCs w:val="21"/>
                      <w:highlight w:val="none"/>
                      <w:lang w:val="en-US" w:eastAsia="zh-CN"/>
                    </w:rPr>
                    <w:t>建筑面积</w:t>
                  </w:r>
                  <w:r>
                    <w:rPr>
                      <w:rFonts w:hint="eastAsia" w:ascii="Times New Roman" w:hAnsi="Times New Roman" w:eastAsia="宋体"/>
                      <w:color w:val="auto"/>
                      <w:spacing w:val="-10"/>
                      <w:sz w:val="21"/>
                      <w:szCs w:val="21"/>
                      <w:lang w:val="en-US" w:eastAsia="zh-CN"/>
                    </w:rPr>
                    <w:t>2100</w:t>
                  </w:r>
                  <w:r>
                    <w:rPr>
                      <w:rFonts w:hint="default"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主要设置办公区、长晶间</w:t>
                  </w:r>
                </w:p>
              </w:tc>
            </w:tr>
            <w:tr w14:paraId="717DF2A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4" w:type="pct"/>
                  <w:vMerge w:val="continue"/>
                  <w:tcBorders>
                    <w:tl2br w:val="nil"/>
                    <w:tr2bl w:val="nil"/>
                  </w:tcBorders>
                  <w:vAlign w:val="center"/>
                </w:tcPr>
                <w:p w14:paraId="65227551">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p>
              </w:tc>
              <w:tc>
                <w:tcPr>
                  <w:tcW w:w="2241" w:type="dxa"/>
                  <w:gridSpan w:val="2"/>
                  <w:tcBorders>
                    <w:tl2br w:val="nil"/>
                    <w:tr2bl w:val="nil"/>
                  </w:tcBorders>
                  <w:vAlign w:val="center"/>
                </w:tcPr>
                <w:p w14:paraId="36AA6237">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eastAsia"/>
                      <w:color w:val="auto"/>
                      <w:sz w:val="21"/>
                      <w:szCs w:val="21"/>
                      <w:lang w:val="en-US" w:eastAsia="zh-CN"/>
                    </w:rPr>
                    <w:t>2</w:t>
                  </w:r>
                  <w:r>
                    <w:rPr>
                      <w:rFonts w:hint="eastAsia" w:ascii="Times New Roman" w:hAnsi="Times New Roman"/>
                      <w:color w:val="auto"/>
                      <w:sz w:val="21"/>
                      <w:szCs w:val="21"/>
                      <w:lang w:val="en-US" w:eastAsia="zh-CN"/>
                    </w:rPr>
                    <w:t>号楼2F</w:t>
                  </w:r>
                </w:p>
              </w:tc>
              <w:tc>
                <w:tcPr>
                  <w:tcW w:w="5370" w:type="dxa"/>
                  <w:tcBorders>
                    <w:tl2br w:val="nil"/>
                    <w:tr2bl w:val="nil"/>
                  </w:tcBorders>
                  <w:shd w:val="clear" w:color="auto" w:fill="auto"/>
                  <w:vAlign w:val="center"/>
                </w:tcPr>
                <w:p w14:paraId="0FE2E8BA">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default" w:ascii="Times New Roman" w:hAnsi="Times New Roman" w:eastAsia="宋体" w:cs="Times New Roman"/>
                      <w:color w:val="auto"/>
                      <w:sz w:val="21"/>
                      <w:szCs w:val="21"/>
                      <w:highlight w:val="none"/>
                      <w:lang w:val="en-US" w:eastAsia="zh-CN"/>
                    </w:rPr>
                    <w:t>建筑面积</w:t>
                  </w:r>
                  <w:r>
                    <w:rPr>
                      <w:rFonts w:hint="eastAsia" w:ascii="Times New Roman" w:hAnsi="Times New Roman"/>
                      <w:color w:val="auto"/>
                      <w:spacing w:val="-10"/>
                      <w:sz w:val="21"/>
                      <w:szCs w:val="21"/>
                      <w:lang w:val="en-US" w:eastAsia="zh-CN"/>
                    </w:rPr>
                    <w:t>1218</w:t>
                  </w:r>
                  <w:r>
                    <w:rPr>
                      <w:rFonts w:hint="default"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主要设置擦拭间、清洗室、抛光间等</w:t>
                  </w:r>
                </w:p>
              </w:tc>
            </w:tr>
            <w:tr w14:paraId="36B72FF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4" w:type="pct"/>
                  <w:vMerge w:val="continue"/>
                  <w:tcBorders>
                    <w:tl2br w:val="nil"/>
                    <w:tr2bl w:val="nil"/>
                  </w:tcBorders>
                  <w:vAlign w:val="center"/>
                </w:tcPr>
                <w:p w14:paraId="2F8A544E">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p>
              </w:tc>
              <w:tc>
                <w:tcPr>
                  <w:tcW w:w="2241" w:type="dxa"/>
                  <w:gridSpan w:val="2"/>
                  <w:tcBorders>
                    <w:tl2br w:val="nil"/>
                    <w:tr2bl w:val="nil"/>
                  </w:tcBorders>
                  <w:vAlign w:val="center"/>
                </w:tcPr>
                <w:p w14:paraId="2F88636A">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eastAsia"/>
                      <w:color w:val="auto"/>
                      <w:sz w:val="21"/>
                      <w:szCs w:val="21"/>
                      <w:lang w:val="en-US" w:eastAsia="zh-CN"/>
                    </w:rPr>
                    <w:t>2</w:t>
                  </w:r>
                  <w:r>
                    <w:rPr>
                      <w:rFonts w:hint="eastAsia" w:ascii="Times New Roman" w:hAnsi="Times New Roman"/>
                      <w:color w:val="auto"/>
                      <w:sz w:val="21"/>
                      <w:szCs w:val="21"/>
                      <w:lang w:val="en-US" w:eastAsia="zh-CN"/>
                    </w:rPr>
                    <w:t>号楼</w:t>
                  </w:r>
                  <w:r>
                    <w:rPr>
                      <w:rFonts w:hint="eastAsia"/>
                      <w:color w:val="auto"/>
                      <w:sz w:val="21"/>
                      <w:szCs w:val="21"/>
                      <w:lang w:val="en-US" w:eastAsia="zh-CN"/>
                    </w:rPr>
                    <w:t>3</w:t>
                  </w:r>
                  <w:r>
                    <w:rPr>
                      <w:rFonts w:hint="eastAsia" w:ascii="Times New Roman" w:hAnsi="Times New Roman"/>
                      <w:color w:val="auto"/>
                      <w:sz w:val="21"/>
                      <w:szCs w:val="21"/>
                      <w:lang w:val="en-US" w:eastAsia="zh-CN"/>
                    </w:rPr>
                    <w:t>F</w:t>
                  </w:r>
                </w:p>
              </w:tc>
              <w:tc>
                <w:tcPr>
                  <w:tcW w:w="5370" w:type="dxa"/>
                  <w:tcBorders>
                    <w:tl2br w:val="nil"/>
                    <w:tr2bl w:val="nil"/>
                  </w:tcBorders>
                  <w:shd w:val="clear" w:color="auto" w:fill="auto"/>
                  <w:vAlign w:val="center"/>
                </w:tcPr>
                <w:p w14:paraId="43C0E58D">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default" w:ascii="Times New Roman" w:hAnsi="Times New Roman" w:eastAsia="宋体" w:cs="Times New Roman"/>
                      <w:color w:val="auto"/>
                      <w:sz w:val="21"/>
                      <w:szCs w:val="21"/>
                      <w:highlight w:val="none"/>
                      <w:lang w:val="en-US" w:eastAsia="zh-CN"/>
                    </w:rPr>
                    <w:t>建筑面积</w:t>
                  </w:r>
                  <w:r>
                    <w:rPr>
                      <w:rFonts w:hint="eastAsia" w:ascii="Times New Roman" w:hAnsi="Times New Roman"/>
                      <w:color w:val="auto"/>
                      <w:spacing w:val="-10"/>
                      <w:sz w:val="21"/>
                      <w:szCs w:val="21"/>
                      <w:lang w:val="en-US" w:eastAsia="zh-CN"/>
                    </w:rPr>
                    <w:t>1218</w:t>
                  </w:r>
                  <w:r>
                    <w:rPr>
                      <w:rFonts w:hint="default"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主要设置擦拭间、清洗室、镀膜室</w:t>
                  </w:r>
                </w:p>
              </w:tc>
            </w:tr>
            <w:tr w14:paraId="125C60D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4" w:type="pct"/>
                  <w:vMerge w:val="continue"/>
                  <w:tcBorders>
                    <w:tl2br w:val="nil"/>
                    <w:tr2bl w:val="nil"/>
                  </w:tcBorders>
                  <w:vAlign w:val="center"/>
                </w:tcPr>
                <w:p w14:paraId="13C3000C">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p>
              </w:tc>
              <w:tc>
                <w:tcPr>
                  <w:tcW w:w="2241" w:type="dxa"/>
                  <w:gridSpan w:val="2"/>
                  <w:tcBorders>
                    <w:tl2br w:val="nil"/>
                    <w:tr2bl w:val="nil"/>
                  </w:tcBorders>
                  <w:vAlign w:val="center"/>
                </w:tcPr>
                <w:p w14:paraId="314C0171">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eastAsia"/>
                      <w:color w:val="auto"/>
                      <w:sz w:val="21"/>
                      <w:szCs w:val="21"/>
                      <w:lang w:val="en-US" w:eastAsia="zh-CN"/>
                    </w:rPr>
                    <w:t>3</w:t>
                  </w:r>
                  <w:r>
                    <w:rPr>
                      <w:rFonts w:hint="eastAsia" w:ascii="Times New Roman" w:hAnsi="Times New Roman"/>
                      <w:color w:val="auto"/>
                      <w:sz w:val="21"/>
                      <w:szCs w:val="21"/>
                      <w:lang w:val="en-US" w:eastAsia="zh-CN"/>
                    </w:rPr>
                    <w:t>号楼2F</w:t>
                  </w:r>
                </w:p>
              </w:tc>
              <w:tc>
                <w:tcPr>
                  <w:tcW w:w="5370" w:type="dxa"/>
                  <w:tcBorders>
                    <w:tl2br w:val="nil"/>
                    <w:tr2bl w:val="nil"/>
                  </w:tcBorders>
                  <w:shd w:val="clear" w:color="auto" w:fill="auto"/>
                  <w:vAlign w:val="center"/>
                </w:tcPr>
                <w:p w14:paraId="17DCFA37">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default" w:ascii="Times New Roman" w:hAnsi="Times New Roman" w:eastAsia="宋体" w:cs="Times New Roman"/>
                      <w:color w:val="auto"/>
                      <w:sz w:val="21"/>
                      <w:szCs w:val="21"/>
                      <w:highlight w:val="none"/>
                      <w:lang w:val="en-US" w:eastAsia="zh-CN"/>
                    </w:rPr>
                    <w:t>建筑面积</w:t>
                  </w:r>
                  <w:r>
                    <w:rPr>
                      <w:rFonts w:hint="eastAsia" w:ascii="Times New Roman" w:hAnsi="Times New Roman" w:eastAsia="宋体"/>
                      <w:color w:val="auto"/>
                      <w:spacing w:val="-10"/>
                      <w:sz w:val="21"/>
                      <w:szCs w:val="21"/>
                      <w:lang w:val="en-US" w:eastAsia="zh-CN"/>
                    </w:rPr>
                    <w:t>2100</w:t>
                  </w:r>
                  <w:r>
                    <w:rPr>
                      <w:rFonts w:hint="default"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主要设置切割间、粗磨间</w:t>
                  </w:r>
                </w:p>
              </w:tc>
            </w:tr>
            <w:tr w14:paraId="7FC5CAE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4" w:type="pct"/>
                  <w:vMerge w:val="continue"/>
                  <w:tcBorders>
                    <w:tl2br w:val="nil"/>
                    <w:tr2bl w:val="nil"/>
                  </w:tcBorders>
                  <w:vAlign w:val="center"/>
                </w:tcPr>
                <w:p w14:paraId="4FDEF60D">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p>
              </w:tc>
              <w:tc>
                <w:tcPr>
                  <w:tcW w:w="2241" w:type="dxa"/>
                  <w:gridSpan w:val="2"/>
                  <w:tcBorders>
                    <w:tl2br w:val="nil"/>
                    <w:tr2bl w:val="nil"/>
                  </w:tcBorders>
                  <w:vAlign w:val="center"/>
                </w:tcPr>
                <w:p w14:paraId="054DE4AC">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eastAsia"/>
                      <w:color w:val="auto"/>
                      <w:sz w:val="21"/>
                      <w:szCs w:val="21"/>
                      <w:lang w:val="en-US" w:eastAsia="zh-CN"/>
                    </w:rPr>
                    <w:t>3</w:t>
                  </w:r>
                  <w:r>
                    <w:rPr>
                      <w:rFonts w:hint="eastAsia" w:ascii="Times New Roman" w:hAnsi="Times New Roman"/>
                      <w:color w:val="auto"/>
                      <w:sz w:val="21"/>
                      <w:szCs w:val="21"/>
                      <w:lang w:val="en-US" w:eastAsia="zh-CN"/>
                    </w:rPr>
                    <w:t>号楼</w:t>
                  </w:r>
                  <w:r>
                    <w:rPr>
                      <w:rFonts w:hint="eastAsia"/>
                      <w:color w:val="auto"/>
                      <w:sz w:val="21"/>
                      <w:szCs w:val="21"/>
                      <w:lang w:val="en-US" w:eastAsia="zh-CN"/>
                    </w:rPr>
                    <w:t>4</w:t>
                  </w:r>
                  <w:r>
                    <w:rPr>
                      <w:rFonts w:hint="eastAsia" w:ascii="Times New Roman" w:hAnsi="Times New Roman"/>
                      <w:color w:val="auto"/>
                      <w:sz w:val="21"/>
                      <w:szCs w:val="21"/>
                      <w:lang w:val="en-US" w:eastAsia="zh-CN"/>
                    </w:rPr>
                    <w:t>F</w:t>
                  </w:r>
                </w:p>
              </w:tc>
              <w:tc>
                <w:tcPr>
                  <w:tcW w:w="5370" w:type="dxa"/>
                  <w:tcBorders>
                    <w:tl2br w:val="nil"/>
                    <w:tr2bl w:val="nil"/>
                  </w:tcBorders>
                  <w:shd w:val="clear" w:color="auto" w:fill="auto"/>
                  <w:vAlign w:val="center"/>
                </w:tcPr>
                <w:p w14:paraId="3E7E33BD">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olor w:val="0000FF"/>
                      <w:sz w:val="21"/>
                      <w:szCs w:val="21"/>
                      <w:lang w:val="en-US" w:eastAsia="zh-CN"/>
                    </w:rPr>
                  </w:pPr>
                  <w:r>
                    <w:rPr>
                      <w:rFonts w:hint="default" w:ascii="Times New Roman" w:hAnsi="Times New Roman" w:eastAsia="宋体" w:cs="Times New Roman"/>
                      <w:color w:val="auto"/>
                      <w:sz w:val="21"/>
                      <w:szCs w:val="21"/>
                      <w:highlight w:val="none"/>
                      <w:lang w:val="en-US" w:eastAsia="zh-CN"/>
                    </w:rPr>
                    <w:t>建筑面积</w:t>
                  </w:r>
                  <w:r>
                    <w:rPr>
                      <w:rFonts w:hint="eastAsia" w:ascii="Times New Roman" w:hAnsi="Times New Roman"/>
                      <w:color w:val="auto"/>
                      <w:spacing w:val="-10"/>
                      <w:sz w:val="21"/>
                      <w:szCs w:val="21"/>
                      <w:lang w:val="en-US" w:eastAsia="zh-CN"/>
                    </w:rPr>
                    <w:t>1163</w:t>
                  </w:r>
                  <w:r>
                    <w:rPr>
                      <w:rFonts w:hint="default"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主要设置长晶间</w:t>
                  </w:r>
                </w:p>
              </w:tc>
            </w:tr>
            <w:tr w14:paraId="2B8743B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464" w:type="pct"/>
                  <w:vMerge w:val="restart"/>
                  <w:tcBorders>
                    <w:tl2br w:val="nil"/>
                    <w:tr2bl w:val="nil"/>
                  </w:tcBorders>
                  <w:vAlign w:val="center"/>
                </w:tcPr>
                <w:p w14:paraId="1E1FA531">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辅助</w:t>
                  </w:r>
                </w:p>
                <w:p w14:paraId="1680ACBC">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工程</w:t>
                  </w:r>
                </w:p>
              </w:tc>
              <w:tc>
                <w:tcPr>
                  <w:tcW w:w="2241" w:type="dxa"/>
                  <w:gridSpan w:val="2"/>
                  <w:tcBorders>
                    <w:tl2br w:val="nil"/>
                    <w:tr2bl w:val="nil"/>
                  </w:tcBorders>
                  <w:vAlign w:val="center"/>
                </w:tcPr>
                <w:p w14:paraId="45BB20E0">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ascii="Times New Roman" w:hAnsi="Times New Roman" w:eastAsia="宋体"/>
                      <w:color w:val="0000FF"/>
                      <w:sz w:val="21"/>
                      <w:szCs w:val="21"/>
                    </w:rPr>
                  </w:pPr>
                  <w:r>
                    <w:rPr>
                      <w:rFonts w:ascii="Times New Roman" w:hAnsi="Times New Roman" w:eastAsia="宋体"/>
                      <w:color w:val="auto"/>
                      <w:spacing w:val="5"/>
                      <w:sz w:val="21"/>
                      <w:szCs w:val="21"/>
                    </w:rPr>
                    <w:t>仓库</w:t>
                  </w:r>
                </w:p>
              </w:tc>
              <w:tc>
                <w:tcPr>
                  <w:tcW w:w="5370" w:type="dxa"/>
                  <w:tcBorders>
                    <w:tl2br w:val="nil"/>
                    <w:tr2bl w:val="nil"/>
                  </w:tcBorders>
                  <w:vAlign w:val="center"/>
                </w:tcPr>
                <w:p w14:paraId="1E2978A8">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eastAsia="宋体" w:cs="Times New Roman"/>
                      <w:color w:val="0000FF"/>
                      <w:sz w:val="21"/>
                      <w:szCs w:val="21"/>
                      <w:lang w:val="en-US" w:eastAsia="zh-CN"/>
                    </w:rPr>
                  </w:pPr>
                  <w:r>
                    <w:rPr>
                      <w:rFonts w:hint="eastAsia" w:ascii="Times New Roman" w:hAnsi="Times New Roman" w:eastAsia="宋体"/>
                      <w:color w:val="auto"/>
                      <w:sz w:val="21"/>
                      <w:szCs w:val="21"/>
                      <w:highlight w:val="none"/>
                      <w:lang w:val="en-US" w:eastAsia="zh-CN"/>
                    </w:rPr>
                    <w:t>用于原料堆放</w:t>
                  </w:r>
                </w:p>
              </w:tc>
            </w:tr>
            <w:tr w14:paraId="2E1C0D6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464" w:type="pct"/>
                  <w:vMerge w:val="continue"/>
                  <w:tcBorders>
                    <w:tl2br w:val="nil"/>
                    <w:tr2bl w:val="nil"/>
                  </w:tcBorders>
                  <w:vAlign w:val="center"/>
                </w:tcPr>
                <w:p w14:paraId="5A3856C9">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宋体"/>
                      <w:color w:val="auto"/>
                      <w:spacing w:val="7"/>
                      <w:sz w:val="21"/>
                      <w:szCs w:val="21"/>
                      <w:lang w:val="en-US" w:eastAsia="zh-CN"/>
                    </w:rPr>
                  </w:pPr>
                </w:p>
              </w:tc>
              <w:tc>
                <w:tcPr>
                  <w:tcW w:w="2241" w:type="dxa"/>
                  <w:gridSpan w:val="2"/>
                  <w:tcBorders>
                    <w:tl2br w:val="nil"/>
                    <w:tr2bl w:val="nil"/>
                  </w:tcBorders>
                  <w:vAlign w:val="center"/>
                </w:tcPr>
                <w:p w14:paraId="114AAA69">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olor w:val="0000FF"/>
                      <w:sz w:val="21"/>
                      <w:szCs w:val="21"/>
                      <w:lang w:val="en-US"/>
                    </w:rPr>
                  </w:pPr>
                  <w:r>
                    <w:rPr>
                      <w:rFonts w:hint="default" w:ascii="Times New Roman" w:hAnsi="Times New Roman" w:eastAsia="宋体"/>
                      <w:color w:val="auto"/>
                      <w:spacing w:val="5"/>
                      <w:sz w:val="21"/>
                      <w:szCs w:val="21"/>
                      <w:lang w:val="en-US"/>
                    </w:rPr>
                    <w:t>办公区</w:t>
                  </w:r>
                </w:p>
              </w:tc>
              <w:tc>
                <w:tcPr>
                  <w:tcW w:w="5370" w:type="dxa"/>
                  <w:tcBorders>
                    <w:tl2br w:val="nil"/>
                    <w:tr2bl w:val="nil"/>
                  </w:tcBorders>
                  <w:vAlign w:val="center"/>
                </w:tcPr>
                <w:p w14:paraId="6DCD65AD">
                  <w:pPr>
                    <w:pStyle w:val="43"/>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FF"/>
                      <w:sz w:val="21"/>
                      <w:szCs w:val="21"/>
                      <w:lang w:val="en-US" w:eastAsia="zh-CN"/>
                    </w:rPr>
                  </w:pPr>
                  <w:r>
                    <w:rPr>
                      <w:rFonts w:hint="default" w:ascii="Times New Roman" w:hAnsi="Times New Roman" w:eastAsia="宋体"/>
                      <w:color w:val="auto"/>
                      <w:sz w:val="21"/>
                      <w:szCs w:val="21"/>
                      <w:highlight w:val="none"/>
                      <w:lang w:val="en-US" w:eastAsia="zh-CN"/>
                    </w:rPr>
                    <w:t>用于职工办公</w:t>
                  </w:r>
                </w:p>
              </w:tc>
            </w:tr>
            <w:tr w14:paraId="15F9827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64" w:type="pct"/>
                  <w:vMerge w:val="restart"/>
                  <w:tcBorders>
                    <w:tl2br w:val="nil"/>
                    <w:tr2bl w:val="nil"/>
                  </w:tcBorders>
                  <w:vAlign w:val="center"/>
                </w:tcPr>
                <w:p w14:paraId="1A9FCF9B">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公用</w:t>
                  </w:r>
                </w:p>
                <w:p w14:paraId="21D5777C">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工程</w:t>
                  </w:r>
                </w:p>
              </w:tc>
              <w:tc>
                <w:tcPr>
                  <w:tcW w:w="1335" w:type="pct"/>
                  <w:gridSpan w:val="2"/>
                  <w:tcBorders>
                    <w:tl2br w:val="nil"/>
                    <w:tr2bl w:val="nil"/>
                  </w:tcBorders>
                  <w:vAlign w:val="center"/>
                </w:tcPr>
                <w:p w14:paraId="521F5867">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pacing w:val="7"/>
                      <w:sz w:val="21"/>
                      <w:szCs w:val="21"/>
                    </w:rPr>
                    <w:t>供电工程</w:t>
                  </w:r>
                </w:p>
              </w:tc>
              <w:tc>
                <w:tcPr>
                  <w:tcW w:w="3200" w:type="pct"/>
                  <w:tcBorders>
                    <w:tl2br w:val="nil"/>
                    <w:tr2bl w:val="nil"/>
                  </w:tcBorders>
                  <w:vAlign w:val="center"/>
                </w:tcPr>
                <w:p w14:paraId="4FD3AF3D">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pacing w:val="4"/>
                      <w:sz w:val="21"/>
                      <w:szCs w:val="21"/>
                    </w:rPr>
                    <w:t>由市政供电系统</w:t>
                  </w:r>
                </w:p>
              </w:tc>
            </w:tr>
            <w:tr w14:paraId="53F2DDE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64" w:type="pct"/>
                  <w:vMerge w:val="continue"/>
                  <w:tcBorders>
                    <w:tl2br w:val="nil"/>
                    <w:tr2bl w:val="nil"/>
                  </w:tcBorders>
                  <w:vAlign w:val="center"/>
                </w:tcPr>
                <w:p w14:paraId="39E2B063">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p>
              </w:tc>
              <w:tc>
                <w:tcPr>
                  <w:tcW w:w="1335" w:type="pct"/>
                  <w:gridSpan w:val="2"/>
                  <w:tcBorders>
                    <w:tl2br w:val="nil"/>
                    <w:tr2bl w:val="nil"/>
                  </w:tcBorders>
                  <w:vAlign w:val="center"/>
                </w:tcPr>
                <w:p w14:paraId="002F0192">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pacing w:val="7"/>
                      <w:sz w:val="21"/>
                      <w:szCs w:val="21"/>
                    </w:rPr>
                    <w:t>供水工程</w:t>
                  </w:r>
                </w:p>
              </w:tc>
              <w:tc>
                <w:tcPr>
                  <w:tcW w:w="3200" w:type="pct"/>
                  <w:tcBorders>
                    <w:tl2br w:val="nil"/>
                    <w:tr2bl w:val="nil"/>
                  </w:tcBorders>
                  <w:vAlign w:val="center"/>
                </w:tcPr>
                <w:p w14:paraId="2CDCDF8F">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pacing w:val="6"/>
                      <w:sz w:val="21"/>
                      <w:szCs w:val="21"/>
                    </w:rPr>
                    <w:t>由市政自来水管网供水</w:t>
                  </w:r>
                </w:p>
              </w:tc>
            </w:tr>
            <w:tr w14:paraId="56BD83B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67" w:hRule="atLeast"/>
              </w:trPr>
              <w:tc>
                <w:tcPr>
                  <w:tcW w:w="464" w:type="pct"/>
                  <w:vMerge w:val="continue"/>
                  <w:tcBorders>
                    <w:tl2br w:val="nil"/>
                    <w:tr2bl w:val="nil"/>
                  </w:tcBorders>
                  <w:vAlign w:val="center"/>
                </w:tcPr>
                <w:p w14:paraId="7AE8B848">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p>
              </w:tc>
              <w:tc>
                <w:tcPr>
                  <w:tcW w:w="1335" w:type="pct"/>
                  <w:gridSpan w:val="2"/>
                  <w:tcBorders>
                    <w:tl2br w:val="nil"/>
                    <w:tr2bl w:val="nil"/>
                  </w:tcBorders>
                  <w:vAlign w:val="center"/>
                </w:tcPr>
                <w:p w14:paraId="426A023F">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pacing w:val="7"/>
                      <w:sz w:val="21"/>
                      <w:szCs w:val="21"/>
                    </w:rPr>
                    <w:t>排水工程</w:t>
                  </w:r>
                </w:p>
              </w:tc>
              <w:tc>
                <w:tcPr>
                  <w:tcW w:w="3200" w:type="pct"/>
                  <w:tcBorders>
                    <w:tl2br w:val="nil"/>
                    <w:tr2bl w:val="nil"/>
                  </w:tcBorders>
                  <w:vAlign w:val="center"/>
                </w:tcPr>
                <w:p w14:paraId="33F6D1B6">
                  <w:pPr>
                    <w:jc w:val="center"/>
                    <w:rPr>
                      <w:rFonts w:hint="eastAsia" w:ascii="Times New Roman" w:hAnsi="Times New Roman" w:eastAsia="宋体" w:cs="宋体"/>
                      <w:color w:val="auto"/>
                      <w:spacing w:val="8"/>
                      <w:kern w:val="2"/>
                      <w:sz w:val="21"/>
                      <w:szCs w:val="21"/>
                      <w:lang w:val="en-US" w:eastAsia="zh-CN" w:bidi="ar-SA"/>
                    </w:rPr>
                  </w:pPr>
                  <w:r>
                    <w:rPr>
                      <w:rFonts w:hint="eastAsia" w:ascii="Times New Roman" w:hAnsi="Times New Roman" w:eastAsia="宋体" w:cs="宋体"/>
                      <w:color w:val="auto"/>
                      <w:spacing w:val="8"/>
                      <w:kern w:val="2"/>
                      <w:sz w:val="21"/>
                      <w:szCs w:val="21"/>
                      <w:lang w:val="en-US" w:eastAsia="zh-CN" w:bidi="ar-SA"/>
                    </w:rPr>
                    <w:t>厂区排水实行雨污分流：雨水经厂内雨水沟排入市政雨水管网；生活污水经化粪池处理达标后排入市政管网，纳入大学城污水处理厂；</w:t>
                  </w:r>
                  <w:r>
                    <w:rPr>
                      <w:rFonts w:hint="eastAsia" w:cs="宋体"/>
                      <w:color w:val="auto"/>
                      <w:spacing w:val="8"/>
                      <w:kern w:val="2"/>
                      <w:sz w:val="21"/>
                      <w:szCs w:val="21"/>
                      <w:lang w:val="en-US" w:eastAsia="zh-CN" w:bidi="ar-SA"/>
                    </w:rPr>
                    <w:t>切割</w:t>
                  </w:r>
                  <w:r>
                    <w:rPr>
                      <w:rFonts w:hint="eastAsia" w:ascii="Times New Roman" w:hAnsi="Times New Roman" w:eastAsia="宋体" w:cs="宋体"/>
                      <w:color w:val="auto"/>
                      <w:spacing w:val="8"/>
                      <w:kern w:val="2"/>
                      <w:sz w:val="21"/>
                      <w:szCs w:val="21"/>
                      <w:lang w:val="en-US" w:eastAsia="zh-CN" w:bidi="ar-SA"/>
                    </w:rPr>
                    <w:t>废</w:t>
                  </w:r>
                  <w:r>
                    <w:rPr>
                      <w:rFonts w:hint="eastAsia" w:cs="宋体"/>
                      <w:color w:val="auto"/>
                      <w:spacing w:val="8"/>
                      <w:kern w:val="2"/>
                      <w:sz w:val="21"/>
                      <w:szCs w:val="21"/>
                      <w:lang w:val="en-US" w:eastAsia="zh-CN" w:bidi="ar-SA"/>
                    </w:rPr>
                    <w:t xml:space="preserve">  </w:t>
                  </w:r>
                  <w:r>
                    <w:rPr>
                      <w:rFonts w:hint="eastAsia" w:ascii="Times New Roman" w:hAnsi="Times New Roman" w:eastAsia="宋体" w:cs="宋体"/>
                      <w:color w:val="auto"/>
                      <w:spacing w:val="8"/>
                      <w:kern w:val="2"/>
                      <w:sz w:val="21"/>
                      <w:szCs w:val="21"/>
                      <w:lang w:val="en-US" w:eastAsia="zh-CN" w:bidi="ar-SA"/>
                    </w:rPr>
                    <w:t>水、抛光废水、</w:t>
                  </w:r>
                  <w:r>
                    <w:rPr>
                      <w:rFonts w:hint="eastAsia" w:cs="宋体"/>
                      <w:color w:val="auto"/>
                      <w:spacing w:val="8"/>
                      <w:kern w:val="2"/>
                      <w:sz w:val="21"/>
                      <w:szCs w:val="21"/>
                      <w:lang w:val="en-US" w:eastAsia="zh-CN" w:bidi="ar-SA"/>
                    </w:rPr>
                    <w:t>粗磨</w:t>
                  </w:r>
                  <w:r>
                    <w:rPr>
                      <w:rFonts w:hint="eastAsia" w:ascii="Times New Roman" w:hAnsi="Times New Roman" w:eastAsia="宋体" w:cs="宋体"/>
                      <w:color w:val="auto"/>
                      <w:spacing w:val="8"/>
                      <w:kern w:val="2"/>
                      <w:sz w:val="21"/>
                      <w:szCs w:val="21"/>
                      <w:lang w:val="en-US" w:eastAsia="zh-CN" w:bidi="ar-SA"/>
                    </w:rPr>
                    <w:t>废水、</w:t>
                  </w:r>
                  <w:r>
                    <w:rPr>
                      <w:rFonts w:hint="eastAsia" w:cs="宋体"/>
                      <w:color w:val="auto"/>
                      <w:spacing w:val="8"/>
                      <w:kern w:val="2"/>
                      <w:sz w:val="21"/>
                      <w:szCs w:val="21"/>
                      <w:lang w:val="en-US" w:eastAsia="zh-CN" w:bidi="ar-SA"/>
                    </w:rPr>
                    <w:t>清洗</w:t>
                  </w:r>
                  <w:r>
                    <w:rPr>
                      <w:rFonts w:hint="eastAsia" w:ascii="Times New Roman" w:hAnsi="Times New Roman" w:eastAsia="宋体" w:cs="宋体"/>
                      <w:color w:val="auto"/>
                      <w:spacing w:val="8"/>
                      <w:kern w:val="2"/>
                      <w:sz w:val="21"/>
                      <w:szCs w:val="21"/>
                      <w:lang w:val="en-US" w:eastAsia="zh-CN" w:bidi="ar-SA"/>
                    </w:rPr>
                    <w:t>废水经过三级沉淀池沉淀处理达标后排入市政管网，纳入大学城污水处理厂；纯水槽的纯水与非纯净废水直接排入市政管网，纳入大学城污水处理</w:t>
                  </w:r>
                </w:p>
              </w:tc>
            </w:tr>
            <w:tr w14:paraId="202DAC1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464" w:type="pct"/>
                  <w:vMerge w:val="restart"/>
                  <w:tcBorders>
                    <w:tl2br w:val="nil"/>
                    <w:tr2bl w:val="nil"/>
                  </w:tcBorders>
                  <w:vAlign w:val="center"/>
                </w:tcPr>
                <w:p w14:paraId="123BB215">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环保</w:t>
                  </w:r>
                </w:p>
                <w:p w14:paraId="3044D87C">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eastAsia" w:ascii="Times New Roman" w:hAnsi="Times New Roman" w:eastAsia="宋体" w:cs="宋体"/>
                      <w:color w:val="auto"/>
                      <w:spacing w:val="7"/>
                      <w:sz w:val="21"/>
                      <w:szCs w:val="21"/>
                      <w:lang w:val="en-US" w:eastAsia="zh-CN"/>
                    </w:rPr>
                  </w:pPr>
                  <w:r>
                    <w:rPr>
                      <w:rFonts w:hint="eastAsia" w:ascii="Times New Roman" w:hAnsi="Times New Roman" w:eastAsia="宋体" w:cs="宋体"/>
                      <w:color w:val="auto"/>
                      <w:spacing w:val="7"/>
                      <w:sz w:val="21"/>
                      <w:szCs w:val="21"/>
                      <w:lang w:val="en-US" w:eastAsia="zh-CN"/>
                    </w:rPr>
                    <w:t>工程</w:t>
                  </w:r>
                </w:p>
              </w:tc>
              <w:tc>
                <w:tcPr>
                  <w:tcW w:w="1335" w:type="pct"/>
                  <w:gridSpan w:val="2"/>
                  <w:tcBorders>
                    <w:tl2br w:val="nil"/>
                    <w:tr2bl w:val="nil"/>
                  </w:tcBorders>
                  <w:vAlign w:val="center"/>
                </w:tcPr>
                <w:p w14:paraId="5F71E8AE">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hint="eastAsia" w:ascii="Times New Roman" w:hAnsi="Times New Roman" w:eastAsia="宋体"/>
                      <w:color w:val="auto"/>
                      <w:spacing w:val="7"/>
                      <w:sz w:val="21"/>
                      <w:szCs w:val="21"/>
                      <w:lang w:val="en-US" w:eastAsia="zh-CN"/>
                    </w:rPr>
                    <w:t>废</w:t>
                  </w:r>
                  <w:r>
                    <w:rPr>
                      <w:rFonts w:ascii="Times New Roman" w:hAnsi="Times New Roman" w:eastAsia="宋体"/>
                      <w:color w:val="auto"/>
                      <w:spacing w:val="7"/>
                      <w:sz w:val="21"/>
                      <w:szCs w:val="21"/>
                    </w:rPr>
                    <w:t>水处理设施</w:t>
                  </w:r>
                </w:p>
              </w:tc>
              <w:tc>
                <w:tcPr>
                  <w:tcW w:w="3200" w:type="pct"/>
                  <w:tcBorders>
                    <w:tl2br w:val="nil"/>
                    <w:tr2bl w:val="nil"/>
                  </w:tcBorders>
                  <w:vAlign w:val="center"/>
                </w:tcPr>
                <w:p w14:paraId="22C663FC">
                  <w:pPr>
                    <w:jc w:val="center"/>
                    <w:rPr>
                      <w:rFonts w:hint="eastAsia" w:ascii="Times New Roman" w:hAnsi="Times New Roman" w:eastAsia="宋体" w:cs="宋体"/>
                      <w:color w:val="auto"/>
                      <w:spacing w:val="8"/>
                      <w:kern w:val="2"/>
                      <w:sz w:val="21"/>
                      <w:szCs w:val="21"/>
                      <w:lang w:val="en-US" w:eastAsia="zh-CN" w:bidi="ar-SA"/>
                    </w:rPr>
                  </w:pPr>
                  <w:r>
                    <w:rPr>
                      <w:rFonts w:hint="eastAsia" w:ascii="Times New Roman" w:hAnsi="Times New Roman" w:eastAsia="宋体" w:cs="宋体"/>
                      <w:color w:val="auto"/>
                      <w:spacing w:val="8"/>
                      <w:kern w:val="2"/>
                      <w:sz w:val="21"/>
                      <w:szCs w:val="21"/>
                      <w:lang w:val="en-US" w:eastAsia="zh-CN" w:bidi="ar-SA"/>
                    </w:rPr>
                    <w:t>生活污水经化粪池处理达标后排入市政管网，纳入大学城污水处理厂；</w:t>
                  </w:r>
                  <w:r>
                    <w:rPr>
                      <w:rFonts w:hint="eastAsia" w:cs="宋体"/>
                      <w:color w:val="auto"/>
                      <w:spacing w:val="8"/>
                      <w:kern w:val="2"/>
                      <w:sz w:val="21"/>
                      <w:szCs w:val="21"/>
                      <w:lang w:val="en-US" w:eastAsia="zh-CN" w:bidi="ar-SA"/>
                    </w:rPr>
                    <w:t>切割</w:t>
                  </w:r>
                  <w:r>
                    <w:rPr>
                      <w:rFonts w:hint="eastAsia" w:ascii="Times New Roman" w:hAnsi="Times New Roman" w:eastAsia="宋体" w:cs="宋体"/>
                      <w:color w:val="auto"/>
                      <w:spacing w:val="8"/>
                      <w:kern w:val="2"/>
                      <w:sz w:val="21"/>
                      <w:szCs w:val="21"/>
                      <w:lang w:val="en-US" w:eastAsia="zh-CN" w:bidi="ar-SA"/>
                    </w:rPr>
                    <w:t>废水、抛光废水、</w:t>
                  </w:r>
                  <w:r>
                    <w:rPr>
                      <w:rFonts w:hint="eastAsia" w:cs="宋体"/>
                      <w:color w:val="auto"/>
                      <w:spacing w:val="8"/>
                      <w:kern w:val="2"/>
                      <w:sz w:val="21"/>
                      <w:szCs w:val="21"/>
                      <w:lang w:val="en-US" w:eastAsia="zh-CN" w:bidi="ar-SA"/>
                    </w:rPr>
                    <w:t>粗磨</w:t>
                  </w:r>
                  <w:r>
                    <w:rPr>
                      <w:rFonts w:hint="eastAsia" w:ascii="Times New Roman" w:hAnsi="Times New Roman" w:eastAsia="宋体" w:cs="宋体"/>
                      <w:color w:val="auto"/>
                      <w:spacing w:val="8"/>
                      <w:kern w:val="2"/>
                      <w:sz w:val="21"/>
                      <w:szCs w:val="21"/>
                      <w:lang w:val="en-US" w:eastAsia="zh-CN" w:bidi="ar-SA"/>
                    </w:rPr>
                    <w:t>废水、</w:t>
                  </w:r>
                  <w:r>
                    <w:rPr>
                      <w:rFonts w:hint="eastAsia" w:cs="宋体"/>
                      <w:color w:val="auto"/>
                      <w:spacing w:val="8"/>
                      <w:kern w:val="2"/>
                      <w:sz w:val="21"/>
                      <w:szCs w:val="21"/>
                      <w:lang w:val="en-US" w:eastAsia="zh-CN" w:bidi="ar-SA"/>
                    </w:rPr>
                    <w:t>清洗</w:t>
                  </w:r>
                  <w:r>
                    <w:rPr>
                      <w:rFonts w:hint="eastAsia" w:ascii="Times New Roman" w:hAnsi="Times New Roman" w:eastAsia="宋体" w:cs="宋体"/>
                      <w:color w:val="auto"/>
                      <w:spacing w:val="8"/>
                      <w:kern w:val="2"/>
                      <w:sz w:val="21"/>
                      <w:szCs w:val="21"/>
                      <w:lang w:val="en-US" w:eastAsia="zh-CN" w:bidi="ar-SA"/>
                    </w:rPr>
                    <w:t>废水经过三级沉淀池沉淀处理达标后排入市政管网，纳入大学城污水处理厂；纯水槽的纯水与非纯净废水直接排入市政管网，纳入大学城污水处理</w:t>
                  </w:r>
                </w:p>
              </w:tc>
            </w:tr>
            <w:tr w14:paraId="02BAD58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464" w:type="pct"/>
                  <w:vMerge w:val="continue"/>
                  <w:tcBorders>
                    <w:tl2br w:val="nil"/>
                    <w:tr2bl w:val="nil"/>
                  </w:tcBorders>
                  <w:vAlign w:val="center"/>
                </w:tcPr>
                <w:p w14:paraId="690E7B30">
                  <w:pPr>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p>
              </w:tc>
              <w:tc>
                <w:tcPr>
                  <w:tcW w:w="1335" w:type="pct"/>
                  <w:gridSpan w:val="2"/>
                  <w:tcBorders>
                    <w:tl2br w:val="nil"/>
                    <w:tr2bl w:val="nil"/>
                  </w:tcBorders>
                  <w:vAlign w:val="center"/>
                </w:tcPr>
                <w:p w14:paraId="17A62652">
                  <w:pPr>
                    <w:jc w:val="center"/>
                    <w:rPr>
                      <w:rFonts w:hint="eastAsia" w:ascii="Times New Roman" w:hAnsi="Times New Roman" w:eastAsia="宋体" w:cs="宋体"/>
                      <w:color w:val="auto"/>
                      <w:spacing w:val="8"/>
                      <w:kern w:val="2"/>
                      <w:sz w:val="21"/>
                      <w:szCs w:val="21"/>
                      <w:lang w:val="en-US" w:eastAsia="zh-CN" w:bidi="ar-SA"/>
                    </w:rPr>
                  </w:pPr>
                  <w:r>
                    <w:rPr>
                      <w:rFonts w:hint="eastAsia" w:ascii="Times New Roman" w:hAnsi="Times New Roman" w:eastAsia="宋体" w:cs="宋体"/>
                      <w:color w:val="auto"/>
                      <w:spacing w:val="8"/>
                      <w:kern w:val="2"/>
                      <w:sz w:val="21"/>
                      <w:szCs w:val="21"/>
                      <w:lang w:val="en-US" w:eastAsia="zh-CN" w:bidi="ar-SA"/>
                    </w:rPr>
                    <w:t>废气处理设施</w:t>
                  </w:r>
                </w:p>
              </w:tc>
              <w:tc>
                <w:tcPr>
                  <w:tcW w:w="3200" w:type="pct"/>
                  <w:tcBorders>
                    <w:tl2br w:val="nil"/>
                    <w:tr2bl w:val="nil"/>
                  </w:tcBorders>
                  <w:vAlign w:val="center"/>
                </w:tcPr>
                <w:p w14:paraId="5D4BCCB6">
                  <w:pPr>
                    <w:jc w:val="center"/>
                    <w:rPr>
                      <w:rFonts w:hint="eastAsia" w:ascii="Times New Roman" w:hAnsi="Times New Roman" w:eastAsia="宋体" w:cs="宋体"/>
                      <w:color w:val="auto"/>
                      <w:spacing w:val="8"/>
                      <w:kern w:val="2"/>
                      <w:sz w:val="21"/>
                      <w:szCs w:val="21"/>
                      <w:lang w:val="en-US" w:eastAsia="zh-CN" w:bidi="ar-SA"/>
                    </w:rPr>
                  </w:pPr>
                  <w:r>
                    <w:rPr>
                      <w:rFonts w:hint="eastAsia" w:ascii="Times New Roman" w:hAnsi="Times New Roman" w:eastAsia="宋体" w:cs="宋体"/>
                      <w:color w:val="auto"/>
                      <w:spacing w:val="8"/>
                      <w:kern w:val="2"/>
                      <w:sz w:val="21"/>
                      <w:szCs w:val="21"/>
                      <w:lang w:val="en-US" w:eastAsia="zh-CN" w:bidi="ar-SA"/>
                    </w:rPr>
                    <w:t>擦拭废气、超洗废气经密闭车间负压收集后通过二级活性炭吸附装置处理达标后由20m高的DA001排气筒排放；切割废气通过设备密闭管道收集后通过二级活性炭吸附装置处理达标后通过20m高的DA002排气筒排放</w:t>
                  </w:r>
                </w:p>
              </w:tc>
            </w:tr>
            <w:tr w14:paraId="627D96A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64" w:type="pct"/>
                  <w:vMerge w:val="continue"/>
                  <w:tcBorders>
                    <w:tl2br w:val="nil"/>
                    <w:tr2bl w:val="nil"/>
                  </w:tcBorders>
                  <w:vAlign w:val="center"/>
                </w:tcPr>
                <w:p w14:paraId="524C2BFE">
                  <w:pPr>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p>
              </w:tc>
              <w:tc>
                <w:tcPr>
                  <w:tcW w:w="1335" w:type="pct"/>
                  <w:gridSpan w:val="2"/>
                  <w:tcBorders>
                    <w:tl2br w:val="nil"/>
                    <w:tr2bl w:val="nil"/>
                  </w:tcBorders>
                  <w:vAlign w:val="center"/>
                </w:tcPr>
                <w:p w14:paraId="602DD1EA">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pacing w:val="6"/>
                      <w:sz w:val="21"/>
                      <w:szCs w:val="21"/>
                    </w:rPr>
                    <w:t>噪声防治措施</w:t>
                  </w:r>
                </w:p>
              </w:tc>
              <w:tc>
                <w:tcPr>
                  <w:tcW w:w="3200" w:type="pct"/>
                  <w:tcBorders>
                    <w:tl2br w:val="nil"/>
                    <w:tr2bl w:val="nil"/>
                  </w:tcBorders>
                  <w:vAlign w:val="center"/>
                </w:tcPr>
                <w:p w14:paraId="5F85BE53">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pacing w:val="9"/>
                      <w:sz w:val="21"/>
                      <w:szCs w:val="21"/>
                    </w:rPr>
                    <w:t>选用低噪声设备，利用厂房隔声、消声</w:t>
                  </w:r>
                </w:p>
              </w:tc>
            </w:tr>
            <w:tr w14:paraId="02F5FA3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464" w:type="pct"/>
                  <w:vMerge w:val="continue"/>
                  <w:tcBorders>
                    <w:tl2br w:val="nil"/>
                    <w:tr2bl w:val="nil"/>
                  </w:tcBorders>
                  <w:vAlign w:val="center"/>
                </w:tcPr>
                <w:p w14:paraId="2C0BDF83">
                  <w:pPr>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p>
              </w:tc>
              <w:tc>
                <w:tcPr>
                  <w:tcW w:w="722" w:type="pct"/>
                  <w:vMerge w:val="restart"/>
                  <w:tcBorders>
                    <w:tl2br w:val="nil"/>
                    <w:tr2bl w:val="nil"/>
                  </w:tcBorders>
                  <w:vAlign w:val="center"/>
                </w:tcPr>
                <w:p w14:paraId="77748BAD">
                  <w:pPr>
                    <w:pStyle w:val="43"/>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z w:val="21"/>
                      <w:szCs w:val="21"/>
                    </w:rPr>
                    <w:t>固体废</w:t>
                  </w:r>
                  <w:r>
                    <w:rPr>
                      <w:rFonts w:ascii="Times New Roman" w:hAnsi="Times New Roman" w:eastAsia="宋体"/>
                      <w:color w:val="auto"/>
                      <w:spacing w:val="6"/>
                      <w:sz w:val="21"/>
                      <w:szCs w:val="21"/>
                    </w:rPr>
                    <w:t>物处理</w:t>
                  </w:r>
                  <w:r>
                    <w:rPr>
                      <w:rFonts w:ascii="Times New Roman" w:hAnsi="Times New Roman" w:eastAsia="宋体"/>
                      <w:color w:val="auto"/>
                      <w:spacing w:val="3"/>
                      <w:sz w:val="21"/>
                      <w:szCs w:val="21"/>
                    </w:rPr>
                    <w:t>设施</w:t>
                  </w:r>
                </w:p>
              </w:tc>
              <w:tc>
                <w:tcPr>
                  <w:tcW w:w="612" w:type="pct"/>
                  <w:tcBorders>
                    <w:tl2br w:val="nil"/>
                    <w:tr2bl w:val="nil"/>
                  </w:tcBorders>
                  <w:vAlign w:val="center"/>
                </w:tcPr>
                <w:p w14:paraId="252BBD50">
                  <w:pPr>
                    <w:pStyle w:val="60"/>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olor w:val="auto"/>
                      <w:sz w:val="21"/>
                      <w:szCs w:val="21"/>
                      <w:lang w:val="en-US" w:eastAsia="zh-CN"/>
                    </w:rPr>
                  </w:pPr>
                  <w:r>
                    <w:rPr>
                      <w:rFonts w:ascii="Times New Roman" w:hAnsi="Times New Roman" w:eastAsia="宋体"/>
                      <w:color w:val="auto"/>
                      <w:sz w:val="21"/>
                      <w:szCs w:val="21"/>
                      <w:highlight w:val="none"/>
                    </w:rPr>
                    <w:t>生活垃圾</w:t>
                  </w:r>
                </w:p>
              </w:tc>
              <w:tc>
                <w:tcPr>
                  <w:tcW w:w="3200" w:type="pct"/>
                  <w:tcBorders>
                    <w:tl2br w:val="nil"/>
                    <w:tr2bl w:val="nil"/>
                  </w:tcBorders>
                  <w:vAlign w:val="center"/>
                </w:tcPr>
                <w:p w14:paraId="191280C3">
                  <w:pPr>
                    <w:pStyle w:val="60"/>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hint="eastAsia" w:ascii="Times New Roman" w:hAnsi="Times New Roman" w:eastAsia="宋体"/>
                      <w:color w:val="auto"/>
                      <w:sz w:val="21"/>
                      <w:szCs w:val="21"/>
                      <w:highlight w:val="none"/>
                    </w:rPr>
                    <w:t>厂区内设置生活垃圾收集桶，分类收集后，委托环卫部门清运处置</w:t>
                  </w:r>
                </w:p>
              </w:tc>
            </w:tr>
            <w:tr w14:paraId="104C6F5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64" w:type="pct"/>
                  <w:vMerge w:val="continue"/>
                  <w:tcBorders>
                    <w:tl2br w:val="nil"/>
                    <w:tr2bl w:val="nil"/>
                  </w:tcBorders>
                  <w:vAlign w:val="center"/>
                </w:tcPr>
                <w:p w14:paraId="47E20C9A">
                  <w:pPr>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p>
              </w:tc>
              <w:tc>
                <w:tcPr>
                  <w:tcW w:w="722" w:type="pct"/>
                  <w:vMerge w:val="continue"/>
                  <w:tcBorders>
                    <w:tl2br w:val="nil"/>
                    <w:tr2bl w:val="nil"/>
                  </w:tcBorders>
                  <w:vAlign w:val="center"/>
                </w:tcPr>
                <w:p w14:paraId="1C966588">
                  <w:pPr>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p>
              </w:tc>
              <w:tc>
                <w:tcPr>
                  <w:tcW w:w="612" w:type="pct"/>
                  <w:tcBorders>
                    <w:tl2br w:val="nil"/>
                    <w:tr2bl w:val="nil"/>
                  </w:tcBorders>
                  <w:vAlign w:val="center"/>
                </w:tcPr>
                <w:p w14:paraId="7F75EB71">
                  <w:pPr>
                    <w:pStyle w:val="60"/>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olor w:val="auto"/>
                      <w:sz w:val="21"/>
                      <w:szCs w:val="21"/>
                      <w:lang w:val="en-US" w:eastAsia="zh-CN"/>
                    </w:rPr>
                  </w:pPr>
                  <w:r>
                    <w:rPr>
                      <w:rFonts w:ascii="Times New Roman" w:hAnsi="Times New Roman" w:eastAsia="宋体"/>
                      <w:color w:val="auto"/>
                      <w:sz w:val="21"/>
                      <w:szCs w:val="21"/>
                      <w:highlight w:val="none"/>
                    </w:rPr>
                    <w:t>危险废物</w:t>
                  </w:r>
                </w:p>
              </w:tc>
              <w:tc>
                <w:tcPr>
                  <w:tcW w:w="3200" w:type="pct"/>
                  <w:tcBorders>
                    <w:tl2br w:val="nil"/>
                    <w:tr2bl w:val="nil"/>
                  </w:tcBorders>
                  <w:vAlign w:val="center"/>
                </w:tcPr>
                <w:p w14:paraId="4125E61A">
                  <w:pPr>
                    <w:pStyle w:val="60"/>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z w:val="21"/>
                      <w:szCs w:val="21"/>
                      <w:highlight w:val="none"/>
                    </w:rPr>
                    <w:t>设置危险废物</w:t>
                  </w:r>
                  <w:r>
                    <w:rPr>
                      <w:rFonts w:hint="eastAsia" w:ascii="Times New Roman" w:hAnsi="Times New Roman" w:eastAsia="宋体"/>
                      <w:color w:val="auto"/>
                      <w:sz w:val="21"/>
                      <w:szCs w:val="21"/>
                      <w:highlight w:val="none"/>
                      <w:lang w:val="en-US" w:eastAsia="zh-CN"/>
                    </w:rPr>
                    <w:t>贮</w:t>
                  </w:r>
                  <w:r>
                    <w:rPr>
                      <w:rFonts w:ascii="Times New Roman" w:hAnsi="Times New Roman" w:eastAsia="宋体"/>
                      <w:color w:val="auto"/>
                      <w:sz w:val="21"/>
                      <w:szCs w:val="21"/>
                      <w:highlight w:val="none"/>
                    </w:rPr>
                    <w:t>存间</w:t>
                  </w:r>
                  <w:r>
                    <w:rPr>
                      <w:rFonts w:hint="eastAsia" w:ascii="Times New Roman" w:hAnsi="Times New Roman" w:eastAsia="宋体"/>
                      <w:color w:val="auto"/>
                      <w:sz w:val="21"/>
                      <w:szCs w:val="21"/>
                      <w:highlight w:val="none"/>
                      <w:lang w:eastAsia="zh-CN"/>
                    </w:rPr>
                    <w:t>（</w:t>
                  </w:r>
                  <w:r>
                    <w:rPr>
                      <w:rFonts w:hint="eastAsia" w:eastAsia="宋体"/>
                      <w:color w:val="auto"/>
                      <w:sz w:val="21"/>
                      <w:szCs w:val="21"/>
                      <w:highlight w:val="none"/>
                      <w:lang w:val="en-US" w:eastAsia="zh-CN"/>
                    </w:rPr>
                    <w:t>10</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2</w:t>
                  </w:r>
                  <w:r>
                    <w:rPr>
                      <w:rFonts w:hint="eastAsia" w:ascii="Times New Roman" w:hAnsi="Times New Roman" w:eastAsia="宋体"/>
                      <w:color w:val="auto"/>
                      <w:sz w:val="21"/>
                      <w:szCs w:val="21"/>
                      <w:highlight w:val="none"/>
                      <w:lang w:eastAsia="zh-CN"/>
                    </w:rPr>
                    <w:t>）</w:t>
                  </w:r>
                  <w:r>
                    <w:rPr>
                      <w:rFonts w:ascii="Times New Roman" w:hAnsi="Times New Roman" w:eastAsia="宋体"/>
                      <w:color w:val="auto"/>
                      <w:sz w:val="21"/>
                      <w:szCs w:val="21"/>
                      <w:highlight w:val="none"/>
                    </w:rPr>
                    <w:t>，妥善分类收集后</w:t>
                  </w:r>
                  <w:r>
                    <w:rPr>
                      <w:rFonts w:hint="eastAsia" w:ascii="Times New Roman" w:hAnsi="Times New Roman" w:eastAsia="宋体"/>
                      <w:color w:val="auto"/>
                      <w:sz w:val="21"/>
                      <w:szCs w:val="21"/>
                      <w:highlight w:val="none"/>
                      <w:lang w:eastAsia="zh-CN"/>
                    </w:rPr>
                    <w:t>，</w:t>
                  </w:r>
                  <w:r>
                    <w:rPr>
                      <w:rFonts w:ascii="Times New Roman" w:hAnsi="Times New Roman" w:eastAsia="宋体"/>
                      <w:color w:val="auto"/>
                      <w:sz w:val="21"/>
                      <w:szCs w:val="21"/>
                      <w:highlight w:val="none"/>
                    </w:rPr>
                    <w:t>定期委托有资质单位统一处置</w:t>
                  </w:r>
                </w:p>
              </w:tc>
            </w:tr>
            <w:tr w14:paraId="4DB06F3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464" w:type="pct"/>
                  <w:vMerge w:val="continue"/>
                  <w:tcBorders>
                    <w:tl2br w:val="nil"/>
                    <w:tr2bl w:val="nil"/>
                  </w:tcBorders>
                  <w:vAlign w:val="center"/>
                </w:tcPr>
                <w:p w14:paraId="617F8270">
                  <w:pPr>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p>
              </w:tc>
              <w:tc>
                <w:tcPr>
                  <w:tcW w:w="722" w:type="pct"/>
                  <w:vMerge w:val="continue"/>
                  <w:tcBorders>
                    <w:tl2br w:val="nil"/>
                    <w:tr2bl w:val="nil"/>
                  </w:tcBorders>
                  <w:vAlign w:val="center"/>
                </w:tcPr>
                <w:p w14:paraId="75708885">
                  <w:pPr>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p>
              </w:tc>
              <w:tc>
                <w:tcPr>
                  <w:tcW w:w="612" w:type="pct"/>
                  <w:tcBorders>
                    <w:tl2br w:val="nil"/>
                    <w:tr2bl w:val="nil"/>
                  </w:tcBorders>
                  <w:vAlign w:val="center"/>
                </w:tcPr>
                <w:p w14:paraId="53F83E9A">
                  <w:pPr>
                    <w:pStyle w:val="60"/>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ascii="Times New Roman" w:hAnsi="Times New Roman" w:eastAsia="宋体"/>
                      <w:color w:val="auto"/>
                      <w:sz w:val="21"/>
                      <w:szCs w:val="21"/>
                      <w:highlight w:val="none"/>
                    </w:rPr>
                    <w:t>一般固体废物</w:t>
                  </w:r>
                </w:p>
              </w:tc>
              <w:tc>
                <w:tcPr>
                  <w:tcW w:w="3200" w:type="pct"/>
                  <w:tcBorders>
                    <w:tl2br w:val="nil"/>
                    <w:tr2bl w:val="nil"/>
                  </w:tcBorders>
                  <w:vAlign w:val="center"/>
                </w:tcPr>
                <w:p w14:paraId="62A26D29">
                  <w:pPr>
                    <w:pStyle w:val="60"/>
                    <w:keepNext w:val="0"/>
                    <w:keepLines w:val="0"/>
                    <w:pageBreakBefore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rPr>
                  </w:pPr>
                  <w:r>
                    <w:rPr>
                      <w:rFonts w:hint="eastAsia" w:ascii="Times New Roman" w:hAnsi="Times New Roman" w:eastAsia="宋体"/>
                      <w:color w:val="auto"/>
                      <w:sz w:val="21"/>
                      <w:szCs w:val="21"/>
                      <w:highlight w:val="none"/>
                    </w:rPr>
                    <w:t>设置一般固废暂存</w:t>
                  </w:r>
                  <w:r>
                    <w:rPr>
                      <w:rFonts w:hint="eastAsia" w:ascii="Times New Roman" w:hAnsi="Times New Roman" w:eastAsia="宋体"/>
                      <w:color w:val="auto"/>
                      <w:sz w:val="21"/>
                      <w:szCs w:val="21"/>
                      <w:highlight w:val="none"/>
                      <w:lang w:val="en-US" w:eastAsia="zh-CN"/>
                    </w:rPr>
                    <w:t>间</w:t>
                  </w:r>
                  <w:r>
                    <w:rPr>
                      <w:rFonts w:hint="eastAsia" w:ascii="Times New Roman" w:hAnsi="Times New Roman" w:eastAsia="宋体"/>
                      <w:color w:val="auto"/>
                      <w:sz w:val="21"/>
                      <w:szCs w:val="21"/>
                      <w:highlight w:val="none"/>
                    </w:rPr>
                    <w:t>，</w:t>
                  </w:r>
                  <w:r>
                    <w:rPr>
                      <w:rFonts w:hint="eastAsia" w:ascii="Times New Roman" w:hAnsi="Times New Roman" w:eastAsia="宋体"/>
                      <w:color w:val="auto"/>
                      <w:sz w:val="21"/>
                      <w:szCs w:val="21"/>
                      <w:highlight w:val="none"/>
                      <w:lang w:eastAsia="zh-CN"/>
                    </w:rPr>
                    <w:t>一般工业固体废物</w:t>
                  </w:r>
                  <w:r>
                    <w:rPr>
                      <w:rFonts w:hint="eastAsia" w:ascii="Times New Roman" w:hAnsi="Times New Roman" w:eastAsia="宋体"/>
                      <w:color w:val="auto"/>
                      <w:sz w:val="21"/>
                      <w:szCs w:val="21"/>
                      <w:highlight w:val="none"/>
                    </w:rPr>
                    <w:t>分类收集、暂存后综合利用</w:t>
                  </w:r>
                </w:p>
              </w:tc>
            </w:tr>
          </w:tbl>
          <w:p w14:paraId="47CFB9B5">
            <w:pPr>
              <w:pStyle w:val="4"/>
              <w:bidi w:val="0"/>
              <w:ind w:firstLine="482" w:firstLineChars="200"/>
              <w:rPr>
                <w:rFonts w:hint="eastAsia" w:ascii="Times New Roman" w:hAnsi="Times New Roman"/>
                <w:color w:val="auto"/>
                <w:lang w:val="en-US" w:eastAsia="zh-CN"/>
              </w:rPr>
            </w:pPr>
            <w:bookmarkStart w:id="41" w:name="_Toc7499"/>
            <w:r>
              <w:rPr>
                <w:rFonts w:hint="eastAsia" w:ascii="Times New Roman" w:hAnsi="Times New Roman"/>
                <w:color w:val="auto"/>
                <w:lang w:val="en-US" w:eastAsia="zh-CN"/>
              </w:rPr>
              <w:t>2.1.5项目主要生产设备</w:t>
            </w:r>
            <w:bookmarkEnd w:id="41"/>
          </w:p>
          <w:p w14:paraId="025F8381">
            <w:pPr>
              <w:pStyle w:val="27"/>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2" w:firstLineChars="200"/>
              <w:jc w:val="both"/>
              <w:textAlignment w:val="auto"/>
              <w:rPr>
                <w:rFonts w:hint="eastAsia" w:ascii="Times New Roman" w:hAnsi="Times New Roman"/>
                <w:color w:val="auto"/>
                <w:lang w:val="en-US" w:eastAsia="zh-CN"/>
              </w:rPr>
            </w:pPr>
            <w:r>
              <w:rPr>
                <w:rFonts w:hint="eastAsia"/>
                <w:color w:val="auto"/>
                <w:lang w:val="en-US" w:eastAsia="zh-CN"/>
              </w:rPr>
              <w:t>项目</w:t>
            </w:r>
            <w:r>
              <w:rPr>
                <w:rFonts w:hint="eastAsia" w:ascii="Times New Roman" w:hAnsi="Times New Roman"/>
                <w:color w:val="auto"/>
                <w:lang w:val="en-US" w:eastAsia="zh-CN"/>
              </w:rPr>
              <w:t>主要设备见表2.1-4。</w:t>
            </w:r>
          </w:p>
          <w:p w14:paraId="67162C94">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表2.1-4  项目主要设备一览表</w:t>
            </w:r>
          </w:p>
          <w:tbl>
            <w:tblPr>
              <w:tblStyle w:val="19"/>
              <w:tblW w:w="498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482"/>
              <w:gridCol w:w="2960"/>
              <w:gridCol w:w="843"/>
              <w:gridCol w:w="2658"/>
            </w:tblGrid>
            <w:tr w14:paraId="7146B0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2" w:type="pct"/>
                  <w:tcBorders>
                    <w:tl2br w:val="nil"/>
                    <w:tr2bl w:val="nil"/>
                  </w:tcBorders>
                  <w:noWrap w:val="0"/>
                  <w:vAlign w:val="center"/>
                </w:tcPr>
                <w:p w14:paraId="4804ACB9">
                  <w:pPr>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882" w:type="pct"/>
                  <w:tcBorders>
                    <w:tl2br w:val="nil"/>
                    <w:tr2bl w:val="nil"/>
                  </w:tcBorders>
                  <w:noWrap w:val="0"/>
                  <w:vAlign w:val="center"/>
                </w:tcPr>
                <w:p w14:paraId="1181F955">
                  <w:pPr>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设备名称</w:t>
                  </w:r>
                </w:p>
              </w:tc>
              <w:tc>
                <w:tcPr>
                  <w:tcW w:w="1762" w:type="pct"/>
                  <w:tcBorders>
                    <w:tl2br w:val="nil"/>
                    <w:tr2bl w:val="nil"/>
                  </w:tcBorders>
                  <w:noWrap w:val="0"/>
                  <w:vAlign w:val="center"/>
                </w:tcPr>
                <w:p w14:paraId="7D130749">
                  <w:pPr>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型号</w:t>
                  </w:r>
                </w:p>
              </w:tc>
              <w:tc>
                <w:tcPr>
                  <w:tcW w:w="502" w:type="pct"/>
                  <w:tcBorders>
                    <w:tl2br w:val="nil"/>
                    <w:tr2bl w:val="nil"/>
                  </w:tcBorders>
                  <w:noWrap w:val="0"/>
                  <w:vAlign w:val="center"/>
                </w:tcPr>
                <w:p w14:paraId="070CB449">
                  <w:pPr>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数量</w:t>
                  </w:r>
                </w:p>
              </w:tc>
              <w:tc>
                <w:tcPr>
                  <w:tcW w:w="1581" w:type="pct"/>
                  <w:tcBorders>
                    <w:tl2br w:val="nil"/>
                    <w:tr2bl w:val="nil"/>
                  </w:tcBorders>
                  <w:noWrap w:val="0"/>
                  <w:vAlign w:val="center"/>
                </w:tcPr>
                <w:p w14:paraId="4B72BBD1">
                  <w:pPr>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所用工段</w:t>
                  </w:r>
                  <w:r>
                    <w:rPr>
                      <w:rFonts w:hint="eastAsia" w:ascii="Times New Roman" w:hAnsi="Times New Roman" w:eastAsia="宋体" w:cs="Times New Roman"/>
                      <w:b/>
                      <w:bCs w:val="0"/>
                      <w:color w:val="auto"/>
                      <w:sz w:val="21"/>
                      <w:szCs w:val="21"/>
                      <w:lang w:val="en-US" w:eastAsia="zh-CN"/>
                    </w:rPr>
                    <w:t>（对应工艺流程图工序）</w:t>
                  </w:r>
                </w:p>
              </w:tc>
            </w:tr>
            <w:tr w14:paraId="4320E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37111C97">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1</w:t>
                  </w:r>
                </w:p>
              </w:tc>
              <w:tc>
                <w:tcPr>
                  <w:tcW w:w="1479" w:type="dxa"/>
                  <w:tcBorders>
                    <w:tl2br w:val="nil"/>
                    <w:tr2bl w:val="nil"/>
                  </w:tcBorders>
                  <w:noWrap w:val="0"/>
                  <w:vAlign w:val="center"/>
                </w:tcPr>
                <w:p w14:paraId="4776AB32">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30EC0AB1">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7CB395F4">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1A82668C">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1D0EE6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181D8901">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2</w:t>
                  </w:r>
                </w:p>
              </w:tc>
              <w:tc>
                <w:tcPr>
                  <w:tcW w:w="1479" w:type="dxa"/>
                  <w:tcBorders>
                    <w:tl2br w:val="nil"/>
                    <w:tr2bl w:val="nil"/>
                  </w:tcBorders>
                  <w:noWrap w:val="0"/>
                  <w:vAlign w:val="center"/>
                </w:tcPr>
                <w:p w14:paraId="60A5533E">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2AEE694D">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3EFCFBC3">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5136F04F">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41F46F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027161E5">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3</w:t>
                  </w:r>
                </w:p>
              </w:tc>
              <w:tc>
                <w:tcPr>
                  <w:tcW w:w="1479" w:type="dxa"/>
                  <w:tcBorders>
                    <w:tl2br w:val="nil"/>
                    <w:tr2bl w:val="nil"/>
                  </w:tcBorders>
                  <w:noWrap w:val="0"/>
                  <w:vAlign w:val="center"/>
                </w:tcPr>
                <w:p w14:paraId="3EC95841">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72A8CE8A">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51068692">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1BF86A2B">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565B48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6A48EB9B">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4</w:t>
                  </w:r>
                </w:p>
              </w:tc>
              <w:tc>
                <w:tcPr>
                  <w:tcW w:w="1479" w:type="dxa"/>
                  <w:tcBorders>
                    <w:tl2br w:val="nil"/>
                    <w:tr2bl w:val="nil"/>
                  </w:tcBorders>
                  <w:noWrap w:val="0"/>
                  <w:vAlign w:val="center"/>
                </w:tcPr>
                <w:p w14:paraId="299A719E">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23829738">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46204907">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1792BFCE">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5DD422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752359D0">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5</w:t>
                  </w:r>
                </w:p>
              </w:tc>
              <w:tc>
                <w:tcPr>
                  <w:tcW w:w="1479" w:type="dxa"/>
                  <w:tcBorders>
                    <w:tl2br w:val="nil"/>
                    <w:tr2bl w:val="nil"/>
                  </w:tcBorders>
                  <w:noWrap w:val="0"/>
                  <w:vAlign w:val="center"/>
                </w:tcPr>
                <w:p w14:paraId="6C818862">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22CEC39D">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42B9FA77">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260026CD">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19A2DD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28307F5D">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6</w:t>
                  </w:r>
                </w:p>
              </w:tc>
              <w:tc>
                <w:tcPr>
                  <w:tcW w:w="1479" w:type="dxa"/>
                  <w:tcBorders>
                    <w:tl2br w:val="nil"/>
                    <w:tr2bl w:val="nil"/>
                  </w:tcBorders>
                  <w:noWrap w:val="0"/>
                  <w:vAlign w:val="center"/>
                </w:tcPr>
                <w:p w14:paraId="61112623">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0A4C5166">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222B6E1F">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7831122F">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3F5FA5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6E1B46D7">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7</w:t>
                  </w:r>
                </w:p>
              </w:tc>
              <w:tc>
                <w:tcPr>
                  <w:tcW w:w="1479" w:type="dxa"/>
                  <w:tcBorders>
                    <w:tl2br w:val="nil"/>
                    <w:tr2bl w:val="nil"/>
                  </w:tcBorders>
                  <w:noWrap w:val="0"/>
                  <w:vAlign w:val="center"/>
                </w:tcPr>
                <w:p w14:paraId="27B40E00">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4946DB52">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039AB0D0">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0E79AB3A">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2B21C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24A6D181">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8</w:t>
                  </w:r>
                </w:p>
              </w:tc>
              <w:tc>
                <w:tcPr>
                  <w:tcW w:w="1479" w:type="dxa"/>
                  <w:tcBorders>
                    <w:tl2br w:val="nil"/>
                    <w:tr2bl w:val="nil"/>
                  </w:tcBorders>
                  <w:noWrap w:val="0"/>
                  <w:vAlign w:val="center"/>
                </w:tcPr>
                <w:p w14:paraId="20C9F085">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6BF329F9">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7446A0C4">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7239A547">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7C0FA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21D8A6E9">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9</w:t>
                  </w:r>
                </w:p>
              </w:tc>
              <w:tc>
                <w:tcPr>
                  <w:tcW w:w="1479" w:type="dxa"/>
                  <w:tcBorders>
                    <w:tl2br w:val="nil"/>
                    <w:tr2bl w:val="nil"/>
                  </w:tcBorders>
                  <w:noWrap w:val="0"/>
                  <w:vAlign w:val="center"/>
                </w:tcPr>
                <w:p w14:paraId="684F757F">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365AB8C9">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3FA1DAF0">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7ED7ACD7">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246A2C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5B3ABD2F">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10</w:t>
                  </w:r>
                </w:p>
              </w:tc>
              <w:tc>
                <w:tcPr>
                  <w:tcW w:w="1479" w:type="dxa"/>
                  <w:tcBorders>
                    <w:tl2br w:val="nil"/>
                    <w:tr2bl w:val="nil"/>
                  </w:tcBorders>
                  <w:noWrap w:val="0"/>
                  <w:vAlign w:val="center"/>
                </w:tcPr>
                <w:p w14:paraId="1392EA1B">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651E7362">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093E83FC">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58E6DF9E">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r>
            <w:tr w14:paraId="54883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372E27A1">
                  <w:pPr>
                    <w:widowControl/>
                    <w:jc w:val="center"/>
                    <w:textAlignment w:val="center"/>
                    <w:rPr>
                      <w:rFonts w:hint="default" w:ascii="Times New Roman" w:hAnsi="Times New Roman" w:eastAsia="宋体" w:cs="Times New Roman"/>
                      <w:b w:val="0"/>
                      <w:bCs/>
                      <w:color w:val="auto"/>
                      <w:sz w:val="21"/>
                      <w:szCs w:val="21"/>
                    </w:rPr>
                  </w:pPr>
                  <w:r>
                    <w:rPr>
                      <w:color w:val="000000"/>
                      <w:kern w:val="0"/>
                      <w:szCs w:val="21"/>
                      <w:lang w:bidi="ar"/>
                    </w:rPr>
                    <w:t>11</w:t>
                  </w:r>
                </w:p>
              </w:tc>
              <w:tc>
                <w:tcPr>
                  <w:tcW w:w="1479" w:type="dxa"/>
                  <w:tcBorders>
                    <w:tl2br w:val="nil"/>
                    <w:tr2bl w:val="nil"/>
                  </w:tcBorders>
                  <w:noWrap w:val="0"/>
                  <w:vAlign w:val="center"/>
                </w:tcPr>
                <w:p w14:paraId="57C81A9F">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32153605">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34A86AD1">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6867645D">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5FA4E2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697BAEA9">
                  <w:pPr>
                    <w:widowControl/>
                    <w:jc w:val="center"/>
                    <w:textAlignment w:val="center"/>
                    <w:rPr>
                      <w:rFonts w:hint="default" w:ascii="Times New Roman" w:hAnsi="Times New Roman" w:eastAsia="宋体" w:cs="Times New Roman"/>
                      <w:b w:val="0"/>
                      <w:bCs/>
                      <w:color w:val="auto"/>
                      <w:sz w:val="21"/>
                      <w:szCs w:val="21"/>
                      <w:lang w:val="en-US" w:eastAsia="zh-CN"/>
                    </w:rPr>
                  </w:pPr>
                  <w:r>
                    <w:rPr>
                      <w:color w:val="000000"/>
                      <w:kern w:val="0"/>
                      <w:szCs w:val="21"/>
                      <w:lang w:bidi="ar"/>
                    </w:rPr>
                    <w:t>12</w:t>
                  </w:r>
                </w:p>
              </w:tc>
              <w:tc>
                <w:tcPr>
                  <w:tcW w:w="1479" w:type="dxa"/>
                  <w:tcBorders>
                    <w:tl2br w:val="nil"/>
                    <w:tr2bl w:val="nil"/>
                  </w:tcBorders>
                  <w:noWrap w:val="0"/>
                  <w:vAlign w:val="center"/>
                </w:tcPr>
                <w:p w14:paraId="21DFEEA8">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4E50A5E2">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29FDE504">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5172EABC">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6442C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3CC41AE6">
                  <w:pPr>
                    <w:widowControl/>
                    <w:jc w:val="center"/>
                    <w:textAlignment w:val="center"/>
                    <w:rPr>
                      <w:rFonts w:hint="default" w:ascii="Times New Roman" w:hAnsi="Times New Roman" w:eastAsia="宋体" w:cs="Times New Roman"/>
                      <w:b w:val="0"/>
                      <w:bCs/>
                      <w:color w:val="auto"/>
                      <w:sz w:val="21"/>
                      <w:szCs w:val="21"/>
                      <w:lang w:val="en-US" w:eastAsia="zh-CN"/>
                    </w:rPr>
                  </w:pPr>
                  <w:r>
                    <w:rPr>
                      <w:color w:val="000000"/>
                      <w:kern w:val="0"/>
                      <w:szCs w:val="21"/>
                      <w:lang w:bidi="ar"/>
                    </w:rPr>
                    <w:t>13</w:t>
                  </w:r>
                </w:p>
              </w:tc>
              <w:tc>
                <w:tcPr>
                  <w:tcW w:w="1479" w:type="dxa"/>
                  <w:tcBorders>
                    <w:tl2br w:val="nil"/>
                    <w:tr2bl w:val="nil"/>
                  </w:tcBorders>
                  <w:noWrap w:val="0"/>
                  <w:vAlign w:val="center"/>
                </w:tcPr>
                <w:p w14:paraId="5D287F73">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4DAFB0E5">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5901CFBA">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1F79EABB">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268B6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435B1A86">
                  <w:pPr>
                    <w:widowControl/>
                    <w:jc w:val="center"/>
                    <w:textAlignment w:val="center"/>
                    <w:rPr>
                      <w:rFonts w:hint="default" w:ascii="Times New Roman" w:hAnsi="Times New Roman" w:eastAsia="宋体" w:cs="Times New Roman"/>
                      <w:b w:val="0"/>
                      <w:bCs/>
                      <w:color w:val="auto"/>
                      <w:sz w:val="21"/>
                      <w:szCs w:val="21"/>
                      <w:lang w:val="en-US" w:eastAsia="zh-CN"/>
                    </w:rPr>
                  </w:pPr>
                  <w:r>
                    <w:rPr>
                      <w:color w:val="000000"/>
                      <w:kern w:val="0"/>
                      <w:szCs w:val="21"/>
                      <w:lang w:bidi="ar"/>
                    </w:rPr>
                    <w:t>14</w:t>
                  </w:r>
                </w:p>
              </w:tc>
              <w:tc>
                <w:tcPr>
                  <w:tcW w:w="1479" w:type="dxa"/>
                  <w:tcBorders>
                    <w:tl2br w:val="nil"/>
                    <w:tr2bl w:val="nil"/>
                  </w:tcBorders>
                  <w:noWrap w:val="0"/>
                  <w:vAlign w:val="center"/>
                </w:tcPr>
                <w:p w14:paraId="10409CE5">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142E658F">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6D9C8936">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55974975">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6283A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372E89A0">
                  <w:pPr>
                    <w:widowControl/>
                    <w:jc w:val="center"/>
                    <w:textAlignment w:val="center"/>
                    <w:rPr>
                      <w:rFonts w:hint="default" w:ascii="Times New Roman" w:hAnsi="Times New Roman" w:eastAsia="宋体" w:cs="Times New Roman"/>
                      <w:b w:val="0"/>
                      <w:bCs/>
                      <w:color w:val="auto"/>
                      <w:sz w:val="21"/>
                      <w:szCs w:val="21"/>
                      <w:lang w:val="en-US" w:eastAsia="zh-CN"/>
                    </w:rPr>
                  </w:pPr>
                  <w:r>
                    <w:rPr>
                      <w:color w:val="000000"/>
                      <w:kern w:val="0"/>
                      <w:szCs w:val="21"/>
                      <w:lang w:bidi="ar"/>
                    </w:rPr>
                    <w:t>15</w:t>
                  </w:r>
                </w:p>
              </w:tc>
              <w:tc>
                <w:tcPr>
                  <w:tcW w:w="1479" w:type="dxa"/>
                  <w:tcBorders>
                    <w:tl2br w:val="nil"/>
                    <w:tr2bl w:val="nil"/>
                  </w:tcBorders>
                  <w:noWrap w:val="0"/>
                  <w:vAlign w:val="center"/>
                </w:tcPr>
                <w:p w14:paraId="75CA53A0">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402805D3">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57697661">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3C559A24">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33D05B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2D253B36">
                  <w:pPr>
                    <w:widowControl/>
                    <w:jc w:val="center"/>
                    <w:textAlignment w:val="center"/>
                    <w:rPr>
                      <w:rFonts w:hint="default" w:ascii="Times New Roman" w:hAnsi="Times New Roman" w:eastAsia="宋体" w:cs="Times New Roman"/>
                      <w:b w:val="0"/>
                      <w:bCs/>
                      <w:color w:val="auto"/>
                      <w:sz w:val="21"/>
                      <w:szCs w:val="21"/>
                      <w:lang w:val="en-US" w:eastAsia="zh-CN"/>
                    </w:rPr>
                  </w:pPr>
                  <w:r>
                    <w:rPr>
                      <w:color w:val="000000"/>
                      <w:kern w:val="0"/>
                      <w:szCs w:val="21"/>
                      <w:lang w:bidi="ar"/>
                    </w:rPr>
                    <w:t>16</w:t>
                  </w:r>
                </w:p>
              </w:tc>
              <w:tc>
                <w:tcPr>
                  <w:tcW w:w="1479" w:type="dxa"/>
                  <w:tcBorders>
                    <w:tl2br w:val="nil"/>
                    <w:tr2bl w:val="nil"/>
                  </w:tcBorders>
                  <w:noWrap w:val="0"/>
                  <w:vAlign w:val="center"/>
                </w:tcPr>
                <w:p w14:paraId="407DEF9D">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0781BB35">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228BB290">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056FAF97">
                  <w:pPr>
                    <w:widowControl/>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5A7F8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1472B250">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17</w:t>
                  </w:r>
                </w:p>
              </w:tc>
              <w:tc>
                <w:tcPr>
                  <w:tcW w:w="1479" w:type="dxa"/>
                  <w:tcBorders>
                    <w:tl2br w:val="nil"/>
                    <w:tr2bl w:val="nil"/>
                  </w:tcBorders>
                  <w:noWrap w:val="0"/>
                  <w:vAlign w:val="center"/>
                </w:tcPr>
                <w:p w14:paraId="4955613A">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3906667B">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7216B3DD">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5E10E8A1">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006519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588E4EC9">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18</w:t>
                  </w:r>
                </w:p>
              </w:tc>
              <w:tc>
                <w:tcPr>
                  <w:tcW w:w="1479" w:type="dxa"/>
                  <w:tcBorders>
                    <w:tl2br w:val="nil"/>
                    <w:tr2bl w:val="nil"/>
                  </w:tcBorders>
                  <w:noWrap w:val="0"/>
                  <w:vAlign w:val="center"/>
                </w:tcPr>
                <w:p w14:paraId="1EDCC14A">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403D426E">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1761A227">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11538995">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7C6123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569E33CB">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19</w:t>
                  </w:r>
                </w:p>
              </w:tc>
              <w:tc>
                <w:tcPr>
                  <w:tcW w:w="1479" w:type="dxa"/>
                  <w:tcBorders>
                    <w:tl2br w:val="nil"/>
                    <w:tr2bl w:val="nil"/>
                  </w:tcBorders>
                  <w:noWrap w:val="0"/>
                  <w:vAlign w:val="center"/>
                </w:tcPr>
                <w:p w14:paraId="4D2D2133">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47E3B1AB">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6011E36A">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1D684AB2">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61C07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6B3BCF21">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20</w:t>
                  </w:r>
                </w:p>
              </w:tc>
              <w:tc>
                <w:tcPr>
                  <w:tcW w:w="1479" w:type="dxa"/>
                  <w:tcBorders>
                    <w:tl2br w:val="nil"/>
                    <w:tr2bl w:val="nil"/>
                  </w:tcBorders>
                  <w:noWrap w:val="0"/>
                  <w:vAlign w:val="center"/>
                </w:tcPr>
                <w:p w14:paraId="5C1DD9B8">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6BED7094">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00F40EAA">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39E88DB0">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61FAA5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65039C22">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21</w:t>
                  </w:r>
                </w:p>
              </w:tc>
              <w:tc>
                <w:tcPr>
                  <w:tcW w:w="1479" w:type="dxa"/>
                  <w:tcBorders>
                    <w:tl2br w:val="nil"/>
                    <w:tr2bl w:val="nil"/>
                  </w:tcBorders>
                  <w:noWrap w:val="0"/>
                  <w:vAlign w:val="center"/>
                </w:tcPr>
                <w:p w14:paraId="5A38FE12">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6105F025">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1693D20D">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5364FB80">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42C821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351B8A4B">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22</w:t>
                  </w:r>
                </w:p>
              </w:tc>
              <w:tc>
                <w:tcPr>
                  <w:tcW w:w="1479" w:type="dxa"/>
                  <w:tcBorders>
                    <w:tl2br w:val="nil"/>
                    <w:tr2bl w:val="nil"/>
                  </w:tcBorders>
                  <w:noWrap w:val="0"/>
                  <w:vAlign w:val="center"/>
                </w:tcPr>
                <w:p w14:paraId="51CDDFFF">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5D2DE54B">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6D3FC04F">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33C511DB">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3A050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11689911">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23</w:t>
                  </w:r>
                </w:p>
              </w:tc>
              <w:tc>
                <w:tcPr>
                  <w:tcW w:w="1479" w:type="dxa"/>
                  <w:tcBorders>
                    <w:tl2br w:val="nil"/>
                    <w:tr2bl w:val="nil"/>
                  </w:tcBorders>
                  <w:noWrap w:val="0"/>
                  <w:vAlign w:val="center"/>
                </w:tcPr>
                <w:p w14:paraId="2BF684B7">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736F5C2D">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24E61829">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76AC7CAD">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3E3CB6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160B0A72">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24</w:t>
                  </w:r>
                </w:p>
              </w:tc>
              <w:tc>
                <w:tcPr>
                  <w:tcW w:w="1479" w:type="dxa"/>
                  <w:tcBorders>
                    <w:tl2br w:val="nil"/>
                    <w:tr2bl w:val="nil"/>
                  </w:tcBorders>
                  <w:noWrap w:val="0"/>
                  <w:vAlign w:val="center"/>
                </w:tcPr>
                <w:p w14:paraId="69ED8309">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02B5BCD0">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681D779A">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0023D0FD">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71E4FC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1396A98B">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25</w:t>
                  </w:r>
                </w:p>
              </w:tc>
              <w:tc>
                <w:tcPr>
                  <w:tcW w:w="1479" w:type="dxa"/>
                  <w:tcBorders>
                    <w:tl2br w:val="nil"/>
                    <w:tr2bl w:val="nil"/>
                  </w:tcBorders>
                  <w:noWrap w:val="0"/>
                  <w:vAlign w:val="center"/>
                </w:tcPr>
                <w:p w14:paraId="101DFA89">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3C6772C8">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250831A8">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53F4BD22">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0FA973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6F356C44">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26</w:t>
                  </w:r>
                </w:p>
              </w:tc>
              <w:tc>
                <w:tcPr>
                  <w:tcW w:w="1479" w:type="dxa"/>
                  <w:tcBorders>
                    <w:tl2br w:val="nil"/>
                    <w:tr2bl w:val="nil"/>
                  </w:tcBorders>
                  <w:noWrap w:val="0"/>
                  <w:vAlign w:val="center"/>
                </w:tcPr>
                <w:p w14:paraId="4A1DFF59">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1275CB54">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79AF1CD1">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400D67BA">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219245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tcBorders>
                    <w:tl2br w:val="nil"/>
                    <w:tr2bl w:val="nil"/>
                  </w:tcBorders>
                  <w:noWrap w:val="0"/>
                  <w:vAlign w:val="center"/>
                </w:tcPr>
                <w:p w14:paraId="5006C586">
                  <w:pPr>
                    <w:widowControl/>
                    <w:jc w:val="center"/>
                    <w:textAlignment w:val="center"/>
                    <w:rPr>
                      <w:rFonts w:hint="eastAsia" w:ascii="Times New Roman" w:hAnsi="Times New Roman" w:eastAsia="宋体" w:cs="Times New Roman"/>
                      <w:b w:val="0"/>
                      <w:bCs/>
                      <w:color w:val="auto"/>
                      <w:sz w:val="21"/>
                      <w:szCs w:val="21"/>
                      <w:lang w:val="en-US" w:eastAsia="zh-CN"/>
                    </w:rPr>
                  </w:pPr>
                  <w:r>
                    <w:rPr>
                      <w:color w:val="000000"/>
                      <w:kern w:val="0"/>
                      <w:szCs w:val="21"/>
                      <w:lang w:bidi="ar"/>
                    </w:rPr>
                    <w:t>27</w:t>
                  </w:r>
                </w:p>
              </w:tc>
              <w:tc>
                <w:tcPr>
                  <w:tcW w:w="1479" w:type="dxa"/>
                  <w:tcBorders>
                    <w:tl2br w:val="nil"/>
                    <w:tr2bl w:val="nil"/>
                  </w:tcBorders>
                  <w:noWrap w:val="0"/>
                  <w:vAlign w:val="center"/>
                </w:tcPr>
                <w:p w14:paraId="4EC38728">
                  <w:pPr>
                    <w:widowControl/>
                    <w:jc w:val="center"/>
                    <w:textAlignment w:val="center"/>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w:t>
                  </w:r>
                </w:p>
              </w:tc>
              <w:tc>
                <w:tcPr>
                  <w:tcW w:w="2954" w:type="dxa"/>
                  <w:tcBorders>
                    <w:tl2br w:val="nil"/>
                    <w:tr2bl w:val="nil"/>
                  </w:tcBorders>
                  <w:noWrap w:val="0"/>
                  <w:vAlign w:val="center"/>
                </w:tcPr>
                <w:p w14:paraId="6C85928C">
                  <w:pPr>
                    <w:widowControl/>
                    <w:jc w:val="center"/>
                    <w:textAlignment w:val="center"/>
                    <w:rPr>
                      <w:rFonts w:ascii="Times New Roman" w:hAnsi="Times New Roman" w:eastAsia="宋体"/>
                      <w:b w:val="0"/>
                      <w:bCs/>
                      <w:color w:val="auto"/>
                      <w:sz w:val="21"/>
                      <w:szCs w:val="21"/>
                    </w:rPr>
                  </w:pPr>
                  <w:r>
                    <w:rPr>
                      <w:rFonts w:hint="eastAsia" w:cs="Times New Roman"/>
                      <w:b w:val="0"/>
                      <w:bCs/>
                      <w:color w:val="auto"/>
                      <w:sz w:val="21"/>
                      <w:szCs w:val="21"/>
                      <w:lang w:val="en-US" w:eastAsia="zh-CN"/>
                    </w:rPr>
                    <w:t>***</w:t>
                  </w:r>
                </w:p>
              </w:tc>
              <w:tc>
                <w:tcPr>
                  <w:tcW w:w="842" w:type="dxa"/>
                  <w:tcBorders>
                    <w:tl2br w:val="nil"/>
                    <w:tr2bl w:val="nil"/>
                  </w:tcBorders>
                  <w:noWrap w:val="0"/>
                  <w:vAlign w:val="center"/>
                </w:tcPr>
                <w:p w14:paraId="38647DA2">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c>
                <w:tcPr>
                  <w:tcW w:w="2652" w:type="dxa"/>
                  <w:tcBorders>
                    <w:tl2br w:val="nil"/>
                    <w:tr2bl w:val="nil"/>
                  </w:tcBorders>
                  <w:noWrap w:val="0"/>
                  <w:vAlign w:val="center"/>
                </w:tcPr>
                <w:p w14:paraId="432C6428">
                  <w:pPr>
                    <w:widowControl/>
                    <w:jc w:val="center"/>
                    <w:textAlignment w:val="center"/>
                    <w:rPr>
                      <w:rFonts w:hint="eastAsia"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4BA43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tcBorders>
                    <w:tl2br w:val="nil"/>
                    <w:tr2bl w:val="nil"/>
                  </w:tcBorders>
                  <w:noWrap w:val="0"/>
                  <w:vAlign w:val="center"/>
                </w:tcPr>
                <w:p w14:paraId="145F2C16">
                  <w:pPr>
                    <w:keepNext w:val="0"/>
                    <w:keepLines w:val="0"/>
                    <w:pageBreakBefore w:val="0"/>
                    <w:widowControl w:val="0"/>
                    <w:kinsoku/>
                    <w:wordWrap/>
                    <w:overflowPunct/>
                    <w:topLinePunct w:val="0"/>
                    <w:autoSpaceDE/>
                    <w:autoSpaceDN/>
                    <w:bidi w:val="0"/>
                    <w:adjustRightInd/>
                    <w:snapToGrid/>
                    <w:spacing w:before="0" w:line="243" w:lineRule="auto"/>
                    <w:ind w:right="198" w:firstLine="334" w:firstLineChars="200"/>
                    <w:jc w:val="both"/>
                    <w:textAlignment w:val="auto"/>
                    <w:rPr>
                      <w:rFonts w:hint="eastAsia" w:ascii="Times New Roman" w:hAnsi="Times New Roman" w:eastAsia="宋体" w:cs="Times New Roman"/>
                      <w:b w:val="0"/>
                      <w:bCs/>
                      <w:color w:val="auto"/>
                      <w:sz w:val="21"/>
                      <w:szCs w:val="21"/>
                      <w:lang w:val="en-US" w:eastAsia="zh-CN"/>
                    </w:rPr>
                  </w:pPr>
                  <w:r>
                    <w:rPr>
                      <w:rFonts w:ascii="Times New Roman" w:hAnsi="Times New Roman" w:eastAsia="宋体"/>
                      <w:b w:val="0"/>
                      <w:bCs/>
                      <w:color w:val="auto"/>
                      <w:spacing w:val="-2"/>
                      <w:w w:val="95"/>
                      <w:sz w:val="18"/>
                      <w:szCs w:val="18"/>
                    </w:rPr>
                    <w:t>备注：根据</w:t>
                  </w:r>
                  <w:r>
                    <w:rPr>
                      <w:rFonts w:hint="eastAsia" w:ascii="Times New Roman" w:hAnsi="Times New Roman" w:eastAsia="宋体"/>
                      <w:b w:val="0"/>
                      <w:bCs/>
                      <w:color w:val="auto"/>
                      <w:spacing w:val="-2"/>
                      <w:w w:val="95"/>
                      <w:sz w:val="18"/>
                      <w:szCs w:val="18"/>
                    </w:rPr>
                    <w:t>《产业结构调整指导目录（2024年本）》</w:t>
                  </w:r>
                  <w:r>
                    <w:rPr>
                      <w:rFonts w:ascii="Times New Roman" w:hAnsi="Times New Roman" w:eastAsia="宋体"/>
                      <w:b w:val="0"/>
                      <w:bCs/>
                      <w:color w:val="auto"/>
                      <w:spacing w:val="-2"/>
                      <w:w w:val="95"/>
                      <w:sz w:val="18"/>
                      <w:szCs w:val="18"/>
                    </w:rPr>
                    <w:t>、《高耗能落后机电设备（产品）淘汰目录》（第一批）、《高耗能落后机电设备（产品）淘汰目录》（第二批）、《高耗能落后机电设备（产品）淘汰目录》（第三批），本项目生产设备均不属于其中的淘汰或落后设备。</w:t>
                  </w:r>
                </w:p>
              </w:tc>
            </w:tr>
          </w:tbl>
          <w:p w14:paraId="51B69737">
            <w:pPr>
              <w:pStyle w:val="4"/>
              <w:bidi w:val="0"/>
              <w:ind w:firstLine="482" w:firstLineChars="200"/>
              <w:rPr>
                <w:rFonts w:hint="eastAsia" w:ascii="Times New Roman" w:hAnsi="Times New Roman"/>
                <w:color w:val="auto"/>
                <w:lang w:val="en-US" w:eastAsia="zh-CN"/>
              </w:rPr>
            </w:pPr>
            <w:bookmarkStart w:id="42" w:name="_Toc5533"/>
            <w:r>
              <w:rPr>
                <w:rFonts w:hint="eastAsia" w:ascii="Times New Roman" w:hAnsi="Times New Roman"/>
                <w:color w:val="auto"/>
                <w:lang w:val="en-US" w:eastAsia="zh-CN"/>
              </w:rPr>
              <w:t>2.1.6主要原辅材料</w:t>
            </w:r>
            <w:bookmarkEnd w:id="42"/>
          </w:p>
          <w:p w14:paraId="37ACAE1E">
            <w:pPr>
              <w:pStyle w:val="46"/>
              <w:bidi w:val="0"/>
              <w:ind w:firstLine="482" w:firstLineChars="200"/>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表2.1-5  项目主要原辅材料一览表</w:t>
            </w:r>
            <w:r>
              <w:rPr>
                <w:rFonts w:hint="eastAsia" w:cs="Times New Roman"/>
                <w:b/>
                <w:color w:val="auto"/>
                <w:kern w:val="0"/>
                <w:sz w:val="24"/>
                <w:szCs w:val="20"/>
                <w:lang w:val="en-US" w:eastAsia="zh-CN" w:bidi="ar-SA"/>
              </w:rPr>
              <w:t xml:space="preserve"> 单位：t/a</w:t>
            </w:r>
          </w:p>
          <w:tbl>
            <w:tblPr>
              <w:tblStyle w:val="19"/>
              <w:tblW w:w="845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40"/>
              <w:gridCol w:w="1926"/>
              <w:gridCol w:w="1926"/>
              <w:gridCol w:w="1926"/>
              <w:gridCol w:w="1940"/>
            </w:tblGrid>
            <w:tr w14:paraId="36B8E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437" w:type="pct"/>
                  <w:tcBorders>
                    <w:tl2br w:val="nil"/>
                    <w:tr2bl w:val="nil"/>
                  </w:tcBorders>
                  <w:noWrap w:val="0"/>
                  <w:vAlign w:val="center"/>
                </w:tcPr>
                <w:p w14:paraId="07730857">
                  <w:pPr>
                    <w:pStyle w:val="30"/>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序号</w:t>
                  </w:r>
                </w:p>
              </w:tc>
              <w:tc>
                <w:tcPr>
                  <w:tcW w:w="1138" w:type="pct"/>
                  <w:tcBorders>
                    <w:tl2br w:val="nil"/>
                    <w:tr2bl w:val="nil"/>
                  </w:tcBorders>
                  <w:noWrap w:val="0"/>
                  <w:vAlign w:val="center"/>
                </w:tcPr>
                <w:p w14:paraId="56BB89BA">
                  <w:pPr>
                    <w:pStyle w:val="30"/>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原辅材料名称</w:t>
                  </w:r>
                </w:p>
              </w:tc>
              <w:tc>
                <w:tcPr>
                  <w:tcW w:w="1138" w:type="pct"/>
                  <w:tcBorders>
                    <w:tl2br w:val="nil"/>
                    <w:tr2bl w:val="nil"/>
                  </w:tcBorders>
                  <w:noWrap w:val="0"/>
                  <w:vAlign w:val="center"/>
                </w:tcPr>
                <w:p w14:paraId="3B5BE62E">
                  <w:pPr>
                    <w:pStyle w:val="30"/>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年使用量</w:t>
                  </w:r>
                </w:p>
              </w:tc>
              <w:tc>
                <w:tcPr>
                  <w:tcW w:w="1138" w:type="pct"/>
                  <w:tcBorders>
                    <w:tl2br w:val="nil"/>
                    <w:tr2bl w:val="nil"/>
                  </w:tcBorders>
                  <w:noWrap w:val="0"/>
                  <w:vAlign w:val="center"/>
                </w:tcPr>
                <w:p w14:paraId="245237E2">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最大储存量</w:t>
                  </w:r>
                </w:p>
              </w:tc>
              <w:tc>
                <w:tcPr>
                  <w:tcW w:w="1146" w:type="pct"/>
                  <w:tcBorders>
                    <w:tl2br w:val="nil"/>
                    <w:tr2bl w:val="nil"/>
                  </w:tcBorders>
                  <w:noWrap w:val="0"/>
                  <w:vAlign w:val="center"/>
                </w:tcPr>
                <w:p w14:paraId="49A258AA">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贮存位置</w:t>
                  </w:r>
                </w:p>
              </w:tc>
            </w:tr>
            <w:tr w14:paraId="4D776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37" w:type="pct"/>
                  <w:tcBorders>
                    <w:tl2br w:val="nil"/>
                    <w:tr2bl w:val="nil"/>
                  </w:tcBorders>
                  <w:noWrap w:val="0"/>
                  <w:vAlign w:val="center"/>
                </w:tcPr>
                <w:p w14:paraId="33B6ED7E">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w:t>
                  </w:r>
                </w:p>
              </w:tc>
              <w:tc>
                <w:tcPr>
                  <w:tcW w:w="1138" w:type="pct"/>
                  <w:tcBorders>
                    <w:tl2br w:val="nil"/>
                    <w:tr2bl w:val="nil"/>
                  </w:tcBorders>
                  <w:noWrap w:val="0"/>
                  <w:vAlign w:val="center"/>
                </w:tcPr>
                <w:p w14:paraId="57265CB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7E47DE6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4E55DF5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46" w:type="pct"/>
                  <w:tcBorders>
                    <w:tl2br w:val="nil"/>
                    <w:tr2bl w:val="nil"/>
                  </w:tcBorders>
                  <w:noWrap w:val="0"/>
                  <w:vAlign w:val="center"/>
                </w:tcPr>
                <w:p w14:paraId="26BC5F51">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22CCB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3" w:hRule="atLeast"/>
              </w:trPr>
              <w:tc>
                <w:tcPr>
                  <w:tcW w:w="437" w:type="pct"/>
                  <w:tcBorders>
                    <w:tl2br w:val="nil"/>
                    <w:tr2bl w:val="nil"/>
                  </w:tcBorders>
                  <w:noWrap w:val="0"/>
                  <w:vAlign w:val="center"/>
                </w:tcPr>
                <w:p w14:paraId="666E7DB6">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2</w:t>
                  </w:r>
                </w:p>
              </w:tc>
              <w:tc>
                <w:tcPr>
                  <w:tcW w:w="1138" w:type="pct"/>
                  <w:tcBorders>
                    <w:tl2br w:val="nil"/>
                    <w:tr2bl w:val="nil"/>
                  </w:tcBorders>
                  <w:noWrap w:val="0"/>
                  <w:vAlign w:val="center"/>
                </w:tcPr>
                <w:p w14:paraId="32F4313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313FCE7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4CB939E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46" w:type="pct"/>
                  <w:tcBorders>
                    <w:tl2br w:val="nil"/>
                    <w:tr2bl w:val="nil"/>
                  </w:tcBorders>
                  <w:noWrap w:val="0"/>
                  <w:vAlign w:val="center"/>
                </w:tcPr>
                <w:p w14:paraId="41931603">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6019D3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3" w:hRule="atLeast"/>
              </w:trPr>
              <w:tc>
                <w:tcPr>
                  <w:tcW w:w="437" w:type="pct"/>
                  <w:tcBorders>
                    <w:tl2br w:val="nil"/>
                    <w:tr2bl w:val="nil"/>
                  </w:tcBorders>
                  <w:noWrap w:val="0"/>
                  <w:vAlign w:val="center"/>
                </w:tcPr>
                <w:p w14:paraId="6E09E88C">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3</w:t>
                  </w:r>
                </w:p>
              </w:tc>
              <w:tc>
                <w:tcPr>
                  <w:tcW w:w="1138" w:type="pct"/>
                  <w:tcBorders>
                    <w:tl2br w:val="nil"/>
                    <w:tr2bl w:val="nil"/>
                  </w:tcBorders>
                  <w:noWrap w:val="0"/>
                  <w:vAlign w:val="center"/>
                </w:tcPr>
                <w:p w14:paraId="16F34DAE">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121ABE7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48FE16B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46" w:type="pct"/>
                  <w:tcBorders>
                    <w:tl2br w:val="nil"/>
                    <w:tr2bl w:val="nil"/>
                  </w:tcBorders>
                  <w:noWrap w:val="0"/>
                  <w:vAlign w:val="center"/>
                </w:tcPr>
                <w:p w14:paraId="06B18CD1">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6FCAB4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3" w:hRule="atLeast"/>
              </w:trPr>
              <w:tc>
                <w:tcPr>
                  <w:tcW w:w="437" w:type="pct"/>
                  <w:tcBorders>
                    <w:tl2br w:val="nil"/>
                    <w:tr2bl w:val="nil"/>
                  </w:tcBorders>
                  <w:noWrap w:val="0"/>
                  <w:vAlign w:val="center"/>
                </w:tcPr>
                <w:p w14:paraId="16A2E473">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4</w:t>
                  </w:r>
                </w:p>
              </w:tc>
              <w:tc>
                <w:tcPr>
                  <w:tcW w:w="1138" w:type="pct"/>
                  <w:tcBorders>
                    <w:tl2br w:val="nil"/>
                    <w:tr2bl w:val="nil"/>
                  </w:tcBorders>
                  <w:noWrap w:val="0"/>
                  <w:vAlign w:val="center"/>
                </w:tcPr>
                <w:p w14:paraId="6412A66B">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5EE3943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1374B9D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46" w:type="pct"/>
                  <w:tcBorders>
                    <w:tl2br w:val="nil"/>
                    <w:tr2bl w:val="nil"/>
                  </w:tcBorders>
                  <w:noWrap w:val="0"/>
                  <w:vAlign w:val="center"/>
                </w:tcPr>
                <w:p w14:paraId="7237639F">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680F1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39BE83B3">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5</w:t>
                  </w:r>
                </w:p>
              </w:tc>
              <w:tc>
                <w:tcPr>
                  <w:tcW w:w="1138" w:type="pct"/>
                  <w:tcBorders>
                    <w:tl2br w:val="nil"/>
                    <w:tr2bl w:val="nil"/>
                  </w:tcBorders>
                  <w:noWrap w:val="0"/>
                  <w:vAlign w:val="center"/>
                </w:tcPr>
                <w:p w14:paraId="773229CE">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636C4A3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02005506">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724D06EA">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57C6BC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532847EF">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6</w:t>
                  </w:r>
                </w:p>
              </w:tc>
              <w:tc>
                <w:tcPr>
                  <w:tcW w:w="1138" w:type="pct"/>
                  <w:tcBorders>
                    <w:tl2br w:val="nil"/>
                    <w:tr2bl w:val="nil"/>
                  </w:tcBorders>
                  <w:noWrap w:val="0"/>
                  <w:vAlign w:val="center"/>
                </w:tcPr>
                <w:p w14:paraId="23FC9FEE">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2C968FB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46532856">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7EE73EC7">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5E9C22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1421E6BD">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7</w:t>
                  </w:r>
                </w:p>
              </w:tc>
              <w:tc>
                <w:tcPr>
                  <w:tcW w:w="1138" w:type="pct"/>
                  <w:tcBorders>
                    <w:tl2br w:val="nil"/>
                    <w:tr2bl w:val="nil"/>
                  </w:tcBorders>
                  <w:noWrap w:val="0"/>
                  <w:vAlign w:val="center"/>
                </w:tcPr>
                <w:p w14:paraId="2E94BBF0">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1023E0B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5F3F1290">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06ADACDD">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lang w:val="en-US" w:eastAsia="zh-CN"/>
                    </w:rPr>
                    <w:t>危化品仓库</w:t>
                  </w:r>
                </w:p>
              </w:tc>
            </w:tr>
            <w:tr w14:paraId="5E652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7F4129AC">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8</w:t>
                  </w:r>
                </w:p>
              </w:tc>
              <w:tc>
                <w:tcPr>
                  <w:tcW w:w="1138" w:type="pct"/>
                  <w:tcBorders>
                    <w:tl2br w:val="nil"/>
                    <w:tr2bl w:val="nil"/>
                  </w:tcBorders>
                  <w:noWrap w:val="0"/>
                  <w:vAlign w:val="center"/>
                </w:tcPr>
                <w:p w14:paraId="43E92F9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01070BEB">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7475657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4D25BFE5">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lang w:val="en-US" w:eastAsia="zh-CN"/>
                    </w:rPr>
                    <w:t>危化品仓库</w:t>
                  </w:r>
                </w:p>
              </w:tc>
            </w:tr>
            <w:tr w14:paraId="2E0264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66463FF7">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9</w:t>
                  </w:r>
                </w:p>
              </w:tc>
              <w:tc>
                <w:tcPr>
                  <w:tcW w:w="1138" w:type="pct"/>
                  <w:tcBorders>
                    <w:tl2br w:val="nil"/>
                    <w:tr2bl w:val="nil"/>
                  </w:tcBorders>
                  <w:noWrap w:val="0"/>
                  <w:vAlign w:val="center"/>
                </w:tcPr>
                <w:p w14:paraId="2432CC2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6744D57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0FF0707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309B93C5">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lang w:val="en-US" w:eastAsia="zh-CN"/>
                    </w:rPr>
                    <w:t>危化品仓库</w:t>
                  </w:r>
                </w:p>
              </w:tc>
            </w:tr>
            <w:tr w14:paraId="5998D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2FE5ED66">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10</w:t>
                  </w:r>
                </w:p>
              </w:tc>
              <w:tc>
                <w:tcPr>
                  <w:tcW w:w="1138" w:type="pct"/>
                  <w:tcBorders>
                    <w:tl2br w:val="nil"/>
                    <w:tr2bl w:val="nil"/>
                  </w:tcBorders>
                  <w:noWrap w:val="0"/>
                  <w:vAlign w:val="center"/>
                </w:tcPr>
                <w:p w14:paraId="06095491">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0F203059">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645D9ED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293939C0">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lang w:val="en-US" w:eastAsia="zh-CN"/>
                    </w:rPr>
                    <w:t>危化品仓库</w:t>
                  </w:r>
                </w:p>
              </w:tc>
            </w:tr>
            <w:tr w14:paraId="58F85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44B7A947">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11</w:t>
                  </w:r>
                </w:p>
              </w:tc>
              <w:tc>
                <w:tcPr>
                  <w:tcW w:w="1138" w:type="pct"/>
                  <w:tcBorders>
                    <w:tl2br w:val="nil"/>
                    <w:tr2bl w:val="nil"/>
                  </w:tcBorders>
                  <w:noWrap w:val="0"/>
                  <w:vAlign w:val="center"/>
                </w:tcPr>
                <w:p w14:paraId="6771F238">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0344BAE0">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57B20F2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40437F51">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lang w:val="en-US" w:eastAsia="zh-CN"/>
                    </w:rPr>
                    <w:t>危化品仓库</w:t>
                  </w:r>
                </w:p>
              </w:tc>
            </w:tr>
            <w:tr w14:paraId="7B62A9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71012455">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12</w:t>
                  </w:r>
                </w:p>
              </w:tc>
              <w:tc>
                <w:tcPr>
                  <w:tcW w:w="1138" w:type="pct"/>
                  <w:tcBorders>
                    <w:tl2br w:val="nil"/>
                    <w:tr2bl w:val="nil"/>
                  </w:tcBorders>
                  <w:noWrap w:val="0"/>
                  <w:vAlign w:val="center"/>
                </w:tcPr>
                <w:p w14:paraId="38521D2E">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1E29860F">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050A6CA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5108E510">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0600E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437" w:type="pct"/>
                  <w:tcBorders>
                    <w:tl2br w:val="nil"/>
                    <w:tr2bl w:val="nil"/>
                  </w:tcBorders>
                  <w:noWrap w:val="0"/>
                  <w:vAlign w:val="center"/>
                </w:tcPr>
                <w:p w14:paraId="30B3E5B8">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13</w:t>
                  </w:r>
                </w:p>
              </w:tc>
              <w:tc>
                <w:tcPr>
                  <w:tcW w:w="1138" w:type="pct"/>
                  <w:tcBorders>
                    <w:tl2br w:val="nil"/>
                    <w:tr2bl w:val="nil"/>
                  </w:tcBorders>
                  <w:noWrap w:val="0"/>
                  <w:vAlign w:val="center"/>
                </w:tcPr>
                <w:p w14:paraId="687B2FBC">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5FB8686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62A6DFF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51B9211F">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79713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6F3E1A31">
                  <w:pPr>
                    <w:pStyle w:val="11"/>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14</w:t>
                  </w:r>
                </w:p>
              </w:tc>
              <w:tc>
                <w:tcPr>
                  <w:tcW w:w="1138" w:type="pct"/>
                  <w:tcBorders>
                    <w:tl2br w:val="nil"/>
                    <w:tr2bl w:val="nil"/>
                  </w:tcBorders>
                  <w:noWrap w:val="0"/>
                  <w:vAlign w:val="center"/>
                </w:tcPr>
                <w:p w14:paraId="0DADD492">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06F1B1D6">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6AA43E7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1E40F3B1">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10F0A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437" w:type="pct"/>
                  <w:tcBorders>
                    <w:tl2br w:val="nil"/>
                    <w:tr2bl w:val="nil"/>
                  </w:tcBorders>
                  <w:noWrap w:val="0"/>
                  <w:vAlign w:val="center"/>
                </w:tcPr>
                <w:p w14:paraId="337E8445">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15</w:t>
                  </w:r>
                </w:p>
              </w:tc>
              <w:tc>
                <w:tcPr>
                  <w:tcW w:w="1138" w:type="pct"/>
                  <w:tcBorders>
                    <w:tl2br w:val="nil"/>
                    <w:tr2bl w:val="nil"/>
                  </w:tcBorders>
                  <w:noWrap w:val="0"/>
                  <w:vAlign w:val="center"/>
                </w:tcPr>
                <w:p w14:paraId="2B09C76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44A3EFF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7DB3025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7DC4467A">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r w14:paraId="07B4CF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3" w:hRule="atLeast"/>
              </w:trPr>
              <w:tc>
                <w:tcPr>
                  <w:tcW w:w="437" w:type="pct"/>
                  <w:tcBorders>
                    <w:tl2br w:val="nil"/>
                    <w:tr2bl w:val="nil"/>
                  </w:tcBorders>
                  <w:noWrap w:val="0"/>
                  <w:vAlign w:val="center"/>
                </w:tcPr>
                <w:p w14:paraId="38C4E6D8">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16</w:t>
                  </w:r>
                </w:p>
              </w:tc>
              <w:tc>
                <w:tcPr>
                  <w:tcW w:w="1138" w:type="pct"/>
                  <w:tcBorders>
                    <w:tl2br w:val="nil"/>
                    <w:tr2bl w:val="nil"/>
                  </w:tcBorders>
                  <w:noWrap w:val="0"/>
                  <w:vAlign w:val="center"/>
                </w:tcPr>
                <w:p w14:paraId="6F29C5D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30FFEB1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138" w:type="pct"/>
                  <w:tcBorders>
                    <w:tl2br w:val="nil"/>
                    <w:tr2bl w:val="nil"/>
                  </w:tcBorders>
                  <w:noWrap w:val="0"/>
                  <w:vAlign w:val="center"/>
                </w:tcPr>
                <w:p w14:paraId="172900C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color w:val="auto"/>
                      <w:sz w:val="21"/>
                      <w:szCs w:val="21"/>
                      <w:shd w:val="clear" w:color="auto" w:fill="auto"/>
                      <w:lang w:val="en-US" w:eastAsia="zh-CN"/>
                    </w:rPr>
                  </w:pPr>
                  <w:r>
                    <w:rPr>
                      <w:rFonts w:hint="eastAsia" w:cs="Times New Roman"/>
                      <w:b w:val="0"/>
                      <w:bCs/>
                      <w:color w:val="auto"/>
                      <w:sz w:val="21"/>
                      <w:szCs w:val="21"/>
                      <w:lang w:val="en-US" w:eastAsia="zh-CN"/>
                    </w:rPr>
                    <w:t>***</w:t>
                  </w:r>
                </w:p>
              </w:tc>
              <w:tc>
                <w:tcPr>
                  <w:tcW w:w="1940" w:type="dxa"/>
                  <w:tcBorders>
                    <w:tl2br w:val="nil"/>
                    <w:tr2bl w:val="nil"/>
                  </w:tcBorders>
                  <w:noWrap w:val="0"/>
                  <w:vAlign w:val="center"/>
                </w:tcPr>
                <w:p w14:paraId="2EEF8AA1">
                  <w:pPr>
                    <w:pStyle w:val="11"/>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color w:val="auto"/>
                      <w:sz w:val="21"/>
                      <w:szCs w:val="21"/>
                      <w:shd w:val="clear" w:color="auto" w:fill="auto"/>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原料仓库</w:t>
                  </w:r>
                </w:p>
              </w:tc>
            </w:tr>
          </w:tbl>
          <w:p w14:paraId="4CFCAF02">
            <w:pPr>
              <w:widowControl w:val="0"/>
              <w:pBdr>
                <w:bottom w:val="dotted" w:color="auto" w:sz="24" w:space="0"/>
              </w:pBdr>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主要原辅材料理化性质：</w:t>
            </w:r>
          </w:p>
          <w:p w14:paraId="6CDB177D">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43" w:name="_Toc20121"/>
            <w:r>
              <w:rPr>
                <w:rFonts w:hint="eastAsia" w:ascii="Times New Roman" w:hAnsi="Times New Roman" w:eastAsia="宋体" w:cs="Times New Roman"/>
                <w:b/>
                <w:color w:val="auto"/>
                <w:kern w:val="2"/>
                <w:sz w:val="24"/>
                <w:szCs w:val="24"/>
                <w:lang w:val="en-US" w:eastAsia="zh-CN" w:bidi="ar-SA"/>
              </w:rPr>
              <w:t>2.1.7项目主要能源消耗</w:t>
            </w:r>
            <w:bookmarkEnd w:id="43"/>
          </w:p>
          <w:p w14:paraId="5A332699">
            <w:pPr>
              <w:pStyle w:val="46"/>
              <w:bidi w:val="0"/>
              <w:rPr>
                <w:rFonts w:hint="eastAsia" w:ascii="Times New Roman" w:hAnsi="Times New Roman" w:eastAsia="宋体" w:cs="Times New Roman"/>
                <w:b/>
                <w:color w:val="auto"/>
                <w:kern w:val="0"/>
                <w:sz w:val="24"/>
                <w:szCs w:val="20"/>
                <w:lang w:val="en-US" w:eastAsia="zh-CN" w:bidi="ar-SA"/>
              </w:rPr>
            </w:pPr>
          </w:p>
          <w:p w14:paraId="3A585B83">
            <w:pPr>
              <w:pStyle w:val="46"/>
              <w:bidi w:val="0"/>
              <w:ind w:firstLine="482" w:firstLineChars="200"/>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表2.1-6  项目主要能源消耗一览表</w:t>
            </w:r>
          </w:p>
          <w:tbl>
            <w:tblPr>
              <w:tblStyle w:val="44"/>
              <w:tblW w:w="4998" w:type="pct"/>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810"/>
              <w:gridCol w:w="1507"/>
              <w:gridCol w:w="2350"/>
              <w:gridCol w:w="3749"/>
            </w:tblGrid>
            <w:tr w14:paraId="1BA74DE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81" w:type="pct"/>
                  <w:tcBorders>
                    <w:tl2br w:val="nil"/>
                    <w:tr2bl w:val="nil"/>
                  </w:tcBorders>
                  <w:vAlign w:val="center"/>
                </w:tcPr>
                <w:p w14:paraId="37859EC7">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b/>
                      <w:bCs/>
                      <w:color w:val="auto"/>
                      <w:sz w:val="21"/>
                      <w:szCs w:val="21"/>
                    </w:rPr>
                  </w:pPr>
                  <w:r>
                    <w:rPr>
                      <w:rFonts w:ascii="Times New Roman" w:hAnsi="Times New Roman" w:eastAsia="宋体"/>
                      <w:b/>
                      <w:bCs/>
                      <w:color w:val="auto"/>
                      <w:spacing w:val="5"/>
                      <w:sz w:val="21"/>
                      <w:szCs w:val="21"/>
                    </w:rPr>
                    <w:t>序号</w:t>
                  </w:r>
                </w:p>
              </w:tc>
              <w:tc>
                <w:tcPr>
                  <w:tcW w:w="895" w:type="pct"/>
                  <w:tcBorders>
                    <w:tl2br w:val="nil"/>
                    <w:tr2bl w:val="nil"/>
                  </w:tcBorders>
                  <w:vAlign w:val="center"/>
                </w:tcPr>
                <w:p w14:paraId="74BCC9EA">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b/>
                      <w:bCs/>
                      <w:color w:val="auto"/>
                      <w:sz w:val="21"/>
                      <w:szCs w:val="21"/>
                    </w:rPr>
                  </w:pPr>
                  <w:r>
                    <w:rPr>
                      <w:rFonts w:ascii="Times New Roman" w:hAnsi="Times New Roman" w:eastAsia="宋体"/>
                      <w:b/>
                      <w:bCs/>
                      <w:color w:val="auto"/>
                      <w:sz w:val="21"/>
                      <w:szCs w:val="21"/>
                    </w:rPr>
                    <w:t>能源</w:t>
                  </w:r>
                </w:p>
              </w:tc>
              <w:tc>
                <w:tcPr>
                  <w:tcW w:w="1396" w:type="pct"/>
                  <w:tcBorders>
                    <w:tl2br w:val="nil"/>
                    <w:tr2bl w:val="nil"/>
                  </w:tcBorders>
                  <w:vAlign w:val="center"/>
                </w:tcPr>
                <w:p w14:paraId="15767003">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b/>
                      <w:bCs/>
                      <w:color w:val="auto"/>
                      <w:sz w:val="21"/>
                      <w:szCs w:val="21"/>
                    </w:rPr>
                  </w:pPr>
                  <w:r>
                    <w:rPr>
                      <w:rFonts w:ascii="Times New Roman" w:hAnsi="Times New Roman" w:eastAsia="宋体"/>
                      <w:b/>
                      <w:bCs/>
                      <w:color w:val="auto"/>
                      <w:spacing w:val="6"/>
                      <w:sz w:val="21"/>
                      <w:szCs w:val="21"/>
                    </w:rPr>
                    <w:t>能源消耗量</w:t>
                  </w:r>
                </w:p>
              </w:tc>
              <w:tc>
                <w:tcPr>
                  <w:tcW w:w="2227" w:type="pct"/>
                  <w:tcBorders>
                    <w:tl2br w:val="nil"/>
                    <w:tr2bl w:val="nil"/>
                  </w:tcBorders>
                  <w:vAlign w:val="center"/>
                </w:tcPr>
                <w:p w14:paraId="6D91C126">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b/>
                      <w:bCs/>
                      <w:color w:val="auto"/>
                      <w:sz w:val="21"/>
                      <w:szCs w:val="21"/>
                    </w:rPr>
                  </w:pPr>
                  <w:r>
                    <w:rPr>
                      <w:rFonts w:ascii="Times New Roman" w:hAnsi="Times New Roman" w:eastAsia="宋体"/>
                      <w:b/>
                      <w:bCs/>
                      <w:color w:val="auto"/>
                      <w:spacing w:val="5"/>
                      <w:sz w:val="21"/>
                      <w:szCs w:val="21"/>
                    </w:rPr>
                    <w:t>能源来源</w:t>
                  </w:r>
                </w:p>
              </w:tc>
            </w:tr>
            <w:tr w14:paraId="466FE0F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81" w:type="pct"/>
                  <w:tcBorders>
                    <w:tl2br w:val="nil"/>
                    <w:tr2bl w:val="nil"/>
                  </w:tcBorders>
                  <w:vAlign w:val="center"/>
                </w:tcPr>
                <w:p w14:paraId="3F9E7A9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895" w:type="pct"/>
                  <w:tcBorders>
                    <w:tl2br w:val="nil"/>
                    <w:tr2bl w:val="nil"/>
                  </w:tcBorders>
                  <w:vAlign w:val="center"/>
                </w:tcPr>
                <w:p w14:paraId="3517B31E">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rPr>
                  </w:pPr>
                  <w:r>
                    <w:rPr>
                      <w:rFonts w:ascii="Times New Roman" w:hAnsi="Times New Roman" w:eastAsia="宋体"/>
                      <w:color w:val="auto"/>
                      <w:sz w:val="21"/>
                      <w:szCs w:val="21"/>
                    </w:rPr>
                    <w:t>水</w:t>
                  </w:r>
                </w:p>
              </w:tc>
              <w:tc>
                <w:tcPr>
                  <w:tcW w:w="1396" w:type="pct"/>
                  <w:tcBorders>
                    <w:tl2br w:val="nil"/>
                    <w:tr2bl w:val="nil"/>
                  </w:tcBorders>
                  <w:vAlign w:val="center"/>
                </w:tcPr>
                <w:p w14:paraId="7DCB0EC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s="Times New Roman"/>
                      <w:color w:val="auto"/>
                      <w:sz w:val="21"/>
                      <w:szCs w:val="21"/>
                    </w:rPr>
                  </w:pPr>
                  <w:r>
                    <w:rPr>
                      <w:rFonts w:hint="eastAsia" w:cs="Times New Roman"/>
                      <w:color w:val="auto"/>
                      <w:spacing w:val="3"/>
                      <w:sz w:val="21"/>
                      <w:szCs w:val="21"/>
                      <w:lang w:val="en-US" w:eastAsia="zh-CN"/>
                    </w:rPr>
                    <w:t>7110</w:t>
                  </w:r>
                  <w:r>
                    <w:rPr>
                      <w:rFonts w:ascii="Times New Roman" w:hAnsi="Times New Roman" w:eastAsia="宋体" w:cs="Times New Roman"/>
                      <w:color w:val="auto"/>
                      <w:spacing w:val="3"/>
                      <w:sz w:val="21"/>
                      <w:szCs w:val="21"/>
                    </w:rPr>
                    <w:t>t/a</w:t>
                  </w:r>
                </w:p>
              </w:tc>
              <w:tc>
                <w:tcPr>
                  <w:tcW w:w="2227" w:type="pct"/>
                  <w:tcBorders>
                    <w:tl2br w:val="nil"/>
                    <w:tr2bl w:val="nil"/>
                  </w:tcBorders>
                  <w:vAlign w:val="center"/>
                </w:tcPr>
                <w:p w14:paraId="27AB4FF1">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rPr>
                  </w:pPr>
                  <w:r>
                    <w:rPr>
                      <w:rFonts w:ascii="Times New Roman" w:hAnsi="Times New Roman" w:eastAsia="宋体"/>
                      <w:color w:val="auto"/>
                      <w:spacing w:val="8"/>
                      <w:sz w:val="21"/>
                      <w:szCs w:val="21"/>
                    </w:rPr>
                    <w:t>接市政供水系统</w:t>
                  </w:r>
                </w:p>
              </w:tc>
            </w:tr>
            <w:tr w14:paraId="6383715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81" w:type="pct"/>
                  <w:tcBorders>
                    <w:tl2br w:val="nil"/>
                    <w:tr2bl w:val="nil"/>
                  </w:tcBorders>
                  <w:vAlign w:val="center"/>
                </w:tcPr>
                <w:p w14:paraId="6B1ACDA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895" w:type="pct"/>
                  <w:tcBorders>
                    <w:tl2br w:val="nil"/>
                    <w:tr2bl w:val="nil"/>
                  </w:tcBorders>
                  <w:vAlign w:val="center"/>
                </w:tcPr>
                <w:p w14:paraId="14BF1004">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rPr>
                  </w:pPr>
                  <w:r>
                    <w:rPr>
                      <w:rFonts w:ascii="Times New Roman" w:hAnsi="Times New Roman" w:eastAsia="宋体"/>
                      <w:color w:val="auto"/>
                      <w:sz w:val="21"/>
                      <w:szCs w:val="21"/>
                    </w:rPr>
                    <w:t>电</w:t>
                  </w:r>
                </w:p>
              </w:tc>
              <w:tc>
                <w:tcPr>
                  <w:tcW w:w="1396" w:type="pct"/>
                  <w:tcBorders>
                    <w:tl2br w:val="nil"/>
                    <w:tr2bl w:val="nil"/>
                  </w:tcBorders>
                  <w:vAlign w:val="center"/>
                </w:tcPr>
                <w:p w14:paraId="1F8CAF5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s="Times New Roman"/>
                      <w:color w:val="auto"/>
                      <w:sz w:val="21"/>
                      <w:szCs w:val="21"/>
                    </w:rPr>
                  </w:pPr>
                  <w:r>
                    <w:rPr>
                      <w:rFonts w:hint="eastAsia" w:cs="Times New Roman"/>
                      <w:color w:val="auto"/>
                      <w:spacing w:val="5"/>
                      <w:sz w:val="21"/>
                      <w:szCs w:val="21"/>
                      <w:lang w:val="en-US" w:eastAsia="zh-CN"/>
                    </w:rPr>
                    <w:t>320万</w:t>
                  </w:r>
                  <w:r>
                    <w:rPr>
                      <w:rFonts w:ascii="Times New Roman" w:hAnsi="Times New Roman" w:eastAsia="宋体" w:cs="Times New Roman"/>
                      <w:color w:val="auto"/>
                      <w:sz w:val="21"/>
                      <w:szCs w:val="21"/>
                    </w:rPr>
                    <w:t>kWh</w:t>
                  </w:r>
                  <w:r>
                    <w:rPr>
                      <w:rFonts w:ascii="Times New Roman" w:hAnsi="Times New Roman" w:eastAsia="宋体" w:cs="Times New Roman"/>
                      <w:color w:val="auto"/>
                      <w:spacing w:val="5"/>
                      <w:sz w:val="21"/>
                      <w:szCs w:val="21"/>
                    </w:rPr>
                    <w:t>/a</w:t>
                  </w:r>
                </w:p>
              </w:tc>
              <w:tc>
                <w:tcPr>
                  <w:tcW w:w="2227" w:type="pct"/>
                  <w:tcBorders>
                    <w:tl2br w:val="nil"/>
                    <w:tr2bl w:val="nil"/>
                  </w:tcBorders>
                  <w:vAlign w:val="center"/>
                </w:tcPr>
                <w:p w14:paraId="146E0AE2">
                  <w:pPr>
                    <w:pStyle w:val="43"/>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rPr>
                  </w:pPr>
                  <w:r>
                    <w:rPr>
                      <w:rFonts w:ascii="Times New Roman" w:hAnsi="Times New Roman" w:eastAsia="宋体"/>
                      <w:color w:val="auto"/>
                      <w:spacing w:val="8"/>
                      <w:sz w:val="21"/>
                      <w:szCs w:val="21"/>
                    </w:rPr>
                    <w:t>接市政供电系统</w:t>
                  </w:r>
                </w:p>
              </w:tc>
            </w:tr>
          </w:tbl>
          <w:p w14:paraId="0031A313">
            <w:pPr>
              <w:pStyle w:val="4"/>
              <w:bidi w:val="0"/>
              <w:ind w:firstLine="482" w:firstLineChars="200"/>
              <w:rPr>
                <w:rFonts w:hint="eastAsia" w:ascii="Times New Roman" w:hAnsi="Times New Roman"/>
                <w:color w:val="auto"/>
                <w:lang w:val="en-US" w:eastAsia="zh-CN"/>
              </w:rPr>
            </w:pPr>
            <w:bookmarkStart w:id="44" w:name="_Toc17536"/>
            <w:r>
              <w:rPr>
                <w:rFonts w:hint="eastAsia" w:ascii="Times New Roman" w:hAnsi="Times New Roman"/>
                <w:color w:val="auto"/>
                <w:lang w:val="en-US" w:eastAsia="zh-CN"/>
              </w:rPr>
              <w:t>2.1.8项目水平衡</w:t>
            </w:r>
            <w:bookmarkEnd w:id="44"/>
          </w:p>
          <w:p w14:paraId="15AA6C3E">
            <w:pPr>
              <w:pStyle w:val="22"/>
              <w:bidi w:val="0"/>
              <w:spacing w:line="240" w:lineRule="auto"/>
              <w:ind w:left="0" w:leftChars="0" w:firstLine="0" w:firstLineChars="0"/>
              <w:rPr>
                <w:rFonts w:hint="default" w:ascii="Times New Roman" w:hAnsi="Times New Roman"/>
                <w:color w:val="auto"/>
                <w:lang w:val="en-US" w:eastAsia="zh-CN"/>
              </w:rPr>
            </w:pPr>
            <w:r>
              <w:rPr>
                <w:rFonts w:hint="eastAsia" w:cs="Times New Roman"/>
                <w:b w:val="0"/>
                <w:bCs/>
                <w:color w:val="auto"/>
                <w:sz w:val="21"/>
                <w:szCs w:val="21"/>
                <w:lang w:val="en-US" w:eastAsia="zh-CN"/>
              </w:rPr>
              <w:t>***</w:t>
            </w:r>
          </w:p>
          <w:p w14:paraId="28DA5F44">
            <w:pPr>
              <w:pStyle w:val="46"/>
              <w:bidi w:val="0"/>
              <w:ind w:firstLine="482" w:firstLineChars="200"/>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图2.1-2  项目</w:t>
            </w:r>
            <w:r>
              <w:rPr>
                <w:rFonts w:hint="eastAsia" w:cs="Times New Roman"/>
                <w:b/>
                <w:color w:val="auto"/>
                <w:kern w:val="0"/>
                <w:sz w:val="24"/>
                <w:szCs w:val="20"/>
                <w:lang w:val="en-US" w:eastAsia="zh-CN" w:bidi="ar-SA"/>
              </w:rPr>
              <w:t>全厂</w:t>
            </w:r>
            <w:r>
              <w:rPr>
                <w:rFonts w:hint="eastAsia" w:ascii="Times New Roman" w:hAnsi="Times New Roman" w:eastAsia="宋体" w:cs="Times New Roman"/>
                <w:b/>
                <w:color w:val="auto"/>
                <w:kern w:val="0"/>
                <w:sz w:val="24"/>
                <w:szCs w:val="20"/>
                <w:lang w:val="en-US" w:eastAsia="zh-CN" w:bidi="ar-SA"/>
              </w:rPr>
              <w:t>水平衡图</w:t>
            </w:r>
          </w:p>
          <w:p w14:paraId="0D3CCCB2">
            <w:pPr>
              <w:pStyle w:val="4"/>
              <w:bidi w:val="0"/>
              <w:ind w:firstLine="482" w:firstLineChars="200"/>
              <w:rPr>
                <w:rFonts w:hint="default" w:ascii="Times New Roman" w:hAnsi="Times New Roman"/>
                <w:color w:val="auto"/>
                <w:lang w:val="en-US" w:eastAsia="zh-CN"/>
              </w:rPr>
            </w:pPr>
            <w:bookmarkStart w:id="45" w:name="_Toc21814"/>
            <w:r>
              <w:rPr>
                <w:rFonts w:hint="default" w:ascii="Times New Roman" w:hAnsi="Times New Roman"/>
                <w:color w:val="auto"/>
                <w:lang w:val="en-US" w:eastAsia="zh-CN"/>
              </w:rPr>
              <w:t>2.1.9平面布置合理性分析</w:t>
            </w:r>
            <w:bookmarkEnd w:id="45"/>
          </w:p>
          <w:p w14:paraId="0A9358CA">
            <w:pPr>
              <w:pStyle w:val="22"/>
              <w:bidi w:val="0"/>
              <w:ind w:firstLine="480" w:firstLineChars="200"/>
              <w:rPr>
                <w:rFonts w:hint="default" w:ascii="Times New Roman" w:hAnsi="Times New Roman"/>
                <w:color w:val="auto"/>
                <w:lang w:val="en-US" w:eastAsia="zh-CN"/>
              </w:rPr>
            </w:pPr>
            <w:r>
              <w:rPr>
                <w:rFonts w:hint="eastAsia" w:ascii="Times New Roman" w:hAnsi="Times New Roman"/>
                <w:color w:val="auto"/>
                <w:lang w:val="en-US" w:eastAsia="zh-CN"/>
              </w:rPr>
              <w:t>本项目位于</w:t>
            </w:r>
            <w:r>
              <w:rPr>
                <w:rFonts w:hint="eastAsia"/>
                <w:color w:val="auto"/>
                <w:lang w:val="en-US" w:eastAsia="zh-CN"/>
              </w:rPr>
              <w:t>福建省福州市闽侯县上街镇高新大道巨泽中心1号楼2层、2号楼2-3层和3号楼2、4层</w:t>
            </w:r>
            <w:r>
              <w:rPr>
                <w:rFonts w:hint="eastAsia" w:ascii="Times New Roman" w:hAnsi="Times New Roman"/>
                <w:color w:val="auto"/>
                <w:lang w:val="en-US" w:eastAsia="zh-CN"/>
              </w:rPr>
              <w:t>。厂区总平面布置在符合规定及要求的基础上，结合工艺生产要求及用地现有自然条件，满足生产运输、安全卫生、环境保护及施工管理等方面的需要，同时考虑企业在生产、交通运输、动力设施等方面的协作关系，做到生产工艺流程顺畅，通道宽度适中。总体布置统筹规划，远近期结合，各子项布局合理紧凑，协调统一。总图设计根据企业规划发展要求，本着总体规划，分步实施的原则，统筹考虑了场地的利用和总体布置。</w:t>
            </w:r>
          </w:p>
          <w:p w14:paraId="77A8DDAB">
            <w:pPr>
              <w:pStyle w:val="22"/>
              <w:bidi w:val="0"/>
              <w:ind w:firstLine="480" w:firstLineChars="200"/>
              <w:rPr>
                <w:rFonts w:hint="default" w:ascii="Times New Roman" w:hAnsi="Times New Roman"/>
                <w:color w:val="auto"/>
                <w:lang w:val="en-US" w:eastAsia="zh-CN"/>
              </w:rPr>
            </w:pPr>
            <w:r>
              <w:rPr>
                <w:rFonts w:hint="eastAsia" w:ascii="Times New Roman" w:hAnsi="Times New Roman"/>
                <w:color w:val="auto"/>
                <w:lang w:val="en-US" w:eastAsia="zh-CN"/>
              </w:rPr>
              <w:t>每层楼的功能划分明确清晰，便于工艺流程的进行和成品的堆放，物料流向顺畅，符合防火、安全、卫生等有关规范，总体布局功能分区明确，便于生产的连续性，项目平面布置基本合理。</w:t>
            </w:r>
          </w:p>
        </w:tc>
      </w:tr>
      <w:tr w14:paraId="1AA1A0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444" w:type="dxa"/>
            <w:noWrap w:val="0"/>
            <w:vAlign w:val="center"/>
          </w:tcPr>
          <w:p w14:paraId="51D92D1B">
            <w:pPr>
              <w:adjustRightInd w:val="0"/>
              <w:snapToGrid w:val="0"/>
              <w:spacing w:before="0" w:beforeAutospacing="0" w:after="0" w:afterAutospacing="0"/>
              <w:jc w:val="center"/>
              <w:rPr>
                <w:rFonts w:ascii="Times New Roman" w:hAnsi="Times New Roman" w:cs="宋体"/>
                <w:color w:val="auto"/>
                <w:sz w:val="21"/>
                <w:szCs w:val="21"/>
              </w:rPr>
            </w:pPr>
            <w:r>
              <w:rPr>
                <w:rFonts w:hint="eastAsia" w:ascii="Times New Roman" w:hAnsi="Times New Roman" w:cs="宋体"/>
                <w:color w:val="auto"/>
                <w:sz w:val="21"/>
                <w:szCs w:val="21"/>
              </w:rPr>
              <w:t>工艺流程和产排污环节</w:t>
            </w:r>
          </w:p>
        </w:tc>
        <w:tc>
          <w:tcPr>
            <w:tcW w:w="8616" w:type="dxa"/>
            <w:noWrap w:val="0"/>
            <w:vAlign w:val="top"/>
          </w:tcPr>
          <w:p w14:paraId="46DA2E8B">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bookmarkStart w:id="46" w:name="_Toc17760"/>
            <w:bookmarkStart w:id="47" w:name="_Toc3968"/>
            <w:r>
              <w:rPr>
                <w:rFonts w:hint="eastAsia" w:ascii="Times New Roman" w:hAnsi="Times New Roman" w:eastAsia="宋体" w:cs="Times New Roman"/>
                <w:b/>
                <w:color w:val="auto"/>
                <w:kern w:val="2"/>
                <w:sz w:val="28"/>
                <w:szCs w:val="24"/>
                <w:lang w:val="en-US" w:eastAsia="zh-CN" w:bidi="ar-SA"/>
              </w:rPr>
              <w:t>2.2生产工艺流程及产污环节</w:t>
            </w:r>
            <w:bookmarkEnd w:id="46"/>
            <w:bookmarkEnd w:id="47"/>
          </w:p>
          <w:p w14:paraId="2C9E6FBD">
            <w:pPr>
              <w:pStyle w:val="4"/>
              <w:bidi w:val="0"/>
              <w:ind w:firstLine="482" w:firstLineChars="200"/>
              <w:rPr>
                <w:rFonts w:hint="eastAsia" w:ascii="Times New Roman" w:hAnsi="Times New Roman"/>
                <w:color w:val="auto"/>
                <w:lang w:val="en-US" w:eastAsia="zh-CN"/>
              </w:rPr>
            </w:pPr>
            <w:bookmarkStart w:id="48" w:name="_Toc20655"/>
            <w:r>
              <w:rPr>
                <w:rFonts w:hint="eastAsia" w:ascii="Times New Roman" w:hAnsi="Times New Roman"/>
                <w:color w:val="auto"/>
                <w:lang w:val="en-US" w:eastAsia="zh-CN"/>
              </w:rPr>
              <w:t>2.2.1</w:t>
            </w:r>
            <w:r>
              <w:rPr>
                <w:rFonts w:hint="eastAsia"/>
                <w:color w:val="auto"/>
                <w:lang w:val="en-US" w:eastAsia="zh-CN"/>
              </w:rPr>
              <w:t>主要</w:t>
            </w:r>
            <w:r>
              <w:rPr>
                <w:rFonts w:hint="eastAsia" w:ascii="Times New Roman" w:hAnsi="Times New Roman"/>
                <w:color w:val="auto"/>
                <w:lang w:val="en-US" w:eastAsia="zh-CN"/>
              </w:rPr>
              <w:t>工艺流程及工艺介绍</w:t>
            </w:r>
            <w:bookmarkEnd w:id="48"/>
          </w:p>
          <w:p w14:paraId="48F7FAEA">
            <w:pPr>
              <w:pStyle w:val="4"/>
              <w:numPr>
                <w:ilvl w:val="0"/>
                <w:numId w:val="1"/>
              </w:numPr>
              <w:bidi w:val="0"/>
              <w:ind w:firstLine="482" w:firstLineChars="200"/>
              <w:rPr>
                <w:rFonts w:hint="eastAsia" w:ascii="Times New Roman" w:hAnsi="Times New Roman" w:eastAsia="宋体" w:cs="Times New Roman"/>
                <w:color w:val="auto"/>
                <w:lang w:val="en-US" w:eastAsia="zh-CN"/>
              </w:rPr>
            </w:pPr>
            <w:bookmarkStart w:id="49" w:name="_Toc589"/>
            <w:r>
              <w:rPr>
                <w:rFonts w:hint="eastAsia" w:ascii="Times New Roman" w:hAnsi="Times New Roman" w:eastAsia="宋体" w:cs="Times New Roman"/>
                <w:color w:val="auto"/>
                <w:lang w:val="en-US" w:eastAsia="zh-CN"/>
              </w:rPr>
              <w:t>晶体元器件生产线</w:t>
            </w:r>
            <w:bookmarkEnd w:id="49"/>
          </w:p>
          <w:p w14:paraId="022AE010">
            <w:pPr>
              <w:pStyle w:val="22"/>
              <w:ind w:left="0" w:leftChars="0" w:firstLine="0" w:firstLineChars="0"/>
              <w:jc w:val="both"/>
              <w:rPr>
                <w:rFonts w:hint="default"/>
                <w:lang w:val="en-US" w:eastAsia="zh-CN"/>
              </w:rPr>
            </w:pPr>
            <w:r>
              <w:rPr>
                <w:rFonts w:hint="eastAsia"/>
                <w:lang w:val="en-US" w:eastAsia="zh-CN"/>
              </w:rPr>
              <w:t>***</w:t>
            </w:r>
          </w:p>
          <w:p w14:paraId="4AB3D610">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图2.2-1  晶体元器件生产工艺流程图</w:t>
            </w:r>
          </w:p>
          <w:p w14:paraId="0C15743C">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主要</w:t>
            </w:r>
            <w:r>
              <w:rPr>
                <w:rFonts w:hint="eastAsia" w:ascii="Times New Roman" w:hAnsi="Times New Roman" w:eastAsia="宋体" w:cs="宋体"/>
                <w:color w:val="auto"/>
                <w:kern w:val="2"/>
                <w:sz w:val="24"/>
                <w:szCs w:val="24"/>
                <w:highlight w:val="none"/>
                <w:lang w:val="en-US" w:eastAsia="zh-CN" w:bidi="ar-SA"/>
              </w:rPr>
              <w:t>工艺说明：</w:t>
            </w:r>
          </w:p>
          <w:p w14:paraId="00079D6D">
            <w:pPr>
              <w:pStyle w:val="4"/>
              <w:numPr>
                <w:numId w:val="0"/>
              </w:numPr>
              <w:bidi w:val="0"/>
              <w:rPr>
                <w:rFonts w:hint="eastAsia" w:ascii="Times New Roman" w:hAnsi="Times New Roman" w:eastAsia="宋体" w:cs="Times New Roman"/>
                <w:color w:val="auto"/>
                <w:lang w:val="en-US" w:eastAsia="zh-CN"/>
              </w:rPr>
            </w:pPr>
            <w:bookmarkStart w:id="50" w:name="_Toc32263"/>
            <w:r>
              <w:rPr>
                <w:rFonts w:hint="eastAsia" w:cs="宋体"/>
                <w:color w:val="auto"/>
                <w:kern w:val="2"/>
                <w:sz w:val="24"/>
                <w:szCs w:val="24"/>
                <w:highlight w:val="none"/>
                <w:lang w:val="en-US" w:eastAsia="zh-CN" w:bidi="ar-SA"/>
              </w:rPr>
              <w:t>***</w:t>
            </w:r>
          </w:p>
          <w:p w14:paraId="594A375B">
            <w:pPr>
              <w:pStyle w:val="4"/>
              <w:numPr>
                <w:ilvl w:val="0"/>
                <w:numId w:val="1"/>
              </w:numPr>
              <w:bidi w:val="0"/>
              <w:ind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光学元器件生产线</w:t>
            </w:r>
            <w:bookmarkEnd w:id="50"/>
          </w:p>
          <w:p w14:paraId="1389F997">
            <w:pPr>
              <w:pStyle w:val="22"/>
              <w:ind w:firstLine="480" w:firstLineChars="200"/>
              <w:rPr>
                <w:rFonts w:hint="default"/>
                <w:lang w:val="en-US" w:eastAsia="zh-CN"/>
              </w:rPr>
            </w:pPr>
            <w:r>
              <w:rPr>
                <w:rFonts w:hint="eastAsia"/>
                <w:lang w:val="en-US" w:eastAsia="zh-CN"/>
              </w:rPr>
              <w:t>***</w:t>
            </w:r>
          </w:p>
          <w:p w14:paraId="48F48BD5">
            <w:pPr>
              <w:pStyle w:val="46"/>
              <w:bidi w:val="0"/>
              <w:ind w:firstLine="482" w:firstLineChars="200"/>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图2.2-2  光学元器件生产工艺流程图</w:t>
            </w:r>
          </w:p>
          <w:p w14:paraId="086B217A">
            <w:pPr>
              <w:widowControl w:val="0"/>
              <w:pBdr>
                <w:bottom w:val="dotted" w:color="auto" w:sz="24" w:space="0"/>
              </w:pBdr>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主要</w:t>
            </w:r>
            <w:r>
              <w:rPr>
                <w:rFonts w:hint="eastAsia" w:ascii="Times New Roman" w:hAnsi="Times New Roman" w:eastAsia="宋体" w:cs="宋体"/>
                <w:color w:val="auto"/>
                <w:kern w:val="2"/>
                <w:sz w:val="24"/>
                <w:szCs w:val="24"/>
                <w:highlight w:val="none"/>
                <w:lang w:val="en-US" w:eastAsia="zh-CN" w:bidi="ar-SA"/>
              </w:rPr>
              <w:t>工艺说明：</w:t>
            </w:r>
          </w:p>
          <w:p w14:paraId="3FB8FC3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2"/>
              <w:rPr>
                <w:rFonts w:hint="default" w:ascii="Times New Roman" w:hAnsi="Times New Roman" w:eastAsia="宋体" w:cs="Times New Roman"/>
                <w:b/>
                <w:bCs/>
                <w:color w:val="auto"/>
                <w:sz w:val="24"/>
                <w:szCs w:val="24"/>
                <w:highlight w:val="none"/>
                <w:lang w:eastAsia="zh-CN"/>
              </w:rPr>
            </w:pPr>
            <w:bookmarkStart w:id="51" w:name="_Toc10657"/>
            <w:r>
              <w:rPr>
                <w:rFonts w:hint="default"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 xml:space="preserve"> 产污环节分析</w:t>
            </w:r>
            <w:bookmarkEnd w:id="51"/>
          </w:p>
          <w:p w14:paraId="76B4030D">
            <w:pPr>
              <w:autoSpaceDE w:val="0"/>
              <w:autoSpaceDN w:val="0"/>
              <w:spacing w:line="360" w:lineRule="auto"/>
              <w:ind w:firstLine="480" w:firstLineChars="200"/>
              <w:textAlignment w:val="bottom"/>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项目产污环节说明一览表详见下表</w:t>
            </w:r>
            <w:r>
              <w:rPr>
                <w:rFonts w:hint="default"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-1。</w:t>
            </w:r>
          </w:p>
          <w:p w14:paraId="339CE19B">
            <w:pPr>
              <w:pStyle w:val="16"/>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240" w:lineRule="auto"/>
              <w:ind w:firstLine="506" w:firstLineChars="200"/>
              <w:jc w:val="center"/>
              <w:textAlignment w:val="baseline"/>
              <w:rPr>
                <w:rFonts w:hint="default" w:ascii="Times New Roman" w:hAnsi="Times New Roman" w:eastAsia="宋体" w:cs="Times New Roman"/>
                <w:b/>
                <w:bCs/>
                <w:color w:val="auto"/>
                <w:spacing w:val="6"/>
                <w:highlight w:val="none"/>
              </w:rPr>
            </w:pPr>
            <w:r>
              <w:rPr>
                <w:rFonts w:hint="default" w:ascii="Times New Roman" w:hAnsi="Times New Roman" w:eastAsia="宋体" w:cs="Times New Roman"/>
                <w:b/>
                <w:bCs/>
                <w:color w:val="auto"/>
                <w:spacing w:val="6"/>
                <w:highlight w:val="none"/>
              </w:rPr>
              <w:t>表</w:t>
            </w:r>
            <w:r>
              <w:rPr>
                <w:rFonts w:hint="default" w:ascii="Times New Roman" w:hAnsi="Times New Roman" w:eastAsia="宋体" w:cs="Times New Roman"/>
                <w:b/>
                <w:bCs/>
                <w:color w:val="auto"/>
                <w:spacing w:val="6"/>
                <w:highlight w:val="none"/>
                <w:lang w:val="en-US" w:eastAsia="zh-CN"/>
              </w:rPr>
              <w:t>2.</w:t>
            </w:r>
            <w:r>
              <w:rPr>
                <w:rFonts w:hint="eastAsia" w:cs="Times New Roman"/>
                <w:b/>
                <w:bCs/>
                <w:color w:val="auto"/>
                <w:spacing w:val="6"/>
                <w:highlight w:val="none"/>
                <w:lang w:val="en-US" w:eastAsia="zh-CN"/>
              </w:rPr>
              <w:t>2</w:t>
            </w:r>
            <w:r>
              <w:rPr>
                <w:rFonts w:hint="default" w:ascii="Times New Roman" w:hAnsi="Times New Roman" w:eastAsia="宋体" w:cs="Times New Roman"/>
                <w:b/>
                <w:bCs/>
                <w:color w:val="auto"/>
                <w:spacing w:val="6"/>
                <w:highlight w:val="none"/>
                <w:lang w:val="en-US" w:eastAsia="zh-CN"/>
              </w:rPr>
              <w:t>-1</w:t>
            </w:r>
            <w:r>
              <w:rPr>
                <w:rFonts w:hint="default" w:ascii="Times New Roman" w:hAnsi="Times New Roman" w:eastAsia="宋体" w:cs="Times New Roman"/>
                <w:b/>
                <w:bCs/>
                <w:color w:val="auto"/>
                <w:spacing w:val="6"/>
                <w:highlight w:val="none"/>
              </w:rPr>
              <w:t xml:space="preserve">  </w:t>
            </w:r>
            <w:r>
              <w:rPr>
                <w:rFonts w:hint="default" w:ascii="Times New Roman" w:hAnsi="Times New Roman" w:eastAsia="宋体" w:cs="Times New Roman"/>
                <w:b/>
                <w:bCs/>
                <w:color w:val="auto"/>
                <w:spacing w:val="6"/>
                <w:highlight w:val="none"/>
                <w:lang w:eastAsia="zh-CN"/>
              </w:rPr>
              <w:t>项目产污环节说明一览</w:t>
            </w:r>
            <w:r>
              <w:rPr>
                <w:rFonts w:hint="default" w:ascii="Times New Roman" w:hAnsi="Times New Roman" w:eastAsia="宋体" w:cs="Times New Roman"/>
                <w:b/>
                <w:bCs/>
                <w:color w:val="auto"/>
                <w:spacing w:val="6"/>
                <w:highlight w:val="none"/>
              </w:rPr>
              <w:t>表</w:t>
            </w:r>
          </w:p>
          <w:tbl>
            <w:tblPr>
              <w:tblStyle w:val="6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616"/>
              <w:gridCol w:w="1602"/>
              <w:gridCol w:w="1542"/>
              <w:gridCol w:w="3002"/>
            </w:tblGrid>
            <w:tr w14:paraId="7FEEE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noWrap w:val="0"/>
                  <w:vAlign w:val="center"/>
                </w:tcPr>
                <w:p w14:paraId="3BE59637">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bookmarkStart w:id="52" w:name="_Hlk513125280"/>
                  <w:r>
                    <w:rPr>
                      <w:rFonts w:hint="default" w:ascii="Times New Roman" w:hAnsi="Times New Roman" w:eastAsia="宋体" w:cs="Times New Roman"/>
                      <w:b/>
                      <w:bCs/>
                      <w:color w:val="auto"/>
                      <w:sz w:val="21"/>
                      <w:szCs w:val="21"/>
                      <w:highlight w:val="none"/>
                    </w:rPr>
                    <w:t>类别</w:t>
                  </w:r>
                </w:p>
              </w:tc>
              <w:tc>
                <w:tcPr>
                  <w:tcW w:w="959" w:type="pct"/>
                  <w:noWrap w:val="0"/>
                  <w:vAlign w:val="center"/>
                </w:tcPr>
                <w:p w14:paraId="26E6EA95">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951" w:type="pct"/>
                  <w:noWrap w:val="0"/>
                  <w:vAlign w:val="center"/>
                </w:tcPr>
                <w:p w14:paraId="38A3A5F6">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污染因子</w:t>
                  </w:r>
                </w:p>
              </w:tc>
              <w:tc>
                <w:tcPr>
                  <w:tcW w:w="915" w:type="pct"/>
                  <w:noWrap w:val="0"/>
                  <w:vAlign w:val="center"/>
                </w:tcPr>
                <w:p w14:paraId="4DC117E5">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产污环节</w:t>
                  </w:r>
                </w:p>
              </w:tc>
              <w:tc>
                <w:tcPr>
                  <w:tcW w:w="1782" w:type="pct"/>
                  <w:noWrap w:val="0"/>
                  <w:vAlign w:val="center"/>
                </w:tcPr>
                <w:p w14:paraId="09107139">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治理措施及排放去向</w:t>
                  </w:r>
                </w:p>
              </w:tc>
            </w:tr>
            <w:tr w14:paraId="21F5B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restart"/>
                  <w:noWrap w:val="0"/>
                  <w:vAlign w:val="center"/>
                </w:tcPr>
                <w:p w14:paraId="612EA1E1">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959" w:type="pct"/>
                  <w:noWrap w:val="0"/>
                  <w:vAlign w:val="center"/>
                </w:tcPr>
                <w:p w14:paraId="2E74EB8A">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擦拭废气、清洗废气</w:t>
                  </w:r>
                </w:p>
              </w:tc>
              <w:tc>
                <w:tcPr>
                  <w:tcW w:w="951" w:type="pct"/>
                  <w:noWrap w:val="0"/>
                  <w:vAlign w:val="center"/>
                </w:tcPr>
                <w:p w14:paraId="2DA93EC9">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VOCs、乙醇、乙醚、丙酮（以非甲烷总烃计）</w:t>
                  </w:r>
                </w:p>
              </w:tc>
              <w:tc>
                <w:tcPr>
                  <w:tcW w:w="915" w:type="pct"/>
                  <w:noWrap w:val="0"/>
                  <w:vAlign w:val="center"/>
                </w:tcPr>
                <w:p w14:paraId="6C7DDB08">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擦拭、超声波清洗</w:t>
                  </w:r>
                </w:p>
              </w:tc>
              <w:tc>
                <w:tcPr>
                  <w:tcW w:w="1782" w:type="pct"/>
                  <w:noWrap w:val="0"/>
                  <w:vAlign w:val="center"/>
                </w:tcPr>
                <w:p w14:paraId="1744E349">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车间密闭负压收集废气，通过二级活性炭吸附装置处理达标后由</w:t>
                  </w:r>
                  <w:r>
                    <w:rPr>
                      <w:rFonts w:hint="eastAsia" w:cs="Times New Roman"/>
                      <w:color w:val="auto"/>
                      <w:sz w:val="21"/>
                      <w:szCs w:val="21"/>
                      <w:highlight w:val="none"/>
                      <w:lang w:val="en-US" w:eastAsia="zh-CN"/>
                    </w:rPr>
                    <w:t>20</w:t>
                  </w:r>
                  <w:r>
                    <w:rPr>
                      <w:rFonts w:hint="eastAsia" w:ascii="Times New Roman" w:hAnsi="Times New Roman" w:eastAsia="宋体" w:cs="Times New Roman"/>
                      <w:color w:val="auto"/>
                      <w:sz w:val="21"/>
                      <w:szCs w:val="21"/>
                      <w:highlight w:val="none"/>
                      <w:lang w:val="en-US" w:eastAsia="zh-CN"/>
                    </w:rPr>
                    <w:t>m高排气筒</w:t>
                  </w:r>
                  <w:r>
                    <w:rPr>
                      <w:rFonts w:hint="eastAsia" w:cs="Times New Roman"/>
                      <w:color w:val="auto"/>
                      <w:sz w:val="21"/>
                      <w:szCs w:val="21"/>
                      <w:highlight w:val="none"/>
                      <w:lang w:val="en-US" w:eastAsia="zh-CN"/>
                    </w:rPr>
                    <w:t>DA001</w:t>
                  </w:r>
                  <w:r>
                    <w:rPr>
                      <w:rFonts w:hint="eastAsia" w:ascii="Times New Roman" w:hAnsi="Times New Roman" w:eastAsia="宋体" w:cs="Times New Roman"/>
                      <w:color w:val="auto"/>
                      <w:sz w:val="21"/>
                      <w:szCs w:val="21"/>
                      <w:highlight w:val="none"/>
                      <w:lang w:val="en-US" w:eastAsia="zh-CN"/>
                    </w:rPr>
                    <w:t>排放</w:t>
                  </w:r>
                </w:p>
              </w:tc>
            </w:tr>
            <w:tr w14:paraId="48F469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00FCCF3B">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507BF3E5">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切割</w:t>
                  </w:r>
                  <w:r>
                    <w:rPr>
                      <w:rFonts w:hint="eastAsia" w:cs="Times New Roman"/>
                      <w:color w:val="auto"/>
                      <w:sz w:val="21"/>
                      <w:szCs w:val="21"/>
                      <w:highlight w:val="none"/>
                      <w:lang w:val="en-US" w:eastAsia="zh-CN"/>
                    </w:rPr>
                    <w:t>废气</w:t>
                  </w:r>
                </w:p>
              </w:tc>
              <w:tc>
                <w:tcPr>
                  <w:tcW w:w="951" w:type="pct"/>
                  <w:noWrap w:val="0"/>
                  <w:vAlign w:val="center"/>
                </w:tcPr>
                <w:p w14:paraId="57F11DDE">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VOCs（以非甲烷总烃计）</w:t>
                  </w:r>
                </w:p>
              </w:tc>
              <w:tc>
                <w:tcPr>
                  <w:tcW w:w="915" w:type="pct"/>
                  <w:noWrap w:val="0"/>
                  <w:vAlign w:val="center"/>
                </w:tcPr>
                <w:p w14:paraId="2A9814D2">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切割</w:t>
                  </w:r>
                </w:p>
              </w:tc>
              <w:tc>
                <w:tcPr>
                  <w:tcW w:w="1782" w:type="pct"/>
                  <w:noWrap w:val="0"/>
                  <w:vAlign w:val="center"/>
                </w:tcPr>
                <w:p w14:paraId="67029A29">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车间密闭负压收集废气，通过二级活性炭吸附装置处理达标后由</w:t>
                  </w:r>
                  <w:r>
                    <w:rPr>
                      <w:rFonts w:hint="eastAsia" w:cs="Times New Roman"/>
                      <w:color w:val="auto"/>
                      <w:sz w:val="21"/>
                      <w:szCs w:val="21"/>
                      <w:highlight w:val="none"/>
                      <w:lang w:val="en-US" w:eastAsia="zh-CN"/>
                    </w:rPr>
                    <w:t>20</w:t>
                  </w:r>
                  <w:r>
                    <w:rPr>
                      <w:rFonts w:hint="eastAsia" w:ascii="Times New Roman" w:hAnsi="Times New Roman" w:eastAsia="宋体" w:cs="Times New Roman"/>
                      <w:color w:val="auto"/>
                      <w:sz w:val="21"/>
                      <w:szCs w:val="21"/>
                      <w:highlight w:val="none"/>
                      <w:lang w:val="en-US" w:eastAsia="zh-CN"/>
                    </w:rPr>
                    <w:t>m高排气筒</w:t>
                  </w:r>
                  <w:r>
                    <w:rPr>
                      <w:rFonts w:hint="eastAsia" w:cs="Times New Roman"/>
                      <w:color w:val="auto"/>
                      <w:sz w:val="21"/>
                      <w:szCs w:val="21"/>
                      <w:highlight w:val="none"/>
                      <w:lang w:val="en-US" w:eastAsia="zh-CN"/>
                    </w:rPr>
                    <w:t>DA002</w:t>
                  </w:r>
                  <w:r>
                    <w:rPr>
                      <w:rFonts w:hint="eastAsia" w:ascii="Times New Roman" w:hAnsi="Times New Roman" w:eastAsia="宋体" w:cs="Times New Roman"/>
                      <w:color w:val="auto"/>
                      <w:sz w:val="21"/>
                      <w:szCs w:val="21"/>
                      <w:highlight w:val="none"/>
                      <w:lang w:val="en-US" w:eastAsia="zh-CN"/>
                    </w:rPr>
                    <w:t>排放</w:t>
                  </w:r>
                </w:p>
              </w:tc>
            </w:tr>
            <w:tr w14:paraId="210C49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4833369E">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0017EF4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粗磨抛光产生的投料废气</w:t>
                  </w:r>
                </w:p>
              </w:tc>
              <w:tc>
                <w:tcPr>
                  <w:tcW w:w="951" w:type="pct"/>
                  <w:noWrap w:val="0"/>
                  <w:vAlign w:val="center"/>
                </w:tcPr>
                <w:p w14:paraId="513525C4">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915" w:type="pct"/>
                  <w:noWrap w:val="0"/>
                  <w:vAlign w:val="center"/>
                </w:tcPr>
                <w:p w14:paraId="765D2FC0">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、抛光</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投料</w:t>
                  </w:r>
                </w:p>
              </w:tc>
              <w:tc>
                <w:tcPr>
                  <w:tcW w:w="1782" w:type="pct"/>
                  <w:noWrap w:val="0"/>
                  <w:vAlign w:val="center"/>
                </w:tcPr>
                <w:p w14:paraId="3014C92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车间密闭，自然沉降</w:t>
                  </w:r>
                </w:p>
              </w:tc>
            </w:tr>
            <w:tr w14:paraId="10CA0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restart"/>
                  <w:noWrap w:val="0"/>
                  <w:vAlign w:val="center"/>
                </w:tcPr>
                <w:p w14:paraId="7F8C40B3">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废水</w:t>
                  </w:r>
                </w:p>
              </w:tc>
              <w:tc>
                <w:tcPr>
                  <w:tcW w:w="959" w:type="pct"/>
                  <w:noWrap w:val="0"/>
                  <w:vAlign w:val="center"/>
                </w:tcPr>
                <w:p w14:paraId="49341303">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废水、抛光废水、</w:t>
                  </w: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废水、</w:t>
                  </w:r>
                  <w:r>
                    <w:rPr>
                      <w:rFonts w:hint="eastAsia" w:cs="Times New Roman"/>
                      <w:color w:val="auto"/>
                      <w:sz w:val="21"/>
                      <w:szCs w:val="21"/>
                      <w:highlight w:val="none"/>
                      <w:lang w:val="en-US" w:eastAsia="zh-CN"/>
                    </w:rPr>
                    <w:t>清洗</w:t>
                  </w:r>
                  <w:r>
                    <w:rPr>
                      <w:rFonts w:hint="eastAsia" w:ascii="Times New Roman" w:hAnsi="Times New Roman" w:eastAsia="宋体" w:cs="Times New Roman"/>
                      <w:color w:val="auto"/>
                      <w:sz w:val="21"/>
                      <w:szCs w:val="21"/>
                      <w:highlight w:val="none"/>
                      <w:lang w:val="en-US" w:eastAsia="zh-CN"/>
                    </w:rPr>
                    <w:t>废水</w:t>
                  </w:r>
                </w:p>
              </w:tc>
              <w:tc>
                <w:tcPr>
                  <w:tcW w:w="951" w:type="pct"/>
                  <w:noWrap w:val="0"/>
                  <w:vAlign w:val="center"/>
                </w:tcPr>
                <w:p w14:paraId="16E20740">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pH值、COD、SS、BOD</w:t>
                  </w:r>
                  <w:r>
                    <w:rPr>
                      <w:rFonts w:hint="eastAsia" w:ascii="Times New Roman" w:hAnsi="Times New Roman" w:eastAsia="宋体" w:cs="Times New Roman"/>
                      <w:color w:val="auto"/>
                      <w:sz w:val="21"/>
                      <w:szCs w:val="21"/>
                      <w:highlight w:val="none"/>
                      <w:vertAlign w:val="subscript"/>
                      <w:lang w:val="en-US" w:eastAsia="zh-CN"/>
                    </w:rPr>
                    <w:t>5</w:t>
                  </w:r>
                  <w:r>
                    <w:rPr>
                      <w:rFonts w:hint="eastAsia" w:ascii="Times New Roman" w:hAnsi="Times New Roman" w:eastAsia="宋体" w:cs="Times New Roman"/>
                      <w:color w:val="auto"/>
                      <w:sz w:val="21"/>
                      <w:szCs w:val="21"/>
                      <w:highlight w:val="none"/>
                      <w:lang w:val="en-US" w:eastAsia="zh-CN"/>
                    </w:rPr>
                    <w:t>、NH</w:t>
                  </w:r>
                  <w:r>
                    <w:rPr>
                      <w:rFonts w:hint="eastAsia" w:ascii="Times New Roman" w:hAnsi="Times New Roman" w:eastAsia="宋体" w:cs="Times New Roman"/>
                      <w:color w:val="auto"/>
                      <w:sz w:val="21"/>
                      <w:szCs w:val="21"/>
                      <w:highlight w:val="none"/>
                      <w:vertAlign w:val="subscript"/>
                      <w:lang w:val="en-US" w:eastAsia="zh-CN"/>
                    </w:rPr>
                    <w:t>3</w:t>
                  </w:r>
                  <w:r>
                    <w:rPr>
                      <w:rFonts w:hint="eastAsia" w:ascii="Times New Roman" w:hAnsi="Times New Roman" w:eastAsia="宋体" w:cs="Times New Roman"/>
                      <w:color w:val="auto"/>
                      <w:sz w:val="21"/>
                      <w:szCs w:val="21"/>
                      <w:highlight w:val="none"/>
                      <w:lang w:val="en-US" w:eastAsia="zh-CN"/>
                    </w:rPr>
                    <w:t>-N、LAS</w:t>
                  </w:r>
                </w:p>
              </w:tc>
              <w:tc>
                <w:tcPr>
                  <w:tcW w:w="915" w:type="pct"/>
                  <w:noWrap w:val="0"/>
                  <w:vAlign w:val="center"/>
                </w:tcPr>
                <w:p w14:paraId="37BC109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、抛光、</w:t>
                  </w: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、超声波清洗</w:t>
                  </w:r>
                </w:p>
              </w:tc>
              <w:tc>
                <w:tcPr>
                  <w:tcW w:w="1782" w:type="pct"/>
                  <w:noWrap w:val="0"/>
                  <w:vAlign w:val="center"/>
                </w:tcPr>
                <w:p w14:paraId="31B3C35D">
                  <w:pPr>
                    <w:pStyle w:val="9"/>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废水、抛光废水、</w:t>
                  </w: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废水、</w:t>
                  </w:r>
                  <w:r>
                    <w:rPr>
                      <w:rFonts w:hint="eastAsia" w:cs="Times New Roman"/>
                      <w:color w:val="auto"/>
                      <w:sz w:val="21"/>
                      <w:szCs w:val="21"/>
                      <w:highlight w:val="none"/>
                      <w:lang w:val="en-US" w:eastAsia="zh-CN"/>
                    </w:rPr>
                    <w:t>清洗</w:t>
                  </w:r>
                  <w:r>
                    <w:rPr>
                      <w:rFonts w:hint="eastAsia" w:ascii="Times New Roman" w:hAnsi="Times New Roman" w:eastAsia="宋体" w:cs="Times New Roman"/>
                      <w:color w:val="auto"/>
                      <w:sz w:val="21"/>
                      <w:szCs w:val="21"/>
                      <w:highlight w:val="none"/>
                      <w:lang w:val="en-US" w:eastAsia="zh-CN"/>
                    </w:rPr>
                    <w:t>废水经过三级沉淀池沉淀处理达标后排入市政管网，纳入大学城污水处理厂；纯水槽的纯水</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非纯净废水</w:t>
                  </w:r>
                  <w:r>
                    <w:rPr>
                      <w:rFonts w:hint="eastAsia"/>
                      <w:color w:val="FF0000"/>
                      <w:lang w:val="en-US" w:eastAsia="zh-CN"/>
                    </w:rPr>
                    <w:t>以及清洗废水中的纯净废水</w:t>
                  </w:r>
                  <w:r>
                    <w:rPr>
                      <w:rFonts w:hint="eastAsia" w:ascii="Times New Roman" w:hAnsi="Times New Roman" w:eastAsia="宋体" w:cs="Times New Roman"/>
                      <w:color w:val="auto"/>
                      <w:sz w:val="21"/>
                      <w:szCs w:val="21"/>
                      <w:highlight w:val="none"/>
                      <w:lang w:val="en-US" w:eastAsia="zh-CN"/>
                    </w:rPr>
                    <w:t>直接排入市政管网，纳入大学城污水处理厂处理</w:t>
                  </w:r>
                </w:p>
              </w:tc>
            </w:tr>
            <w:tr w14:paraId="7DE18C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2AED80EB">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7CB9DC7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生活污水</w:t>
                  </w:r>
                </w:p>
              </w:tc>
              <w:tc>
                <w:tcPr>
                  <w:tcW w:w="951" w:type="pct"/>
                  <w:noWrap w:val="0"/>
                  <w:vAlign w:val="center"/>
                </w:tcPr>
                <w:p w14:paraId="0DD1191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pH值、COD、SS、BOD</w:t>
                  </w:r>
                  <w:r>
                    <w:rPr>
                      <w:rFonts w:hint="eastAsia" w:ascii="Times New Roman" w:hAnsi="Times New Roman" w:eastAsia="宋体" w:cs="Times New Roman"/>
                      <w:color w:val="auto"/>
                      <w:sz w:val="21"/>
                      <w:szCs w:val="21"/>
                      <w:highlight w:val="none"/>
                      <w:vertAlign w:val="subscript"/>
                      <w:lang w:val="en-US" w:eastAsia="zh-CN"/>
                    </w:rPr>
                    <w:t>5</w:t>
                  </w:r>
                  <w:r>
                    <w:rPr>
                      <w:rFonts w:hint="eastAsia" w:ascii="Times New Roman" w:hAnsi="Times New Roman" w:eastAsia="宋体" w:cs="Times New Roman"/>
                      <w:color w:val="auto"/>
                      <w:sz w:val="21"/>
                      <w:szCs w:val="21"/>
                      <w:highlight w:val="none"/>
                      <w:lang w:val="en-US" w:eastAsia="zh-CN"/>
                    </w:rPr>
                    <w:t>、NH</w:t>
                  </w:r>
                  <w:r>
                    <w:rPr>
                      <w:rFonts w:hint="eastAsia" w:ascii="Times New Roman" w:hAnsi="Times New Roman" w:eastAsia="宋体" w:cs="Times New Roman"/>
                      <w:color w:val="auto"/>
                      <w:sz w:val="21"/>
                      <w:szCs w:val="21"/>
                      <w:highlight w:val="none"/>
                      <w:vertAlign w:val="subscript"/>
                      <w:lang w:val="en-US" w:eastAsia="zh-CN"/>
                    </w:rPr>
                    <w:t>3</w:t>
                  </w:r>
                  <w:r>
                    <w:rPr>
                      <w:rFonts w:hint="eastAsia" w:ascii="Times New Roman" w:hAnsi="Times New Roman" w:eastAsia="宋体" w:cs="Times New Roman"/>
                      <w:color w:val="auto"/>
                      <w:sz w:val="21"/>
                      <w:szCs w:val="21"/>
                      <w:highlight w:val="none"/>
                      <w:lang w:val="en-US" w:eastAsia="zh-CN"/>
                    </w:rPr>
                    <w:t>-N</w:t>
                  </w:r>
                </w:p>
              </w:tc>
              <w:tc>
                <w:tcPr>
                  <w:tcW w:w="915" w:type="pct"/>
                  <w:noWrap w:val="0"/>
                  <w:vAlign w:val="center"/>
                </w:tcPr>
                <w:p w14:paraId="6735325A">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日常生活工作</w:t>
                  </w:r>
                </w:p>
              </w:tc>
              <w:tc>
                <w:tcPr>
                  <w:tcW w:w="1782" w:type="pct"/>
                  <w:noWrap w:val="0"/>
                  <w:vAlign w:val="center"/>
                </w:tcPr>
                <w:p w14:paraId="3C2AD910">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生活污水经化粪池处理达标后，排入市政污水管网，纳入大学城污水处理厂处理</w:t>
                  </w:r>
                </w:p>
              </w:tc>
            </w:tr>
            <w:tr w14:paraId="61BBE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noWrap w:val="0"/>
                  <w:vAlign w:val="center"/>
                </w:tcPr>
                <w:p w14:paraId="6394C815">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噪声</w:t>
                  </w:r>
                </w:p>
              </w:tc>
              <w:tc>
                <w:tcPr>
                  <w:tcW w:w="959" w:type="pct"/>
                  <w:noWrap w:val="0"/>
                  <w:vAlign w:val="center"/>
                </w:tcPr>
                <w:p w14:paraId="6B49AE0C">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olor w:val="auto"/>
                      <w:sz w:val="21"/>
                      <w:szCs w:val="21"/>
                    </w:rPr>
                    <w:t>生产设备</w:t>
                  </w:r>
                  <w:r>
                    <w:rPr>
                      <w:rFonts w:hint="eastAsia"/>
                      <w:color w:val="auto"/>
                      <w:sz w:val="21"/>
                      <w:szCs w:val="21"/>
                      <w:lang w:val="en-US" w:eastAsia="zh-CN"/>
                    </w:rPr>
                    <w:t>噪声</w:t>
                  </w:r>
                </w:p>
              </w:tc>
              <w:tc>
                <w:tcPr>
                  <w:tcW w:w="951" w:type="pct"/>
                  <w:noWrap w:val="0"/>
                  <w:vAlign w:val="center"/>
                </w:tcPr>
                <w:p w14:paraId="332454DA">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color w:val="auto"/>
                      <w:sz w:val="21"/>
                      <w:szCs w:val="21"/>
                      <w:lang w:val="en-US" w:eastAsia="zh-CN"/>
                    </w:rPr>
                    <w:t>连续</w:t>
                  </w:r>
                  <w:r>
                    <w:rPr>
                      <w:rFonts w:hint="eastAsia" w:ascii="Times New Roman" w:hAnsi="Times New Roman"/>
                      <w:color w:val="auto"/>
                      <w:sz w:val="21"/>
                      <w:szCs w:val="21"/>
                    </w:rPr>
                    <w:t>等效A声级Leq</w:t>
                  </w:r>
                </w:p>
              </w:tc>
              <w:tc>
                <w:tcPr>
                  <w:tcW w:w="915" w:type="pct"/>
                  <w:noWrap w:val="0"/>
                  <w:vAlign w:val="center"/>
                </w:tcPr>
                <w:p w14:paraId="3203E448">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生产设备</w:t>
                  </w:r>
                </w:p>
              </w:tc>
              <w:tc>
                <w:tcPr>
                  <w:tcW w:w="1782" w:type="pct"/>
                  <w:noWrap w:val="0"/>
                  <w:vAlign w:val="center"/>
                </w:tcPr>
                <w:p w14:paraId="32A93C9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color w:val="auto"/>
                      <w:sz w:val="21"/>
                      <w:szCs w:val="21"/>
                    </w:rPr>
                    <w:t>优先选用先进、低噪声设备；对高噪声设备采取减振基础、安装减振垫圈等减震措施；对各类机械设备定期检修、维护，防止设备异常噪声产生；优化平面布局，合理布置高噪声设备于远离声环境敏感点位置</w:t>
                  </w:r>
                  <w:r>
                    <w:rPr>
                      <w:rFonts w:hint="eastAsia" w:ascii="Times New Roman" w:hAnsi="Times New Roman"/>
                      <w:color w:val="auto"/>
                      <w:sz w:val="21"/>
                      <w:szCs w:val="21"/>
                      <w:lang w:eastAsia="zh-CN"/>
                    </w:rPr>
                    <w:t>，</w:t>
                  </w:r>
                  <w:r>
                    <w:rPr>
                      <w:rFonts w:hint="eastAsia" w:ascii="Times New Roman" w:hAnsi="Times New Roman"/>
                      <w:color w:val="auto"/>
                      <w:sz w:val="21"/>
                      <w:szCs w:val="21"/>
                      <w:lang w:val="en-US" w:eastAsia="zh-CN"/>
                    </w:rPr>
                    <w:t>夜间不生产</w:t>
                  </w:r>
                </w:p>
              </w:tc>
            </w:tr>
            <w:tr w14:paraId="6F331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restart"/>
                  <w:noWrap w:val="0"/>
                  <w:vAlign w:val="center"/>
                </w:tcPr>
                <w:p w14:paraId="46701F16">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959" w:type="pct"/>
                  <w:noWrap w:val="0"/>
                  <w:vAlign w:val="center"/>
                </w:tcPr>
                <w:p w14:paraId="397375A3">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抛光残渣</w:t>
                  </w:r>
                </w:p>
              </w:tc>
              <w:tc>
                <w:tcPr>
                  <w:tcW w:w="951" w:type="pct"/>
                  <w:noWrap w:val="0"/>
                  <w:vAlign w:val="center"/>
                </w:tcPr>
                <w:p w14:paraId="6FCB768A">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颗粒物</w:t>
                  </w:r>
                </w:p>
              </w:tc>
              <w:tc>
                <w:tcPr>
                  <w:tcW w:w="915" w:type="pct"/>
                  <w:noWrap w:val="0"/>
                  <w:vAlign w:val="center"/>
                </w:tcPr>
                <w:p w14:paraId="2E3E6EE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抛光</w:t>
                  </w:r>
                </w:p>
              </w:tc>
              <w:tc>
                <w:tcPr>
                  <w:tcW w:w="1782" w:type="pct"/>
                  <w:noWrap w:val="0"/>
                  <w:vAlign w:val="center"/>
                </w:tcPr>
                <w:p w14:paraId="2ACDD6BA">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68AA1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63F3735A">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003D7B84">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废边角料</w:t>
                  </w:r>
                </w:p>
              </w:tc>
              <w:tc>
                <w:tcPr>
                  <w:tcW w:w="951" w:type="pct"/>
                  <w:noWrap w:val="0"/>
                  <w:vAlign w:val="center"/>
                </w:tcPr>
                <w:p w14:paraId="426CDF91">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产品原料碎屑</w:t>
                  </w:r>
                </w:p>
              </w:tc>
              <w:tc>
                <w:tcPr>
                  <w:tcW w:w="915" w:type="pct"/>
                  <w:noWrap w:val="0"/>
                  <w:vAlign w:val="center"/>
                </w:tcPr>
                <w:p w14:paraId="00F7D5F0">
                  <w:pPr>
                    <w:pStyle w:val="61"/>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 w:val="21"/>
                      <w:szCs w:val="20"/>
                      <w:lang w:val="en-US" w:eastAsia="zh-CN" w:bidi="ar-SA"/>
                    </w:rPr>
                    <w:t>粗磨</w:t>
                  </w:r>
                </w:p>
              </w:tc>
              <w:tc>
                <w:tcPr>
                  <w:tcW w:w="1782" w:type="pct"/>
                  <w:noWrap w:val="0"/>
                  <w:vAlign w:val="center"/>
                </w:tcPr>
                <w:p w14:paraId="37A371B8">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0"/>
                      <w:lang w:val="en-US" w:eastAsia="zh-CN" w:bidi="ar-SA"/>
                    </w:rPr>
                    <w:t>妥善收集后外售给其他企业回收综合利用</w:t>
                  </w:r>
                </w:p>
              </w:tc>
            </w:tr>
            <w:tr w14:paraId="1BED7F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5C585C22">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4DD198CC">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沉淀池污泥</w:t>
                  </w:r>
                </w:p>
              </w:tc>
              <w:tc>
                <w:tcPr>
                  <w:tcW w:w="951" w:type="pct"/>
                  <w:noWrap w:val="0"/>
                  <w:vAlign w:val="center"/>
                </w:tcPr>
                <w:p w14:paraId="7B6368F8">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SS</w:t>
                  </w:r>
                </w:p>
              </w:tc>
              <w:tc>
                <w:tcPr>
                  <w:tcW w:w="915" w:type="pct"/>
                  <w:noWrap w:val="0"/>
                  <w:vAlign w:val="center"/>
                </w:tcPr>
                <w:p w14:paraId="77B4413F">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沉淀</w:t>
                  </w:r>
                </w:p>
              </w:tc>
              <w:tc>
                <w:tcPr>
                  <w:tcW w:w="1782" w:type="pct"/>
                  <w:noWrap w:val="0"/>
                  <w:vAlign w:val="center"/>
                </w:tcPr>
                <w:p w14:paraId="6446FE1D">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定期进行清掏，并由当地环卫部门统一清运处理</w:t>
                  </w:r>
                </w:p>
              </w:tc>
            </w:tr>
            <w:tr w14:paraId="00981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03737AF1">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79F81643">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不合格产品</w:t>
                  </w:r>
                </w:p>
              </w:tc>
              <w:tc>
                <w:tcPr>
                  <w:tcW w:w="951" w:type="pct"/>
                  <w:noWrap w:val="0"/>
                  <w:vAlign w:val="center"/>
                </w:tcPr>
                <w:p w14:paraId="7B29690E">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不合格产品</w:t>
                  </w:r>
                </w:p>
              </w:tc>
              <w:tc>
                <w:tcPr>
                  <w:tcW w:w="915" w:type="pct"/>
                  <w:noWrap w:val="0"/>
                  <w:vAlign w:val="center"/>
                </w:tcPr>
                <w:p w14:paraId="7FC73447">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检测</w:t>
                  </w:r>
                </w:p>
              </w:tc>
              <w:tc>
                <w:tcPr>
                  <w:tcW w:w="1782" w:type="pct"/>
                  <w:noWrap w:val="0"/>
                  <w:vAlign w:val="center"/>
                </w:tcPr>
                <w:p w14:paraId="1A6FC73D">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2BACE7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479AFC8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5AC422E2">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kern w:val="0"/>
                      <w:sz w:val="21"/>
                      <w:szCs w:val="20"/>
                      <w:lang w:val="en-US" w:eastAsia="zh-CN" w:bidi="ar-SA"/>
                    </w:rPr>
                    <w:t>生活</w:t>
                  </w:r>
                  <w:r>
                    <w:rPr>
                      <w:rFonts w:hint="eastAsia" w:cs="Times New Roman"/>
                      <w:color w:val="auto"/>
                      <w:kern w:val="0"/>
                      <w:sz w:val="21"/>
                      <w:szCs w:val="20"/>
                      <w:lang w:val="en-US" w:eastAsia="zh-CN" w:bidi="ar-SA"/>
                    </w:rPr>
                    <w:t>垃圾</w:t>
                  </w:r>
                </w:p>
              </w:tc>
              <w:tc>
                <w:tcPr>
                  <w:tcW w:w="951" w:type="pct"/>
                  <w:noWrap w:val="0"/>
                  <w:vAlign w:val="center"/>
                </w:tcPr>
                <w:p w14:paraId="325B78CD">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lang w:val="en-US" w:eastAsia="zh-CN"/>
                    </w:rPr>
                    <w:t>果皮、纸屑</w:t>
                  </w:r>
                </w:p>
              </w:tc>
              <w:tc>
                <w:tcPr>
                  <w:tcW w:w="915" w:type="pct"/>
                  <w:noWrap w:val="0"/>
                  <w:vAlign w:val="center"/>
                </w:tcPr>
                <w:p w14:paraId="5A15193D">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员工日常生活</w:t>
                  </w:r>
                </w:p>
              </w:tc>
              <w:tc>
                <w:tcPr>
                  <w:tcW w:w="1782" w:type="pct"/>
                  <w:noWrap w:val="0"/>
                  <w:vAlign w:val="center"/>
                </w:tcPr>
                <w:p w14:paraId="0FCD80C5">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委托环卫部门统一清运</w:t>
                  </w:r>
                </w:p>
              </w:tc>
            </w:tr>
            <w:tr w14:paraId="074E7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5A85901F">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7649751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炉渣</w:t>
                  </w:r>
                </w:p>
              </w:tc>
              <w:tc>
                <w:tcPr>
                  <w:tcW w:w="951" w:type="pct"/>
                  <w:noWrap w:val="0"/>
                  <w:vAlign w:val="center"/>
                </w:tcPr>
                <w:p w14:paraId="5AF6A1AB">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color w:val="auto"/>
                      <w:sz w:val="21"/>
                      <w:szCs w:val="21"/>
                      <w:lang w:val="en-US" w:eastAsia="zh-CN"/>
                    </w:rPr>
                    <w:t>废渣</w:t>
                  </w:r>
                </w:p>
              </w:tc>
              <w:tc>
                <w:tcPr>
                  <w:tcW w:w="915" w:type="pct"/>
                  <w:noWrap w:val="0"/>
                  <w:vAlign w:val="center"/>
                </w:tcPr>
                <w:p w14:paraId="73F6521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熔料</w:t>
                  </w:r>
                </w:p>
              </w:tc>
              <w:tc>
                <w:tcPr>
                  <w:tcW w:w="1782" w:type="pct"/>
                  <w:vMerge w:val="restart"/>
                  <w:noWrap w:val="0"/>
                  <w:vAlign w:val="center"/>
                </w:tcPr>
                <w:p w14:paraId="6C58D6C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收集后暂存至厂区的</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贮存库中，定期委托有</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处置资质单位进行处理</w:t>
                  </w:r>
                </w:p>
              </w:tc>
            </w:tr>
            <w:tr w14:paraId="3D5501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347A9CE9">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3549785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废活性炭</w:t>
                  </w:r>
                </w:p>
              </w:tc>
              <w:tc>
                <w:tcPr>
                  <w:tcW w:w="951" w:type="pct"/>
                  <w:noWrap w:val="0"/>
                  <w:vAlign w:val="center"/>
                </w:tcPr>
                <w:p w14:paraId="6096CFF0">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非甲烷总烃</w:t>
                  </w:r>
                </w:p>
              </w:tc>
              <w:tc>
                <w:tcPr>
                  <w:tcW w:w="915" w:type="pct"/>
                  <w:noWrap w:val="0"/>
                  <w:vAlign w:val="center"/>
                </w:tcPr>
                <w:p w14:paraId="7255DC7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废气治理</w:t>
                  </w:r>
                </w:p>
              </w:tc>
              <w:tc>
                <w:tcPr>
                  <w:tcW w:w="1782" w:type="pct"/>
                  <w:vMerge w:val="continue"/>
                  <w:noWrap w:val="0"/>
                  <w:vAlign w:val="center"/>
                </w:tcPr>
                <w:p w14:paraId="2135AB3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p>
              </w:tc>
            </w:tr>
            <w:tr w14:paraId="6065B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04CBDD88">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368E475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废布和废</w:t>
                  </w:r>
                  <w:r>
                    <w:rPr>
                      <w:rFonts w:hint="eastAsia" w:cs="Times New Roman"/>
                      <w:color w:val="auto"/>
                      <w:kern w:val="0"/>
                      <w:sz w:val="21"/>
                      <w:szCs w:val="20"/>
                      <w:lang w:val="en-US" w:eastAsia="zh-CN" w:bidi="ar-SA"/>
                    </w:rPr>
                    <w:t>擦拭纸</w:t>
                  </w:r>
                </w:p>
              </w:tc>
              <w:tc>
                <w:tcPr>
                  <w:tcW w:w="951" w:type="pct"/>
                  <w:noWrap w:val="0"/>
                  <w:vAlign w:val="center"/>
                </w:tcPr>
                <w:p w14:paraId="7E0CFC0B">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非甲烷总烃、各类有机溶剂（醇、醚、烃类）</w:t>
                  </w:r>
                </w:p>
              </w:tc>
              <w:tc>
                <w:tcPr>
                  <w:tcW w:w="915" w:type="pct"/>
                  <w:noWrap w:val="0"/>
                  <w:vAlign w:val="center"/>
                </w:tcPr>
                <w:p w14:paraId="2855377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擦拭检测</w:t>
                  </w:r>
                </w:p>
              </w:tc>
              <w:tc>
                <w:tcPr>
                  <w:tcW w:w="1782" w:type="pct"/>
                  <w:vMerge w:val="continue"/>
                  <w:noWrap w:val="0"/>
                  <w:vAlign w:val="center"/>
                </w:tcPr>
                <w:p w14:paraId="4B479F63">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p>
              </w:tc>
            </w:tr>
            <w:tr w14:paraId="0171EE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2CF20BB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6A353B3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废包装容器</w:t>
                  </w:r>
                </w:p>
              </w:tc>
              <w:tc>
                <w:tcPr>
                  <w:tcW w:w="951" w:type="pct"/>
                  <w:noWrap w:val="0"/>
                  <w:vAlign w:val="center"/>
                </w:tcPr>
                <w:p w14:paraId="38DDF93B">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有机溶剂、助剂</w:t>
                  </w:r>
                </w:p>
              </w:tc>
              <w:tc>
                <w:tcPr>
                  <w:tcW w:w="915" w:type="pct"/>
                  <w:noWrap w:val="0"/>
                  <w:vAlign w:val="center"/>
                </w:tcPr>
                <w:p w14:paraId="1C00279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w:t>
                  </w:r>
                </w:p>
              </w:tc>
              <w:tc>
                <w:tcPr>
                  <w:tcW w:w="1782" w:type="pct"/>
                  <w:vMerge w:val="continue"/>
                  <w:noWrap w:val="0"/>
                  <w:vAlign w:val="center"/>
                </w:tcPr>
                <w:p w14:paraId="4A6C3549">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r>
            <w:tr w14:paraId="2413B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43126CCC">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1BEDA1F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废</w:t>
                  </w:r>
                  <w:r>
                    <w:rPr>
                      <w:rFonts w:hint="eastAsia" w:cs="Times New Roman"/>
                      <w:color w:val="auto"/>
                      <w:kern w:val="0"/>
                      <w:sz w:val="21"/>
                      <w:szCs w:val="20"/>
                      <w:lang w:val="en-US" w:eastAsia="zh-CN" w:bidi="ar-SA"/>
                    </w:rPr>
                    <w:t>磨削液及污泥</w:t>
                  </w:r>
                </w:p>
              </w:tc>
              <w:tc>
                <w:tcPr>
                  <w:tcW w:w="951" w:type="pct"/>
                  <w:noWrap w:val="0"/>
                  <w:vAlign w:val="center"/>
                </w:tcPr>
                <w:p w14:paraId="30468D8B">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color w:val="auto"/>
                      <w:sz w:val="21"/>
                      <w:szCs w:val="21"/>
                      <w:lang w:val="en-US" w:eastAsia="zh-CN"/>
                    </w:rPr>
                    <w:t>磨削液</w:t>
                  </w:r>
                </w:p>
              </w:tc>
              <w:tc>
                <w:tcPr>
                  <w:tcW w:w="915" w:type="pct"/>
                  <w:noWrap w:val="0"/>
                  <w:vAlign w:val="center"/>
                </w:tcPr>
                <w:p w14:paraId="735963C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kern w:val="0"/>
                      <w:sz w:val="21"/>
                      <w:szCs w:val="20"/>
                      <w:highlight w:val="none"/>
                      <w:lang w:val="en-US" w:eastAsia="zh-CN" w:bidi="ar-SA"/>
                    </w:rPr>
                    <w:t>切割、粗磨</w:t>
                  </w:r>
                </w:p>
              </w:tc>
              <w:tc>
                <w:tcPr>
                  <w:tcW w:w="1782" w:type="pct"/>
                  <w:vMerge w:val="continue"/>
                  <w:noWrap w:val="0"/>
                  <w:vAlign w:val="center"/>
                </w:tcPr>
                <w:p w14:paraId="1D69EF04">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r>
            <w:tr w14:paraId="3A4B6C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118CEEB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3A54156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kern w:val="0"/>
                      <w:sz w:val="21"/>
                      <w:szCs w:val="20"/>
                      <w:highlight w:val="none"/>
                      <w:lang w:val="en-US" w:eastAsia="zh-CN" w:bidi="ar-SA"/>
                    </w:rPr>
                    <w:t>废机油</w:t>
                  </w:r>
                </w:p>
              </w:tc>
              <w:tc>
                <w:tcPr>
                  <w:tcW w:w="951" w:type="pct"/>
                  <w:noWrap w:val="0"/>
                  <w:vAlign w:val="center"/>
                </w:tcPr>
                <w:p w14:paraId="6825BB1A">
                  <w:pPr>
                    <w:pStyle w:val="61"/>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矿物油</w:t>
                  </w:r>
                </w:p>
              </w:tc>
              <w:tc>
                <w:tcPr>
                  <w:tcW w:w="915" w:type="pct"/>
                  <w:noWrap w:val="0"/>
                  <w:vAlign w:val="center"/>
                </w:tcPr>
                <w:p w14:paraId="3B6834D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highlight w:val="none"/>
                      <w:lang w:val="en-US" w:eastAsia="zh-CN" w:bidi="ar-SA"/>
                    </w:rPr>
                    <w:t>设备检修</w:t>
                  </w:r>
                </w:p>
              </w:tc>
              <w:tc>
                <w:tcPr>
                  <w:tcW w:w="1782" w:type="pct"/>
                  <w:noWrap w:val="0"/>
                  <w:vAlign w:val="center"/>
                </w:tcPr>
                <w:p w14:paraId="6B1DE52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由设备厂商进行委托有危废处置资质的单位进行处置</w:t>
                  </w:r>
                </w:p>
              </w:tc>
            </w:tr>
            <w:bookmarkEnd w:id="52"/>
          </w:tbl>
          <w:p w14:paraId="471A0FAA">
            <w:pPr>
              <w:widowControl w:val="0"/>
              <w:bidi w:val="0"/>
              <w:spacing w:line="360" w:lineRule="auto"/>
              <w:ind w:firstLine="480" w:firstLineChars="200"/>
              <w:jc w:val="both"/>
              <w:rPr>
                <w:rFonts w:hint="default" w:ascii="Times New Roman" w:hAnsi="Times New Roman" w:eastAsia="宋体" w:cs="宋体"/>
                <w:color w:val="auto"/>
                <w:sz w:val="24"/>
                <w:szCs w:val="24"/>
                <w:lang w:val="en-US" w:eastAsia="zh-CN" w:bidi="ar-SA"/>
              </w:rPr>
            </w:pPr>
          </w:p>
        </w:tc>
      </w:tr>
      <w:tr w14:paraId="469E23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44" w:type="dxa"/>
            <w:noWrap w:val="0"/>
            <w:vAlign w:val="center"/>
          </w:tcPr>
          <w:p w14:paraId="6D0F894D">
            <w:pPr>
              <w:adjustRightInd w:val="0"/>
              <w:snapToGrid w:val="0"/>
              <w:spacing w:before="0" w:beforeAutospacing="0" w:after="0" w:afterAutospacing="0"/>
              <w:jc w:val="center"/>
              <w:rPr>
                <w:rFonts w:ascii="Times New Roman" w:hAnsi="Times New Roman" w:cs="宋体"/>
                <w:color w:val="auto"/>
                <w:sz w:val="21"/>
                <w:szCs w:val="21"/>
              </w:rPr>
            </w:pPr>
            <w:r>
              <w:rPr>
                <w:rFonts w:hint="eastAsia" w:ascii="Times New Roman" w:hAnsi="Times New Roman" w:cs="宋体"/>
                <w:bCs/>
                <w:color w:val="auto"/>
                <w:kern w:val="2"/>
                <w:sz w:val="21"/>
                <w:szCs w:val="21"/>
              </w:rPr>
              <w:t>与项目有关的原有环境污染问题</w:t>
            </w:r>
          </w:p>
        </w:tc>
        <w:tc>
          <w:tcPr>
            <w:tcW w:w="8616" w:type="dxa"/>
            <w:shd w:val="clear" w:color="auto" w:fill="auto"/>
            <w:noWrap w:val="0"/>
            <w:vAlign w:val="center"/>
          </w:tcPr>
          <w:p w14:paraId="6E63ADCD">
            <w:pPr>
              <w:keepNext w:val="0"/>
              <w:keepLines w:val="0"/>
              <w:pageBreakBefore w:val="0"/>
              <w:widowControl w:val="0"/>
              <w:kinsoku/>
              <w:wordWrap/>
              <w:overflowPunct/>
              <w:topLinePunct w:val="0"/>
              <w:autoSpaceDE/>
              <w:autoSpaceDN/>
              <w:bidi w:val="0"/>
              <w:adjustRightInd/>
              <w:snapToGrid/>
              <w:spacing w:line="360" w:lineRule="auto"/>
              <w:ind w:firstLine="552" w:firstLineChars="200"/>
              <w:jc w:val="both"/>
              <w:textAlignment w:val="auto"/>
              <w:rPr>
                <w:rFonts w:hint="eastAsia" w:ascii="Times New Roman" w:hAnsi="Times New Roman" w:eastAsia="Times New Roman" w:cs="Times New Roman"/>
                <w:b/>
                <w:bCs/>
                <w:color w:val="auto"/>
                <w:spacing w:val="-2"/>
                <w:sz w:val="28"/>
                <w:szCs w:val="28"/>
                <w:lang w:val="en-US" w:eastAsia="zh-CN" w:bidi="ar-SA"/>
              </w:rPr>
            </w:pPr>
            <w:r>
              <w:rPr>
                <w:rFonts w:hint="eastAsia" w:ascii="Times New Roman" w:hAnsi="Times New Roman" w:eastAsia="Times New Roman" w:cs="Times New Roman"/>
                <w:b/>
                <w:bCs/>
                <w:color w:val="auto"/>
                <w:spacing w:val="-2"/>
                <w:sz w:val="28"/>
                <w:szCs w:val="28"/>
                <w:lang w:val="en-US" w:eastAsia="zh-CN" w:bidi="ar-SA"/>
              </w:rPr>
              <w:t>2.3原有环境污染问题</w:t>
            </w:r>
          </w:p>
          <w:p w14:paraId="5ED7BD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宋体"/>
                <w:color w:val="auto"/>
                <w:sz w:val="24"/>
                <w:szCs w:val="24"/>
                <w:lang w:val="en-US" w:eastAsia="zh-CN" w:bidi="ar-SA"/>
              </w:rPr>
            </w:pPr>
            <w:r>
              <w:rPr>
                <w:rFonts w:hint="eastAsia" w:ascii="Times New Roman" w:hAnsi="Times New Roman" w:eastAsia="宋体" w:cs="宋体"/>
                <w:color w:val="auto"/>
                <w:sz w:val="24"/>
                <w:szCs w:val="24"/>
                <w:lang w:val="en-US" w:eastAsia="zh-CN" w:bidi="ar-SA"/>
              </w:rPr>
              <w:t>原</w:t>
            </w:r>
            <w:r>
              <w:rPr>
                <w:rFonts w:hint="eastAsia" w:cs="宋体"/>
                <w:color w:val="auto"/>
                <w:sz w:val="24"/>
                <w:szCs w:val="24"/>
                <w:lang w:val="en-US" w:eastAsia="zh-CN" w:bidi="ar-SA"/>
              </w:rPr>
              <w:t>福建巨泽生物医药有限公司</w:t>
            </w:r>
            <w:r>
              <w:rPr>
                <w:rFonts w:ascii="宋体" w:hAnsi="宋体" w:eastAsia="宋体" w:cs="宋体"/>
                <w:color w:val="auto"/>
                <w:sz w:val="24"/>
                <w:szCs w:val="24"/>
              </w:rPr>
              <w:t>无生产设备、无生产线</w:t>
            </w:r>
            <w:r>
              <w:rPr>
                <w:rFonts w:hint="eastAsia" w:ascii="宋体" w:hAnsi="宋体" w:eastAsia="宋体" w:cs="宋体"/>
                <w:color w:val="auto"/>
                <w:sz w:val="24"/>
                <w:szCs w:val="24"/>
                <w:lang w:eastAsia="zh-CN"/>
              </w:rPr>
              <w:t>，</w:t>
            </w:r>
            <w:r>
              <w:rPr>
                <w:rFonts w:ascii="宋体" w:hAnsi="宋体" w:eastAsia="宋体" w:cs="宋体"/>
                <w:color w:val="auto"/>
                <w:sz w:val="24"/>
                <w:szCs w:val="24"/>
              </w:rPr>
              <w:t>不从事生产、仅出租厂房</w:t>
            </w:r>
            <w:r>
              <w:rPr>
                <w:rFonts w:hint="eastAsia" w:ascii="宋体" w:hAnsi="宋体" w:eastAsia="宋体" w:cs="宋体"/>
                <w:color w:val="auto"/>
                <w:sz w:val="24"/>
                <w:szCs w:val="24"/>
                <w:lang w:eastAsia="zh-CN"/>
              </w:rPr>
              <w:t>，</w:t>
            </w:r>
            <w:r>
              <w:rPr>
                <w:rFonts w:ascii="宋体" w:hAnsi="宋体" w:eastAsia="宋体" w:cs="宋体"/>
                <w:color w:val="auto"/>
                <w:sz w:val="24"/>
                <w:szCs w:val="24"/>
              </w:rPr>
              <w:t>无生产、无废水/废气/噪声/固废产生</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本项目经营位置为闲置空厂房，</w:t>
            </w:r>
            <w:r>
              <w:rPr>
                <w:rFonts w:hint="eastAsia" w:ascii="Times New Roman" w:hAnsi="Times New Roman" w:eastAsia="宋体" w:cs="宋体"/>
                <w:color w:val="auto"/>
                <w:sz w:val="24"/>
                <w:szCs w:val="24"/>
                <w:lang w:val="en-US" w:eastAsia="zh-CN" w:bidi="ar-SA"/>
              </w:rPr>
              <w:t>不存在原有项目的环境污染问题。</w:t>
            </w:r>
          </w:p>
          <w:p w14:paraId="1956A466">
            <w:pPr>
              <w:keepNext w:val="0"/>
              <w:keepLines w:val="0"/>
              <w:pageBreakBefore w:val="0"/>
              <w:widowControl w:val="0"/>
              <w:kinsoku/>
              <w:wordWrap/>
              <w:overflowPunct/>
              <w:topLinePunct w:val="0"/>
              <w:autoSpaceDE/>
              <w:autoSpaceDN/>
              <w:bidi w:val="0"/>
              <w:adjustRightInd/>
              <w:snapToGrid/>
              <w:spacing w:line="360" w:lineRule="auto"/>
              <w:ind w:firstLine="552" w:firstLineChars="200"/>
              <w:jc w:val="both"/>
              <w:textAlignment w:val="auto"/>
              <w:rPr>
                <w:rFonts w:hint="eastAsia" w:ascii="Times New Roman" w:hAnsi="Times New Roman" w:eastAsia="Times New Roman" w:cs="Times New Roman"/>
                <w:b/>
                <w:bCs/>
                <w:color w:val="auto"/>
                <w:spacing w:val="-2"/>
                <w:sz w:val="28"/>
                <w:szCs w:val="28"/>
                <w:lang w:val="en-US" w:eastAsia="zh-CN" w:bidi="ar-SA"/>
              </w:rPr>
            </w:pPr>
            <w:r>
              <w:rPr>
                <w:rFonts w:hint="eastAsia" w:ascii="Times New Roman" w:hAnsi="Times New Roman" w:eastAsia="Times New Roman" w:cs="Times New Roman"/>
                <w:b/>
                <w:bCs/>
                <w:color w:val="auto"/>
                <w:spacing w:val="-2"/>
                <w:sz w:val="28"/>
                <w:szCs w:val="28"/>
                <w:lang w:val="en-US" w:eastAsia="zh-CN" w:bidi="ar-SA"/>
              </w:rPr>
              <w:t>2.4现有环境污染问题</w:t>
            </w:r>
          </w:p>
          <w:p w14:paraId="229D9A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宋体"/>
                <w:color w:val="auto"/>
                <w:sz w:val="24"/>
                <w:szCs w:val="24"/>
                <w:lang w:val="en-US" w:eastAsia="zh-CN" w:bidi="ar-SA"/>
              </w:rPr>
              <w:t>本项目为新建项目，不存在现有项目的环境污染问题。</w:t>
            </w:r>
          </w:p>
        </w:tc>
      </w:tr>
    </w:tbl>
    <w:p w14:paraId="3CE39A7D">
      <w:pPr>
        <w:adjustRightInd w:val="0"/>
        <w:snapToGrid w:val="0"/>
        <w:spacing w:before="0" w:beforeAutospacing="0" w:after="0" w:afterAutospacing="0" w:line="14" w:lineRule="auto"/>
        <w:jc w:val="center"/>
        <w:outlineLvl w:val="9"/>
        <w:rPr>
          <w:rFonts w:hint="eastAsia" w:ascii="Times New Roman" w:hAnsi="Times New Roman" w:eastAsia="黑体"/>
          <w:snapToGrid w:val="0"/>
          <w:color w:val="auto"/>
          <w:sz w:val="30"/>
          <w:szCs w:val="30"/>
        </w:rPr>
      </w:pPr>
    </w:p>
    <w:p w14:paraId="035F58E6">
      <w:pPr>
        <w:pStyle w:val="5"/>
        <w:bidi w:val="0"/>
        <w:rPr>
          <w:rFonts w:hint="eastAsia" w:ascii="Times New Roman" w:hAnsi="Times New Roman"/>
          <w:color w:val="auto"/>
        </w:rPr>
        <w:sectPr>
          <w:footerReference r:id="rId6"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314D46C">
      <w:pPr>
        <w:pStyle w:val="2"/>
        <w:bidi w:val="0"/>
        <w:ind w:firstLine="602" w:firstLineChars="200"/>
        <w:jc w:val="center"/>
        <w:outlineLvl w:val="0"/>
        <w:rPr>
          <w:rFonts w:hint="eastAsia" w:ascii="Times New Roman" w:hAnsi="Times New Roman"/>
          <w:color w:val="auto"/>
        </w:rPr>
      </w:pPr>
      <w:r>
        <w:rPr>
          <w:rFonts w:hint="eastAsia" w:ascii="Times New Roman" w:hAnsi="Times New Roman"/>
          <w:color w:val="auto"/>
        </w:rPr>
        <w:t>三、区域环境质量现状、环境保护目标及评价标准</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287"/>
      </w:tblGrid>
      <w:tr w14:paraId="339C94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73" w:type="dxa"/>
            <w:noWrap w:val="0"/>
            <w:vAlign w:val="center"/>
          </w:tcPr>
          <w:p w14:paraId="12DEEBC0">
            <w:pPr>
              <w:adjustRightInd w:val="0"/>
              <w:snapToGrid w:val="0"/>
              <w:jc w:val="both"/>
              <w:rPr>
                <w:rFonts w:ascii="Times New Roman" w:hAnsi="Times New Roman" w:cs="宋体"/>
                <w:color w:val="auto"/>
                <w:kern w:val="0"/>
                <w:szCs w:val="21"/>
              </w:rPr>
            </w:pPr>
            <w:r>
              <w:rPr>
                <w:rFonts w:hint="eastAsia" w:ascii="Times New Roman" w:hAnsi="Times New Roman" w:cs="宋体"/>
                <w:color w:val="auto"/>
                <w:sz w:val="24"/>
                <w:szCs w:val="24"/>
              </w:rPr>
              <w:t>区域环境质量现状</w:t>
            </w:r>
          </w:p>
        </w:tc>
        <w:tc>
          <w:tcPr>
            <w:tcW w:w="8287" w:type="dxa"/>
            <w:noWrap w:val="0"/>
            <w:vAlign w:val="center"/>
          </w:tcPr>
          <w:p w14:paraId="0A0A5B94">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bookmarkStart w:id="53" w:name="_Toc26574"/>
            <w:bookmarkStart w:id="54" w:name="_Toc18805"/>
            <w:r>
              <w:rPr>
                <w:rFonts w:hint="eastAsia" w:ascii="Times New Roman" w:hAnsi="Times New Roman" w:eastAsia="宋体" w:cs="Times New Roman"/>
                <w:b/>
                <w:color w:val="auto"/>
                <w:kern w:val="2"/>
                <w:sz w:val="28"/>
                <w:szCs w:val="24"/>
                <w:lang w:val="en-US" w:eastAsia="zh-CN" w:bidi="ar-SA"/>
              </w:rPr>
              <w:t>3.1大气环境质量现状</w:t>
            </w:r>
            <w:bookmarkEnd w:id="53"/>
            <w:bookmarkEnd w:id="54"/>
          </w:p>
          <w:p w14:paraId="517C4DCF">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55" w:name="_Toc20947"/>
            <w:r>
              <w:rPr>
                <w:rFonts w:hint="eastAsia" w:ascii="Times New Roman" w:hAnsi="Times New Roman" w:eastAsia="宋体" w:cs="Times New Roman"/>
                <w:b/>
                <w:color w:val="auto"/>
                <w:kern w:val="2"/>
                <w:sz w:val="24"/>
                <w:szCs w:val="24"/>
                <w:lang w:val="en-US" w:eastAsia="zh-CN" w:bidi="ar-SA"/>
              </w:rPr>
              <w:t>3.1.1环境空气质量功能区划</w:t>
            </w:r>
            <w:bookmarkEnd w:id="55"/>
          </w:p>
          <w:p w14:paraId="6C65FF7D">
            <w:pPr>
              <w:spacing w:line="360" w:lineRule="auto"/>
              <w:ind w:firstLine="480" w:firstLineChars="200"/>
              <w:rPr>
                <w:color w:val="auto"/>
                <w:sz w:val="24"/>
              </w:rPr>
            </w:pPr>
            <w:r>
              <w:rPr>
                <w:color w:val="auto"/>
                <w:sz w:val="24"/>
              </w:rPr>
              <w:t>本项目区域环境空气功能区划为二类区，大气环境质量执行《环境空气质量标准》（GB 3095—2026）表1中环境空气污染物基本项目浓度限值的二级过渡阶段限值，过渡期为2026年3月1日—2030年12月31日；自2031年1月1日起执行</w:t>
            </w:r>
            <w:r>
              <w:rPr>
                <w:rFonts w:hint="eastAsia"/>
                <w:color w:val="auto"/>
                <w:sz w:val="24"/>
              </w:rPr>
              <w:t>（</w:t>
            </w:r>
            <w:r>
              <w:rPr>
                <w:color w:val="auto"/>
                <w:sz w:val="24"/>
              </w:rPr>
              <w:t>GB 3095—2026</w:t>
            </w:r>
            <w:r>
              <w:rPr>
                <w:rFonts w:hint="eastAsia"/>
                <w:color w:val="auto"/>
                <w:sz w:val="24"/>
              </w:rPr>
              <w:t>）</w:t>
            </w:r>
            <w:r>
              <w:rPr>
                <w:color w:val="auto"/>
                <w:sz w:val="24"/>
              </w:rPr>
              <w:t>二级最终浓度</w:t>
            </w:r>
            <w:r>
              <w:rPr>
                <w:rFonts w:ascii="Times New Roman" w:hAnsi="Times New Roman" w:eastAsia="宋体" w:cs="Times New Roman"/>
                <w:color w:val="auto"/>
                <w:sz w:val="24"/>
              </w:rPr>
              <w:t>限值</w:t>
            </w:r>
            <w:r>
              <w:rPr>
                <w:rFonts w:hint="eastAsia" w:ascii="Times New Roman" w:hAnsi="Times New Roman" w:eastAsia="宋体" w:cs="Times New Roman"/>
                <w:color w:val="auto"/>
                <w:sz w:val="24"/>
                <w:lang w:eastAsia="zh-CN"/>
              </w:rPr>
              <w:t>，</w:t>
            </w:r>
            <w:r>
              <w:rPr>
                <w:rFonts w:ascii="Times New Roman" w:hAnsi="Times New Roman" w:eastAsia="宋体" w:cs="Times New Roman"/>
                <w:color w:val="auto"/>
                <w:sz w:val="24"/>
              </w:rPr>
              <w:t>非甲烷总烃</w:t>
            </w:r>
            <w:r>
              <w:rPr>
                <w:rFonts w:hint="eastAsia" w:ascii="Times New Roman" w:hAnsi="Times New Roman" w:eastAsia="宋体" w:cs="Times New Roman"/>
                <w:color w:val="auto"/>
                <w:sz w:val="24"/>
                <w:lang w:val="en-US" w:eastAsia="zh-CN"/>
              </w:rPr>
              <w:t>参照</w:t>
            </w:r>
            <w:r>
              <w:rPr>
                <w:rFonts w:ascii="Times New Roman" w:hAnsi="Times New Roman" w:eastAsia="宋体" w:cs="Times New Roman"/>
                <w:color w:val="auto"/>
                <w:sz w:val="24"/>
              </w:rPr>
              <w:t>执行大气污染物综合排放标准详解中的要求。</w:t>
            </w:r>
            <w:r>
              <w:rPr>
                <w:rFonts w:hint="eastAsia" w:ascii="Times New Roman" w:hAnsi="Times New Roman" w:eastAsia="宋体" w:cs="Times New Roman"/>
                <w:color w:val="auto"/>
                <w:sz w:val="24"/>
              </w:rPr>
              <w:t>具体见</w:t>
            </w:r>
            <w:r>
              <w:rPr>
                <w:rFonts w:hint="eastAsia"/>
                <w:color w:val="auto"/>
                <w:sz w:val="24"/>
              </w:rPr>
              <w:t>表3.1-1。</w:t>
            </w:r>
          </w:p>
          <w:p w14:paraId="20074AC2">
            <w:pPr>
              <w:widowControl/>
              <w:ind w:firstLine="482" w:firstLineChars="200"/>
              <w:jc w:val="center"/>
              <w:rPr>
                <w:b/>
                <w:color w:val="auto"/>
                <w:sz w:val="24"/>
                <w:szCs w:val="24"/>
                <w:lang w:bidi="he-IL"/>
              </w:rPr>
            </w:pPr>
            <w:r>
              <w:rPr>
                <w:rFonts w:hint="eastAsia"/>
                <w:b/>
                <w:color w:val="auto"/>
                <w:sz w:val="24"/>
                <w:szCs w:val="24"/>
                <w:lang w:bidi="he-IL"/>
              </w:rPr>
              <mc:AlternateContent>
                <mc:Choice Requires="wps">
                  <w:drawing>
                    <wp:anchor distT="0" distB="0" distL="114300" distR="114300" simplePos="0" relativeHeight="251663360" behindDoc="1" locked="1" layoutInCell="1" allowOverlap="1">
                      <wp:simplePos x="0" y="0"/>
                      <wp:positionH relativeFrom="page">
                        <wp:posOffset>457200</wp:posOffset>
                      </wp:positionH>
                      <wp:positionV relativeFrom="page">
                        <wp:posOffset>457200</wp:posOffset>
                      </wp:positionV>
                      <wp:extent cx="12700" cy="12700"/>
                      <wp:effectExtent l="0" t="0" r="0" b="0"/>
                      <wp:wrapNone/>
                      <wp:docPr id="202" name="图片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00" cy="12700"/>
                              </a:xfrm>
                              <a:prstGeom prst="rect">
                                <a:avLst/>
                              </a:prstGeom>
                              <a:noFill/>
                              <a:ln w="9525">
                                <a:noFill/>
                              </a:ln>
                              <a:effectLst/>
                            </wps:spPr>
                            <wps:bodyPr wrap="square" upright="1"/>
                          </wps:wsp>
                        </a:graphicData>
                      </a:graphic>
                    </wp:anchor>
                  </w:drawing>
                </mc:Choice>
                <mc:Fallback>
                  <w:pict>
                    <v:rect id="图片 4" o:spid="_x0000_s1026" o:spt="1" style="position:absolute;left:0pt;margin-left:36pt;margin-top:36pt;height:1pt;width:1pt;mso-position-horizontal-relative:page;mso-position-vertical-relative:page;z-index:-251653120;mso-width-relative:page;mso-height-relative:page;" filled="f" stroked="f" coordsize="21600,21600" o:gfxdata="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rblqYNMAAAAHAQAADwAAAAAAAAABACAAAAAiAAAAZHJzL2Rvd25yZXYueG1s&#10;UEsBAhQAFAAAAAgAh07iQKrNxrrEAQAAhgMAAA4AAAAAAAAAAQAgAAAAIgEAAGRycy9lMm9Eb2Mu&#10;eG1sUEsFBgAAAAAGAAYAWQEAAFgFAAAAAA==&#10;">
                      <v:fill on="f" focussize="0,0"/>
                      <v:stroke on="f"/>
                      <v:imagedata o:title=""/>
                      <o:lock v:ext="edit" aspectratio="t"/>
                      <w10:anchorlock/>
                    </v:rect>
                  </w:pict>
                </mc:Fallback>
              </mc:AlternateContent>
            </w:r>
            <w:r>
              <w:rPr>
                <w:rFonts w:hint="eastAsia"/>
                <w:b/>
                <w:color w:val="auto"/>
                <w:sz w:val="24"/>
                <w:szCs w:val="24"/>
                <w:lang w:bidi="he-IL"/>
              </w:rPr>
              <w:t>表3.1-1  环境空气质量标准一览表</w:t>
            </w:r>
          </w:p>
          <w:tbl>
            <w:tblPr>
              <w:tblStyle w:val="1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218"/>
              <w:gridCol w:w="1459"/>
              <w:gridCol w:w="1975"/>
              <w:gridCol w:w="2004"/>
            </w:tblGrid>
            <w:tr w14:paraId="598518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875" w:type="pct"/>
                  <w:vMerge w:val="restart"/>
                  <w:noWrap w:val="0"/>
                  <w:vAlign w:val="center"/>
                </w:tcPr>
                <w:p w14:paraId="6AB645D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rPr>
                  </w:pPr>
                  <w:r>
                    <w:rPr>
                      <w:rFonts w:hint="eastAsia" w:ascii="Times New Roman" w:hAnsi="Times New Roman" w:eastAsia="宋体" w:cs="Times New Roman"/>
                      <w:b/>
                      <w:bCs/>
                      <w:color w:val="auto"/>
                      <w:sz w:val="21"/>
                    </w:rPr>
                    <w:t>执行标准</w:t>
                  </w:r>
                </w:p>
              </w:tc>
              <w:tc>
                <w:tcPr>
                  <w:tcW w:w="755" w:type="pct"/>
                  <w:vMerge w:val="restart"/>
                  <w:noWrap w:val="0"/>
                  <w:vAlign w:val="center"/>
                </w:tcPr>
                <w:p w14:paraId="260E3FF1">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lang w:eastAsia="zh-CN"/>
                    </w:rPr>
                  </w:pPr>
                  <w:r>
                    <w:rPr>
                      <w:rFonts w:hint="eastAsia" w:ascii="Times New Roman" w:hAnsi="Times New Roman" w:eastAsia="宋体" w:cs="Times New Roman"/>
                      <w:b/>
                      <w:bCs/>
                      <w:color w:val="auto"/>
                      <w:sz w:val="21"/>
                      <w:lang w:val="en-US" w:eastAsia="zh-CN"/>
                    </w:rPr>
                    <w:t>污染物名称</w:t>
                  </w:r>
                </w:p>
              </w:tc>
              <w:tc>
                <w:tcPr>
                  <w:tcW w:w="3369" w:type="pct"/>
                  <w:gridSpan w:val="3"/>
                  <w:noWrap w:val="0"/>
                  <w:vAlign w:val="center"/>
                </w:tcPr>
                <w:p w14:paraId="1051FE78">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lang w:val="en-US" w:eastAsia="zh-CN"/>
                    </w:rPr>
                  </w:pPr>
                  <w:r>
                    <w:rPr>
                      <w:rFonts w:hint="eastAsia" w:ascii="Times New Roman" w:hAnsi="Times New Roman" w:eastAsia="宋体" w:cs="Times New Roman"/>
                      <w:b/>
                      <w:bCs/>
                      <w:color w:val="auto"/>
                      <w:sz w:val="21"/>
                      <w:lang w:val="en-US" w:eastAsia="zh-CN"/>
                    </w:rPr>
                    <w:t>标准限值（ug/m</w:t>
                  </w:r>
                  <w:r>
                    <w:rPr>
                      <w:rFonts w:hint="eastAsia" w:ascii="Times New Roman" w:hAnsi="Times New Roman" w:eastAsia="宋体" w:cs="Times New Roman"/>
                      <w:b/>
                      <w:bCs/>
                      <w:color w:val="auto"/>
                      <w:sz w:val="21"/>
                      <w:vertAlign w:val="superscript"/>
                      <w:lang w:val="en-US" w:eastAsia="zh-CN"/>
                    </w:rPr>
                    <w:t>3</w:t>
                  </w:r>
                  <w:r>
                    <w:rPr>
                      <w:rFonts w:hint="eastAsia" w:ascii="Times New Roman" w:hAnsi="Times New Roman" w:eastAsia="宋体" w:cs="Times New Roman"/>
                      <w:b/>
                      <w:bCs/>
                      <w:color w:val="auto"/>
                      <w:sz w:val="21"/>
                      <w:lang w:val="en-US" w:eastAsia="zh-CN"/>
                    </w:rPr>
                    <w:t>）</w:t>
                  </w:r>
                </w:p>
              </w:tc>
            </w:tr>
            <w:tr w14:paraId="016608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1D3F7949">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rPr>
                  </w:pPr>
                </w:p>
              </w:tc>
              <w:tc>
                <w:tcPr>
                  <w:tcW w:w="755" w:type="pct"/>
                  <w:vMerge w:val="continue"/>
                  <w:noWrap w:val="0"/>
                  <w:vAlign w:val="center"/>
                </w:tcPr>
                <w:p w14:paraId="52138DFC">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rPr>
                  </w:pPr>
                </w:p>
              </w:tc>
              <w:tc>
                <w:tcPr>
                  <w:tcW w:w="904" w:type="pct"/>
                  <w:noWrap w:val="0"/>
                  <w:vAlign w:val="center"/>
                </w:tcPr>
                <w:p w14:paraId="1C170282">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lang w:val="en-US" w:eastAsia="zh-CN"/>
                    </w:rPr>
                  </w:pPr>
                  <w:r>
                    <w:rPr>
                      <w:rFonts w:hint="eastAsia" w:ascii="Times New Roman" w:hAnsi="Times New Roman" w:eastAsia="宋体" w:cs="Times New Roman"/>
                      <w:b/>
                      <w:bCs/>
                      <w:color w:val="auto"/>
                      <w:sz w:val="21"/>
                      <w:lang w:val="en-US" w:eastAsia="zh-CN"/>
                    </w:rPr>
                    <w:t>平均时间</w:t>
                  </w:r>
                </w:p>
              </w:tc>
              <w:tc>
                <w:tcPr>
                  <w:tcW w:w="1224" w:type="pct"/>
                  <w:noWrap w:val="0"/>
                  <w:vAlign w:val="center"/>
                </w:tcPr>
                <w:p w14:paraId="47D45FD4">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lang w:val="en-US" w:eastAsia="zh-CN"/>
                    </w:rPr>
                  </w:pPr>
                  <w:r>
                    <w:rPr>
                      <w:rFonts w:hint="eastAsia" w:ascii="Times New Roman" w:hAnsi="Times New Roman" w:eastAsia="宋体" w:cs="Times New Roman"/>
                      <w:b/>
                      <w:bCs/>
                      <w:color w:val="auto"/>
                      <w:sz w:val="21"/>
                      <w:lang w:val="en-US" w:eastAsia="zh-CN"/>
                    </w:rPr>
                    <w:t>GB 3095-2026过渡阶段二级浓度限值（2026.3.1-2030.12.31）</w:t>
                  </w:r>
                </w:p>
              </w:tc>
              <w:tc>
                <w:tcPr>
                  <w:tcW w:w="1240" w:type="pct"/>
                  <w:noWrap w:val="0"/>
                  <w:vAlign w:val="center"/>
                </w:tcPr>
                <w:p w14:paraId="37A28E62">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rPr>
                  </w:pPr>
                  <w:r>
                    <w:rPr>
                      <w:rFonts w:hint="eastAsia" w:ascii="Times New Roman" w:hAnsi="Times New Roman" w:eastAsia="宋体" w:cs="Times New Roman"/>
                      <w:b/>
                      <w:bCs/>
                      <w:color w:val="auto"/>
                      <w:sz w:val="21"/>
                      <w:lang w:val="en-US" w:eastAsia="zh-CN"/>
                    </w:rPr>
                    <w:t>GB 3095-2026二级浓度限值（2031.1.1之后）</w:t>
                  </w:r>
                </w:p>
              </w:tc>
            </w:tr>
            <w:tr w14:paraId="5FB25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restart"/>
                  <w:noWrap w:val="0"/>
                  <w:vAlign w:val="center"/>
                </w:tcPr>
                <w:p w14:paraId="5B777753">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《环境空气质量标准》（GB 3095—2026）</w:t>
                  </w:r>
                </w:p>
              </w:tc>
              <w:tc>
                <w:tcPr>
                  <w:tcW w:w="755" w:type="pct"/>
                  <w:vMerge w:val="restart"/>
                  <w:noWrap w:val="0"/>
                  <w:vAlign w:val="center"/>
                </w:tcPr>
                <w:p w14:paraId="2886D11B">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二氧化硫（SO</w:t>
                  </w:r>
                  <w:r>
                    <w:rPr>
                      <w:rFonts w:hint="eastAsia" w:ascii="Times New Roman" w:hAnsi="Times New Roman" w:eastAsia="宋体" w:cs="Times New Roman"/>
                      <w:color w:val="auto"/>
                      <w:sz w:val="21"/>
                      <w:vertAlign w:val="subscript"/>
                    </w:rPr>
                    <w:t>2</w:t>
                  </w:r>
                  <w:r>
                    <w:rPr>
                      <w:rFonts w:hint="eastAsia" w:ascii="Times New Roman" w:hAnsi="Times New Roman" w:eastAsia="宋体" w:cs="Times New Roman"/>
                      <w:color w:val="auto"/>
                      <w:sz w:val="21"/>
                    </w:rPr>
                    <w:t>）</w:t>
                  </w:r>
                </w:p>
              </w:tc>
              <w:tc>
                <w:tcPr>
                  <w:tcW w:w="904" w:type="pct"/>
                  <w:noWrap w:val="0"/>
                  <w:vAlign w:val="center"/>
                </w:tcPr>
                <w:p w14:paraId="23F92FB1">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年平均</w:t>
                  </w:r>
                </w:p>
              </w:tc>
              <w:tc>
                <w:tcPr>
                  <w:tcW w:w="1224" w:type="pct"/>
                  <w:noWrap w:val="0"/>
                  <w:vAlign w:val="center"/>
                </w:tcPr>
                <w:p w14:paraId="20EFD9A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60</w:t>
                  </w:r>
                </w:p>
              </w:tc>
              <w:tc>
                <w:tcPr>
                  <w:tcW w:w="1240" w:type="pct"/>
                  <w:noWrap w:val="0"/>
                  <w:vAlign w:val="center"/>
                </w:tcPr>
                <w:p w14:paraId="169AD4F9">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2</w:t>
                  </w:r>
                  <w:r>
                    <w:rPr>
                      <w:rFonts w:hint="eastAsia" w:ascii="Times New Roman" w:hAnsi="Times New Roman" w:eastAsia="宋体" w:cs="Times New Roman"/>
                      <w:color w:val="auto"/>
                      <w:sz w:val="21"/>
                    </w:rPr>
                    <w:t>0</w:t>
                  </w:r>
                </w:p>
              </w:tc>
            </w:tr>
            <w:tr w14:paraId="37E07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6DCA8B83">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06C6263B">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32ED4209">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224" w:type="pct"/>
                  <w:noWrap w:val="0"/>
                  <w:vAlign w:val="center"/>
                </w:tcPr>
                <w:p w14:paraId="36406F0E">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150</w:t>
                  </w:r>
                </w:p>
              </w:tc>
              <w:tc>
                <w:tcPr>
                  <w:tcW w:w="1240" w:type="pct"/>
                  <w:noWrap w:val="0"/>
                  <w:vAlign w:val="center"/>
                </w:tcPr>
                <w:p w14:paraId="4D6D7A33">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50</w:t>
                  </w:r>
                </w:p>
              </w:tc>
            </w:tr>
            <w:tr w14:paraId="7E39F6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778854A1">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4989EE3F">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0A5706A0">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224" w:type="pct"/>
                  <w:noWrap w:val="0"/>
                  <w:vAlign w:val="center"/>
                </w:tcPr>
                <w:p w14:paraId="771EAE7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500</w:t>
                  </w:r>
                </w:p>
              </w:tc>
              <w:tc>
                <w:tcPr>
                  <w:tcW w:w="1240" w:type="pct"/>
                  <w:noWrap w:val="0"/>
                  <w:vAlign w:val="center"/>
                </w:tcPr>
                <w:p w14:paraId="0EEC0B32">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15</w:t>
                  </w:r>
                  <w:r>
                    <w:rPr>
                      <w:rFonts w:hint="eastAsia" w:ascii="Times New Roman" w:hAnsi="Times New Roman" w:eastAsia="宋体" w:cs="Times New Roman"/>
                      <w:color w:val="auto"/>
                      <w:sz w:val="21"/>
                    </w:rPr>
                    <w:t>0</w:t>
                  </w:r>
                </w:p>
              </w:tc>
            </w:tr>
            <w:tr w14:paraId="503044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26E27C0A">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restart"/>
                  <w:noWrap w:val="0"/>
                  <w:vAlign w:val="center"/>
                </w:tcPr>
                <w:p w14:paraId="42E7111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二氧化氮（NO</w:t>
                  </w:r>
                  <w:r>
                    <w:rPr>
                      <w:rFonts w:hint="eastAsia" w:ascii="Times New Roman" w:hAnsi="Times New Roman" w:eastAsia="宋体" w:cs="Times New Roman"/>
                      <w:color w:val="auto"/>
                      <w:sz w:val="21"/>
                      <w:vertAlign w:val="subscript"/>
                    </w:rPr>
                    <w:t>2</w:t>
                  </w:r>
                  <w:r>
                    <w:rPr>
                      <w:rFonts w:hint="eastAsia" w:ascii="Times New Roman" w:hAnsi="Times New Roman" w:eastAsia="宋体" w:cs="Times New Roman"/>
                      <w:color w:val="auto"/>
                      <w:sz w:val="21"/>
                    </w:rPr>
                    <w:t>）</w:t>
                  </w:r>
                </w:p>
              </w:tc>
              <w:tc>
                <w:tcPr>
                  <w:tcW w:w="904" w:type="pct"/>
                  <w:noWrap w:val="0"/>
                  <w:vAlign w:val="center"/>
                </w:tcPr>
                <w:p w14:paraId="085D9A33">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年平均</w:t>
                  </w:r>
                </w:p>
              </w:tc>
              <w:tc>
                <w:tcPr>
                  <w:tcW w:w="1224" w:type="pct"/>
                  <w:noWrap w:val="0"/>
                  <w:vAlign w:val="center"/>
                </w:tcPr>
                <w:p w14:paraId="516F328F">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40</w:t>
                  </w:r>
                </w:p>
              </w:tc>
              <w:tc>
                <w:tcPr>
                  <w:tcW w:w="1240" w:type="pct"/>
                  <w:noWrap w:val="0"/>
                  <w:vAlign w:val="center"/>
                </w:tcPr>
                <w:p w14:paraId="1BB09B43">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3</w:t>
                  </w:r>
                  <w:r>
                    <w:rPr>
                      <w:rFonts w:hint="eastAsia" w:ascii="Times New Roman" w:hAnsi="Times New Roman" w:eastAsia="宋体" w:cs="Times New Roman"/>
                      <w:color w:val="auto"/>
                      <w:sz w:val="21"/>
                    </w:rPr>
                    <w:t>0</w:t>
                  </w:r>
                </w:p>
              </w:tc>
            </w:tr>
            <w:tr w14:paraId="7472F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30201899">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187DAEB2">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6C42CF6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224" w:type="pct"/>
                  <w:noWrap w:val="0"/>
                  <w:vAlign w:val="center"/>
                </w:tcPr>
                <w:p w14:paraId="2D5189C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80</w:t>
                  </w:r>
                </w:p>
              </w:tc>
              <w:tc>
                <w:tcPr>
                  <w:tcW w:w="1240" w:type="pct"/>
                  <w:noWrap w:val="0"/>
                  <w:vAlign w:val="center"/>
                </w:tcPr>
                <w:p w14:paraId="375050DC">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5</w:t>
                  </w:r>
                  <w:r>
                    <w:rPr>
                      <w:rFonts w:hint="eastAsia" w:ascii="Times New Roman" w:hAnsi="Times New Roman" w:eastAsia="宋体" w:cs="Times New Roman"/>
                      <w:color w:val="auto"/>
                      <w:sz w:val="21"/>
                    </w:rPr>
                    <w:t>0</w:t>
                  </w:r>
                </w:p>
              </w:tc>
            </w:tr>
            <w:tr w14:paraId="0F3B63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53D68FC8">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04AF091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1AF606D9">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224" w:type="pct"/>
                  <w:noWrap w:val="0"/>
                  <w:vAlign w:val="center"/>
                </w:tcPr>
                <w:p w14:paraId="320E3526">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c>
                <w:tcPr>
                  <w:tcW w:w="1240" w:type="pct"/>
                  <w:noWrap w:val="0"/>
                  <w:vAlign w:val="center"/>
                </w:tcPr>
                <w:p w14:paraId="401C56F4">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r>
            <w:tr w14:paraId="2EABD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64045166">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restart"/>
                  <w:noWrap w:val="0"/>
                  <w:vAlign w:val="center"/>
                </w:tcPr>
                <w:p w14:paraId="6D2BB00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一氧化碳（CO）</w:t>
                  </w:r>
                </w:p>
              </w:tc>
              <w:tc>
                <w:tcPr>
                  <w:tcW w:w="904" w:type="pct"/>
                  <w:noWrap w:val="0"/>
                  <w:vAlign w:val="center"/>
                </w:tcPr>
                <w:p w14:paraId="7242DD3A">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224" w:type="pct"/>
                  <w:noWrap w:val="0"/>
                  <w:vAlign w:val="center"/>
                </w:tcPr>
                <w:p w14:paraId="4EE5089E">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vertAlign w:val="superscript"/>
                    </w:rPr>
                  </w:pPr>
                  <w:r>
                    <w:rPr>
                      <w:rFonts w:hint="eastAsia" w:ascii="Times New Roman" w:hAnsi="Times New Roman" w:eastAsia="宋体" w:cs="Times New Roman"/>
                      <w:color w:val="auto"/>
                      <w:sz w:val="21"/>
                      <w:vertAlign w:val="baseline"/>
                    </w:rPr>
                    <w:t>4m</w:t>
                  </w:r>
                  <w:r>
                    <w:rPr>
                      <w:rFonts w:hint="default" w:ascii="Times New Roman" w:hAnsi="Times New Roman" w:eastAsia="宋体" w:cs="Times New Roman"/>
                      <w:color w:val="auto"/>
                      <w:sz w:val="21"/>
                      <w:vertAlign w:val="baseline"/>
                    </w:rPr>
                    <w:t>g/m</w:t>
                  </w:r>
                  <w:r>
                    <w:rPr>
                      <w:rFonts w:hint="default" w:ascii="Times New Roman" w:hAnsi="Times New Roman" w:eastAsia="宋体" w:cs="Times New Roman"/>
                      <w:color w:val="auto"/>
                      <w:sz w:val="21"/>
                      <w:vertAlign w:val="superscript"/>
                    </w:rPr>
                    <w:t>3</w:t>
                  </w:r>
                </w:p>
              </w:tc>
              <w:tc>
                <w:tcPr>
                  <w:tcW w:w="1240" w:type="pct"/>
                  <w:noWrap w:val="0"/>
                  <w:vAlign w:val="center"/>
                </w:tcPr>
                <w:p w14:paraId="53B705C0">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4m</w:t>
                  </w:r>
                  <w:r>
                    <w:rPr>
                      <w:rFonts w:hint="default" w:ascii="Times New Roman" w:hAnsi="Times New Roman" w:eastAsia="宋体" w:cs="Times New Roman"/>
                      <w:color w:val="auto"/>
                      <w:sz w:val="21"/>
                    </w:rPr>
                    <w:t>g/m</w:t>
                  </w:r>
                  <w:r>
                    <w:rPr>
                      <w:rFonts w:hint="default" w:ascii="Times New Roman" w:hAnsi="Times New Roman" w:eastAsia="宋体" w:cs="Times New Roman"/>
                      <w:color w:val="auto"/>
                      <w:sz w:val="21"/>
                      <w:vertAlign w:val="superscript"/>
                    </w:rPr>
                    <w:t>3</w:t>
                  </w:r>
                </w:p>
              </w:tc>
            </w:tr>
            <w:tr w14:paraId="527FE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57A4A78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05B16A08">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7AE7AE6A">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224" w:type="pct"/>
                  <w:noWrap w:val="0"/>
                  <w:vAlign w:val="center"/>
                </w:tcPr>
                <w:p w14:paraId="6B562514">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10m</w:t>
                  </w:r>
                  <w:r>
                    <w:rPr>
                      <w:rFonts w:hint="default" w:ascii="Times New Roman" w:hAnsi="Times New Roman" w:eastAsia="宋体" w:cs="Times New Roman"/>
                      <w:color w:val="auto"/>
                      <w:sz w:val="21"/>
                    </w:rPr>
                    <w:t>g/m</w:t>
                  </w:r>
                  <w:r>
                    <w:rPr>
                      <w:rFonts w:hint="default" w:ascii="Times New Roman" w:hAnsi="Times New Roman" w:eastAsia="宋体" w:cs="Times New Roman"/>
                      <w:color w:val="auto"/>
                      <w:sz w:val="21"/>
                      <w:vertAlign w:val="superscript"/>
                    </w:rPr>
                    <w:t>3</w:t>
                  </w:r>
                </w:p>
              </w:tc>
              <w:tc>
                <w:tcPr>
                  <w:tcW w:w="1240" w:type="pct"/>
                  <w:noWrap w:val="0"/>
                  <w:vAlign w:val="center"/>
                </w:tcPr>
                <w:p w14:paraId="74F4F2EB">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10m</w:t>
                  </w:r>
                  <w:r>
                    <w:rPr>
                      <w:rFonts w:hint="default" w:ascii="Times New Roman" w:hAnsi="Times New Roman" w:eastAsia="宋体" w:cs="Times New Roman"/>
                      <w:color w:val="auto"/>
                      <w:sz w:val="21"/>
                    </w:rPr>
                    <w:t>g/m</w:t>
                  </w:r>
                  <w:r>
                    <w:rPr>
                      <w:rFonts w:hint="default" w:ascii="Times New Roman" w:hAnsi="Times New Roman" w:eastAsia="宋体" w:cs="Times New Roman"/>
                      <w:color w:val="auto"/>
                      <w:sz w:val="21"/>
                      <w:vertAlign w:val="superscript"/>
                    </w:rPr>
                    <w:t>3</w:t>
                  </w:r>
                </w:p>
              </w:tc>
            </w:tr>
            <w:tr w14:paraId="7AC5A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744F255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restart"/>
                  <w:noWrap w:val="0"/>
                  <w:vAlign w:val="center"/>
                </w:tcPr>
                <w:p w14:paraId="2FE432F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臭氧（O</w:t>
                  </w:r>
                  <w:r>
                    <w:rPr>
                      <w:rFonts w:hint="eastAsia" w:ascii="Times New Roman" w:hAnsi="Times New Roman" w:eastAsia="宋体" w:cs="Times New Roman"/>
                      <w:color w:val="auto"/>
                      <w:sz w:val="21"/>
                      <w:vertAlign w:val="subscript"/>
                    </w:rPr>
                    <w:t>3</w:t>
                  </w:r>
                  <w:r>
                    <w:rPr>
                      <w:rFonts w:hint="eastAsia" w:ascii="Times New Roman" w:hAnsi="Times New Roman" w:eastAsia="宋体" w:cs="Times New Roman"/>
                      <w:color w:val="auto"/>
                      <w:sz w:val="21"/>
                    </w:rPr>
                    <w:t>）</w:t>
                  </w:r>
                </w:p>
              </w:tc>
              <w:tc>
                <w:tcPr>
                  <w:tcW w:w="904" w:type="pct"/>
                  <w:noWrap w:val="0"/>
                  <w:vAlign w:val="center"/>
                </w:tcPr>
                <w:p w14:paraId="6340EE83">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日最大8小时平均</w:t>
                  </w:r>
                </w:p>
              </w:tc>
              <w:tc>
                <w:tcPr>
                  <w:tcW w:w="1224" w:type="pct"/>
                  <w:noWrap w:val="0"/>
                  <w:vAlign w:val="center"/>
                </w:tcPr>
                <w:p w14:paraId="2DBC449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160</w:t>
                  </w:r>
                </w:p>
              </w:tc>
              <w:tc>
                <w:tcPr>
                  <w:tcW w:w="1240" w:type="pct"/>
                  <w:noWrap w:val="0"/>
                  <w:vAlign w:val="center"/>
                </w:tcPr>
                <w:p w14:paraId="4C31B6EA">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160</w:t>
                  </w:r>
                </w:p>
              </w:tc>
            </w:tr>
            <w:tr w14:paraId="0605C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67FF314C">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2FB84E8A">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7A547EF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224" w:type="pct"/>
                  <w:noWrap w:val="0"/>
                  <w:vAlign w:val="center"/>
                </w:tcPr>
                <w:p w14:paraId="02F1B86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c>
                <w:tcPr>
                  <w:tcW w:w="1240" w:type="pct"/>
                  <w:noWrap w:val="0"/>
                  <w:vAlign w:val="center"/>
                </w:tcPr>
                <w:p w14:paraId="67CCF6D6">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r>
            <w:tr w14:paraId="187F2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1917085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restart"/>
                  <w:noWrap w:val="0"/>
                  <w:vAlign w:val="center"/>
                </w:tcPr>
                <w:p w14:paraId="221CD9EB">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default" w:ascii="Times New Roman" w:hAnsi="Times New Roman" w:eastAsia="宋体" w:cs="Times New Roman"/>
                      <w:color w:val="auto"/>
                      <w:sz w:val="21"/>
                    </w:rPr>
                    <w:t>PM</w:t>
                  </w:r>
                  <w:r>
                    <w:rPr>
                      <w:rFonts w:hint="default" w:ascii="Times New Roman" w:hAnsi="Times New Roman" w:eastAsia="宋体" w:cs="Times New Roman"/>
                      <w:color w:val="auto"/>
                      <w:sz w:val="21"/>
                      <w:vertAlign w:val="subscript"/>
                    </w:rPr>
                    <w:t>10</w:t>
                  </w:r>
                </w:p>
              </w:tc>
              <w:tc>
                <w:tcPr>
                  <w:tcW w:w="904" w:type="pct"/>
                  <w:noWrap w:val="0"/>
                  <w:vAlign w:val="center"/>
                </w:tcPr>
                <w:p w14:paraId="3828089F">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rPr>
                    <w:t>年平均</w:t>
                  </w:r>
                </w:p>
              </w:tc>
              <w:tc>
                <w:tcPr>
                  <w:tcW w:w="1224" w:type="pct"/>
                  <w:noWrap w:val="0"/>
                  <w:vAlign w:val="center"/>
                </w:tcPr>
                <w:p w14:paraId="5D16E71F">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60</w:t>
                  </w:r>
                </w:p>
              </w:tc>
              <w:tc>
                <w:tcPr>
                  <w:tcW w:w="1240" w:type="pct"/>
                  <w:noWrap w:val="0"/>
                  <w:vAlign w:val="center"/>
                </w:tcPr>
                <w:p w14:paraId="5074677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50</w:t>
                  </w:r>
                </w:p>
              </w:tc>
            </w:tr>
            <w:tr w14:paraId="54C4A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7C4E4AB2">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6FAA56B5">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1C815238">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224" w:type="pct"/>
                  <w:noWrap w:val="0"/>
                  <w:vAlign w:val="center"/>
                </w:tcPr>
                <w:p w14:paraId="081A7A9A">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default" w:ascii="Times New Roman" w:hAnsi="Times New Roman" w:eastAsia="宋体" w:cs="Times New Roman"/>
                      <w:color w:val="auto"/>
                      <w:sz w:val="21"/>
                    </w:rPr>
                    <w:t>1</w:t>
                  </w:r>
                  <w:r>
                    <w:rPr>
                      <w:rFonts w:hint="eastAsia" w:ascii="Times New Roman" w:hAnsi="Times New Roman" w:eastAsia="宋体" w:cs="Times New Roman"/>
                      <w:color w:val="auto"/>
                      <w:sz w:val="21"/>
                      <w:lang w:val="en-US" w:eastAsia="zh-CN"/>
                    </w:rPr>
                    <w:t>2</w:t>
                  </w:r>
                  <w:r>
                    <w:rPr>
                      <w:rFonts w:hint="default" w:ascii="Times New Roman" w:hAnsi="Times New Roman" w:eastAsia="宋体" w:cs="Times New Roman"/>
                      <w:color w:val="auto"/>
                      <w:sz w:val="21"/>
                    </w:rPr>
                    <w:t>0</w:t>
                  </w:r>
                </w:p>
              </w:tc>
              <w:tc>
                <w:tcPr>
                  <w:tcW w:w="1240" w:type="pct"/>
                  <w:noWrap w:val="0"/>
                  <w:vAlign w:val="center"/>
                </w:tcPr>
                <w:p w14:paraId="31108FB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default" w:ascii="Times New Roman" w:hAnsi="Times New Roman" w:eastAsia="宋体" w:cs="Times New Roman"/>
                      <w:color w:val="auto"/>
                      <w:sz w:val="21"/>
                    </w:rPr>
                    <w:t>1</w:t>
                  </w:r>
                  <w:r>
                    <w:rPr>
                      <w:rFonts w:hint="eastAsia" w:ascii="Times New Roman" w:hAnsi="Times New Roman" w:eastAsia="宋体" w:cs="Times New Roman"/>
                      <w:color w:val="auto"/>
                      <w:sz w:val="21"/>
                      <w:lang w:val="en-US" w:eastAsia="zh-CN"/>
                    </w:rPr>
                    <w:t>0</w:t>
                  </w:r>
                  <w:r>
                    <w:rPr>
                      <w:rFonts w:hint="default" w:ascii="Times New Roman" w:hAnsi="Times New Roman" w:eastAsia="宋体" w:cs="Times New Roman"/>
                      <w:color w:val="auto"/>
                      <w:sz w:val="21"/>
                    </w:rPr>
                    <w:t>0</w:t>
                  </w:r>
                </w:p>
              </w:tc>
            </w:tr>
            <w:tr w14:paraId="09D87D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534CCFB4">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restart"/>
                  <w:noWrap w:val="0"/>
                  <w:vAlign w:val="center"/>
                </w:tcPr>
                <w:p w14:paraId="4AAC5248">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default" w:ascii="Times New Roman" w:hAnsi="Times New Roman" w:eastAsia="宋体" w:cs="Times New Roman"/>
                      <w:color w:val="auto"/>
                      <w:sz w:val="21"/>
                    </w:rPr>
                    <w:t>PM</w:t>
                  </w:r>
                  <w:r>
                    <w:rPr>
                      <w:rFonts w:hint="default" w:ascii="Times New Roman" w:hAnsi="Times New Roman" w:eastAsia="宋体" w:cs="Times New Roman"/>
                      <w:color w:val="auto"/>
                      <w:sz w:val="21"/>
                      <w:vertAlign w:val="subscript"/>
                    </w:rPr>
                    <w:t>2.5</w:t>
                  </w:r>
                </w:p>
              </w:tc>
              <w:tc>
                <w:tcPr>
                  <w:tcW w:w="904" w:type="pct"/>
                  <w:noWrap w:val="0"/>
                  <w:vAlign w:val="center"/>
                </w:tcPr>
                <w:p w14:paraId="78ABF9E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rPr>
                    <w:t>年平均</w:t>
                  </w:r>
                </w:p>
              </w:tc>
              <w:tc>
                <w:tcPr>
                  <w:tcW w:w="1224" w:type="pct"/>
                  <w:noWrap w:val="0"/>
                  <w:vAlign w:val="center"/>
                </w:tcPr>
                <w:p w14:paraId="50C4809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30</w:t>
                  </w:r>
                </w:p>
              </w:tc>
              <w:tc>
                <w:tcPr>
                  <w:tcW w:w="1240" w:type="pct"/>
                  <w:noWrap w:val="0"/>
                  <w:vAlign w:val="center"/>
                </w:tcPr>
                <w:p w14:paraId="48C34CA0">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25</w:t>
                  </w:r>
                </w:p>
              </w:tc>
            </w:tr>
            <w:tr w14:paraId="4BD25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vMerge w:val="continue"/>
                  <w:noWrap w:val="0"/>
                  <w:vAlign w:val="center"/>
                </w:tcPr>
                <w:p w14:paraId="2109FBCC">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continue"/>
                  <w:noWrap w:val="0"/>
                  <w:vAlign w:val="center"/>
                </w:tcPr>
                <w:p w14:paraId="7EDF956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904" w:type="pct"/>
                  <w:noWrap w:val="0"/>
                  <w:vAlign w:val="center"/>
                </w:tcPr>
                <w:p w14:paraId="3A524FA0">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224" w:type="pct"/>
                  <w:noWrap w:val="0"/>
                  <w:vAlign w:val="center"/>
                </w:tcPr>
                <w:p w14:paraId="7E1A123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60</w:t>
                  </w:r>
                </w:p>
              </w:tc>
              <w:tc>
                <w:tcPr>
                  <w:tcW w:w="1240" w:type="pct"/>
                  <w:noWrap w:val="0"/>
                  <w:vAlign w:val="center"/>
                </w:tcPr>
                <w:p w14:paraId="1CF4AB8C">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60</w:t>
                  </w:r>
                </w:p>
              </w:tc>
            </w:tr>
            <w:tr w14:paraId="70784F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75" w:type="pct"/>
                  <w:vMerge w:val="continue"/>
                  <w:noWrap w:val="0"/>
                  <w:vAlign w:val="center"/>
                </w:tcPr>
                <w:p w14:paraId="2CBEC5AF">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755" w:type="pct"/>
                  <w:vMerge w:val="restart"/>
                  <w:noWrap w:val="0"/>
                  <w:vAlign w:val="center"/>
                </w:tcPr>
                <w:p w14:paraId="6902AC9C">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default" w:ascii="Times New Roman" w:hAnsi="Times New Roman" w:eastAsia="宋体" w:cs="Times New Roman"/>
                      <w:bCs/>
                      <w:color w:val="auto"/>
                      <w:sz w:val="21"/>
                      <w:szCs w:val="21"/>
                      <w:highlight w:val="none"/>
                      <w:lang w:eastAsia="zh-CN"/>
                    </w:rPr>
                    <w:t>TSP</w:t>
                  </w:r>
                </w:p>
              </w:tc>
              <w:tc>
                <w:tcPr>
                  <w:tcW w:w="904" w:type="pct"/>
                  <w:noWrap w:val="0"/>
                  <w:vAlign w:val="center"/>
                </w:tcPr>
                <w:p w14:paraId="090E5F18">
                  <w:pPr>
                    <w:pStyle w:val="59"/>
                    <w:adjustRightInd w:val="0"/>
                    <w:snapToGrid w:val="0"/>
                    <w:spacing w:line="320" w:lineRule="exact"/>
                    <w:jc w:val="center"/>
                    <w:rPr>
                      <w:rFonts w:hint="eastAsia" w:ascii="Times New Roman" w:hAnsi="Times New Roman" w:eastAsia="宋体" w:cs="Times New Roman"/>
                      <w:color w:val="auto"/>
                      <w:sz w:val="21"/>
                    </w:rPr>
                  </w:pPr>
                  <w:r>
                    <w:rPr>
                      <w:rFonts w:hint="default" w:ascii="Times New Roman" w:hAnsi="Times New Roman" w:eastAsia="宋体" w:cs="Times New Roman"/>
                      <w:bCs/>
                      <w:color w:val="auto"/>
                      <w:sz w:val="21"/>
                      <w:szCs w:val="21"/>
                      <w:highlight w:val="none"/>
                      <w:lang w:eastAsia="zh-CN"/>
                    </w:rPr>
                    <w:t>年平均</w:t>
                  </w:r>
                </w:p>
              </w:tc>
              <w:tc>
                <w:tcPr>
                  <w:tcW w:w="2464" w:type="pct"/>
                  <w:gridSpan w:val="2"/>
                  <w:noWrap w:val="0"/>
                  <w:vAlign w:val="center"/>
                </w:tcPr>
                <w:p w14:paraId="18F651F2">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200</w:t>
                  </w:r>
                </w:p>
              </w:tc>
            </w:tr>
            <w:tr w14:paraId="1DDC0E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875" w:type="pct"/>
                  <w:vMerge w:val="continue"/>
                  <w:noWrap w:val="0"/>
                  <w:vAlign w:val="center"/>
                </w:tcPr>
                <w:p w14:paraId="755D1921">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color w:val="auto"/>
                    </w:rPr>
                  </w:pPr>
                </w:p>
              </w:tc>
              <w:tc>
                <w:tcPr>
                  <w:tcW w:w="755" w:type="pct"/>
                  <w:vMerge w:val="continue"/>
                  <w:noWrap w:val="0"/>
                  <w:vAlign w:val="center"/>
                </w:tcPr>
                <w:p w14:paraId="797155C2">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color w:val="auto"/>
                    </w:rPr>
                  </w:pPr>
                </w:p>
              </w:tc>
              <w:tc>
                <w:tcPr>
                  <w:tcW w:w="904" w:type="pct"/>
                  <w:noWrap w:val="0"/>
                  <w:vAlign w:val="center"/>
                </w:tcPr>
                <w:p w14:paraId="3C5998D9">
                  <w:pPr>
                    <w:pStyle w:val="59"/>
                    <w:adjustRightInd w:val="0"/>
                    <w:snapToGrid w:val="0"/>
                    <w:spacing w:line="320" w:lineRule="exact"/>
                    <w:jc w:val="center"/>
                    <w:rPr>
                      <w:rFonts w:hint="eastAsia" w:ascii="Times New Roman" w:hAnsi="Times New Roman" w:eastAsia="宋体" w:cs="Times New Roman"/>
                      <w:color w:val="auto"/>
                      <w:sz w:val="21"/>
                    </w:rPr>
                  </w:pPr>
                  <w:r>
                    <w:rPr>
                      <w:rFonts w:hint="default" w:ascii="Times New Roman" w:hAnsi="Times New Roman" w:eastAsia="宋体" w:cs="Times New Roman"/>
                      <w:bCs/>
                      <w:color w:val="auto"/>
                      <w:sz w:val="21"/>
                      <w:szCs w:val="21"/>
                      <w:highlight w:val="none"/>
                      <w:lang w:eastAsia="zh-CN"/>
                    </w:rPr>
                    <w:t>24小时平均</w:t>
                  </w:r>
                </w:p>
              </w:tc>
              <w:tc>
                <w:tcPr>
                  <w:tcW w:w="2464" w:type="pct"/>
                  <w:gridSpan w:val="2"/>
                  <w:noWrap w:val="0"/>
                  <w:vAlign w:val="center"/>
                </w:tcPr>
                <w:p w14:paraId="019DE381">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300</w:t>
                  </w:r>
                </w:p>
              </w:tc>
            </w:tr>
            <w:tr w14:paraId="24A5B4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noWrap w:val="0"/>
                  <w:vAlign w:val="center"/>
                </w:tcPr>
                <w:p w14:paraId="1AB60CC1">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《大气污染物综合排放标准详解》（国家环境保护局科技标准司）P244中的标准值</w:t>
                  </w:r>
                </w:p>
              </w:tc>
              <w:tc>
                <w:tcPr>
                  <w:tcW w:w="755" w:type="pct"/>
                  <w:noWrap w:val="0"/>
                  <w:vAlign w:val="center"/>
                </w:tcPr>
                <w:p w14:paraId="40A008A7">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非甲烷总烃</w:t>
                  </w:r>
                </w:p>
              </w:tc>
              <w:tc>
                <w:tcPr>
                  <w:tcW w:w="904" w:type="pct"/>
                  <w:noWrap w:val="0"/>
                  <w:vAlign w:val="center"/>
                </w:tcPr>
                <w:p w14:paraId="433643E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2464" w:type="pct"/>
                  <w:gridSpan w:val="2"/>
                  <w:noWrap w:val="0"/>
                  <w:vAlign w:val="center"/>
                </w:tcPr>
                <w:p w14:paraId="36CF225D">
                  <w:pPr>
                    <w:pStyle w:val="55"/>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2.0mg/m</w:t>
                  </w:r>
                  <w:r>
                    <w:rPr>
                      <w:rFonts w:hint="eastAsia" w:ascii="Times New Roman" w:hAnsi="Times New Roman" w:eastAsia="宋体" w:cs="Times New Roman"/>
                      <w:color w:val="auto"/>
                      <w:sz w:val="21"/>
                      <w:vertAlign w:val="superscript"/>
                    </w:rPr>
                    <w:t>3</w:t>
                  </w:r>
                </w:p>
              </w:tc>
            </w:tr>
            <w:tr w14:paraId="337DE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noWrap w:val="0"/>
                  <w:vAlign w:val="center"/>
                </w:tcPr>
                <w:p w14:paraId="0FC381E8">
                  <w:pPr>
                    <w:pStyle w:val="55"/>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18"/>
                      <w:szCs w:val="18"/>
                    </w:rPr>
                    <w:t>注</w:t>
                  </w:r>
                  <w:r>
                    <w:rPr>
                      <w:rFonts w:hint="eastAsia" w:ascii="Times New Roman" w:hAnsi="Times New Roman" w:eastAsia="宋体" w:cs="Times New Roman"/>
                      <w:color w:val="auto"/>
                      <w:sz w:val="18"/>
                      <w:szCs w:val="18"/>
                      <w:lang w:eastAsia="zh-CN"/>
                    </w:rPr>
                    <w:t>：</w:t>
                  </w:r>
                  <w:r>
                    <w:rPr>
                      <w:rFonts w:hint="eastAsia" w:ascii="Times New Roman" w:hAnsi="Times New Roman" w:eastAsia="宋体" w:cs="Times New Roman"/>
                      <w:color w:val="auto"/>
                      <w:sz w:val="18"/>
                      <w:szCs w:val="18"/>
                      <w:lang w:val="en-US" w:eastAsia="zh-CN"/>
                    </w:rPr>
                    <w:t>根据《环境空气质量标准》（GB 3095-2026），</w:t>
                  </w:r>
                  <w:r>
                    <w:rPr>
                      <w:rFonts w:hint="eastAsia" w:ascii="Times New Roman" w:hAnsi="Times New Roman" w:eastAsia="宋体" w:cs="Times New Roman"/>
                      <w:color w:val="auto"/>
                      <w:sz w:val="18"/>
                      <w:szCs w:val="18"/>
                    </w:rPr>
                    <w:t>2026年3月1日~2030年12月31日环境空气污染物基本项目实施过渡阶段浓度限值</w:t>
                  </w:r>
                  <w:r>
                    <w:rPr>
                      <w:rFonts w:hint="eastAsia" w:ascii="Times New Roman" w:hAnsi="Times New Roman" w:eastAsia="宋体" w:cs="Times New Roman"/>
                      <w:color w:val="auto"/>
                      <w:sz w:val="18"/>
                      <w:szCs w:val="18"/>
                      <w:lang w:eastAsia="zh-CN"/>
                    </w:rPr>
                    <w:t>；</w:t>
                  </w:r>
                  <w:r>
                    <w:rPr>
                      <w:rFonts w:hint="eastAsia" w:ascii="Times New Roman" w:hAnsi="Times New Roman" w:eastAsia="宋体" w:cs="Times New Roman"/>
                      <w:color w:val="auto"/>
                      <w:sz w:val="18"/>
                      <w:szCs w:val="18"/>
                    </w:rPr>
                    <w:t>2031年1月1日起，在全国范围内实施基本项目浓度限值。</w:t>
                  </w:r>
                </w:p>
              </w:tc>
            </w:tr>
          </w:tbl>
          <w:p w14:paraId="32EC1908">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56" w:name="_Toc8858"/>
            <w:r>
              <w:rPr>
                <w:rFonts w:hint="eastAsia" w:ascii="Times New Roman" w:hAnsi="Times New Roman" w:eastAsia="宋体" w:cs="Times New Roman"/>
                <w:b/>
                <w:color w:val="auto"/>
                <w:kern w:val="2"/>
                <w:sz w:val="24"/>
                <w:szCs w:val="24"/>
                <w:lang w:val="en-US" w:eastAsia="zh-CN" w:bidi="ar-SA"/>
              </w:rPr>
              <w:t>3.1.2区域大气</w:t>
            </w:r>
            <w:r>
              <w:rPr>
                <w:rFonts w:hint="eastAsia" w:cs="Times New Roman"/>
                <w:b/>
                <w:color w:val="auto"/>
                <w:kern w:val="2"/>
                <w:sz w:val="24"/>
                <w:szCs w:val="24"/>
                <w:lang w:val="en-US" w:eastAsia="zh-CN" w:bidi="ar-SA"/>
              </w:rPr>
              <w:t>环境</w:t>
            </w:r>
            <w:r>
              <w:rPr>
                <w:rFonts w:hint="eastAsia" w:ascii="Times New Roman" w:hAnsi="Times New Roman" w:eastAsia="宋体" w:cs="Times New Roman"/>
                <w:b/>
                <w:color w:val="auto"/>
                <w:kern w:val="2"/>
                <w:sz w:val="24"/>
                <w:szCs w:val="24"/>
                <w:lang w:val="en-US" w:eastAsia="zh-CN" w:bidi="ar-SA"/>
              </w:rPr>
              <w:t>质量现状</w:t>
            </w:r>
            <w:bookmarkEnd w:id="56"/>
          </w:p>
          <w:p w14:paraId="2A6D01F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（1）项目所在区域环境质量现状</w:t>
            </w:r>
          </w:p>
          <w:p w14:paraId="07E36C93">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①常规污染物因子</w:t>
            </w:r>
          </w:p>
          <w:p w14:paraId="706F5E2D">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为评述所在区域的大气环境质量现状，引用福州高新技术产业开发区管委会发布的福州高新区202</w:t>
            </w:r>
            <w:r>
              <w:rPr>
                <w:rFonts w:hint="eastAsia"/>
                <w:color w:val="auto"/>
                <w:lang w:val="en-US" w:eastAsia="zh-CN"/>
              </w:rPr>
              <w:t>5</w:t>
            </w:r>
            <w:r>
              <w:rPr>
                <w:rFonts w:hint="eastAsia" w:ascii="Times New Roman" w:hAnsi="Times New Roman"/>
                <w:color w:val="auto"/>
                <w:lang w:val="en-US" w:eastAsia="zh-CN"/>
              </w:rPr>
              <w:t>年1</w:t>
            </w:r>
            <w:r>
              <w:rPr>
                <w:rFonts w:hint="eastAsia"/>
                <w:color w:val="auto"/>
                <w:lang w:val="en-US" w:eastAsia="zh-CN"/>
              </w:rPr>
              <w:t>—</w:t>
            </w:r>
            <w:r>
              <w:rPr>
                <w:rFonts w:hint="eastAsia" w:ascii="Times New Roman" w:hAnsi="Times New Roman"/>
                <w:color w:val="auto"/>
                <w:lang w:val="en-US" w:eastAsia="zh-CN"/>
              </w:rPr>
              <w:t>12月空气质量月报，202</w:t>
            </w:r>
            <w:r>
              <w:rPr>
                <w:rFonts w:hint="eastAsia"/>
                <w:color w:val="auto"/>
                <w:lang w:val="en-US" w:eastAsia="zh-CN"/>
              </w:rPr>
              <w:t>5</w:t>
            </w:r>
            <w:r>
              <w:rPr>
                <w:rFonts w:hint="eastAsia" w:ascii="Times New Roman" w:hAnsi="Times New Roman"/>
                <w:color w:val="auto"/>
                <w:lang w:val="en-US" w:eastAsia="zh-CN"/>
              </w:rPr>
              <w:t>年连续1年的大气常规污染物因子环境空气质量监测数据如下</w:t>
            </w:r>
            <w:r>
              <w:rPr>
                <w:rFonts w:hint="eastAsia"/>
                <w:color w:val="auto"/>
                <w:lang w:val="en-US" w:eastAsia="zh-CN"/>
              </w:rPr>
              <w:t>表3.1-2</w:t>
            </w:r>
            <w:r>
              <w:rPr>
                <w:rFonts w:hint="eastAsia" w:ascii="Times New Roman" w:hAnsi="Times New Roman"/>
                <w:color w:val="auto"/>
                <w:lang w:val="en-US" w:eastAsia="zh-CN"/>
              </w:rPr>
              <w:t>。</w:t>
            </w:r>
          </w:p>
          <w:p w14:paraId="736DFDEA">
            <w:pPr>
              <w:pStyle w:val="27"/>
              <w:bidi w:val="0"/>
              <w:ind w:firstLine="482" w:firstLineChars="200"/>
              <w:rPr>
                <w:rFonts w:hint="default" w:ascii="Times New Roman" w:hAnsi="Times New Roman"/>
                <w:color w:val="auto"/>
                <w:vertAlign w:val="baseline"/>
                <w:lang w:val="en-US" w:eastAsia="zh-CN"/>
              </w:rPr>
            </w:pPr>
            <w:r>
              <w:rPr>
                <w:rFonts w:hint="eastAsia" w:ascii="Times New Roman" w:hAnsi="Times New Roman"/>
                <w:color w:val="auto"/>
                <w:lang w:val="en-US" w:eastAsia="zh-CN"/>
              </w:rPr>
              <w:t>表3.1-</w:t>
            </w:r>
            <w:r>
              <w:rPr>
                <w:rFonts w:hint="eastAsia"/>
                <w:color w:val="auto"/>
                <w:lang w:val="en-US" w:eastAsia="zh-CN"/>
              </w:rPr>
              <w:t xml:space="preserve">2  </w:t>
            </w:r>
            <w:r>
              <w:rPr>
                <w:rFonts w:hint="eastAsia" w:ascii="Times New Roman" w:hAnsi="Times New Roman"/>
                <w:color w:val="auto"/>
                <w:lang w:val="en-US" w:eastAsia="zh-CN"/>
              </w:rPr>
              <w:t>福州高新区202</w:t>
            </w:r>
            <w:r>
              <w:rPr>
                <w:rFonts w:hint="eastAsia"/>
                <w:color w:val="auto"/>
                <w:lang w:val="en-US" w:eastAsia="zh-CN"/>
              </w:rPr>
              <w:t>5</w:t>
            </w:r>
            <w:r>
              <w:rPr>
                <w:rFonts w:hint="eastAsia" w:ascii="Times New Roman" w:hAnsi="Times New Roman"/>
                <w:color w:val="auto"/>
                <w:lang w:val="en-US" w:eastAsia="zh-CN"/>
              </w:rPr>
              <w:t>年1月份</w:t>
            </w:r>
            <w:r>
              <w:rPr>
                <w:rFonts w:hint="eastAsia"/>
                <w:color w:val="auto"/>
                <w:lang w:val="en-US" w:eastAsia="zh-CN"/>
              </w:rPr>
              <w:t>～</w:t>
            </w:r>
            <w:r>
              <w:rPr>
                <w:rFonts w:hint="eastAsia" w:ascii="Times New Roman" w:hAnsi="Times New Roman"/>
                <w:color w:val="auto"/>
                <w:lang w:val="en-US" w:eastAsia="zh-CN"/>
              </w:rPr>
              <w:t>12月份环境空气质量统计</w:t>
            </w:r>
          </w:p>
          <w:tbl>
            <w:tblPr>
              <w:tblStyle w:val="19"/>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205"/>
              <w:gridCol w:w="1143"/>
              <w:gridCol w:w="1144"/>
              <w:gridCol w:w="1144"/>
              <w:gridCol w:w="1144"/>
              <w:gridCol w:w="1144"/>
              <w:gridCol w:w="1145"/>
            </w:tblGrid>
            <w:tr w14:paraId="7A714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1706A62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时间</w:t>
                  </w:r>
                </w:p>
              </w:tc>
              <w:tc>
                <w:tcPr>
                  <w:tcW w:w="708" w:type="pct"/>
                  <w:tcBorders>
                    <w:tl2br w:val="nil"/>
                    <w:tr2bl w:val="nil"/>
                  </w:tcBorders>
                  <w:noWrap w:val="0"/>
                  <w:vAlign w:val="center"/>
                </w:tcPr>
                <w:p w14:paraId="567EFC1C">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SO</w:t>
                  </w:r>
                  <w:r>
                    <w:rPr>
                      <w:rFonts w:hint="default" w:ascii="Times New Roman" w:hAnsi="Times New Roman" w:eastAsia="宋体"/>
                      <w:b/>
                      <w:bCs/>
                      <w:color w:val="auto"/>
                      <w:sz w:val="21"/>
                      <w:szCs w:val="21"/>
                      <w:vertAlign w:val="subscript"/>
                      <w:lang w:val="en-US" w:eastAsia="zh-CN"/>
                    </w:rPr>
                    <w:t>2</w:t>
                  </w:r>
                </w:p>
                <w:p w14:paraId="75D0058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μg/m</w:t>
                  </w:r>
                  <w:r>
                    <w:rPr>
                      <w:rFonts w:hint="default" w:ascii="Times New Roman" w:hAnsi="Times New Roman" w:eastAsia="宋体"/>
                      <w:b/>
                      <w:bCs/>
                      <w:color w:val="auto"/>
                      <w:sz w:val="21"/>
                      <w:szCs w:val="21"/>
                      <w:vertAlign w:val="superscript"/>
                      <w:lang w:val="en-US" w:eastAsia="zh-CN"/>
                    </w:rPr>
                    <w:t>3</w:t>
                  </w:r>
                </w:p>
              </w:tc>
              <w:tc>
                <w:tcPr>
                  <w:tcW w:w="708" w:type="pct"/>
                  <w:tcBorders>
                    <w:tl2br w:val="nil"/>
                    <w:tr2bl w:val="nil"/>
                  </w:tcBorders>
                  <w:noWrap w:val="0"/>
                  <w:vAlign w:val="center"/>
                </w:tcPr>
                <w:p w14:paraId="229D106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eastAsia"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NO</w:t>
                  </w:r>
                  <w:r>
                    <w:rPr>
                      <w:rFonts w:hint="eastAsia" w:ascii="Times New Roman" w:hAnsi="Times New Roman" w:eastAsia="宋体"/>
                      <w:b/>
                      <w:bCs/>
                      <w:color w:val="auto"/>
                      <w:sz w:val="21"/>
                      <w:szCs w:val="21"/>
                      <w:vertAlign w:val="subscript"/>
                      <w:lang w:val="en-US" w:eastAsia="zh-CN"/>
                    </w:rPr>
                    <w:t>2</w:t>
                  </w:r>
                </w:p>
                <w:p w14:paraId="0E56716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μg/m</w:t>
                  </w:r>
                  <w:r>
                    <w:rPr>
                      <w:rFonts w:hint="default" w:ascii="Times New Roman" w:hAnsi="Times New Roman" w:eastAsia="宋体"/>
                      <w:b/>
                      <w:bCs/>
                      <w:color w:val="auto"/>
                      <w:sz w:val="21"/>
                      <w:szCs w:val="21"/>
                      <w:vertAlign w:val="superscript"/>
                      <w:lang w:val="en-US" w:eastAsia="zh-CN"/>
                    </w:rPr>
                    <w:t>3</w:t>
                  </w:r>
                </w:p>
              </w:tc>
              <w:tc>
                <w:tcPr>
                  <w:tcW w:w="708" w:type="pct"/>
                  <w:tcBorders>
                    <w:tl2br w:val="nil"/>
                    <w:tr2bl w:val="nil"/>
                  </w:tcBorders>
                  <w:noWrap w:val="0"/>
                  <w:vAlign w:val="center"/>
                </w:tcPr>
                <w:p w14:paraId="1A4AADBC">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eastAsia" w:ascii="Times New Roman" w:hAnsi="Times New Roman" w:eastAsia="宋体"/>
                      <w:b/>
                      <w:bCs/>
                      <w:color w:val="auto"/>
                      <w:sz w:val="21"/>
                      <w:szCs w:val="21"/>
                      <w:vertAlign w:val="subscript"/>
                      <w:lang w:val="en-US" w:eastAsia="zh-CN"/>
                    </w:rPr>
                  </w:pPr>
                  <w:r>
                    <w:rPr>
                      <w:rFonts w:hint="eastAsia" w:ascii="Times New Roman" w:hAnsi="Times New Roman" w:eastAsia="宋体"/>
                      <w:b/>
                      <w:bCs/>
                      <w:color w:val="auto"/>
                      <w:sz w:val="21"/>
                      <w:szCs w:val="21"/>
                      <w:lang w:val="en-US" w:eastAsia="zh-CN"/>
                    </w:rPr>
                    <w:t>PM</w:t>
                  </w:r>
                  <w:r>
                    <w:rPr>
                      <w:rFonts w:hint="eastAsia" w:ascii="Times New Roman" w:hAnsi="Times New Roman" w:eastAsia="宋体"/>
                      <w:b/>
                      <w:bCs/>
                      <w:color w:val="auto"/>
                      <w:sz w:val="21"/>
                      <w:szCs w:val="21"/>
                      <w:vertAlign w:val="subscript"/>
                      <w:lang w:val="en-US" w:eastAsia="zh-CN"/>
                    </w:rPr>
                    <w:t>10</w:t>
                  </w:r>
                </w:p>
                <w:p w14:paraId="2B3DB38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default" w:ascii="Times New Roman" w:hAnsi="Times New Roman" w:eastAsia="宋体"/>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μg/m</w:t>
                  </w:r>
                  <w:r>
                    <w:rPr>
                      <w:rFonts w:hint="default" w:ascii="Times New Roman" w:hAnsi="Times New Roman" w:eastAsia="宋体" w:cs="Times New Roman"/>
                      <w:b/>
                      <w:bCs/>
                      <w:color w:val="auto"/>
                      <w:sz w:val="21"/>
                      <w:szCs w:val="21"/>
                      <w:vertAlign w:val="superscript"/>
                      <w:lang w:val="en-US" w:eastAsia="zh-CN"/>
                    </w:rPr>
                    <w:t>3</w:t>
                  </w:r>
                </w:p>
              </w:tc>
              <w:tc>
                <w:tcPr>
                  <w:tcW w:w="708" w:type="pct"/>
                  <w:tcBorders>
                    <w:tl2br w:val="nil"/>
                    <w:tr2bl w:val="nil"/>
                  </w:tcBorders>
                  <w:noWrap w:val="0"/>
                  <w:vAlign w:val="center"/>
                </w:tcPr>
                <w:p w14:paraId="3E76D9A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eastAsia" w:ascii="Times New Roman" w:hAnsi="Times New Roman" w:eastAsia="宋体"/>
                      <w:b/>
                      <w:bCs/>
                      <w:color w:val="auto"/>
                      <w:sz w:val="21"/>
                      <w:szCs w:val="21"/>
                      <w:vertAlign w:val="subscript"/>
                      <w:lang w:val="en-US" w:eastAsia="zh-CN"/>
                    </w:rPr>
                  </w:pPr>
                  <w:r>
                    <w:rPr>
                      <w:rFonts w:hint="eastAsia" w:ascii="Times New Roman" w:hAnsi="Times New Roman" w:eastAsia="宋体"/>
                      <w:b/>
                      <w:bCs/>
                      <w:color w:val="auto"/>
                      <w:sz w:val="21"/>
                      <w:szCs w:val="21"/>
                      <w:lang w:val="en-US" w:eastAsia="zh-CN"/>
                    </w:rPr>
                    <w:t>PM</w:t>
                  </w:r>
                  <w:r>
                    <w:rPr>
                      <w:rFonts w:hint="eastAsia" w:ascii="Times New Roman" w:hAnsi="Times New Roman" w:eastAsia="宋体"/>
                      <w:b/>
                      <w:bCs/>
                      <w:color w:val="auto"/>
                      <w:sz w:val="21"/>
                      <w:szCs w:val="21"/>
                      <w:vertAlign w:val="subscript"/>
                      <w:lang w:val="en-US" w:eastAsia="zh-CN"/>
                    </w:rPr>
                    <w:t>2.5</w:t>
                  </w:r>
                </w:p>
                <w:p w14:paraId="17ECDCB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default" w:ascii="Times New Roman" w:hAnsi="Times New Roman" w:eastAsia="宋体"/>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μg/m</w:t>
                  </w:r>
                  <w:r>
                    <w:rPr>
                      <w:rFonts w:hint="default" w:ascii="Times New Roman" w:hAnsi="Times New Roman" w:eastAsia="宋体" w:cs="Times New Roman"/>
                      <w:b/>
                      <w:bCs/>
                      <w:color w:val="auto"/>
                      <w:sz w:val="21"/>
                      <w:szCs w:val="21"/>
                      <w:vertAlign w:val="superscript"/>
                      <w:lang w:val="en-US" w:eastAsia="zh-CN"/>
                    </w:rPr>
                    <w:t>3</w:t>
                  </w:r>
                </w:p>
              </w:tc>
              <w:tc>
                <w:tcPr>
                  <w:tcW w:w="708" w:type="pct"/>
                  <w:tcBorders>
                    <w:tl2br w:val="nil"/>
                    <w:tr2bl w:val="nil"/>
                  </w:tcBorders>
                  <w:noWrap w:val="0"/>
                  <w:vAlign w:val="center"/>
                </w:tcPr>
                <w:p w14:paraId="759DB69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eastAsia"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CO</w:t>
                  </w:r>
                </w:p>
                <w:p w14:paraId="43E5FB6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m</w:t>
                  </w:r>
                  <w:r>
                    <w:rPr>
                      <w:rFonts w:hint="default" w:ascii="Times New Roman" w:hAnsi="Times New Roman" w:eastAsia="宋体"/>
                      <w:b/>
                      <w:bCs/>
                      <w:color w:val="auto"/>
                      <w:sz w:val="21"/>
                      <w:szCs w:val="21"/>
                      <w:lang w:val="en-US" w:eastAsia="zh-CN"/>
                    </w:rPr>
                    <w:t>g/m</w:t>
                  </w:r>
                  <w:r>
                    <w:rPr>
                      <w:rFonts w:hint="default" w:ascii="Times New Roman" w:hAnsi="Times New Roman" w:eastAsia="宋体"/>
                      <w:b/>
                      <w:bCs/>
                      <w:color w:val="auto"/>
                      <w:sz w:val="21"/>
                      <w:szCs w:val="21"/>
                      <w:vertAlign w:val="superscript"/>
                      <w:lang w:val="en-US" w:eastAsia="zh-CN"/>
                    </w:rPr>
                    <w:t>3</w:t>
                  </w:r>
                </w:p>
              </w:tc>
              <w:tc>
                <w:tcPr>
                  <w:tcW w:w="709" w:type="pct"/>
                  <w:tcBorders>
                    <w:tl2br w:val="nil"/>
                    <w:tr2bl w:val="nil"/>
                  </w:tcBorders>
                  <w:noWrap w:val="0"/>
                  <w:vAlign w:val="center"/>
                </w:tcPr>
                <w:p w14:paraId="779EDA6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eastAsia" w:ascii="Times New Roman" w:hAnsi="Times New Roman" w:eastAsia="宋体"/>
                      <w:b/>
                      <w:bCs/>
                      <w:color w:val="auto"/>
                      <w:sz w:val="21"/>
                      <w:szCs w:val="21"/>
                      <w:vertAlign w:val="subscript"/>
                      <w:lang w:val="en-US" w:eastAsia="zh-CN"/>
                    </w:rPr>
                  </w:pPr>
                  <w:r>
                    <w:rPr>
                      <w:rFonts w:hint="eastAsia" w:ascii="Times New Roman" w:hAnsi="Times New Roman" w:eastAsia="宋体"/>
                      <w:b/>
                      <w:bCs/>
                      <w:color w:val="auto"/>
                      <w:sz w:val="21"/>
                      <w:szCs w:val="21"/>
                      <w:lang w:val="en-US" w:eastAsia="zh-CN"/>
                    </w:rPr>
                    <w:t>O</w:t>
                  </w:r>
                  <w:r>
                    <w:rPr>
                      <w:rFonts w:hint="eastAsia" w:ascii="Times New Roman" w:hAnsi="Times New Roman" w:eastAsia="宋体"/>
                      <w:b/>
                      <w:bCs/>
                      <w:color w:val="auto"/>
                      <w:sz w:val="21"/>
                      <w:szCs w:val="21"/>
                      <w:vertAlign w:val="subscript"/>
                      <w:lang w:val="en-US" w:eastAsia="zh-CN"/>
                    </w:rPr>
                    <w:t>3</w:t>
                  </w:r>
                </w:p>
                <w:p w14:paraId="318DEDD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ind w:firstLine="422" w:firstLineChars="200"/>
                    <w:textAlignment w:val="auto"/>
                    <w:rPr>
                      <w:rFonts w:hint="default" w:ascii="Times New Roman" w:hAnsi="Times New Roman" w:eastAsia="宋体"/>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μg/m</w:t>
                  </w:r>
                  <w:r>
                    <w:rPr>
                      <w:rFonts w:hint="default" w:ascii="Times New Roman" w:hAnsi="Times New Roman" w:eastAsia="宋体" w:cs="Times New Roman"/>
                      <w:b/>
                      <w:bCs/>
                      <w:color w:val="auto"/>
                      <w:sz w:val="21"/>
                      <w:szCs w:val="21"/>
                      <w:vertAlign w:val="superscript"/>
                      <w:lang w:val="en-US" w:eastAsia="zh-CN"/>
                    </w:rPr>
                    <w:t>3</w:t>
                  </w:r>
                </w:p>
              </w:tc>
            </w:tr>
            <w:tr w14:paraId="5D692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0203607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年1月</w:t>
                  </w:r>
                </w:p>
              </w:tc>
              <w:tc>
                <w:tcPr>
                  <w:tcW w:w="708" w:type="pct"/>
                  <w:tcBorders>
                    <w:tl2br w:val="nil"/>
                    <w:tr2bl w:val="nil"/>
                  </w:tcBorders>
                  <w:noWrap w:val="0"/>
                  <w:vAlign w:val="center"/>
                </w:tcPr>
                <w:p w14:paraId="3AC4971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6</w:t>
                  </w:r>
                </w:p>
              </w:tc>
              <w:tc>
                <w:tcPr>
                  <w:tcW w:w="708" w:type="pct"/>
                  <w:tcBorders>
                    <w:tl2br w:val="nil"/>
                    <w:tr2bl w:val="nil"/>
                  </w:tcBorders>
                  <w:noWrap w:val="0"/>
                  <w:vAlign w:val="center"/>
                </w:tcPr>
                <w:p w14:paraId="6D324BD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29</w:t>
                  </w:r>
                </w:p>
              </w:tc>
              <w:tc>
                <w:tcPr>
                  <w:tcW w:w="708" w:type="pct"/>
                  <w:tcBorders>
                    <w:tl2br w:val="nil"/>
                    <w:tr2bl w:val="nil"/>
                  </w:tcBorders>
                  <w:noWrap w:val="0"/>
                  <w:vAlign w:val="center"/>
                </w:tcPr>
                <w:p w14:paraId="78DDE1A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51</w:t>
                  </w:r>
                </w:p>
              </w:tc>
              <w:tc>
                <w:tcPr>
                  <w:tcW w:w="708" w:type="pct"/>
                  <w:tcBorders>
                    <w:tl2br w:val="nil"/>
                    <w:tr2bl w:val="nil"/>
                  </w:tcBorders>
                  <w:noWrap w:val="0"/>
                  <w:vAlign w:val="center"/>
                </w:tcPr>
                <w:p w14:paraId="43AF66B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30</w:t>
                  </w:r>
                </w:p>
              </w:tc>
              <w:tc>
                <w:tcPr>
                  <w:tcW w:w="708" w:type="pct"/>
                  <w:tcBorders>
                    <w:tl2br w:val="nil"/>
                    <w:tr2bl w:val="nil"/>
                  </w:tcBorders>
                  <w:noWrap w:val="0"/>
                  <w:vAlign w:val="center"/>
                </w:tcPr>
                <w:p w14:paraId="2667C55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0.83</w:t>
                  </w:r>
                </w:p>
              </w:tc>
              <w:tc>
                <w:tcPr>
                  <w:tcW w:w="709" w:type="pct"/>
                  <w:tcBorders>
                    <w:tl2br w:val="nil"/>
                    <w:tr2bl w:val="nil"/>
                  </w:tcBorders>
                  <w:noWrap w:val="0"/>
                  <w:vAlign w:val="center"/>
                </w:tcPr>
                <w:p w14:paraId="12A7B96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139</w:t>
                  </w:r>
                </w:p>
              </w:tc>
            </w:tr>
            <w:tr w14:paraId="74E792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3AE265F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年2月</w:t>
                  </w:r>
                </w:p>
              </w:tc>
              <w:tc>
                <w:tcPr>
                  <w:tcW w:w="708" w:type="pct"/>
                  <w:tcBorders>
                    <w:tl2br w:val="nil"/>
                    <w:tr2bl w:val="nil"/>
                  </w:tcBorders>
                  <w:noWrap w:val="0"/>
                  <w:vAlign w:val="center"/>
                </w:tcPr>
                <w:p w14:paraId="2CA6212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08" w:type="pct"/>
                  <w:tcBorders>
                    <w:tl2br w:val="nil"/>
                    <w:tr2bl w:val="nil"/>
                  </w:tcBorders>
                  <w:noWrap w:val="0"/>
                  <w:vAlign w:val="center"/>
                </w:tcPr>
                <w:p w14:paraId="3966496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25</w:t>
                  </w:r>
                </w:p>
              </w:tc>
              <w:tc>
                <w:tcPr>
                  <w:tcW w:w="708" w:type="pct"/>
                  <w:tcBorders>
                    <w:tl2br w:val="nil"/>
                    <w:tr2bl w:val="nil"/>
                  </w:tcBorders>
                  <w:noWrap w:val="0"/>
                  <w:vAlign w:val="center"/>
                </w:tcPr>
                <w:p w14:paraId="5951FDB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47</w:t>
                  </w:r>
                </w:p>
              </w:tc>
              <w:tc>
                <w:tcPr>
                  <w:tcW w:w="708" w:type="pct"/>
                  <w:tcBorders>
                    <w:tl2br w:val="nil"/>
                    <w:tr2bl w:val="nil"/>
                  </w:tcBorders>
                  <w:noWrap w:val="0"/>
                  <w:vAlign w:val="center"/>
                </w:tcPr>
                <w:p w14:paraId="79CD543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27</w:t>
                  </w:r>
                </w:p>
              </w:tc>
              <w:tc>
                <w:tcPr>
                  <w:tcW w:w="708" w:type="pct"/>
                  <w:tcBorders>
                    <w:tl2br w:val="nil"/>
                    <w:tr2bl w:val="nil"/>
                  </w:tcBorders>
                  <w:noWrap w:val="0"/>
                  <w:vAlign w:val="center"/>
                </w:tcPr>
                <w:p w14:paraId="2EAF658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0.78</w:t>
                  </w:r>
                </w:p>
              </w:tc>
              <w:tc>
                <w:tcPr>
                  <w:tcW w:w="709" w:type="pct"/>
                  <w:tcBorders>
                    <w:tl2br w:val="nil"/>
                    <w:tr2bl w:val="nil"/>
                  </w:tcBorders>
                  <w:noWrap w:val="0"/>
                  <w:vAlign w:val="center"/>
                </w:tcPr>
                <w:p w14:paraId="4F19785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132</w:t>
                  </w:r>
                </w:p>
              </w:tc>
            </w:tr>
            <w:tr w14:paraId="6D9121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46" w:type="pct"/>
                  <w:tcBorders>
                    <w:tl2br w:val="nil"/>
                    <w:tr2bl w:val="nil"/>
                  </w:tcBorders>
                  <w:noWrap w:val="0"/>
                  <w:vAlign w:val="center"/>
                </w:tcPr>
                <w:p w14:paraId="3403C6C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年3月</w:t>
                  </w:r>
                </w:p>
              </w:tc>
              <w:tc>
                <w:tcPr>
                  <w:tcW w:w="708" w:type="pct"/>
                  <w:tcBorders>
                    <w:tl2br w:val="nil"/>
                    <w:tr2bl w:val="nil"/>
                  </w:tcBorders>
                  <w:noWrap w:val="0"/>
                  <w:vAlign w:val="center"/>
                </w:tcPr>
                <w:p w14:paraId="090D2DD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08" w:type="pct"/>
                  <w:tcBorders>
                    <w:tl2br w:val="nil"/>
                    <w:tr2bl w:val="nil"/>
                  </w:tcBorders>
                  <w:noWrap w:val="0"/>
                  <w:vAlign w:val="center"/>
                </w:tcPr>
                <w:p w14:paraId="20E65CA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24</w:t>
                  </w:r>
                </w:p>
              </w:tc>
              <w:tc>
                <w:tcPr>
                  <w:tcW w:w="708" w:type="pct"/>
                  <w:tcBorders>
                    <w:tl2br w:val="nil"/>
                    <w:tr2bl w:val="nil"/>
                  </w:tcBorders>
                  <w:noWrap w:val="0"/>
                  <w:vAlign w:val="center"/>
                </w:tcPr>
                <w:p w14:paraId="6736535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42</w:t>
                  </w:r>
                </w:p>
              </w:tc>
              <w:tc>
                <w:tcPr>
                  <w:tcW w:w="708" w:type="pct"/>
                  <w:tcBorders>
                    <w:tl2br w:val="nil"/>
                    <w:tr2bl w:val="nil"/>
                  </w:tcBorders>
                  <w:noWrap w:val="0"/>
                  <w:vAlign w:val="center"/>
                </w:tcPr>
                <w:p w14:paraId="5BB801F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24</w:t>
                  </w:r>
                </w:p>
              </w:tc>
              <w:tc>
                <w:tcPr>
                  <w:tcW w:w="708" w:type="pct"/>
                  <w:tcBorders>
                    <w:tl2br w:val="nil"/>
                    <w:tr2bl w:val="nil"/>
                  </w:tcBorders>
                  <w:noWrap w:val="0"/>
                  <w:vAlign w:val="center"/>
                </w:tcPr>
                <w:p w14:paraId="409EF1E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0.75</w:t>
                  </w:r>
                </w:p>
              </w:tc>
              <w:tc>
                <w:tcPr>
                  <w:tcW w:w="709" w:type="pct"/>
                  <w:tcBorders>
                    <w:tl2br w:val="nil"/>
                    <w:tr2bl w:val="nil"/>
                  </w:tcBorders>
                  <w:noWrap w:val="0"/>
                  <w:vAlign w:val="center"/>
                </w:tcPr>
                <w:p w14:paraId="789DAA0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155</w:t>
                  </w:r>
                </w:p>
              </w:tc>
            </w:tr>
            <w:tr w14:paraId="125B32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50C7592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年4月</w:t>
                  </w:r>
                </w:p>
              </w:tc>
              <w:tc>
                <w:tcPr>
                  <w:tcW w:w="708" w:type="pct"/>
                  <w:tcBorders>
                    <w:tl2br w:val="nil"/>
                    <w:tr2bl w:val="nil"/>
                  </w:tcBorders>
                  <w:noWrap w:val="0"/>
                  <w:vAlign w:val="center"/>
                </w:tcPr>
                <w:p w14:paraId="51646D7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08" w:type="pct"/>
                  <w:tcBorders>
                    <w:tl2br w:val="nil"/>
                    <w:tr2bl w:val="nil"/>
                  </w:tcBorders>
                  <w:noWrap w:val="0"/>
                  <w:vAlign w:val="center"/>
                </w:tcPr>
                <w:p w14:paraId="49E7927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23</w:t>
                  </w:r>
                </w:p>
              </w:tc>
              <w:tc>
                <w:tcPr>
                  <w:tcW w:w="708" w:type="pct"/>
                  <w:tcBorders>
                    <w:tl2br w:val="nil"/>
                    <w:tr2bl w:val="nil"/>
                  </w:tcBorders>
                  <w:noWrap w:val="0"/>
                  <w:vAlign w:val="center"/>
                </w:tcPr>
                <w:p w14:paraId="4B87450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39</w:t>
                  </w:r>
                </w:p>
              </w:tc>
              <w:tc>
                <w:tcPr>
                  <w:tcW w:w="708" w:type="pct"/>
                  <w:tcBorders>
                    <w:tl2br w:val="nil"/>
                    <w:tr2bl w:val="nil"/>
                  </w:tcBorders>
                  <w:noWrap w:val="0"/>
                  <w:vAlign w:val="center"/>
                </w:tcPr>
                <w:p w14:paraId="15347CA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22</w:t>
                  </w:r>
                </w:p>
              </w:tc>
              <w:tc>
                <w:tcPr>
                  <w:tcW w:w="708" w:type="pct"/>
                  <w:tcBorders>
                    <w:tl2br w:val="nil"/>
                    <w:tr2bl w:val="nil"/>
                  </w:tcBorders>
                  <w:noWrap w:val="0"/>
                  <w:vAlign w:val="center"/>
                </w:tcPr>
                <w:p w14:paraId="58A38D2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0.71</w:t>
                  </w:r>
                </w:p>
              </w:tc>
              <w:tc>
                <w:tcPr>
                  <w:tcW w:w="709" w:type="pct"/>
                  <w:tcBorders>
                    <w:tl2br w:val="nil"/>
                    <w:tr2bl w:val="nil"/>
                  </w:tcBorders>
                  <w:noWrap w:val="0"/>
                  <w:vAlign w:val="center"/>
                </w:tcPr>
                <w:p w14:paraId="62EE568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157</w:t>
                  </w:r>
                </w:p>
              </w:tc>
            </w:tr>
            <w:tr w14:paraId="49EE9E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59EC029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年5月</w:t>
                  </w:r>
                </w:p>
              </w:tc>
              <w:tc>
                <w:tcPr>
                  <w:tcW w:w="708" w:type="pct"/>
                  <w:tcBorders>
                    <w:tl2br w:val="nil"/>
                    <w:tr2bl w:val="nil"/>
                  </w:tcBorders>
                  <w:noWrap w:val="0"/>
                  <w:vAlign w:val="center"/>
                </w:tcPr>
                <w:p w14:paraId="0D292A7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08" w:type="pct"/>
                  <w:tcBorders>
                    <w:tl2br w:val="nil"/>
                    <w:tr2bl w:val="nil"/>
                  </w:tcBorders>
                  <w:noWrap w:val="0"/>
                  <w:vAlign w:val="center"/>
                </w:tcPr>
                <w:p w14:paraId="0348843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24</w:t>
                  </w:r>
                </w:p>
              </w:tc>
              <w:tc>
                <w:tcPr>
                  <w:tcW w:w="708" w:type="pct"/>
                  <w:tcBorders>
                    <w:tl2br w:val="nil"/>
                    <w:tr2bl w:val="nil"/>
                  </w:tcBorders>
                  <w:noWrap w:val="0"/>
                  <w:vAlign w:val="center"/>
                </w:tcPr>
                <w:p w14:paraId="2970865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40</w:t>
                  </w:r>
                </w:p>
              </w:tc>
              <w:tc>
                <w:tcPr>
                  <w:tcW w:w="708" w:type="pct"/>
                  <w:tcBorders>
                    <w:tl2br w:val="nil"/>
                    <w:tr2bl w:val="nil"/>
                  </w:tcBorders>
                  <w:noWrap w:val="0"/>
                  <w:vAlign w:val="center"/>
                </w:tcPr>
                <w:p w14:paraId="0691ABB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22</w:t>
                  </w:r>
                </w:p>
              </w:tc>
              <w:tc>
                <w:tcPr>
                  <w:tcW w:w="708" w:type="pct"/>
                  <w:tcBorders>
                    <w:tl2br w:val="nil"/>
                    <w:tr2bl w:val="nil"/>
                  </w:tcBorders>
                  <w:noWrap w:val="0"/>
                  <w:vAlign w:val="center"/>
                </w:tcPr>
                <w:p w14:paraId="0CA7E77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0.70</w:t>
                  </w:r>
                </w:p>
              </w:tc>
              <w:tc>
                <w:tcPr>
                  <w:tcW w:w="709" w:type="pct"/>
                  <w:tcBorders>
                    <w:tl2br w:val="nil"/>
                    <w:tr2bl w:val="nil"/>
                  </w:tcBorders>
                  <w:noWrap w:val="0"/>
                  <w:vAlign w:val="center"/>
                </w:tcPr>
                <w:p w14:paraId="12455BB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159</w:t>
                  </w:r>
                </w:p>
              </w:tc>
            </w:tr>
            <w:tr w14:paraId="187FD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540EB63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年6月</w:t>
                  </w:r>
                </w:p>
              </w:tc>
              <w:tc>
                <w:tcPr>
                  <w:tcW w:w="708" w:type="pct"/>
                  <w:tcBorders>
                    <w:tl2br w:val="nil"/>
                    <w:tr2bl w:val="nil"/>
                  </w:tcBorders>
                  <w:noWrap w:val="0"/>
                  <w:vAlign w:val="center"/>
                </w:tcPr>
                <w:p w14:paraId="2616054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08" w:type="pct"/>
                  <w:tcBorders>
                    <w:tl2br w:val="nil"/>
                    <w:tr2bl w:val="nil"/>
                  </w:tcBorders>
                  <w:noWrap w:val="0"/>
                  <w:vAlign w:val="center"/>
                </w:tcPr>
                <w:p w14:paraId="1A6CA9B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22</w:t>
                  </w:r>
                </w:p>
              </w:tc>
              <w:tc>
                <w:tcPr>
                  <w:tcW w:w="708" w:type="pct"/>
                  <w:tcBorders>
                    <w:tl2br w:val="nil"/>
                    <w:tr2bl w:val="nil"/>
                  </w:tcBorders>
                  <w:noWrap w:val="0"/>
                  <w:vAlign w:val="center"/>
                </w:tcPr>
                <w:p w14:paraId="3583C62D">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38</w:t>
                  </w:r>
                </w:p>
              </w:tc>
              <w:tc>
                <w:tcPr>
                  <w:tcW w:w="708" w:type="pct"/>
                  <w:tcBorders>
                    <w:tl2br w:val="nil"/>
                    <w:tr2bl w:val="nil"/>
                  </w:tcBorders>
                  <w:noWrap w:val="0"/>
                  <w:vAlign w:val="center"/>
                </w:tcPr>
                <w:p w14:paraId="2630F5A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21</w:t>
                  </w:r>
                </w:p>
              </w:tc>
              <w:tc>
                <w:tcPr>
                  <w:tcW w:w="708" w:type="pct"/>
                  <w:tcBorders>
                    <w:tl2br w:val="nil"/>
                    <w:tr2bl w:val="nil"/>
                  </w:tcBorders>
                  <w:noWrap w:val="0"/>
                  <w:vAlign w:val="center"/>
                </w:tcPr>
                <w:p w14:paraId="744BC9B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0.69</w:t>
                  </w:r>
                </w:p>
              </w:tc>
              <w:tc>
                <w:tcPr>
                  <w:tcW w:w="709" w:type="pct"/>
                  <w:tcBorders>
                    <w:tl2br w:val="nil"/>
                    <w:tr2bl w:val="nil"/>
                  </w:tcBorders>
                  <w:noWrap w:val="0"/>
                  <w:vAlign w:val="center"/>
                </w:tcPr>
                <w:p w14:paraId="6444CE6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154</w:t>
                  </w:r>
                </w:p>
              </w:tc>
            </w:tr>
            <w:tr w14:paraId="5C86A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7C74B84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年7月</w:t>
                  </w:r>
                </w:p>
              </w:tc>
              <w:tc>
                <w:tcPr>
                  <w:tcW w:w="708" w:type="pct"/>
                  <w:tcBorders>
                    <w:tl2br w:val="nil"/>
                    <w:tr2bl w:val="nil"/>
                  </w:tcBorders>
                  <w:noWrap w:val="0"/>
                  <w:vAlign w:val="center"/>
                </w:tcPr>
                <w:p w14:paraId="18A4B98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w:t>
                  </w:r>
                </w:p>
              </w:tc>
              <w:tc>
                <w:tcPr>
                  <w:tcW w:w="708" w:type="pct"/>
                  <w:tcBorders>
                    <w:tl2br w:val="nil"/>
                    <w:tr2bl w:val="nil"/>
                  </w:tcBorders>
                  <w:noWrap w:val="0"/>
                  <w:vAlign w:val="center"/>
                </w:tcPr>
                <w:p w14:paraId="01E0628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20</w:t>
                  </w:r>
                </w:p>
              </w:tc>
              <w:tc>
                <w:tcPr>
                  <w:tcW w:w="708" w:type="pct"/>
                  <w:tcBorders>
                    <w:tl2br w:val="nil"/>
                    <w:tr2bl w:val="nil"/>
                  </w:tcBorders>
                  <w:noWrap w:val="0"/>
                  <w:vAlign w:val="center"/>
                </w:tcPr>
                <w:p w14:paraId="2D5D021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35</w:t>
                  </w:r>
                </w:p>
              </w:tc>
              <w:tc>
                <w:tcPr>
                  <w:tcW w:w="708" w:type="pct"/>
                  <w:tcBorders>
                    <w:tl2br w:val="nil"/>
                    <w:tr2bl w:val="nil"/>
                  </w:tcBorders>
                  <w:noWrap w:val="0"/>
                  <w:vAlign w:val="center"/>
                </w:tcPr>
                <w:p w14:paraId="17467E9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19</w:t>
                  </w:r>
                </w:p>
              </w:tc>
              <w:tc>
                <w:tcPr>
                  <w:tcW w:w="708" w:type="pct"/>
                  <w:tcBorders>
                    <w:tl2br w:val="nil"/>
                    <w:tr2bl w:val="nil"/>
                  </w:tcBorders>
                  <w:noWrap w:val="0"/>
                  <w:vAlign w:val="center"/>
                </w:tcPr>
                <w:p w14:paraId="3B3F650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0.65</w:t>
                  </w:r>
                </w:p>
              </w:tc>
              <w:tc>
                <w:tcPr>
                  <w:tcW w:w="709" w:type="pct"/>
                  <w:tcBorders>
                    <w:tl2br w:val="nil"/>
                    <w:tr2bl w:val="nil"/>
                  </w:tcBorders>
                  <w:noWrap w:val="0"/>
                  <w:vAlign w:val="center"/>
                </w:tcPr>
                <w:p w14:paraId="5D60DFE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146</w:t>
                  </w:r>
                </w:p>
              </w:tc>
            </w:tr>
            <w:tr w14:paraId="77699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71BFBCB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年8月</w:t>
                  </w:r>
                </w:p>
              </w:tc>
              <w:tc>
                <w:tcPr>
                  <w:tcW w:w="708" w:type="pct"/>
                  <w:tcBorders>
                    <w:tl2br w:val="nil"/>
                    <w:tr2bl w:val="nil"/>
                  </w:tcBorders>
                  <w:noWrap w:val="0"/>
                  <w:vAlign w:val="center"/>
                </w:tcPr>
                <w:p w14:paraId="721E188D">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w:t>
                  </w:r>
                </w:p>
              </w:tc>
              <w:tc>
                <w:tcPr>
                  <w:tcW w:w="708" w:type="pct"/>
                  <w:tcBorders>
                    <w:tl2br w:val="nil"/>
                    <w:tr2bl w:val="nil"/>
                  </w:tcBorders>
                  <w:noWrap w:val="0"/>
                  <w:vAlign w:val="center"/>
                </w:tcPr>
                <w:p w14:paraId="3FDBB2B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19</w:t>
                  </w:r>
                </w:p>
              </w:tc>
              <w:tc>
                <w:tcPr>
                  <w:tcW w:w="708" w:type="pct"/>
                  <w:tcBorders>
                    <w:tl2br w:val="nil"/>
                    <w:tr2bl w:val="nil"/>
                  </w:tcBorders>
                  <w:noWrap w:val="0"/>
                  <w:vAlign w:val="center"/>
                </w:tcPr>
                <w:p w14:paraId="3FDA43F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34</w:t>
                  </w:r>
                </w:p>
              </w:tc>
              <w:tc>
                <w:tcPr>
                  <w:tcW w:w="708" w:type="pct"/>
                  <w:tcBorders>
                    <w:tl2br w:val="nil"/>
                    <w:tr2bl w:val="nil"/>
                  </w:tcBorders>
                  <w:noWrap w:val="0"/>
                  <w:vAlign w:val="center"/>
                </w:tcPr>
                <w:p w14:paraId="35C0E8DD">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18</w:t>
                  </w:r>
                </w:p>
              </w:tc>
              <w:tc>
                <w:tcPr>
                  <w:tcW w:w="708" w:type="pct"/>
                  <w:tcBorders>
                    <w:tl2br w:val="nil"/>
                    <w:tr2bl w:val="nil"/>
                  </w:tcBorders>
                  <w:noWrap w:val="0"/>
                  <w:vAlign w:val="center"/>
                </w:tcPr>
                <w:p w14:paraId="206BC0FD">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0.63</w:t>
                  </w:r>
                </w:p>
              </w:tc>
              <w:tc>
                <w:tcPr>
                  <w:tcW w:w="709" w:type="pct"/>
                  <w:tcBorders>
                    <w:tl2br w:val="nil"/>
                    <w:tr2bl w:val="nil"/>
                  </w:tcBorders>
                  <w:noWrap w:val="0"/>
                  <w:vAlign w:val="center"/>
                </w:tcPr>
                <w:p w14:paraId="228D572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144</w:t>
                  </w:r>
                </w:p>
              </w:tc>
            </w:tr>
            <w:tr w14:paraId="3E73A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7A756B9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年9月</w:t>
                  </w:r>
                </w:p>
              </w:tc>
              <w:tc>
                <w:tcPr>
                  <w:tcW w:w="708" w:type="pct"/>
                  <w:tcBorders>
                    <w:tl2br w:val="nil"/>
                    <w:tr2bl w:val="nil"/>
                  </w:tcBorders>
                  <w:noWrap w:val="0"/>
                  <w:vAlign w:val="center"/>
                </w:tcPr>
                <w:p w14:paraId="5FD0DCF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w:t>
                  </w:r>
                </w:p>
              </w:tc>
              <w:tc>
                <w:tcPr>
                  <w:tcW w:w="708" w:type="pct"/>
                  <w:tcBorders>
                    <w:tl2br w:val="nil"/>
                    <w:tr2bl w:val="nil"/>
                  </w:tcBorders>
                  <w:noWrap w:val="0"/>
                  <w:vAlign w:val="center"/>
                </w:tcPr>
                <w:p w14:paraId="2E060E3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21</w:t>
                  </w:r>
                </w:p>
              </w:tc>
              <w:tc>
                <w:tcPr>
                  <w:tcW w:w="708" w:type="pct"/>
                  <w:tcBorders>
                    <w:tl2br w:val="nil"/>
                    <w:tr2bl w:val="nil"/>
                  </w:tcBorders>
                  <w:noWrap w:val="0"/>
                  <w:vAlign w:val="center"/>
                </w:tcPr>
                <w:p w14:paraId="1EEE5D2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37</w:t>
                  </w:r>
                </w:p>
              </w:tc>
              <w:tc>
                <w:tcPr>
                  <w:tcW w:w="708" w:type="pct"/>
                  <w:tcBorders>
                    <w:tl2br w:val="nil"/>
                    <w:tr2bl w:val="nil"/>
                  </w:tcBorders>
                  <w:noWrap w:val="0"/>
                  <w:vAlign w:val="center"/>
                </w:tcPr>
                <w:p w14:paraId="2D0F56D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20</w:t>
                  </w:r>
                </w:p>
              </w:tc>
              <w:tc>
                <w:tcPr>
                  <w:tcW w:w="708" w:type="pct"/>
                  <w:tcBorders>
                    <w:tl2br w:val="nil"/>
                    <w:tr2bl w:val="nil"/>
                  </w:tcBorders>
                  <w:noWrap w:val="0"/>
                  <w:vAlign w:val="center"/>
                </w:tcPr>
                <w:p w14:paraId="3735115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0.66</w:t>
                  </w:r>
                </w:p>
              </w:tc>
              <w:tc>
                <w:tcPr>
                  <w:tcW w:w="709" w:type="pct"/>
                  <w:tcBorders>
                    <w:tl2br w:val="nil"/>
                    <w:tr2bl w:val="nil"/>
                  </w:tcBorders>
                  <w:noWrap w:val="0"/>
                  <w:vAlign w:val="center"/>
                </w:tcPr>
                <w:p w14:paraId="2021382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151</w:t>
                  </w:r>
                </w:p>
              </w:tc>
            </w:tr>
            <w:tr w14:paraId="31392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5051967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年10月</w:t>
                  </w:r>
                </w:p>
              </w:tc>
              <w:tc>
                <w:tcPr>
                  <w:tcW w:w="708" w:type="pct"/>
                  <w:tcBorders>
                    <w:tl2br w:val="nil"/>
                    <w:tr2bl w:val="nil"/>
                  </w:tcBorders>
                  <w:noWrap w:val="0"/>
                  <w:vAlign w:val="center"/>
                </w:tcPr>
                <w:p w14:paraId="63DEE7E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08" w:type="pct"/>
                  <w:tcBorders>
                    <w:tl2br w:val="nil"/>
                    <w:tr2bl w:val="nil"/>
                  </w:tcBorders>
                  <w:noWrap w:val="0"/>
                  <w:vAlign w:val="center"/>
                </w:tcPr>
                <w:p w14:paraId="13F29668">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22</w:t>
                  </w:r>
                </w:p>
              </w:tc>
              <w:tc>
                <w:tcPr>
                  <w:tcW w:w="708" w:type="pct"/>
                  <w:tcBorders>
                    <w:tl2br w:val="nil"/>
                    <w:tr2bl w:val="nil"/>
                  </w:tcBorders>
                  <w:noWrap w:val="0"/>
                  <w:vAlign w:val="center"/>
                </w:tcPr>
                <w:p w14:paraId="193E50C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41</w:t>
                  </w:r>
                </w:p>
              </w:tc>
              <w:tc>
                <w:tcPr>
                  <w:tcW w:w="708" w:type="pct"/>
                  <w:tcBorders>
                    <w:tl2br w:val="nil"/>
                    <w:tr2bl w:val="nil"/>
                  </w:tcBorders>
                  <w:noWrap w:val="0"/>
                  <w:vAlign w:val="center"/>
                </w:tcPr>
                <w:p w14:paraId="25A32B6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21</w:t>
                  </w:r>
                </w:p>
              </w:tc>
              <w:tc>
                <w:tcPr>
                  <w:tcW w:w="708" w:type="pct"/>
                  <w:tcBorders>
                    <w:tl2br w:val="nil"/>
                    <w:tr2bl w:val="nil"/>
                  </w:tcBorders>
                  <w:noWrap w:val="0"/>
                  <w:vAlign w:val="center"/>
                </w:tcPr>
                <w:p w14:paraId="4F465A7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0.68</w:t>
                  </w:r>
                </w:p>
              </w:tc>
              <w:tc>
                <w:tcPr>
                  <w:tcW w:w="709" w:type="pct"/>
                  <w:tcBorders>
                    <w:tl2br w:val="nil"/>
                    <w:tr2bl w:val="nil"/>
                  </w:tcBorders>
                  <w:noWrap w:val="0"/>
                  <w:vAlign w:val="center"/>
                </w:tcPr>
                <w:p w14:paraId="5862368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149</w:t>
                  </w:r>
                </w:p>
              </w:tc>
            </w:tr>
            <w:tr w14:paraId="3AD9C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288E0B8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年11月</w:t>
                  </w:r>
                </w:p>
              </w:tc>
              <w:tc>
                <w:tcPr>
                  <w:tcW w:w="708" w:type="pct"/>
                  <w:tcBorders>
                    <w:tl2br w:val="nil"/>
                    <w:tr2bl w:val="nil"/>
                  </w:tcBorders>
                  <w:noWrap w:val="0"/>
                  <w:vAlign w:val="center"/>
                </w:tcPr>
                <w:p w14:paraId="345A6B3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08" w:type="pct"/>
                  <w:tcBorders>
                    <w:tl2br w:val="nil"/>
                    <w:tr2bl w:val="nil"/>
                  </w:tcBorders>
                  <w:noWrap w:val="0"/>
                  <w:vAlign w:val="center"/>
                </w:tcPr>
                <w:p w14:paraId="227F715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25</w:t>
                  </w:r>
                </w:p>
              </w:tc>
              <w:tc>
                <w:tcPr>
                  <w:tcW w:w="708" w:type="pct"/>
                  <w:tcBorders>
                    <w:tl2br w:val="nil"/>
                    <w:tr2bl w:val="nil"/>
                  </w:tcBorders>
                  <w:noWrap w:val="0"/>
                  <w:vAlign w:val="center"/>
                </w:tcPr>
                <w:p w14:paraId="621C55B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43</w:t>
                  </w:r>
                </w:p>
              </w:tc>
              <w:tc>
                <w:tcPr>
                  <w:tcW w:w="708" w:type="pct"/>
                  <w:tcBorders>
                    <w:tl2br w:val="nil"/>
                    <w:tr2bl w:val="nil"/>
                  </w:tcBorders>
                  <w:noWrap w:val="0"/>
                  <w:vAlign w:val="center"/>
                </w:tcPr>
                <w:p w14:paraId="24AE663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24</w:t>
                  </w:r>
                </w:p>
              </w:tc>
              <w:tc>
                <w:tcPr>
                  <w:tcW w:w="708" w:type="pct"/>
                  <w:tcBorders>
                    <w:tl2br w:val="nil"/>
                    <w:tr2bl w:val="nil"/>
                  </w:tcBorders>
                  <w:noWrap w:val="0"/>
                  <w:vAlign w:val="center"/>
                </w:tcPr>
                <w:p w14:paraId="6FB1F3B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0.73</w:t>
                  </w:r>
                </w:p>
              </w:tc>
              <w:tc>
                <w:tcPr>
                  <w:tcW w:w="709" w:type="pct"/>
                  <w:tcBorders>
                    <w:tl2br w:val="nil"/>
                    <w:tr2bl w:val="nil"/>
                  </w:tcBorders>
                  <w:noWrap w:val="0"/>
                  <w:vAlign w:val="center"/>
                </w:tcPr>
                <w:p w14:paraId="7F02EBB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138</w:t>
                  </w:r>
                </w:p>
              </w:tc>
            </w:tr>
            <w:tr w14:paraId="4BA98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03135C5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202</w:t>
                  </w:r>
                  <w:r>
                    <w:rPr>
                      <w:rFonts w:hint="eastAsia"/>
                      <w:color w:val="auto"/>
                      <w:sz w:val="21"/>
                      <w:szCs w:val="21"/>
                      <w:lang w:val="en-US" w:eastAsia="zh-CN"/>
                    </w:rPr>
                    <w:t>5</w:t>
                  </w:r>
                  <w:r>
                    <w:rPr>
                      <w:rFonts w:hint="eastAsia" w:ascii="Times New Roman" w:hAnsi="Times New Roman" w:eastAsia="宋体"/>
                      <w:color w:val="auto"/>
                      <w:sz w:val="21"/>
                      <w:szCs w:val="21"/>
                      <w:lang w:val="en-US" w:eastAsia="zh-CN"/>
                    </w:rPr>
                    <w:t>年12月</w:t>
                  </w:r>
                </w:p>
              </w:tc>
              <w:tc>
                <w:tcPr>
                  <w:tcW w:w="708" w:type="pct"/>
                  <w:tcBorders>
                    <w:tl2br w:val="nil"/>
                    <w:tr2bl w:val="nil"/>
                  </w:tcBorders>
                  <w:noWrap w:val="0"/>
                  <w:vAlign w:val="center"/>
                </w:tcPr>
                <w:p w14:paraId="7CE7CE10">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6</w:t>
                  </w:r>
                </w:p>
              </w:tc>
              <w:tc>
                <w:tcPr>
                  <w:tcW w:w="708" w:type="pct"/>
                  <w:tcBorders>
                    <w:tl2br w:val="nil"/>
                    <w:tr2bl w:val="nil"/>
                  </w:tcBorders>
                  <w:noWrap w:val="0"/>
                  <w:vAlign w:val="center"/>
                </w:tcPr>
                <w:p w14:paraId="6936B14C">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28</w:t>
                  </w:r>
                </w:p>
              </w:tc>
              <w:tc>
                <w:tcPr>
                  <w:tcW w:w="708" w:type="pct"/>
                  <w:tcBorders>
                    <w:tl2br w:val="nil"/>
                    <w:tr2bl w:val="nil"/>
                  </w:tcBorders>
                  <w:noWrap w:val="0"/>
                  <w:vAlign w:val="center"/>
                </w:tcPr>
                <w:p w14:paraId="0D1F22EC">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49</w:t>
                  </w:r>
                </w:p>
              </w:tc>
              <w:tc>
                <w:tcPr>
                  <w:tcW w:w="708" w:type="pct"/>
                  <w:tcBorders>
                    <w:tl2br w:val="nil"/>
                    <w:tr2bl w:val="nil"/>
                  </w:tcBorders>
                  <w:noWrap w:val="0"/>
                  <w:vAlign w:val="center"/>
                </w:tcPr>
                <w:p w14:paraId="5686E3E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29</w:t>
                  </w:r>
                </w:p>
              </w:tc>
              <w:tc>
                <w:tcPr>
                  <w:tcW w:w="708" w:type="pct"/>
                  <w:tcBorders>
                    <w:tl2br w:val="nil"/>
                    <w:tr2bl w:val="nil"/>
                  </w:tcBorders>
                  <w:noWrap w:val="0"/>
                  <w:vAlign w:val="center"/>
                </w:tcPr>
                <w:p w14:paraId="7CFC624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0.81</w:t>
                  </w:r>
                </w:p>
              </w:tc>
              <w:tc>
                <w:tcPr>
                  <w:tcW w:w="709" w:type="pct"/>
                  <w:tcBorders>
                    <w:tl2br w:val="nil"/>
                    <w:tr2bl w:val="nil"/>
                  </w:tcBorders>
                  <w:noWrap w:val="0"/>
                  <w:vAlign w:val="center"/>
                </w:tcPr>
                <w:p w14:paraId="6F9B293A">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135</w:t>
                  </w:r>
                </w:p>
              </w:tc>
            </w:tr>
            <w:tr w14:paraId="4C2191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25261D1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环境空气质量标准（GB 3095—2026）</w:t>
                  </w:r>
                </w:p>
              </w:tc>
              <w:tc>
                <w:tcPr>
                  <w:tcW w:w="708" w:type="pct"/>
                  <w:tcBorders>
                    <w:tl2br w:val="nil"/>
                    <w:tr2bl w:val="nil"/>
                  </w:tcBorders>
                  <w:noWrap w:val="0"/>
                  <w:vAlign w:val="center"/>
                </w:tcPr>
                <w:p w14:paraId="784E3A6E">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w:t>
                  </w:r>
                </w:p>
              </w:tc>
              <w:tc>
                <w:tcPr>
                  <w:tcW w:w="708" w:type="pct"/>
                  <w:tcBorders>
                    <w:tl2br w:val="nil"/>
                    <w:tr2bl w:val="nil"/>
                  </w:tcBorders>
                  <w:noWrap w:val="0"/>
                  <w:vAlign w:val="center"/>
                </w:tcPr>
                <w:p w14:paraId="63A7653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80</w:t>
                  </w:r>
                </w:p>
              </w:tc>
              <w:tc>
                <w:tcPr>
                  <w:tcW w:w="708" w:type="pct"/>
                  <w:tcBorders>
                    <w:tl2br w:val="nil"/>
                    <w:tr2bl w:val="nil"/>
                  </w:tcBorders>
                  <w:noWrap w:val="0"/>
                  <w:vAlign w:val="center"/>
                </w:tcPr>
                <w:p w14:paraId="25154214">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120</w:t>
                  </w:r>
                </w:p>
              </w:tc>
              <w:tc>
                <w:tcPr>
                  <w:tcW w:w="708" w:type="pct"/>
                  <w:tcBorders>
                    <w:tl2br w:val="nil"/>
                    <w:tr2bl w:val="nil"/>
                  </w:tcBorders>
                  <w:noWrap w:val="0"/>
                  <w:vAlign w:val="center"/>
                </w:tcPr>
                <w:p w14:paraId="7B0621BC">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color w:val="auto"/>
                      <w:sz w:val="21"/>
                      <w:szCs w:val="21"/>
                      <w:lang w:val="en-US" w:eastAsia="zh-CN"/>
                    </w:rPr>
                    <w:t>30</w:t>
                  </w:r>
                </w:p>
              </w:tc>
              <w:tc>
                <w:tcPr>
                  <w:tcW w:w="708" w:type="pct"/>
                  <w:tcBorders>
                    <w:tl2br w:val="nil"/>
                    <w:tr2bl w:val="nil"/>
                  </w:tcBorders>
                  <w:noWrap w:val="0"/>
                  <w:vAlign w:val="center"/>
                </w:tcPr>
                <w:p w14:paraId="6349FF91">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w:t>
                  </w:r>
                </w:p>
              </w:tc>
              <w:tc>
                <w:tcPr>
                  <w:tcW w:w="709" w:type="pct"/>
                  <w:tcBorders>
                    <w:tl2br w:val="nil"/>
                    <w:tr2bl w:val="nil"/>
                  </w:tcBorders>
                  <w:noWrap w:val="0"/>
                  <w:vAlign w:val="center"/>
                </w:tcPr>
                <w:p w14:paraId="446B28E7">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160</w:t>
                  </w:r>
                </w:p>
              </w:tc>
            </w:tr>
            <w:tr w14:paraId="0B1564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46" w:type="pct"/>
                  <w:tcBorders>
                    <w:tl2br w:val="nil"/>
                    <w:tr2bl w:val="nil"/>
                  </w:tcBorders>
                  <w:noWrap w:val="0"/>
                  <w:vAlign w:val="center"/>
                </w:tcPr>
                <w:p w14:paraId="643596D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达标情况</w:t>
                  </w:r>
                </w:p>
              </w:tc>
              <w:tc>
                <w:tcPr>
                  <w:tcW w:w="708" w:type="pct"/>
                  <w:tcBorders>
                    <w:tl2br w:val="nil"/>
                    <w:tr2bl w:val="nil"/>
                  </w:tcBorders>
                  <w:noWrap w:val="0"/>
                  <w:vAlign w:val="center"/>
                </w:tcPr>
                <w:p w14:paraId="45AC984C">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c>
                <w:tcPr>
                  <w:tcW w:w="708" w:type="pct"/>
                  <w:tcBorders>
                    <w:tl2br w:val="nil"/>
                    <w:tr2bl w:val="nil"/>
                  </w:tcBorders>
                  <w:noWrap w:val="0"/>
                  <w:vAlign w:val="center"/>
                </w:tcPr>
                <w:p w14:paraId="01965789">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c>
                <w:tcPr>
                  <w:tcW w:w="708" w:type="pct"/>
                  <w:tcBorders>
                    <w:tl2br w:val="nil"/>
                    <w:tr2bl w:val="nil"/>
                  </w:tcBorders>
                  <w:noWrap w:val="0"/>
                  <w:vAlign w:val="center"/>
                </w:tcPr>
                <w:p w14:paraId="3F72C106">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c>
                <w:tcPr>
                  <w:tcW w:w="708" w:type="pct"/>
                  <w:tcBorders>
                    <w:tl2br w:val="nil"/>
                    <w:tr2bl w:val="nil"/>
                  </w:tcBorders>
                  <w:noWrap w:val="0"/>
                  <w:vAlign w:val="center"/>
                </w:tcPr>
                <w:p w14:paraId="33E7D1E3">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c>
                <w:tcPr>
                  <w:tcW w:w="708" w:type="pct"/>
                  <w:tcBorders>
                    <w:tl2br w:val="nil"/>
                    <w:tr2bl w:val="nil"/>
                  </w:tcBorders>
                  <w:noWrap w:val="0"/>
                  <w:vAlign w:val="center"/>
                </w:tcPr>
                <w:p w14:paraId="2DD542D5">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c>
                <w:tcPr>
                  <w:tcW w:w="709" w:type="pct"/>
                  <w:tcBorders>
                    <w:tl2br w:val="nil"/>
                    <w:tr2bl w:val="nil"/>
                  </w:tcBorders>
                  <w:noWrap w:val="0"/>
                  <w:vAlign w:val="center"/>
                </w:tcPr>
                <w:p w14:paraId="0A68896B">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620EE8D5">
            <w:pPr>
              <w:pStyle w:val="22"/>
              <w:bidi w:val="0"/>
              <w:ind w:firstLine="480" w:firstLineChars="200"/>
              <w:rPr>
                <w:rFonts w:hint="eastAsia" w:ascii="Times New Roman" w:hAnsi="Times New Roman"/>
                <w:color w:val="auto"/>
                <w:lang w:val="en-US" w:eastAsia="zh-CN"/>
              </w:rPr>
            </w:pPr>
            <w:r>
              <w:rPr>
                <w:rFonts w:hint="eastAsia"/>
                <w:color w:val="auto"/>
                <w:sz w:val="24"/>
                <w:lang w:val="en-US" w:eastAsia="zh-CN"/>
              </w:rPr>
              <w:t>由上表可知，福州高新区2025年1月—2025年12月份空气环境中SO</w:t>
            </w:r>
            <w:r>
              <w:rPr>
                <w:rFonts w:hint="eastAsia"/>
                <w:color w:val="auto"/>
                <w:sz w:val="24"/>
                <w:vertAlign w:val="subscript"/>
                <w:lang w:val="en-US" w:eastAsia="zh-CN"/>
              </w:rPr>
              <w:t>2</w:t>
            </w:r>
            <w:r>
              <w:rPr>
                <w:rFonts w:hint="eastAsia"/>
                <w:color w:val="auto"/>
                <w:sz w:val="24"/>
                <w:lang w:val="en-US" w:eastAsia="zh-CN"/>
              </w:rPr>
              <w:t>、NO</w:t>
            </w:r>
            <w:r>
              <w:rPr>
                <w:rFonts w:hint="eastAsia"/>
                <w:color w:val="auto"/>
                <w:sz w:val="24"/>
                <w:vertAlign w:val="subscript"/>
                <w:lang w:val="en-US" w:eastAsia="zh-CN"/>
              </w:rPr>
              <w:t>2</w:t>
            </w:r>
            <w:r>
              <w:rPr>
                <w:rFonts w:hint="eastAsia"/>
                <w:color w:val="auto"/>
                <w:sz w:val="24"/>
                <w:lang w:val="en-US" w:eastAsia="zh-CN"/>
              </w:rPr>
              <w:t>、PM</w:t>
            </w:r>
            <w:r>
              <w:rPr>
                <w:rFonts w:hint="eastAsia"/>
                <w:color w:val="auto"/>
                <w:sz w:val="24"/>
                <w:vertAlign w:val="subscript"/>
                <w:lang w:val="en-US" w:eastAsia="zh-CN"/>
              </w:rPr>
              <w:t>10</w:t>
            </w:r>
            <w:r>
              <w:rPr>
                <w:rFonts w:hint="eastAsia"/>
                <w:color w:val="auto"/>
                <w:sz w:val="24"/>
                <w:lang w:val="en-US" w:eastAsia="zh-CN"/>
              </w:rPr>
              <w:t>和PM</w:t>
            </w:r>
            <w:r>
              <w:rPr>
                <w:rFonts w:hint="eastAsia"/>
                <w:color w:val="auto"/>
                <w:sz w:val="24"/>
                <w:vertAlign w:val="subscript"/>
                <w:lang w:val="en-US" w:eastAsia="zh-CN"/>
              </w:rPr>
              <w:t>2.5</w:t>
            </w:r>
            <w:r>
              <w:rPr>
                <w:rFonts w:hint="eastAsia"/>
                <w:color w:val="auto"/>
                <w:sz w:val="24"/>
                <w:lang w:val="en-US" w:eastAsia="zh-CN"/>
              </w:rPr>
              <w:t>均未超过环境空气质量标准（GB 3095—2026）</w:t>
            </w:r>
            <w:r>
              <w:rPr>
                <w:color w:val="auto"/>
                <w:sz w:val="24"/>
              </w:rPr>
              <w:t>表1中环境空气污染物基本项目浓度限值的二级过渡阶段限值</w:t>
            </w:r>
            <w:r>
              <w:rPr>
                <w:rFonts w:hint="eastAsia"/>
                <w:color w:val="auto"/>
                <w:sz w:val="24"/>
                <w:lang w:val="en-US" w:eastAsia="zh-CN"/>
              </w:rPr>
              <w:t>，CO日均值和O</w:t>
            </w:r>
            <w:r>
              <w:rPr>
                <w:rFonts w:hint="eastAsia"/>
                <w:color w:val="auto"/>
                <w:sz w:val="24"/>
                <w:vertAlign w:val="subscript"/>
                <w:lang w:val="en-US" w:eastAsia="zh-CN"/>
              </w:rPr>
              <w:t>3</w:t>
            </w:r>
            <w:r>
              <w:rPr>
                <w:rFonts w:hint="eastAsia"/>
                <w:color w:val="auto"/>
                <w:sz w:val="24"/>
                <w:lang w:val="en-US" w:eastAsia="zh-CN"/>
              </w:rPr>
              <w:t>最大8小时值未超过环境空气质量标准（GB 3095—2026）</w:t>
            </w:r>
            <w:r>
              <w:rPr>
                <w:color w:val="auto"/>
                <w:sz w:val="24"/>
              </w:rPr>
              <w:t>表1中环境空气污染物基本项目浓度限值的二级过渡阶段限值</w:t>
            </w:r>
            <w:r>
              <w:rPr>
                <w:rFonts w:hint="eastAsia" w:ascii="Times New Roman" w:hAnsi="Times New Roman"/>
                <w:color w:val="auto"/>
                <w:lang w:val="en-US" w:eastAsia="zh-CN"/>
              </w:rPr>
              <w:t>，本项目位于</w:t>
            </w:r>
            <w:r>
              <w:rPr>
                <w:rFonts w:hint="eastAsia"/>
                <w:color w:val="auto"/>
                <w:lang w:val="en-US" w:eastAsia="zh-CN"/>
              </w:rPr>
              <w:t>福建省福州市闽侯县上街镇高新大道巨泽中心1号楼2层、2号楼2-3层和3号楼2、4层</w:t>
            </w:r>
            <w:r>
              <w:rPr>
                <w:rFonts w:hint="eastAsia" w:ascii="Times New Roman" w:hAnsi="Times New Roman"/>
                <w:color w:val="auto"/>
                <w:lang w:val="en-US" w:eastAsia="zh-CN"/>
              </w:rPr>
              <w:t>，所在地城市环境空气质量常规六项污染物全部达标，所在区域属于达标区。</w:t>
            </w:r>
          </w:p>
          <w:p w14:paraId="32ACC82F">
            <w:pPr>
              <w:widowControl w:val="0"/>
              <w:pBdr>
                <w:bottom w:val="dotted" w:color="auto" w:sz="24" w:space="0"/>
              </w:pBdr>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②特征污染物因子</w:t>
            </w:r>
          </w:p>
          <w:p w14:paraId="6FA60A0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bookmarkStart w:id="138" w:name="_GoBack"/>
            <w:bookmarkEnd w:id="138"/>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引用资料的可行性分析</w:t>
            </w:r>
          </w:p>
          <w:p w14:paraId="35CA17B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根据《建设项目环境影响报告表编制技术指南</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污染影响类</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试行</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环办环评〔2020〕33号</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的要求：</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大气环境区域环境质量现状常规污染物引用与建设项目距离近的有效数据，包括近3年的规划环境影响评价的监测数据，国家、地方环境空气质量监测网数据或生态环境主管部门公开发布的质量数据等</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排放国家、地方环境空气质量标准中有标准限值要求的特征污染物时，引用建设项目周边5千米范围内近3年的现有监测数据</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因此引用福州高新区202</w:t>
            </w:r>
            <w:r>
              <w:rPr>
                <w:rFonts w:hint="eastAsia" w:cs="宋体"/>
                <w:color w:val="auto"/>
                <w:kern w:val="2"/>
                <w:sz w:val="24"/>
                <w:szCs w:val="24"/>
                <w:lang w:val="en-US" w:eastAsia="zh-CN" w:bidi="ar-SA"/>
              </w:rPr>
              <w:t>5</w:t>
            </w:r>
            <w:r>
              <w:rPr>
                <w:rFonts w:hint="eastAsia" w:ascii="Times New Roman" w:hAnsi="Times New Roman" w:eastAsia="宋体" w:cs="宋体"/>
                <w:color w:val="auto"/>
                <w:kern w:val="2"/>
                <w:sz w:val="24"/>
                <w:szCs w:val="24"/>
                <w:lang w:val="en-US" w:eastAsia="zh-CN" w:bidi="ar-SA"/>
              </w:rPr>
              <w:t>年1</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12月空气质量月报的数据是可行的。</w:t>
            </w:r>
          </w:p>
          <w:p w14:paraId="74CAFDD6">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bookmarkStart w:id="57" w:name="_Toc24755"/>
            <w:bookmarkStart w:id="58" w:name="_Toc7696"/>
            <w:r>
              <w:rPr>
                <w:rFonts w:hint="eastAsia" w:ascii="Times New Roman" w:hAnsi="Times New Roman" w:eastAsia="宋体" w:cs="Times New Roman"/>
                <w:b/>
                <w:color w:val="auto"/>
                <w:kern w:val="2"/>
                <w:sz w:val="28"/>
                <w:szCs w:val="24"/>
                <w:lang w:val="en-US" w:eastAsia="zh-CN" w:bidi="ar-SA"/>
              </w:rPr>
              <w:t>3.2地表水环境质量现状</w:t>
            </w:r>
            <w:bookmarkEnd w:id="57"/>
            <w:bookmarkEnd w:id="58"/>
          </w:p>
          <w:p w14:paraId="52D5AF2E">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59" w:name="_Toc28513"/>
            <w:r>
              <w:rPr>
                <w:rFonts w:hint="eastAsia" w:ascii="Times New Roman" w:hAnsi="Times New Roman" w:eastAsia="宋体" w:cs="Times New Roman"/>
                <w:b/>
                <w:color w:val="auto"/>
                <w:kern w:val="2"/>
                <w:sz w:val="24"/>
                <w:szCs w:val="24"/>
                <w:lang w:val="en-US" w:eastAsia="zh-CN" w:bidi="ar-SA"/>
              </w:rPr>
              <w:t>3.2.1地表水功能区划</w:t>
            </w:r>
            <w:bookmarkEnd w:id="59"/>
          </w:p>
          <w:p w14:paraId="401A84CC">
            <w:pPr>
              <w:pStyle w:val="22"/>
              <w:bidi w:val="0"/>
              <w:ind w:firstLine="480" w:firstLineChars="200"/>
              <w:rPr>
                <w:rFonts w:hint="default" w:ascii="Times New Roman" w:hAnsi="Times New Roman"/>
                <w:color w:val="auto"/>
                <w:lang w:val="en-US" w:eastAsia="zh-CN"/>
              </w:rPr>
            </w:pPr>
            <w:r>
              <w:rPr>
                <w:rFonts w:hint="default" w:ascii="Times New Roman" w:hAnsi="Times New Roman" w:eastAsia="宋体" w:cs="宋体"/>
                <w:color w:val="auto"/>
                <w:lang w:val="en-US" w:eastAsia="zh-CN"/>
              </w:rPr>
              <w:t>项目附近水域为</w:t>
            </w:r>
            <w:r>
              <w:rPr>
                <w:rFonts w:hint="eastAsia" w:ascii="Times New Roman" w:hAnsi="Times New Roman" w:eastAsia="宋体" w:cs="宋体"/>
                <w:color w:val="auto"/>
                <w:lang w:val="en-US" w:eastAsia="zh-CN"/>
              </w:rPr>
              <w:t>溪源溪</w:t>
            </w:r>
            <w:r>
              <w:rPr>
                <w:rFonts w:hint="default" w:ascii="Times New Roman" w:hAnsi="Times New Roman" w:eastAsia="宋体" w:cs="宋体"/>
                <w:color w:val="auto"/>
                <w:lang w:val="en-US" w:eastAsia="zh-CN"/>
              </w:rPr>
              <w:t>，溪源溪为闽江南港（乌龙江）支流，位于闽侯上街镇；依据闽政文〔2006〕133号，溪源溪溪源宫～榕桥段为饮用水源二级保护区、渔业用水，水质执行《地表水环境质量标准》（GB3838-2002）Ⅲ类；榕桥以下段为农业、工业用水，执行Ⅳ类标准；废水最终汇入闽江南港（乌龙江），该水体功能为渔业、农业用水，执行Ⅲ类水质标准。</w:t>
            </w:r>
            <w:r>
              <w:rPr>
                <w:rFonts w:hint="default" w:ascii="Times New Roman" w:hAnsi="Times New Roman"/>
                <w:color w:val="auto"/>
                <w:lang w:val="en-US" w:eastAsia="zh-CN"/>
              </w:rPr>
              <w:t>具体标准值见表3.2-1。</w:t>
            </w:r>
          </w:p>
          <w:p w14:paraId="397B2A4C">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表3.2-1</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地表水环境质量标准</w:t>
            </w:r>
          </w:p>
          <w:tbl>
            <w:tblPr>
              <w:tblStyle w:val="18"/>
              <w:tblW w:w="5000"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28" w:type="dxa"/>
                <w:bottom w:w="0" w:type="dxa"/>
                <w:right w:w="28" w:type="dxa"/>
              </w:tblCellMar>
            </w:tblPr>
            <w:tblGrid>
              <w:gridCol w:w="938"/>
              <w:gridCol w:w="3100"/>
              <w:gridCol w:w="1194"/>
              <w:gridCol w:w="946"/>
              <w:gridCol w:w="943"/>
              <w:gridCol w:w="949"/>
            </w:tblGrid>
            <w:tr w14:paraId="790B85C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446DA4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序号</w:t>
                  </w:r>
                </w:p>
              </w:tc>
              <w:tc>
                <w:tcPr>
                  <w:tcW w:w="1920" w:type="pct"/>
                  <w:tcBorders>
                    <w:tl2br w:val="nil"/>
                    <w:tr2bl w:val="nil"/>
                  </w:tcBorders>
                  <w:shd w:val="clear" w:color="auto" w:fill="auto"/>
                  <w:noWrap w:val="0"/>
                  <w:vAlign w:val="center"/>
                </w:tcPr>
                <w:p w14:paraId="64470D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项目</w:t>
                  </w:r>
                </w:p>
              </w:tc>
              <w:tc>
                <w:tcPr>
                  <w:tcW w:w="739" w:type="pct"/>
                  <w:tcBorders>
                    <w:tl2br w:val="nil"/>
                    <w:tr2bl w:val="nil"/>
                  </w:tcBorders>
                  <w:shd w:val="clear" w:color="auto" w:fill="auto"/>
                  <w:noWrap w:val="0"/>
                  <w:vAlign w:val="center"/>
                </w:tcPr>
                <w:p w14:paraId="6430D5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Ⅱ类</w:t>
                  </w:r>
                </w:p>
              </w:tc>
              <w:tc>
                <w:tcPr>
                  <w:tcW w:w="586" w:type="pct"/>
                  <w:tcBorders>
                    <w:tl2br w:val="nil"/>
                    <w:tr2bl w:val="nil"/>
                  </w:tcBorders>
                  <w:shd w:val="clear" w:color="auto" w:fill="A4A4A4"/>
                  <w:noWrap w:val="0"/>
                  <w:vAlign w:val="center"/>
                </w:tcPr>
                <w:p w14:paraId="58C6BC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Ⅲ类</w:t>
                  </w:r>
                </w:p>
              </w:tc>
              <w:tc>
                <w:tcPr>
                  <w:tcW w:w="584" w:type="pct"/>
                  <w:tcBorders>
                    <w:tl2br w:val="nil"/>
                    <w:tr2bl w:val="nil"/>
                  </w:tcBorders>
                  <w:shd w:val="clear" w:color="auto" w:fill="auto"/>
                  <w:noWrap w:val="0"/>
                  <w:vAlign w:val="center"/>
                </w:tcPr>
                <w:p w14:paraId="5D562B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Ⅳ类</w:t>
                  </w:r>
                </w:p>
              </w:tc>
              <w:tc>
                <w:tcPr>
                  <w:tcW w:w="587" w:type="pct"/>
                  <w:tcBorders>
                    <w:tl2br w:val="nil"/>
                    <w:tr2bl w:val="nil"/>
                  </w:tcBorders>
                  <w:shd w:val="clear" w:color="auto" w:fill="auto"/>
                  <w:noWrap w:val="0"/>
                  <w:vAlign w:val="center"/>
                </w:tcPr>
                <w:p w14:paraId="5C7EB5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Ⅴ类</w:t>
                  </w:r>
                </w:p>
              </w:tc>
            </w:tr>
            <w:tr w14:paraId="57E312D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2D7F10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1</w:t>
                  </w:r>
                </w:p>
              </w:tc>
              <w:tc>
                <w:tcPr>
                  <w:tcW w:w="1920" w:type="pct"/>
                  <w:tcBorders>
                    <w:tl2br w:val="nil"/>
                    <w:tr2bl w:val="nil"/>
                  </w:tcBorders>
                  <w:shd w:val="clear" w:color="auto" w:fill="auto"/>
                  <w:noWrap w:val="0"/>
                  <w:vAlign w:val="center"/>
                </w:tcPr>
                <w:p w14:paraId="1BBFD6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pH</w:t>
                  </w:r>
                  <w:r>
                    <w:rPr>
                      <w:rFonts w:hint="eastAsia" w:ascii="Times New Roman" w:hAnsi="Times New Roman" w:eastAsia="宋体" w:cs="Times New Roman"/>
                      <w:color w:val="auto"/>
                      <w:kern w:val="0"/>
                      <w:sz w:val="21"/>
                      <w:szCs w:val="21"/>
                      <w:lang w:val="en-US" w:eastAsia="zh-CN" w:bidi="ar-SA"/>
                    </w:rPr>
                    <w:t>（</w:t>
                  </w:r>
                  <w:r>
                    <w:rPr>
                      <w:rFonts w:hint="eastAsia" w:ascii="Times New Roman" w:hAnsi="Times New Roman" w:eastAsia="宋体" w:cs="宋体"/>
                      <w:color w:val="auto"/>
                      <w:kern w:val="0"/>
                      <w:sz w:val="21"/>
                      <w:szCs w:val="21"/>
                      <w:lang w:val="en-US" w:eastAsia="zh-CN" w:bidi="ar-SA"/>
                    </w:rPr>
                    <w:t>无量纲）</w:t>
                  </w:r>
                </w:p>
              </w:tc>
              <w:tc>
                <w:tcPr>
                  <w:tcW w:w="2497" w:type="pct"/>
                  <w:gridSpan w:val="4"/>
                  <w:tcBorders>
                    <w:tl2br w:val="nil"/>
                    <w:tr2bl w:val="nil"/>
                  </w:tcBorders>
                  <w:shd w:val="clear" w:color="auto" w:fill="A4A4A4"/>
                  <w:noWrap w:val="0"/>
                  <w:vAlign w:val="center"/>
                </w:tcPr>
                <w:p w14:paraId="14FDB1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6</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9</w:t>
                  </w:r>
                </w:p>
              </w:tc>
            </w:tr>
            <w:tr w14:paraId="45AE974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209C1A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2</w:t>
                  </w:r>
                </w:p>
              </w:tc>
              <w:tc>
                <w:tcPr>
                  <w:tcW w:w="1920" w:type="pct"/>
                  <w:tcBorders>
                    <w:tl2br w:val="nil"/>
                    <w:tr2bl w:val="nil"/>
                  </w:tcBorders>
                  <w:shd w:val="clear" w:color="auto" w:fill="auto"/>
                  <w:noWrap w:val="0"/>
                  <w:vAlign w:val="center"/>
                </w:tcPr>
                <w:p w14:paraId="133566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溶解氧≥</w:t>
                  </w:r>
                </w:p>
              </w:tc>
              <w:tc>
                <w:tcPr>
                  <w:tcW w:w="739" w:type="pct"/>
                  <w:tcBorders>
                    <w:tl2br w:val="nil"/>
                    <w:tr2bl w:val="nil"/>
                  </w:tcBorders>
                  <w:shd w:val="clear" w:color="auto" w:fill="auto"/>
                  <w:noWrap w:val="0"/>
                  <w:vAlign w:val="center"/>
                </w:tcPr>
                <w:p w14:paraId="65464A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6</w:t>
                  </w:r>
                </w:p>
              </w:tc>
              <w:tc>
                <w:tcPr>
                  <w:tcW w:w="586" w:type="pct"/>
                  <w:tcBorders>
                    <w:tl2br w:val="nil"/>
                    <w:tr2bl w:val="nil"/>
                  </w:tcBorders>
                  <w:shd w:val="clear" w:color="auto" w:fill="A4A4A4"/>
                  <w:noWrap w:val="0"/>
                  <w:vAlign w:val="center"/>
                </w:tcPr>
                <w:p w14:paraId="70C6C0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5</w:t>
                  </w:r>
                </w:p>
              </w:tc>
              <w:tc>
                <w:tcPr>
                  <w:tcW w:w="584" w:type="pct"/>
                  <w:tcBorders>
                    <w:tl2br w:val="nil"/>
                    <w:tr2bl w:val="nil"/>
                  </w:tcBorders>
                  <w:shd w:val="clear" w:color="auto" w:fill="auto"/>
                  <w:noWrap w:val="0"/>
                  <w:vAlign w:val="center"/>
                </w:tcPr>
                <w:p w14:paraId="0565E0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3</w:t>
                  </w:r>
                </w:p>
              </w:tc>
              <w:tc>
                <w:tcPr>
                  <w:tcW w:w="587" w:type="pct"/>
                  <w:tcBorders>
                    <w:tl2br w:val="nil"/>
                    <w:tr2bl w:val="nil"/>
                  </w:tcBorders>
                  <w:shd w:val="clear" w:color="auto" w:fill="auto"/>
                  <w:noWrap w:val="0"/>
                  <w:vAlign w:val="center"/>
                </w:tcPr>
                <w:p w14:paraId="6B8268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2</w:t>
                  </w:r>
                </w:p>
              </w:tc>
            </w:tr>
            <w:tr w14:paraId="571A98B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750FCD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3</w:t>
                  </w:r>
                </w:p>
              </w:tc>
              <w:tc>
                <w:tcPr>
                  <w:tcW w:w="1920" w:type="pct"/>
                  <w:tcBorders>
                    <w:tl2br w:val="nil"/>
                    <w:tr2bl w:val="nil"/>
                  </w:tcBorders>
                  <w:shd w:val="clear" w:color="auto" w:fill="auto"/>
                  <w:noWrap w:val="0"/>
                  <w:vAlign w:val="center"/>
                </w:tcPr>
                <w:p w14:paraId="0724FD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高锰酸盐指数≤</w:t>
                  </w:r>
                </w:p>
              </w:tc>
              <w:tc>
                <w:tcPr>
                  <w:tcW w:w="739" w:type="pct"/>
                  <w:tcBorders>
                    <w:tl2br w:val="nil"/>
                    <w:tr2bl w:val="nil"/>
                  </w:tcBorders>
                  <w:shd w:val="clear" w:color="auto" w:fill="auto"/>
                  <w:noWrap w:val="0"/>
                  <w:vAlign w:val="center"/>
                </w:tcPr>
                <w:p w14:paraId="0639E2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4</w:t>
                  </w:r>
                </w:p>
              </w:tc>
              <w:tc>
                <w:tcPr>
                  <w:tcW w:w="586" w:type="pct"/>
                  <w:tcBorders>
                    <w:tl2br w:val="nil"/>
                    <w:tr2bl w:val="nil"/>
                  </w:tcBorders>
                  <w:shd w:val="clear" w:color="auto" w:fill="A4A4A4"/>
                  <w:noWrap w:val="0"/>
                  <w:vAlign w:val="center"/>
                </w:tcPr>
                <w:p w14:paraId="298385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6</w:t>
                  </w:r>
                </w:p>
              </w:tc>
              <w:tc>
                <w:tcPr>
                  <w:tcW w:w="584" w:type="pct"/>
                  <w:tcBorders>
                    <w:tl2br w:val="nil"/>
                    <w:tr2bl w:val="nil"/>
                  </w:tcBorders>
                  <w:shd w:val="clear" w:color="auto" w:fill="auto"/>
                  <w:noWrap w:val="0"/>
                  <w:vAlign w:val="center"/>
                </w:tcPr>
                <w:p w14:paraId="697908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10</w:t>
                  </w:r>
                </w:p>
              </w:tc>
              <w:tc>
                <w:tcPr>
                  <w:tcW w:w="587" w:type="pct"/>
                  <w:tcBorders>
                    <w:tl2br w:val="nil"/>
                    <w:tr2bl w:val="nil"/>
                  </w:tcBorders>
                  <w:shd w:val="clear" w:color="auto" w:fill="auto"/>
                  <w:noWrap w:val="0"/>
                  <w:vAlign w:val="center"/>
                </w:tcPr>
                <w:p w14:paraId="10E8BE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15</w:t>
                  </w:r>
                </w:p>
              </w:tc>
            </w:tr>
            <w:tr w14:paraId="0E08E70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7BA747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4</w:t>
                  </w:r>
                </w:p>
              </w:tc>
              <w:tc>
                <w:tcPr>
                  <w:tcW w:w="1920" w:type="pct"/>
                  <w:tcBorders>
                    <w:tl2br w:val="nil"/>
                    <w:tr2bl w:val="nil"/>
                  </w:tcBorders>
                  <w:shd w:val="clear" w:color="auto" w:fill="auto"/>
                  <w:noWrap w:val="0"/>
                  <w:vAlign w:val="center"/>
                </w:tcPr>
                <w:p w14:paraId="6737C0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化学需氧量</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COD</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w:t>
                  </w:r>
                </w:p>
              </w:tc>
              <w:tc>
                <w:tcPr>
                  <w:tcW w:w="739" w:type="pct"/>
                  <w:tcBorders>
                    <w:tl2br w:val="nil"/>
                    <w:tr2bl w:val="nil"/>
                  </w:tcBorders>
                  <w:shd w:val="clear" w:color="auto" w:fill="auto"/>
                  <w:noWrap w:val="0"/>
                  <w:vAlign w:val="center"/>
                </w:tcPr>
                <w:p w14:paraId="4447BB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15</w:t>
                  </w:r>
                </w:p>
              </w:tc>
              <w:tc>
                <w:tcPr>
                  <w:tcW w:w="586" w:type="pct"/>
                  <w:tcBorders>
                    <w:tl2br w:val="nil"/>
                    <w:tr2bl w:val="nil"/>
                  </w:tcBorders>
                  <w:shd w:val="clear" w:color="auto" w:fill="A4A4A4"/>
                  <w:noWrap w:val="0"/>
                  <w:vAlign w:val="center"/>
                </w:tcPr>
                <w:p w14:paraId="30972D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20</w:t>
                  </w:r>
                </w:p>
              </w:tc>
              <w:tc>
                <w:tcPr>
                  <w:tcW w:w="584" w:type="pct"/>
                  <w:tcBorders>
                    <w:tl2br w:val="nil"/>
                    <w:tr2bl w:val="nil"/>
                  </w:tcBorders>
                  <w:shd w:val="clear" w:color="auto" w:fill="auto"/>
                  <w:noWrap w:val="0"/>
                  <w:vAlign w:val="center"/>
                </w:tcPr>
                <w:p w14:paraId="783C17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30</w:t>
                  </w:r>
                </w:p>
              </w:tc>
              <w:tc>
                <w:tcPr>
                  <w:tcW w:w="587" w:type="pct"/>
                  <w:tcBorders>
                    <w:tl2br w:val="nil"/>
                    <w:tr2bl w:val="nil"/>
                  </w:tcBorders>
                  <w:shd w:val="clear" w:color="auto" w:fill="auto"/>
                  <w:noWrap w:val="0"/>
                  <w:vAlign w:val="center"/>
                </w:tcPr>
                <w:p w14:paraId="237545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40</w:t>
                  </w:r>
                </w:p>
              </w:tc>
            </w:tr>
            <w:tr w14:paraId="2852D07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34F802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5</w:t>
                  </w:r>
                </w:p>
              </w:tc>
              <w:tc>
                <w:tcPr>
                  <w:tcW w:w="1920" w:type="pct"/>
                  <w:tcBorders>
                    <w:tl2br w:val="nil"/>
                    <w:tr2bl w:val="nil"/>
                  </w:tcBorders>
                  <w:shd w:val="clear" w:color="auto" w:fill="auto"/>
                  <w:noWrap w:val="0"/>
                  <w:vAlign w:val="center"/>
                </w:tcPr>
                <w:p w14:paraId="51352D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氨氮</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NH</w:t>
                  </w:r>
                  <w:r>
                    <w:rPr>
                      <w:rFonts w:ascii="Times New Roman" w:hAnsi="Times New Roman" w:eastAsia="宋体" w:cs="Times New Roman"/>
                      <w:color w:val="auto"/>
                      <w:kern w:val="0"/>
                      <w:sz w:val="21"/>
                      <w:szCs w:val="21"/>
                      <w:vertAlign w:val="subscript"/>
                      <w:lang w:val="en-US" w:eastAsia="zh-CN" w:bidi="ar-SA"/>
                    </w:rPr>
                    <w:t>3</w:t>
                  </w:r>
                  <w:r>
                    <w:rPr>
                      <w:rFonts w:ascii="Times New Roman" w:hAnsi="Times New Roman" w:eastAsia="宋体" w:cs="Times New Roman"/>
                      <w:color w:val="auto"/>
                      <w:kern w:val="0"/>
                      <w:sz w:val="21"/>
                      <w:szCs w:val="21"/>
                      <w:lang w:val="en-US" w:eastAsia="zh-CN" w:bidi="ar-SA"/>
                    </w:rPr>
                    <w:t>-N</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w:t>
                  </w:r>
                </w:p>
              </w:tc>
              <w:tc>
                <w:tcPr>
                  <w:tcW w:w="739" w:type="pct"/>
                  <w:tcBorders>
                    <w:tl2br w:val="nil"/>
                    <w:tr2bl w:val="nil"/>
                  </w:tcBorders>
                  <w:shd w:val="clear" w:color="auto" w:fill="auto"/>
                  <w:noWrap w:val="0"/>
                  <w:vAlign w:val="center"/>
                </w:tcPr>
                <w:p w14:paraId="083974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0.5</w:t>
                  </w:r>
                </w:p>
              </w:tc>
              <w:tc>
                <w:tcPr>
                  <w:tcW w:w="586" w:type="pct"/>
                  <w:tcBorders>
                    <w:tl2br w:val="nil"/>
                    <w:tr2bl w:val="nil"/>
                  </w:tcBorders>
                  <w:shd w:val="clear" w:color="auto" w:fill="A4A4A4"/>
                  <w:noWrap w:val="0"/>
                  <w:vAlign w:val="center"/>
                </w:tcPr>
                <w:p w14:paraId="252B75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1.0</w:t>
                  </w:r>
                </w:p>
              </w:tc>
              <w:tc>
                <w:tcPr>
                  <w:tcW w:w="584" w:type="pct"/>
                  <w:tcBorders>
                    <w:tl2br w:val="nil"/>
                    <w:tr2bl w:val="nil"/>
                  </w:tcBorders>
                  <w:shd w:val="clear" w:color="auto" w:fill="auto"/>
                  <w:noWrap w:val="0"/>
                  <w:vAlign w:val="center"/>
                </w:tcPr>
                <w:p w14:paraId="3D1821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1.5</w:t>
                  </w:r>
                </w:p>
              </w:tc>
              <w:tc>
                <w:tcPr>
                  <w:tcW w:w="587" w:type="pct"/>
                  <w:tcBorders>
                    <w:tl2br w:val="nil"/>
                    <w:tr2bl w:val="nil"/>
                  </w:tcBorders>
                  <w:shd w:val="clear" w:color="auto" w:fill="auto"/>
                  <w:noWrap w:val="0"/>
                  <w:vAlign w:val="center"/>
                </w:tcPr>
                <w:p w14:paraId="60ED4F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2.0</w:t>
                  </w:r>
                </w:p>
              </w:tc>
            </w:tr>
            <w:tr w14:paraId="10714BE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481F25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6</w:t>
                  </w:r>
                </w:p>
              </w:tc>
              <w:tc>
                <w:tcPr>
                  <w:tcW w:w="1920" w:type="pct"/>
                  <w:tcBorders>
                    <w:tl2br w:val="nil"/>
                    <w:tr2bl w:val="nil"/>
                  </w:tcBorders>
                  <w:shd w:val="clear" w:color="auto" w:fill="auto"/>
                  <w:noWrap w:val="0"/>
                  <w:vAlign w:val="center"/>
                </w:tcPr>
                <w:p w14:paraId="5A2C5A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五日生化需氧量</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BOD</w:t>
                  </w:r>
                  <w:r>
                    <w:rPr>
                      <w:rFonts w:ascii="Times New Roman" w:hAnsi="Times New Roman" w:eastAsia="宋体" w:cs="Times New Roman"/>
                      <w:color w:val="auto"/>
                      <w:kern w:val="0"/>
                      <w:sz w:val="21"/>
                      <w:szCs w:val="21"/>
                      <w:vertAlign w:val="subscript"/>
                      <w:lang w:val="en-US" w:eastAsia="zh-CN" w:bidi="ar-SA"/>
                    </w:rPr>
                    <w:t>5</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w:t>
                  </w:r>
                </w:p>
              </w:tc>
              <w:tc>
                <w:tcPr>
                  <w:tcW w:w="739" w:type="pct"/>
                  <w:tcBorders>
                    <w:tl2br w:val="nil"/>
                    <w:tr2bl w:val="nil"/>
                  </w:tcBorders>
                  <w:shd w:val="clear" w:color="auto" w:fill="auto"/>
                  <w:noWrap w:val="0"/>
                  <w:vAlign w:val="center"/>
                </w:tcPr>
                <w:p w14:paraId="3868F1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3</w:t>
                  </w:r>
                </w:p>
              </w:tc>
              <w:tc>
                <w:tcPr>
                  <w:tcW w:w="586" w:type="pct"/>
                  <w:tcBorders>
                    <w:tl2br w:val="nil"/>
                    <w:tr2bl w:val="nil"/>
                  </w:tcBorders>
                  <w:shd w:val="clear" w:color="auto" w:fill="A4A4A4"/>
                  <w:noWrap w:val="0"/>
                  <w:vAlign w:val="center"/>
                </w:tcPr>
                <w:p w14:paraId="79BA59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4</w:t>
                  </w:r>
                </w:p>
              </w:tc>
              <w:tc>
                <w:tcPr>
                  <w:tcW w:w="584" w:type="pct"/>
                  <w:tcBorders>
                    <w:tl2br w:val="nil"/>
                    <w:tr2bl w:val="nil"/>
                  </w:tcBorders>
                  <w:shd w:val="clear" w:color="auto" w:fill="auto"/>
                  <w:noWrap w:val="0"/>
                  <w:vAlign w:val="center"/>
                </w:tcPr>
                <w:p w14:paraId="2B9B5A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6</w:t>
                  </w:r>
                </w:p>
              </w:tc>
              <w:tc>
                <w:tcPr>
                  <w:tcW w:w="587" w:type="pct"/>
                  <w:tcBorders>
                    <w:tl2br w:val="nil"/>
                    <w:tr2bl w:val="nil"/>
                  </w:tcBorders>
                  <w:shd w:val="clear" w:color="auto" w:fill="auto"/>
                  <w:noWrap w:val="0"/>
                  <w:vAlign w:val="center"/>
                </w:tcPr>
                <w:p w14:paraId="3FF996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10</w:t>
                  </w:r>
                </w:p>
              </w:tc>
            </w:tr>
            <w:tr w14:paraId="2C91230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1" w:type="pct"/>
                  <w:tcBorders>
                    <w:tl2br w:val="nil"/>
                    <w:tr2bl w:val="nil"/>
                  </w:tcBorders>
                  <w:shd w:val="clear" w:color="auto" w:fill="auto"/>
                  <w:noWrap w:val="0"/>
                  <w:vAlign w:val="center"/>
                </w:tcPr>
                <w:p w14:paraId="4937EC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8</w:t>
                  </w:r>
                </w:p>
              </w:tc>
              <w:tc>
                <w:tcPr>
                  <w:tcW w:w="1920" w:type="pct"/>
                  <w:tcBorders>
                    <w:tl2br w:val="nil"/>
                    <w:tr2bl w:val="nil"/>
                  </w:tcBorders>
                  <w:shd w:val="clear" w:color="auto" w:fill="auto"/>
                  <w:noWrap w:val="0"/>
                  <w:vAlign w:val="center"/>
                </w:tcPr>
                <w:p w14:paraId="49EE36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阴离子表面活性剂≤</w:t>
                  </w:r>
                </w:p>
              </w:tc>
              <w:tc>
                <w:tcPr>
                  <w:tcW w:w="739" w:type="pct"/>
                  <w:tcBorders>
                    <w:tl2br w:val="nil"/>
                    <w:tr2bl w:val="nil"/>
                  </w:tcBorders>
                  <w:shd w:val="clear" w:color="auto" w:fill="auto"/>
                  <w:noWrap w:val="0"/>
                  <w:vAlign w:val="center"/>
                </w:tcPr>
                <w:p w14:paraId="3149CD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0.2</w:t>
                  </w:r>
                </w:p>
              </w:tc>
              <w:tc>
                <w:tcPr>
                  <w:tcW w:w="586" w:type="pct"/>
                  <w:tcBorders>
                    <w:tl2br w:val="nil"/>
                    <w:tr2bl w:val="nil"/>
                  </w:tcBorders>
                  <w:shd w:val="clear" w:color="auto" w:fill="A4A4A4"/>
                  <w:noWrap w:val="0"/>
                  <w:vAlign w:val="center"/>
                </w:tcPr>
                <w:p w14:paraId="4086F3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eastAsia="Times New Roman"/>
                      <w:color w:val="auto"/>
                      <w:spacing w:val="2"/>
                      <w:szCs w:val="21"/>
                    </w:rPr>
                  </w:pPr>
                  <w:r>
                    <w:rPr>
                      <w:rFonts w:eastAsia="Times New Roman"/>
                      <w:color w:val="auto"/>
                      <w:spacing w:val="1"/>
                      <w:szCs w:val="21"/>
                    </w:rPr>
                    <w:t>0.2</w:t>
                  </w:r>
                </w:p>
              </w:tc>
              <w:tc>
                <w:tcPr>
                  <w:tcW w:w="584" w:type="pct"/>
                  <w:tcBorders>
                    <w:tl2br w:val="nil"/>
                    <w:tr2bl w:val="nil"/>
                  </w:tcBorders>
                  <w:shd w:val="clear" w:color="auto" w:fill="auto"/>
                  <w:noWrap w:val="0"/>
                  <w:vAlign w:val="center"/>
                </w:tcPr>
                <w:p w14:paraId="053757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0.3</w:t>
                  </w:r>
                </w:p>
              </w:tc>
              <w:tc>
                <w:tcPr>
                  <w:tcW w:w="587" w:type="pct"/>
                  <w:tcBorders>
                    <w:tl2br w:val="nil"/>
                    <w:tr2bl w:val="nil"/>
                  </w:tcBorders>
                  <w:shd w:val="clear" w:color="auto" w:fill="auto"/>
                  <w:noWrap w:val="0"/>
                  <w:vAlign w:val="center"/>
                </w:tcPr>
                <w:p w14:paraId="3B4E21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0.3</w:t>
                  </w:r>
                </w:p>
              </w:tc>
            </w:tr>
          </w:tbl>
          <w:p w14:paraId="12757FBF">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60" w:name="_Toc19984"/>
            <w:r>
              <w:rPr>
                <w:rFonts w:hint="eastAsia" w:ascii="Times New Roman" w:hAnsi="Times New Roman" w:eastAsia="宋体" w:cs="Times New Roman"/>
                <w:b/>
                <w:color w:val="auto"/>
                <w:kern w:val="2"/>
                <w:sz w:val="24"/>
                <w:szCs w:val="24"/>
                <w:lang w:val="en-US" w:eastAsia="zh-CN" w:bidi="ar-SA"/>
              </w:rPr>
              <w:t>3.2.2地表水环境质量现状</w:t>
            </w:r>
            <w:bookmarkEnd w:id="60"/>
          </w:p>
          <w:p w14:paraId="13D7DC7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w:t>
            </w:r>
            <w:r>
              <w:rPr>
                <w:rFonts w:hint="default" w:ascii="Times New Roman" w:hAnsi="Times New Roman" w:eastAsia="宋体" w:cs="宋体"/>
                <w:color w:val="auto"/>
                <w:kern w:val="2"/>
                <w:sz w:val="24"/>
                <w:szCs w:val="24"/>
                <w:lang w:val="en-US" w:eastAsia="zh-CN" w:bidi="ar-SA"/>
              </w:rPr>
              <w:t>地表水水质现状调查</w:t>
            </w:r>
          </w:p>
          <w:p w14:paraId="30E45158">
            <w:pPr>
              <w:pStyle w:val="22"/>
              <w:bidi w:val="0"/>
              <w:ind w:firstLine="480" w:firstLineChars="200"/>
              <w:rPr>
                <w:rFonts w:hint="eastAsia" w:ascii="Times New Roman" w:hAnsi="Times New Roman" w:eastAsia="宋体" w:cs="宋体"/>
                <w:color w:val="auto"/>
                <w:lang w:val="en-US" w:eastAsia="zh-CN"/>
              </w:rPr>
            </w:pPr>
            <w:r>
              <w:rPr>
                <w:rFonts w:hint="default" w:ascii="Times New Roman" w:hAnsi="Times New Roman"/>
                <w:color w:val="auto"/>
                <w:lang w:val="en-US" w:eastAsia="zh-CN"/>
              </w:rPr>
              <w:t>本项目南侧为</w:t>
            </w:r>
            <w:r>
              <w:rPr>
                <w:rFonts w:hint="eastAsia" w:ascii="Times New Roman" w:hAnsi="Times New Roman" w:eastAsia="宋体" w:cs="宋体"/>
                <w:color w:val="auto"/>
                <w:lang w:val="en-US" w:eastAsia="zh-CN"/>
              </w:rPr>
              <w:t>溪源溪</w:t>
            </w:r>
            <w:r>
              <w:rPr>
                <w:rFonts w:hint="default" w:ascii="Times New Roman" w:hAnsi="Times New Roman"/>
                <w:color w:val="auto"/>
                <w:lang w:val="en-US" w:eastAsia="zh-CN"/>
              </w:rPr>
              <w:t>（</w:t>
            </w:r>
            <w:r>
              <w:rPr>
                <w:rFonts w:hint="default" w:ascii="Times New Roman" w:hAnsi="Times New Roman" w:eastAsia="宋体" w:cs="宋体"/>
                <w:color w:val="auto"/>
                <w:lang w:val="en-US" w:eastAsia="zh-CN"/>
              </w:rPr>
              <w:t>闽江南港（乌龙江）支流</w:t>
            </w:r>
            <w:r>
              <w:rPr>
                <w:rFonts w:hint="default" w:ascii="Times New Roman" w:hAnsi="Times New Roman"/>
                <w:color w:val="auto"/>
                <w:lang w:val="en-US" w:eastAsia="zh-CN"/>
              </w:rPr>
              <w:t>，汇入</w:t>
            </w:r>
            <w:r>
              <w:rPr>
                <w:rFonts w:ascii="宋体" w:hAnsi="宋体" w:eastAsia="宋体" w:cs="宋体"/>
                <w:color w:val="auto"/>
                <w:sz w:val="24"/>
                <w:szCs w:val="24"/>
              </w:rPr>
              <w:t>闽江南港（乌龙江）</w:t>
            </w:r>
            <w:r>
              <w:rPr>
                <w:rFonts w:hint="default" w:ascii="Times New Roman" w:hAnsi="Times New Roman"/>
                <w:color w:val="auto"/>
                <w:lang w:val="en-US" w:eastAsia="zh-CN"/>
              </w:rPr>
              <w:t>）。根据福建省生态环境厅网站上公布的《</w:t>
            </w:r>
            <w:r>
              <w:rPr>
                <w:rFonts w:hint="eastAsia" w:ascii="Times New Roman" w:hAnsi="Times New Roman"/>
                <w:color w:val="auto"/>
                <w:lang w:val="en-US" w:eastAsia="zh-CN"/>
              </w:rPr>
              <w:t>水质</w:t>
            </w:r>
            <w:r>
              <w:rPr>
                <w:rFonts w:hint="default" w:ascii="Times New Roman" w:hAnsi="Times New Roman"/>
                <w:color w:val="auto"/>
                <w:lang w:val="en-US" w:eastAsia="zh-CN"/>
              </w:rPr>
              <w:t>周报》</w:t>
            </w:r>
            <w:r>
              <w:rPr>
                <w:rFonts w:hint="default" w:ascii="Times New Roman" w:hAnsi="Times New Roman" w:eastAsia="宋体" w:cs="宋体"/>
                <w:color w:val="auto"/>
                <w:lang w:val="en-US" w:eastAsia="zh-CN"/>
              </w:rPr>
              <w:t>，</w:t>
            </w:r>
            <w:r>
              <w:rPr>
                <w:rFonts w:hint="eastAsia" w:ascii="Times New Roman" w:hAnsi="Times New Roman" w:eastAsia="宋体" w:cs="宋体"/>
                <w:color w:val="auto"/>
                <w:lang w:val="en-US" w:eastAsia="zh-CN"/>
              </w:rPr>
              <w:t>2026年第19周</w:t>
            </w:r>
            <w:r>
              <w:rPr>
                <w:rFonts w:hint="default" w:ascii="Times New Roman" w:hAnsi="Times New Roman" w:eastAsia="宋体" w:cs="宋体"/>
                <w:color w:val="auto"/>
                <w:lang w:val="en-US" w:eastAsia="zh-CN"/>
              </w:rPr>
              <w:t>福州文山里（干流，乌龙江段代表）</w:t>
            </w:r>
            <w:r>
              <w:rPr>
                <w:rFonts w:hint="eastAsia" w:ascii="Times New Roman" w:hAnsi="Times New Roman" w:eastAsia="宋体" w:cs="宋体"/>
                <w:color w:val="auto"/>
                <w:lang w:val="en-US" w:eastAsia="zh-CN"/>
              </w:rPr>
              <w:t>水质各污染物因子达到《地表水环境质量标准》Ⅲ类水质标准，详见图3.2-1。</w:t>
            </w:r>
          </w:p>
          <w:p w14:paraId="6FFE70B5">
            <w:pPr>
              <w:pStyle w:val="22"/>
              <w:bidi w:val="0"/>
              <w:spacing w:line="240" w:lineRule="auto"/>
              <w:ind w:left="0" w:leftChars="0" w:firstLine="0" w:firstLineChars="0"/>
              <w:rPr>
                <w:rFonts w:hint="default" w:ascii="Times New Roman" w:hAnsi="Times New Roman"/>
                <w:color w:val="auto"/>
                <w:lang w:val="en-US" w:eastAsia="zh-CN"/>
              </w:rPr>
            </w:pPr>
            <w:r>
              <w:rPr>
                <w:color w:val="auto"/>
              </w:rPr>
              <w:drawing>
                <wp:inline distT="0" distB="0" distL="114300" distR="114300">
                  <wp:extent cx="5092700" cy="2553970"/>
                  <wp:effectExtent l="0" t="0" r="12700" b="17780"/>
                  <wp:docPr id="1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3"/>
                          <pic:cNvPicPr>
                            <a:picLocks noChangeAspect="1"/>
                          </pic:cNvPicPr>
                        </pic:nvPicPr>
                        <pic:blipFill>
                          <a:blip r:embed="rId16"/>
                          <a:stretch>
                            <a:fillRect/>
                          </a:stretch>
                        </pic:blipFill>
                        <pic:spPr>
                          <a:xfrm>
                            <a:off x="0" y="0"/>
                            <a:ext cx="5092700" cy="2553970"/>
                          </a:xfrm>
                          <a:prstGeom prst="rect">
                            <a:avLst/>
                          </a:prstGeom>
                          <a:noFill/>
                          <a:ln>
                            <a:noFill/>
                          </a:ln>
                        </pic:spPr>
                      </pic:pic>
                    </a:graphicData>
                  </a:graphic>
                </wp:inline>
              </w:drawing>
            </w:r>
          </w:p>
          <w:p w14:paraId="4DC7B94B">
            <w:pPr>
              <w:pStyle w:val="27"/>
              <w:bidi w:val="0"/>
              <w:ind w:firstLine="482" w:firstLineChars="200"/>
              <w:rPr>
                <w:rFonts w:hint="eastAsia" w:ascii="Times New Roman" w:hAnsi="Times New Roman"/>
                <w:color w:val="auto"/>
                <w:lang w:val="en-US" w:eastAsia="zh-CN"/>
              </w:rPr>
            </w:pPr>
            <w:r>
              <w:rPr>
                <w:rFonts w:hint="eastAsia" w:ascii="Times New Roman" w:hAnsi="Times New Roman"/>
                <w:color w:val="auto"/>
                <w:lang w:val="en-US" w:eastAsia="zh-CN"/>
              </w:rPr>
              <w:t>图3.2-1</w:t>
            </w:r>
            <w:r>
              <w:rPr>
                <w:rFonts w:hint="eastAsia"/>
                <w:color w:val="auto"/>
                <w:lang w:val="en-US" w:eastAsia="zh-CN"/>
              </w:rPr>
              <w:t xml:space="preserve">  </w:t>
            </w:r>
            <w:r>
              <w:rPr>
                <w:rFonts w:hint="eastAsia" w:ascii="Times New Roman" w:hAnsi="Times New Roman"/>
                <w:color w:val="auto"/>
                <w:lang w:val="en-US" w:eastAsia="zh-CN"/>
              </w:rPr>
              <w:t>福建省生态环境厅《水质周报》截图</w:t>
            </w:r>
          </w:p>
          <w:p w14:paraId="07A5E24B">
            <w:pPr>
              <w:pStyle w:val="22"/>
              <w:bidi w:val="0"/>
              <w:ind w:firstLine="480" w:firstLineChars="200"/>
              <w:rPr>
                <w:rFonts w:hint="default" w:ascii="Times New Roman" w:hAnsi="Times New Roman"/>
                <w:color w:val="auto"/>
                <w:lang w:val="en-US" w:eastAsia="zh-CN"/>
              </w:rPr>
            </w:pPr>
            <w:r>
              <w:rPr>
                <w:rFonts w:hint="eastAsia" w:ascii="Times New Roman" w:hAnsi="Times New Roman"/>
                <w:color w:val="auto"/>
                <w:lang w:val="en-US" w:eastAsia="zh-CN"/>
              </w:rPr>
              <w:t>（2）</w:t>
            </w:r>
            <w:r>
              <w:rPr>
                <w:rFonts w:hint="default" w:ascii="Times New Roman" w:hAnsi="Times New Roman"/>
                <w:color w:val="auto"/>
                <w:lang w:val="en-US" w:eastAsia="zh-CN"/>
              </w:rPr>
              <w:t>引用资料的有效性分析</w:t>
            </w:r>
          </w:p>
          <w:p w14:paraId="2D8F99C5">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根据《建设项目环境影响报告表编制技术指南</w:t>
            </w:r>
            <w:r>
              <w:rPr>
                <w:rFonts w:hint="eastAsia" w:ascii="Times New Roman" w:hAnsi="Times New Roman"/>
                <w:color w:val="auto"/>
                <w:lang w:val="en-US" w:eastAsia="zh-CN"/>
              </w:rPr>
              <w:t>（</w:t>
            </w:r>
            <w:r>
              <w:rPr>
                <w:rFonts w:hint="default" w:ascii="Times New Roman" w:hAnsi="Times New Roman"/>
                <w:color w:val="auto"/>
                <w:lang w:val="en-US" w:eastAsia="zh-CN"/>
              </w:rPr>
              <w:t>污染影响类</w:t>
            </w:r>
            <w:r>
              <w:rPr>
                <w:rFonts w:hint="eastAsia" w:ascii="Times New Roman" w:hAnsi="Times New Roman"/>
                <w:color w:val="auto"/>
                <w:lang w:val="en-US" w:eastAsia="zh-CN"/>
              </w:rPr>
              <w:t>）（</w:t>
            </w:r>
            <w:r>
              <w:rPr>
                <w:rFonts w:hint="default" w:ascii="Times New Roman" w:hAnsi="Times New Roman"/>
                <w:color w:val="auto"/>
                <w:lang w:val="en-US" w:eastAsia="zh-CN"/>
              </w:rPr>
              <w:t>试行</w:t>
            </w:r>
            <w:r>
              <w:rPr>
                <w:rFonts w:hint="eastAsia" w:ascii="Times New Roman" w:hAnsi="Times New Roman"/>
                <w:color w:val="auto"/>
                <w:lang w:val="en-US" w:eastAsia="zh-CN"/>
              </w:rPr>
              <w:t>）</w:t>
            </w:r>
            <w:r>
              <w:rPr>
                <w:rFonts w:hint="default" w:ascii="Times New Roman" w:hAnsi="Times New Roman"/>
                <w:color w:val="auto"/>
                <w:lang w:val="en-US" w:eastAsia="zh-CN"/>
              </w:rPr>
              <w:t>》</w:t>
            </w:r>
            <w:r>
              <w:rPr>
                <w:rFonts w:hint="eastAsia" w:ascii="Times New Roman" w:hAnsi="Times New Roman"/>
                <w:color w:val="auto"/>
                <w:lang w:val="en-US" w:eastAsia="zh-CN"/>
              </w:rPr>
              <w:t>（</w:t>
            </w:r>
            <w:r>
              <w:rPr>
                <w:rFonts w:hint="default" w:ascii="Times New Roman" w:hAnsi="Times New Roman"/>
                <w:color w:val="auto"/>
                <w:lang w:val="en-US" w:eastAsia="zh-CN"/>
              </w:rPr>
              <w:t>环办环评〔2020〕33号</w:t>
            </w:r>
            <w:r>
              <w:rPr>
                <w:rFonts w:hint="eastAsia" w:ascii="Times New Roman" w:hAnsi="Times New Roman"/>
                <w:color w:val="auto"/>
                <w:lang w:val="en-US" w:eastAsia="zh-CN"/>
              </w:rPr>
              <w:t>）</w:t>
            </w:r>
            <w:r>
              <w:rPr>
                <w:rFonts w:hint="default" w:ascii="Times New Roman" w:hAnsi="Times New Roman"/>
                <w:color w:val="auto"/>
                <w:lang w:val="en-US" w:eastAsia="zh-CN"/>
              </w:rPr>
              <w:t>的要求：</w:t>
            </w:r>
            <w:r>
              <w:rPr>
                <w:rFonts w:hint="eastAsia" w:ascii="Times New Roman" w:hAnsi="Times New Roman"/>
                <w:color w:val="auto"/>
                <w:lang w:val="en-US" w:eastAsia="zh-CN"/>
              </w:rPr>
              <w:t>“</w:t>
            </w:r>
            <w:r>
              <w:rPr>
                <w:rFonts w:hint="default" w:ascii="Times New Roman" w:hAnsi="Times New Roman"/>
                <w:color w:val="auto"/>
                <w:lang w:val="en-US" w:eastAsia="zh-CN"/>
              </w:rPr>
              <w:t>地表水环境区域环境质量现状引用与建设项目距离近的有效数据，包括近3年的规划环境影响评价的监测数据，所在流域控制单元内国家、地方控制断面监测数据，生态环境主管部门发布的水环境质量数据或地表水达标情况的结论</w:t>
            </w:r>
            <w:r>
              <w:rPr>
                <w:rFonts w:hint="eastAsia" w:ascii="Times New Roman" w:hAnsi="Times New Roman"/>
                <w:color w:val="auto"/>
                <w:lang w:val="en-US" w:eastAsia="zh-CN"/>
              </w:rPr>
              <w:t>”</w:t>
            </w:r>
            <w:r>
              <w:rPr>
                <w:rFonts w:hint="default" w:ascii="Times New Roman" w:hAnsi="Times New Roman"/>
                <w:color w:val="auto"/>
                <w:lang w:val="en-US" w:eastAsia="zh-CN"/>
              </w:rPr>
              <w:t>。</w:t>
            </w:r>
            <w:r>
              <w:rPr>
                <w:rFonts w:hint="eastAsia"/>
                <w:color w:val="auto"/>
                <w:lang w:val="en-US" w:eastAsia="zh-CN"/>
              </w:rPr>
              <w:t>本次</w:t>
            </w:r>
            <w:r>
              <w:rPr>
                <w:rFonts w:hint="default" w:ascii="Times New Roman" w:hAnsi="Times New Roman"/>
                <w:color w:val="auto"/>
                <w:lang w:val="en-US" w:eastAsia="zh-CN"/>
              </w:rPr>
              <w:t>评价数据有效，符合《建设项目环境影响报告表编制技术指南</w:t>
            </w:r>
            <w:r>
              <w:rPr>
                <w:rFonts w:hint="eastAsia" w:ascii="Times New Roman" w:hAnsi="Times New Roman"/>
                <w:color w:val="auto"/>
                <w:lang w:val="en-US" w:eastAsia="zh-CN"/>
              </w:rPr>
              <w:t>（</w:t>
            </w:r>
            <w:r>
              <w:rPr>
                <w:rFonts w:hint="default" w:ascii="Times New Roman" w:hAnsi="Times New Roman"/>
                <w:color w:val="auto"/>
                <w:lang w:val="en-US" w:eastAsia="zh-CN"/>
              </w:rPr>
              <w:t>污染影响类</w:t>
            </w:r>
            <w:r>
              <w:rPr>
                <w:rFonts w:hint="eastAsia" w:ascii="Times New Roman" w:hAnsi="Times New Roman"/>
                <w:color w:val="auto"/>
                <w:lang w:val="en-US" w:eastAsia="zh-CN"/>
              </w:rPr>
              <w:t>）（</w:t>
            </w:r>
            <w:r>
              <w:rPr>
                <w:rFonts w:hint="default" w:ascii="Times New Roman" w:hAnsi="Times New Roman"/>
                <w:color w:val="auto"/>
                <w:lang w:val="en-US" w:eastAsia="zh-CN"/>
              </w:rPr>
              <w:t>试行</w:t>
            </w:r>
            <w:r>
              <w:rPr>
                <w:rFonts w:hint="eastAsia" w:ascii="Times New Roman" w:hAnsi="Times New Roman"/>
                <w:color w:val="auto"/>
                <w:lang w:val="en-US" w:eastAsia="zh-CN"/>
              </w:rPr>
              <w:t>）</w:t>
            </w:r>
            <w:r>
              <w:rPr>
                <w:rFonts w:hint="default" w:ascii="Times New Roman" w:hAnsi="Times New Roman"/>
                <w:color w:val="auto"/>
                <w:lang w:val="en-US" w:eastAsia="zh-CN"/>
              </w:rPr>
              <w:t>》</w:t>
            </w:r>
            <w:r>
              <w:rPr>
                <w:rFonts w:hint="eastAsia" w:ascii="Times New Roman" w:hAnsi="Times New Roman"/>
                <w:color w:val="auto"/>
                <w:lang w:val="en-US" w:eastAsia="zh-CN"/>
              </w:rPr>
              <w:t>（</w:t>
            </w:r>
            <w:r>
              <w:rPr>
                <w:rFonts w:hint="default" w:ascii="Times New Roman" w:hAnsi="Times New Roman"/>
                <w:color w:val="auto"/>
                <w:lang w:val="en-US" w:eastAsia="zh-CN"/>
              </w:rPr>
              <w:t>环办环评〔2020〕33号</w:t>
            </w:r>
            <w:r>
              <w:rPr>
                <w:rFonts w:hint="eastAsia" w:ascii="Times New Roman" w:hAnsi="Times New Roman"/>
                <w:color w:val="auto"/>
                <w:lang w:val="en-US" w:eastAsia="zh-CN"/>
              </w:rPr>
              <w:t>）</w:t>
            </w:r>
            <w:r>
              <w:rPr>
                <w:rFonts w:hint="default" w:ascii="Times New Roman" w:hAnsi="Times New Roman"/>
                <w:color w:val="auto"/>
                <w:lang w:val="en-US" w:eastAsia="zh-CN"/>
              </w:rPr>
              <w:t>的要求。</w:t>
            </w:r>
          </w:p>
          <w:p w14:paraId="52BA6B22">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bookmarkStart w:id="61" w:name="_Toc26680"/>
            <w:bookmarkStart w:id="62" w:name="_Toc15567"/>
            <w:r>
              <w:rPr>
                <w:rFonts w:hint="eastAsia" w:ascii="Times New Roman" w:hAnsi="Times New Roman" w:eastAsia="宋体" w:cs="Times New Roman"/>
                <w:b/>
                <w:color w:val="auto"/>
                <w:kern w:val="2"/>
                <w:sz w:val="28"/>
                <w:szCs w:val="24"/>
                <w:lang w:val="en-US" w:eastAsia="zh-CN" w:bidi="ar-SA"/>
              </w:rPr>
              <w:t>3.3声环境质量现状</w:t>
            </w:r>
            <w:bookmarkEnd w:id="61"/>
            <w:bookmarkEnd w:id="62"/>
          </w:p>
          <w:p w14:paraId="5FF26CBA">
            <w:pPr>
              <w:keepNext/>
              <w:keepLines/>
              <w:widowControl w:val="0"/>
              <w:bidi w:val="0"/>
              <w:spacing w:beforeLines="0" w:beforeAutospacing="0" w:afterLines="0" w:afterAutospacing="0" w:line="360" w:lineRule="auto"/>
              <w:ind w:firstLine="482" w:firstLineChars="200"/>
              <w:jc w:val="left"/>
              <w:outlineLvl w:val="2"/>
              <w:rPr>
                <w:rFonts w:hint="default" w:ascii="Times New Roman" w:hAnsi="Times New Roman" w:eastAsia="宋体" w:cs="Times New Roman"/>
                <w:b/>
                <w:color w:val="auto"/>
                <w:kern w:val="2"/>
                <w:sz w:val="24"/>
                <w:szCs w:val="24"/>
                <w:lang w:val="en-US" w:eastAsia="zh-CN" w:bidi="ar-SA"/>
              </w:rPr>
            </w:pPr>
            <w:bookmarkStart w:id="63" w:name="_Toc2075"/>
            <w:r>
              <w:rPr>
                <w:rFonts w:hint="eastAsia" w:ascii="Times New Roman" w:hAnsi="Times New Roman" w:eastAsia="宋体" w:cs="Times New Roman"/>
                <w:b/>
                <w:color w:val="auto"/>
                <w:kern w:val="2"/>
                <w:sz w:val="24"/>
                <w:szCs w:val="24"/>
                <w:lang w:val="en-US" w:eastAsia="zh-CN" w:bidi="ar-SA"/>
              </w:rPr>
              <w:t>3.3.1声环境功能区划</w:t>
            </w:r>
            <w:bookmarkEnd w:id="63"/>
          </w:p>
          <w:p w14:paraId="070BC5A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w:t>
            </w:r>
            <w:r>
              <w:rPr>
                <w:rFonts w:hint="eastAsia" w:ascii="Times New Roman" w:hAnsi="Times New Roman" w:eastAsia="宋体" w:cs="宋体"/>
                <w:color w:val="auto"/>
                <w:kern w:val="2"/>
                <w:sz w:val="24"/>
                <w:szCs w:val="24"/>
                <w:lang w:val="en-US" w:eastAsia="zh-CN" w:bidi="ar-SA"/>
              </w:rPr>
              <w:t>位于</w:t>
            </w:r>
            <w:r>
              <w:rPr>
                <w:rFonts w:hint="eastAsia" w:cs="宋体"/>
                <w:color w:val="auto"/>
                <w:kern w:val="2"/>
                <w:sz w:val="24"/>
                <w:szCs w:val="24"/>
                <w:lang w:val="en-US" w:eastAsia="zh-CN" w:bidi="ar-SA"/>
              </w:rPr>
              <w:t>福建省福州市闽侯县上街镇高新大道巨泽中心1号楼2层、2号楼2-3层和3号楼2、4层</w:t>
            </w:r>
            <w:r>
              <w:rPr>
                <w:rFonts w:hint="default"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项目周边以工业生产、仓储物流为主要功能的区域，项目所在区域声环境为3类功能区，声环境功能执行《声环境质量标准》</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GB3096-2008</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表1中3类标准</w:t>
            </w:r>
            <w:r>
              <w:rPr>
                <w:rFonts w:hint="eastAsia" w:ascii="Times New Roman" w:hAnsi="Times New Roman" w:eastAsia="宋体" w:cs="Times New Roman"/>
                <w:color w:val="auto"/>
                <w:sz w:val="24"/>
                <w:highlight w:val="none"/>
                <w:lang w:val="en-US" w:eastAsia="zh-CN"/>
              </w:rPr>
              <w:t>。</w:t>
            </w:r>
          </w:p>
          <w:p w14:paraId="41814960">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表3.3-1</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《声环境质量标准》（GB3096-2008）</w:t>
            </w:r>
          </w:p>
          <w:tbl>
            <w:tblPr>
              <w:tblStyle w:val="19"/>
              <w:tblW w:w="4999"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3822"/>
              <w:gridCol w:w="1304"/>
              <w:gridCol w:w="1386"/>
            </w:tblGrid>
            <w:tr w14:paraId="6623C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5" w:type="pct"/>
                  <w:vMerge w:val="restart"/>
                  <w:tcBorders>
                    <w:tl2br w:val="nil"/>
                    <w:tr2bl w:val="nil"/>
                  </w:tcBorders>
                  <w:noWrap w:val="0"/>
                  <w:vAlign w:val="center"/>
                </w:tcPr>
                <w:p w14:paraId="3BC39D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标准类别</w:t>
                  </w:r>
                </w:p>
              </w:tc>
              <w:tc>
                <w:tcPr>
                  <w:tcW w:w="2367" w:type="pct"/>
                  <w:vMerge w:val="restart"/>
                  <w:tcBorders>
                    <w:tl2br w:val="nil"/>
                    <w:tr2bl w:val="nil"/>
                  </w:tcBorders>
                  <w:noWrap w:val="0"/>
                  <w:vAlign w:val="center"/>
                </w:tcPr>
                <w:p w14:paraId="5036F9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适用区域</w:t>
                  </w:r>
                </w:p>
              </w:tc>
              <w:tc>
                <w:tcPr>
                  <w:tcW w:w="1666" w:type="pct"/>
                  <w:gridSpan w:val="2"/>
                  <w:tcBorders>
                    <w:tl2br w:val="nil"/>
                    <w:tr2bl w:val="nil"/>
                  </w:tcBorders>
                  <w:noWrap w:val="0"/>
                  <w:vAlign w:val="center"/>
                </w:tcPr>
                <w:p w14:paraId="7BD40A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等效声级Leq</w:t>
                  </w:r>
                  <w:r>
                    <w:rPr>
                      <w:rFonts w:hint="eastAsia" w:ascii="Times New Roman" w:hAnsi="Times New Roman" w:eastAsia="宋体" w:cs="Times New Roman"/>
                      <w:b/>
                      <w:bCs/>
                      <w:color w:val="auto"/>
                      <w:kern w:val="0"/>
                      <w:sz w:val="21"/>
                      <w:szCs w:val="20"/>
                      <w:lang w:val="en-US" w:eastAsia="zh-CN" w:bidi="ar-SA"/>
                    </w:rPr>
                    <w:t>（</w:t>
                  </w:r>
                  <w:r>
                    <w:rPr>
                      <w:rFonts w:ascii="Times New Roman" w:hAnsi="Times New Roman" w:eastAsia="宋体" w:cs="Times New Roman"/>
                      <w:b/>
                      <w:bCs/>
                      <w:color w:val="auto"/>
                      <w:kern w:val="0"/>
                      <w:sz w:val="21"/>
                      <w:szCs w:val="20"/>
                      <w:lang w:val="en-US" w:eastAsia="zh-CN" w:bidi="ar-SA"/>
                    </w:rPr>
                    <w:t>dB</w:t>
                  </w:r>
                  <w:r>
                    <w:rPr>
                      <w:rFonts w:hint="eastAsia" w:ascii="Times New Roman" w:hAnsi="Times New Roman" w:eastAsia="宋体" w:cs="Times New Roman"/>
                      <w:b/>
                      <w:bCs/>
                      <w:color w:val="auto"/>
                      <w:kern w:val="0"/>
                      <w:sz w:val="21"/>
                      <w:szCs w:val="20"/>
                      <w:lang w:val="en-US" w:eastAsia="zh-CN" w:bidi="ar-SA"/>
                    </w:rPr>
                    <w:t>（</w:t>
                  </w:r>
                  <w:r>
                    <w:rPr>
                      <w:rFonts w:ascii="Times New Roman" w:hAnsi="Times New Roman" w:eastAsia="宋体" w:cs="Times New Roman"/>
                      <w:b/>
                      <w:bCs/>
                      <w:color w:val="auto"/>
                      <w:kern w:val="0"/>
                      <w:sz w:val="21"/>
                      <w:szCs w:val="20"/>
                      <w:lang w:val="en-US" w:eastAsia="zh-CN" w:bidi="ar-SA"/>
                    </w:rPr>
                    <w:t>A</w:t>
                  </w:r>
                  <w:r>
                    <w:rPr>
                      <w:rFonts w:hint="eastAsia" w:ascii="Times New Roman" w:hAnsi="Times New Roman" w:eastAsia="宋体" w:cs="Times New Roman"/>
                      <w:b/>
                      <w:bCs/>
                      <w:color w:val="auto"/>
                      <w:kern w:val="0"/>
                      <w:sz w:val="21"/>
                      <w:szCs w:val="20"/>
                      <w:lang w:val="en-US" w:eastAsia="zh-CN" w:bidi="ar-SA"/>
                    </w:rPr>
                    <w:t>））</w:t>
                  </w:r>
                </w:p>
              </w:tc>
            </w:tr>
            <w:tr w14:paraId="71BB0F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5" w:type="pct"/>
                  <w:vMerge w:val="continue"/>
                  <w:tcBorders>
                    <w:tl2br w:val="nil"/>
                    <w:tr2bl w:val="nil"/>
                  </w:tcBorders>
                  <w:noWrap w:val="0"/>
                  <w:vAlign w:val="center"/>
                </w:tcPr>
                <w:p w14:paraId="616A55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p>
              </w:tc>
              <w:tc>
                <w:tcPr>
                  <w:tcW w:w="2367" w:type="pct"/>
                  <w:vMerge w:val="continue"/>
                  <w:tcBorders>
                    <w:tl2br w:val="nil"/>
                    <w:tr2bl w:val="nil"/>
                  </w:tcBorders>
                  <w:noWrap w:val="0"/>
                  <w:vAlign w:val="center"/>
                </w:tcPr>
                <w:p w14:paraId="1E5011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p>
              </w:tc>
              <w:tc>
                <w:tcPr>
                  <w:tcW w:w="808" w:type="pct"/>
                  <w:tcBorders>
                    <w:tl2br w:val="nil"/>
                    <w:tr2bl w:val="nil"/>
                  </w:tcBorders>
                  <w:noWrap w:val="0"/>
                  <w:vAlign w:val="center"/>
                </w:tcPr>
                <w:p w14:paraId="77F8EC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昼间</w:t>
                  </w:r>
                </w:p>
              </w:tc>
              <w:tc>
                <w:tcPr>
                  <w:tcW w:w="857" w:type="pct"/>
                  <w:tcBorders>
                    <w:tl2br w:val="nil"/>
                    <w:tr2bl w:val="nil"/>
                  </w:tcBorders>
                  <w:noWrap w:val="0"/>
                  <w:vAlign w:val="center"/>
                </w:tcPr>
                <w:p w14:paraId="530F99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夜间</w:t>
                  </w:r>
                </w:p>
              </w:tc>
            </w:tr>
            <w:tr w14:paraId="4C44A4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5" w:type="pct"/>
                  <w:tcBorders>
                    <w:tl2br w:val="nil"/>
                    <w:tr2bl w:val="nil"/>
                  </w:tcBorders>
                  <w:noWrap w:val="0"/>
                  <w:vAlign w:val="center"/>
                </w:tcPr>
                <w:p w14:paraId="335008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w:t>
                  </w:r>
                  <w:r>
                    <w:rPr>
                      <w:rFonts w:hint="eastAsia" w:ascii="Times New Roman" w:hAnsi="Times New Roman" w:eastAsia="宋体" w:cs="Times New Roman"/>
                      <w:color w:val="auto"/>
                      <w:kern w:val="0"/>
                      <w:sz w:val="21"/>
                      <w:szCs w:val="20"/>
                      <w:lang w:val="en-US" w:eastAsia="zh-CN" w:bidi="ar-SA"/>
                    </w:rPr>
                    <w:t>类</w:t>
                  </w:r>
                </w:p>
              </w:tc>
              <w:tc>
                <w:tcPr>
                  <w:tcW w:w="2367" w:type="pct"/>
                  <w:tcBorders>
                    <w:tl2br w:val="nil"/>
                    <w:tr2bl w:val="nil"/>
                  </w:tcBorders>
                  <w:noWrap w:val="0"/>
                  <w:vAlign w:val="center"/>
                </w:tcPr>
                <w:p w14:paraId="6EC126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指以工业生产、仓储物流为主要功能，需要防止工业噪声对周围环境产生严重影响的区域。</w:t>
                  </w:r>
                </w:p>
              </w:tc>
              <w:tc>
                <w:tcPr>
                  <w:tcW w:w="808" w:type="pct"/>
                  <w:tcBorders>
                    <w:tl2br w:val="nil"/>
                    <w:tr2bl w:val="nil"/>
                  </w:tcBorders>
                  <w:noWrap w:val="0"/>
                  <w:vAlign w:val="center"/>
                </w:tcPr>
                <w:p w14:paraId="237A00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≤65</w:t>
                  </w:r>
                </w:p>
              </w:tc>
              <w:tc>
                <w:tcPr>
                  <w:tcW w:w="857" w:type="pct"/>
                  <w:tcBorders>
                    <w:tl2br w:val="nil"/>
                    <w:tr2bl w:val="nil"/>
                  </w:tcBorders>
                  <w:noWrap w:val="0"/>
                  <w:vAlign w:val="center"/>
                </w:tcPr>
                <w:p w14:paraId="244914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w:t>
                  </w:r>
                  <w:r>
                    <w:rPr>
                      <w:rFonts w:hint="eastAsia" w:ascii="Times New Roman" w:hAnsi="Times New Roman" w:eastAsia="宋体" w:cs="Times New Roman"/>
                      <w:color w:val="auto"/>
                      <w:kern w:val="0"/>
                      <w:sz w:val="21"/>
                      <w:szCs w:val="20"/>
                      <w:lang w:val="en-US" w:eastAsia="zh-CN" w:bidi="ar-SA"/>
                    </w:rPr>
                    <w:t>55</w:t>
                  </w:r>
                </w:p>
              </w:tc>
            </w:tr>
          </w:tbl>
          <w:p w14:paraId="7D02201B">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64" w:name="_Toc30670"/>
            <w:r>
              <w:rPr>
                <w:rFonts w:hint="eastAsia" w:ascii="Times New Roman" w:hAnsi="Times New Roman" w:eastAsia="宋体" w:cs="Times New Roman"/>
                <w:b/>
                <w:color w:val="auto"/>
                <w:kern w:val="2"/>
                <w:sz w:val="24"/>
                <w:szCs w:val="24"/>
                <w:lang w:val="en-US" w:eastAsia="zh-CN" w:bidi="ar-SA"/>
              </w:rPr>
              <w:t>3.3.2声环境质量现状</w:t>
            </w:r>
            <w:bookmarkEnd w:id="64"/>
          </w:p>
          <w:p w14:paraId="3C3E60B2">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根据《建设项目环境影响报告表编制技术指南（污染影响类）》</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环办环评〔2020〕33号</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要求，</w:t>
            </w:r>
            <w:r>
              <w:rPr>
                <w:rFonts w:hint="eastAsia" w:ascii="Times New Roman" w:hAnsi="Times New Roman" w:eastAsia="宋体" w:cs="宋体"/>
                <w:color w:val="auto"/>
                <w:kern w:val="2"/>
                <w:sz w:val="24"/>
                <w:szCs w:val="24"/>
                <w:lang w:val="en-US" w:eastAsia="zh-CN" w:bidi="ar-SA"/>
              </w:rPr>
              <w:t>“厂界外周边50米范围内存在声环境保护目标的建设项目，应监测保护目标声环境质量现状并评价达标情况。”</w:t>
            </w:r>
            <w:r>
              <w:rPr>
                <w:rFonts w:ascii="Times New Roman" w:hAnsi="Times New Roman" w:eastAsia="宋体" w:cs="宋体"/>
                <w:color w:val="auto"/>
                <w:kern w:val="2"/>
                <w:sz w:val="24"/>
                <w:szCs w:val="24"/>
                <w:lang w:val="en-US" w:eastAsia="zh-CN" w:bidi="ar-SA"/>
              </w:rPr>
              <w:t>根据现场踏勘可知，项目周边50米范围内无声环境保护目标，可不进行声环境质量现状的监测。</w:t>
            </w:r>
          </w:p>
          <w:p w14:paraId="15B81327">
            <w:pPr>
              <w:keepNext/>
              <w:keepLines/>
              <w:widowControl w:val="0"/>
              <w:bidi w:val="0"/>
              <w:spacing w:beforeLines="0" w:beforeAutospacing="0" w:afterLines="0" w:afterAutospacing="0" w:line="360" w:lineRule="auto"/>
              <w:ind w:firstLine="562" w:firstLineChars="200"/>
              <w:jc w:val="left"/>
              <w:textAlignment w:val="center"/>
              <w:outlineLvl w:val="1"/>
              <w:rPr>
                <w:rFonts w:ascii="Times New Roman" w:hAnsi="Times New Roman" w:eastAsia="宋体" w:cs="Times New Roman"/>
                <w:b/>
                <w:color w:val="auto"/>
                <w:kern w:val="2"/>
                <w:sz w:val="28"/>
                <w:szCs w:val="24"/>
                <w:lang w:val="en-US" w:eastAsia="zh-CN" w:bidi="ar-SA"/>
              </w:rPr>
            </w:pPr>
            <w:bookmarkStart w:id="65" w:name="_Toc11103"/>
            <w:bookmarkStart w:id="66" w:name="_Toc5823"/>
            <w:r>
              <w:rPr>
                <w:rFonts w:ascii="Times New Roman" w:hAnsi="Times New Roman" w:eastAsia="宋体" w:cs="Times New Roman"/>
                <w:b/>
                <w:color w:val="auto"/>
                <w:kern w:val="2"/>
                <w:sz w:val="28"/>
                <w:szCs w:val="24"/>
                <w:lang w:val="en-US" w:eastAsia="zh-CN" w:bidi="ar-SA"/>
              </w:rPr>
              <w:t>3.4生态环境现状调查</w:t>
            </w:r>
            <w:bookmarkEnd w:id="65"/>
            <w:bookmarkEnd w:id="66"/>
          </w:p>
          <w:p w14:paraId="7CDABEBD">
            <w:pPr>
              <w:widowControl w:val="0"/>
              <w:bidi w:val="0"/>
              <w:spacing w:line="360" w:lineRule="auto"/>
              <w:ind w:firstLine="480" w:firstLineChars="200"/>
              <w:jc w:val="both"/>
              <w:rPr>
                <w:rFonts w:ascii="Times New Roman" w:hAnsi="Times New Roman" w:eastAsia="宋体" w:cs="宋体"/>
                <w:color w:val="auto"/>
                <w:kern w:val="2"/>
                <w:sz w:val="24"/>
                <w:szCs w:val="24"/>
                <w:lang w:val="zh-CN" w:eastAsia="zh-CN" w:bidi="ar-SA"/>
              </w:rPr>
            </w:pPr>
            <w:r>
              <w:rPr>
                <w:rFonts w:ascii="Times New Roman" w:hAnsi="Times New Roman" w:eastAsia="宋体" w:cs="宋体"/>
                <w:color w:val="auto"/>
                <w:kern w:val="2"/>
                <w:sz w:val="24"/>
                <w:szCs w:val="24"/>
                <w:lang w:val="en-US" w:eastAsia="zh-CN" w:bidi="ar-SA"/>
              </w:rPr>
              <w:t>根据现场勘查，目前</w:t>
            </w:r>
            <w:r>
              <w:rPr>
                <w:rFonts w:hint="eastAsia" w:ascii="Times New Roman" w:hAnsi="Times New Roman" w:eastAsia="宋体" w:cs="宋体"/>
                <w:color w:val="auto"/>
                <w:kern w:val="2"/>
                <w:sz w:val="24"/>
                <w:szCs w:val="24"/>
                <w:lang w:val="en-US" w:eastAsia="zh-CN" w:bidi="ar-SA"/>
              </w:rPr>
              <w:t>本项目利用现有地块内的建筑物，</w:t>
            </w:r>
            <w:r>
              <w:rPr>
                <w:rFonts w:ascii="Times New Roman" w:hAnsi="Times New Roman" w:eastAsia="宋体" w:cs="宋体"/>
                <w:color w:val="auto"/>
                <w:kern w:val="2"/>
                <w:sz w:val="24"/>
                <w:szCs w:val="24"/>
                <w:lang w:val="zh-CN" w:eastAsia="zh-CN" w:bidi="ar-SA"/>
              </w:rPr>
              <w:t>项目用地周边为城市道路、其他企业等，项目评价区域主要植被为草坪、行道树等景观树种，主要动物为常见的蛙类、鸟类和昆虫类等，评价区域内无珍稀濒危物种、自然保护区、风景名胜区等生态敏感目标。调查区域也未发现国家重点保护的野生动植物等，因此，本环评不对生态环境现状进行评价</w:t>
            </w:r>
            <w:r>
              <w:rPr>
                <w:rFonts w:ascii="Times New Roman" w:hAnsi="Times New Roman" w:eastAsia="宋体" w:cs="宋体"/>
                <w:color w:val="auto"/>
                <w:kern w:val="2"/>
                <w:sz w:val="24"/>
                <w:szCs w:val="24"/>
                <w:lang w:val="en-US" w:eastAsia="zh-CN" w:bidi="ar-SA"/>
              </w:rPr>
              <w:t>。</w:t>
            </w:r>
          </w:p>
          <w:p w14:paraId="1A1107FD">
            <w:pPr>
              <w:keepNext/>
              <w:keepLines/>
              <w:widowControl w:val="0"/>
              <w:bidi w:val="0"/>
              <w:spacing w:beforeLines="0" w:beforeAutospacing="0" w:afterLines="0" w:afterAutospacing="0" w:line="360" w:lineRule="auto"/>
              <w:ind w:firstLine="562" w:firstLineChars="200"/>
              <w:jc w:val="left"/>
              <w:textAlignment w:val="center"/>
              <w:outlineLvl w:val="1"/>
              <w:rPr>
                <w:rFonts w:ascii="Times New Roman" w:hAnsi="Times New Roman" w:eastAsia="宋体" w:cs="Times New Roman"/>
                <w:b/>
                <w:color w:val="auto"/>
                <w:kern w:val="2"/>
                <w:sz w:val="28"/>
                <w:szCs w:val="24"/>
                <w:lang w:val="en-US" w:eastAsia="zh-CN" w:bidi="ar-SA"/>
              </w:rPr>
            </w:pPr>
            <w:bookmarkStart w:id="67" w:name="_Toc10453"/>
            <w:bookmarkStart w:id="68" w:name="_Toc3033"/>
            <w:bookmarkStart w:id="69" w:name="_Toc25182"/>
            <w:r>
              <w:rPr>
                <w:rFonts w:ascii="Times New Roman" w:hAnsi="Times New Roman" w:eastAsia="宋体" w:cs="Times New Roman"/>
                <w:b/>
                <w:color w:val="auto"/>
                <w:kern w:val="2"/>
                <w:sz w:val="28"/>
                <w:szCs w:val="24"/>
                <w:lang w:val="en-US" w:eastAsia="zh-CN" w:bidi="ar-SA"/>
              </w:rPr>
              <w:t>3.5地下水、土壤环境质量现状</w:t>
            </w:r>
            <w:bookmarkEnd w:id="67"/>
            <w:bookmarkEnd w:id="68"/>
            <w:bookmarkEnd w:id="69"/>
          </w:p>
          <w:p w14:paraId="76DFCC30">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根据《建设项目环境影响报告表编制技术指南</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污染影响类</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试行</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环办环评〔2020〕33号</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规定，</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原则上不开展环境质量现状调查。建设项目存在土壤、地下水环境污染途径的，应结合污染源、保护目标分布情况开展现状调查以留作背景值</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w:t>
            </w:r>
          </w:p>
          <w:p w14:paraId="25620791">
            <w:pPr>
              <w:pStyle w:val="22"/>
              <w:bidi w:val="0"/>
              <w:ind w:firstLine="480" w:firstLineChars="200"/>
              <w:rPr>
                <w:rFonts w:hint="default" w:ascii="Times New Roman" w:hAnsi="Times New Roman"/>
                <w:color w:val="auto"/>
                <w:lang w:val="en-US" w:eastAsia="zh-CN"/>
              </w:rPr>
            </w:pPr>
            <w:r>
              <w:rPr>
                <w:rFonts w:ascii="Times New Roman" w:hAnsi="Times New Roman" w:eastAsia="宋体" w:cs="宋体"/>
                <w:color w:val="auto"/>
                <w:kern w:val="2"/>
                <w:sz w:val="24"/>
                <w:szCs w:val="24"/>
                <w:lang w:val="en-US" w:eastAsia="zh-CN" w:bidi="ar-SA"/>
              </w:rPr>
              <w:t>项目位于</w:t>
            </w:r>
            <w:r>
              <w:rPr>
                <w:rFonts w:hint="eastAsia" w:cs="宋体"/>
                <w:color w:val="auto"/>
                <w:kern w:val="2"/>
                <w:sz w:val="24"/>
                <w:szCs w:val="24"/>
                <w:lang w:val="en-US" w:eastAsia="zh-CN" w:bidi="ar-SA"/>
              </w:rPr>
              <w:t>福建省福州市闽侯县上街镇高新大道巨泽中心1号楼2层、2号楼2-3层和3号楼2、4层</w:t>
            </w:r>
            <w:r>
              <w:rPr>
                <w:rFonts w:ascii="Times New Roman" w:hAnsi="Times New Roman" w:eastAsia="宋体" w:cs="宋体"/>
                <w:color w:val="auto"/>
                <w:kern w:val="2"/>
                <w:sz w:val="24"/>
                <w:szCs w:val="24"/>
                <w:lang w:val="en-US" w:eastAsia="zh-CN" w:bidi="ar-SA"/>
              </w:rPr>
              <w:t>，根据现场勘查，周边以工业企业为主；项目周边地下水、土壤环境相对不敏感，采取有效的防渗措施后，项目对地下水、土壤环境影响很小，基本不存在土壤、地下水环境污染途径，因此，本评价不对项目地下水、土壤环境质量进行补充监测。</w:t>
            </w:r>
          </w:p>
        </w:tc>
      </w:tr>
      <w:tr w14:paraId="21D4A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773" w:type="dxa"/>
            <w:noWrap w:val="0"/>
            <w:vAlign w:val="center"/>
          </w:tcPr>
          <w:p w14:paraId="02830F2F">
            <w:pPr>
              <w:adjustRightInd w:val="0"/>
              <w:snapToGrid w:val="0"/>
              <w:jc w:val="both"/>
              <w:rPr>
                <w:rFonts w:hint="eastAsia" w:ascii="Times New Roman" w:hAnsi="Times New Roman" w:cs="宋体"/>
                <w:color w:val="auto"/>
                <w:kern w:val="0"/>
                <w:szCs w:val="21"/>
              </w:rPr>
            </w:pPr>
            <w:r>
              <w:rPr>
                <w:rFonts w:hint="eastAsia" w:ascii="Times New Roman" w:hAnsi="Times New Roman" w:cs="宋体"/>
                <w:color w:val="auto"/>
                <w:sz w:val="24"/>
                <w:szCs w:val="24"/>
              </w:rPr>
              <w:t>环境保护目标</w:t>
            </w:r>
          </w:p>
        </w:tc>
        <w:tc>
          <w:tcPr>
            <w:tcW w:w="8287" w:type="dxa"/>
            <w:noWrap w:val="0"/>
            <w:vAlign w:val="center"/>
          </w:tcPr>
          <w:p w14:paraId="780B48BF">
            <w:pPr>
              <w:keepNext/>
              <w:keepLines/>
              <w:widowControl w:val="0"/>
              <w:bidi w:val="0"/>
              <w:spacing w:beforeLines="0" w:beforeAutospacing="0" w:afterLines="0" w:afterAutospacing="0" w:line="360" w:lineRule="auto"/>
              <w:ind w:firstLine="562" w:firstLineChars="200"/>
              <w:jc w:val="left"/>
              <w:outlineLvl w:val="1"/>
              <w:rPr>
                <w:rFonts w:hint="default" w:ascii="Times New Roman" w:hAnsi="Times New Roman" w:eastAsia="宋体" w:cs="Times New Roman"/>
                <w:b/>
                <w:color w:val="auto"/>
                <w:kern w:val="2"/>
                <w:sz w:val="28"/>
                <w:szCs w:val="24"/>
                <w:lang w:val="en-US" w:eastAsia="zh-CN" w:bidi="ar-SA"/>
              </w:rPr>
            </w:pPr>
            <w:bookmarkStart w:id="70" w:name="_Toc4798"/>
            <w:bookmarkStart w:id="71" w:name="_Toc31553"/>
            <w:r>
              <w:rPr>
                <w:rFonts w:hint="eastAsia" w:ascii="Times New Roman" w:hAnsi="Times New Roman" w:eastAsia="宋体" w:cs="Times New Roman"/>
                <w:b/>
                <w:color w:val="auto"/>
                <w:kern w:val="2"/>
                <w:sz w:val="28"/>
                <w:szCs w:val="24"/>
                <w:lang w:val="en-US" w:eastAsia="zh-CN" w:bidi="ar-SA"/>
              </w:rPr>
              <w:t>3.6环境保护目标</w:t>
            </w:r>
            <w:bookmarkEnd w:id="70"/>
            <w:bookmarkEnd w:id="71"/>
          </w:p>
          <w:p w14:paraId="48DF4B95">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72" w:name="_Toc7719"/>
            <w:r>
              <w:rPr>
                <w:rFonts w:hint="eastAsia" w:ascii="Times New Roman" w:hAnsi="Times New Roman" w:eastAsia="宋体" w:cs="Times New Roman"/>
                <w:b/>
                <w:color w:val="auto"/>
                <w:kern w:val="2"/>
                <w:sz w:val="24"/>
                <w:szCs w:val="24"/>
                <w:lang w:val="en-US" w:eastAsia="zh-CN" w:bidi="ar-SA"/>
              </w:rPr>
              <w:t>3.6.1大气环境、水环境、声环境</w:t>
            </w:r>
            <w:bookmarkEnd w:id="72"/>
          </w:p>
          <w:p w14:paraId="60B50C38">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根据《建设项目环境影响报告表编制技术指南（污染影响类）（试行）》（环办环评〔2020〕33号）要求以及对项目周边环境的调查，本项目厂界外500米范围内的大气环境保护目标、50米范围内的声环境保护目标及500米范围内的地下环境保护目标见表3</w:t>
            </w:r>
            <w:r>
              <w:rPr>
                <w:rFonts w:hint="eastAsia" w:ascii="Times New Roman" w:hAnsi="Times New Roman" w:eastAsia="宋体" w:cs="宋体"/>
                <w:color w:val="auto"/>
                <w:kern w:val="2"/>
                <w:sz w:val="24"/>
                <w:szCs w:val="24"/>
                <w:lang w:val="en-US" w:eastAsia="zh-CN" w:bidi="ar-SA"/>
              </w:rPr>
              <w:t>.6-1</w:t>
            </w:r>
            <w:r>
              <w:rPr>
                <w:rFonts w:ascii="Times New Roman" w:hAnsi="Times New Roman" w:eastAsia="宋体" w:cs="宋体"/>
                <w:color w:val="auto"/>
                <w:kern w:val="2"/>
                <w:sz w:val="24"/>
                <w:szCs w:val="24"/>
                <w:lang w:val="en-US" w:eastAsia="zh-CN" w:bidi="ar-SA"/>
              </w:rPr>
              <w:t>。主要环境保护目标和本项目的位置关系见附图</w:t>
            </w:r>
            <w:r>
              <w:rPr>
                <w:rFonts w:hint="eastAsia" w:ascii="Times New Roman" w:hAnsi="Times New Roman" w:eastAsia="宋体" w:cs="宋体"/>
                <w:color w:val="auto"/>
                <w:kern w:val="2"/>
                <w:sz w:val="24"/>
                <w:szCs w:val="24"/>
                <w:lang w:val="en-US" w:eastAsia="zh-CN" w:bidi="ar-SA"/>
              </w:rPr>
              <w:t>2</w:t>
            </w:r>
            <w:r>
              <w:rPr>
                <w:rFonts w:ascii="Times New Roman" w:hAnsi="Times New Roman" w:eastAsia="宋体" w:cs="宋体"/>
                <w:color w:val="auto"/>
                <w:kern w:val="2"/>
                <w:sz w:val="24"/>
                <w:szCs w:val="24"/>
                <w:lang w:val="en-US" w:eastAsia="zh-CN" w:bidi="ar-SA"/>
              </w:rPr>
              <w:t>。</w:t>
            </w:r>
          </w:p>
          <w:p w14:paraId="486B6A97">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表3.6-1  环境保护目标一览表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0"/>
              <w:gridCol w:w="1940"/>
              <w:gridCol w:w="1115"/>
              <w:gridCol w:w="1302"/>
              <w:gridCol w:w="2191"/>
            </w:tblGrid>
            <w:tr w14:paraId="6BEE70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2" w:type="pct"/>
                  <w:tcBorders>
                    <w:tl2br w:val="nil"/>
                    <w:tr2bl w:val="nil"/>
                  </w:tcBorders>
                  <w:noWrap w:val="0"/>
                  <w:vAlign w:val="center"/>
                </w:tcPr>
                <w:p w14:paraId="7CDFB23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环境要素</w:t>
                  </w:r>
                </w:p>
              </w:tc>
              <w:tc>
                <w:tcPr>
                  <w:tcW w:w="1202" w:type="pct"/>
                  <w:tcBorders>
                    <w:tl2br w:val="nil"/>
                    <w:tr2bl w:val="nil"/>
                  </w:tcBorders>
                  <w:noWrap w:val="0"/>
                  <w:vAlign w:val="center"/>
                </w:tcPr>
                <w:p w14:paraId="5A7568B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敏感目标/环境保护目标</w:t>
                  </w:r>
                </w:p>
              </w:tc>
              <w:tc>
                <w:tcPr>
                  <w:tcW w:w="691" w:type="pct"/>
                  <w:tcBorders>
                    <w:tl2br w:val="nil"/>
                    <w:tr2bl w:val="nil"/>
                  </w:tcBorders>
                  <w:noWrap w:val="0"/>
                  <w:vAlign w:val="center"/>
                </w:tcPr>
                <w:p w14:paraId="1787179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方位</w:t>
                  </w:r>
                </w:p>
              </w:tc>
              <w:tc>
                <w:tcPr>
                  <w:tcW w:w="806" w:type="pct"/>
                  <w:tcBorders>
                    <w:tl2br w:val="nil"/>
                    <w:tr2bl w:val="nil"/>
                  </w:tcBorders>
                  <w:noWrap w:val="0"/>
                  <w:vAlign w:val="center"/>
                </w:tcPr>
                <w:p w14:paraId="506FD8E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与本项目距离</w:t>
                  </w:r>
                </w:p>
              </w:tc>
              <w:tc>
                <w:tcPr>
                  <w:tcW w:w="1357" w:type="pct"/>
                  <w:tcBorders>
                    <w:tl2br w:val="nil"/>
                    <w:tr2bl w:val="nil"/>
                  </w:tcBorders>
                  <w:noWrap w:val="0"/>
                  <w:vAlign w:val="center"/>
                </w:tcPr>
                <w:p w14:paraId="2F58969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环境功能</w:t>
                  </w:r>
                </w:p>
              </w:tc>
            </w:tr>
            <w:tr w14:paraId="34578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2" w:type="pct"/>
                  <w:tcBorders>
                    <w:tl2br w:val="nil"/>
                    <w:tr2bl w:val="nil"/>
                  </w:tcBorders>
                  <w:noWrap w:val="0"/>
                  <w:vAlign w:val="center"/>
                </w:tcPr>
                <w:p w14:paraId="48AD8D9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地表水环境</w:t>
                  </w:r>
                </w:p>
              </w:tc>
              <w:tc>
                <w:tcPr>
                  <w:tcW w:w="1202" w:type="pct"/>
                  <w:tcBorders>
                    <w:tl2br w:val="nil"/>
                    <w:tr2bl w:val="nil"/>
                  </w:tcBorders>
                  <w:noWrap w:val="0"/>
                  <w:vAlign w:val="center"/>
                </w:tcPr>
                <w:p w14:paraId="4C0ED89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溪源溪</w:t>
                  </w:r>
                </w:p>
              </w:tc>
              <w:tc>
                <w:tcPr>
                  <w:tcW w:w="691" w:type="pct"/>
                  <w:tcBorders>
                    <w:tl2br w:val="nil"/>
                    <w:tr2bl w:val="nil"/>
                  </w:tcBorders>
                  <w:noWrap w:val="0"/>
                  <w:vAlign w:val="center"/>
                </w:tcPr>
                <w:p w14:paraId="104A07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西南侧</w:t>
                  </w:r>
                </w:p>
              </w:tc>
              <w:tc>
                <w:tcPr>
                  <w:tcW w:w="806" w:type="pct"/>
                  <w:tcBorders>
                    <w:tl2br w:val="nil"/>
                    <w:tr2bl w:val="nil"/>
                  </w:tcBorders>
                  <w:noWrap w:val="0"/>
                  <w:vAlign w:val="center"/>
                </w:tcPr>
                <w:p w14:paraId="694CECE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356m</w:t>
                  </w:r>
                </w:p>
              </w:tc>
              <w:tc>
                <w:tcPr>
                  <w:tcW w:w="1357" w:type="pct"/>
                  <w:tcBorders>
                    <w:tl2br w:val="nil"/>
                    <w:tr2bl w:val="nil"/>
                  </w:tcBorders>
                  <w:noWrap w:val="0"/>
                  <w:vAlign w:val="center"/>
                </w:tcPr>
                <w:p w14:paraId="1C00E55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宋体"/>
                      <w:color w:val="auto"/>
                      <w:lang w:val="en-US" w:eastAsia="zh-CN"/>
                    </w:rPr>
                    <w:t>《地表水环境质量标准》（GB3838-2002）Ⅲ类</w:t>
                  </w:r>
                </w:p>
              </w:tc>
            </w:tr>
            <w:tr w14:paraId="72E58D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2" w:type="pct"/>
                  <w:vMerge w:val="restart"/>
                  <w:tcBorders>
                    <w:tl2br w:val="nil"/>
                    <w:tr2bl w:val="nil"/>
                  </w:tcBorders>
                  <w:noWrap w:val="0"/>
                  <w:vAlign w:val="center"/>
                </w:tcPr>
                <w:p w14:paraId="3BB023E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大气环境</w:t>
                  </w:r>
                </w:p>
              </w:tc>
              <w:tc>
                <w:tcPr>
                  <w:tcW w:w="1202" w:type="pct"/>
                  <w:tcBorders>
                    <w:tl2br w:val="nil"/>
                    <w:tr2bl w:val="nil"/>
                  </w:tcBorders>
                  <w:noWrap w:val="0"/>
                  <w:vAlign w:val="center"/>
                </w:tcPr>
                <w:p w14:paraId="762FEF3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国贸学原三期</w:t>
                  </w:r>
                </w:p>
              </w:tc>
              <w:tc>
                <w:tcPr>
                  <w:tcW w:w="691" w:type="pct"/>
                  <w:tcBorders>
                    <w:tl2br w:val="nil"/>
                    <w:tr2bl w:val="nil"/>
                  </w:tcBorders>
                  <w:noWrap w:val="0"/>
                  <w:vAlign w:val="center"/>
                </w:tcPr>
                <w:p w14:paraId="24D089D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北侧</w:t>
                  </w:r>
                </w:p>
              </w:tc>
              <w:tc>
                <w:tcPr>
                  <w:tcW w:w="806" w:type="pct"/>
                  <w:tcBorders>
                    <w:tl2br w:val="nil"/>
                    <w:tr2bl w:val="nil"/>
                  </w:tcBorders>
                  <w:noWrap w:val="0"/>
                  <w:vAlign w:val="center"/>
                </w:tcPr>
                <w:p w14:paraId="11C2EB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139</w:t>
                  </w:r>
                  <w:r>
                    <w:rPr>
                      <w:rFonts w:hint="eastAsia" w:ascii="Times New Roman" w:hAnsi="Times New Roman" w:eastAsia="宋体" w:cs="Times New Roman"/>
                      <w:color w:val="auto"/>
                      <w:kern w:val="0"/>
                      <w:sz w:val="21"/>
                      <w:szCs w:val="20"/>
                      <w:lang w:val="en-US" w:eastAsia="zh-CN" w:bidi="ar-SA"/>
                    </w:rPr>
                    <w:t>m</w:t>
                  </w:r>
                </w:p>
              </w:tc>
              <w:tc>
                <w:tcPr>
                  <w:tcW w:w="1357" w:type="pct"/>
                  <w:vMerge w:val="restart"/>
                  <w:tcBorders>
                    <w:tl2br w:val="nil"/>
                    <w:tr2bl w:val="nil"/>
                  </w:tcBorders>
                  <w:noWrap w:val="0"/>
                  <w:vAlign w:val="center"/>
                </w:tcPr>
                <w:p w14:paraId="2A3D8F4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color w:val="auto"/>
                    </w:rPr>
                    <w:t>《环境空气质量标准》（GB3095-2026）</w:t>
                  </w:r>
                  <w:r>
                    <w:rPr>
                      <w:rFonts w:hint="eastAsia"/>
                      <w:color w:val="auto"/>
                      <w:lang w:val="en-US" w:eastAsia="zh-CN"/>
                    </w:rPr>
                    <w:t>中表1二级过渡阶段浓度限值</w:t>
                  </w:r>
                </w:p>
              </w:tc>
            </w:tr>
            <w:tr w14:paraId="765BB5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42" w:type="pct"/>
                  <w:vMerge w:val="continue"/>
                  <w:tcBorders>
                    <w:tl2br w:val="nil"/>
                    <w:tr2bl w:val="nil"/>
                  </w:tcBorders>
                  <w:noWrap w:val="0"/>
                  <w:vAlign w:val="center"/>
                </w:tcPr>
                <w:p w14:paraId="16946BB0">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p>
              </w:tc>
              <w:tc>
                <w:tcPr>
                  <w:tcW w:w="1202" w:type="pct"/>
                  <w:tcBorders>
                    <w:tl2br w:val="nil"/>
                    <w:tr2bl w:val="nil"/>
                  </w:tcBorders>
                  <w:shd w:val="clear" w:color="auto" w:fill="auto"/>
                  <w:noWrap w:val="0"/>
                  <w:vAlign w:val="center"/>
                </w:tcPr>
                <w:p w14:paraId="4631A0F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福州高新区儿童学原马排分园</w:t>
                  </w:r>
                </w:p>
              </w:tc>
              <w:tc>
                <w:tcPr>
                  <w:tcW w:w="691" w:type="pct"/>
                  <w:tcBorders>
                    <w:tl2br w:val="nil"/>
                    <w:tr2bl w:val="nil"/>
                  </w:tcBorders>
                  <w:shd w:val="clear" w:color="auto" w:fill="auto"/>
                  <w:noWrap w:val="0"/>
                  <w:vAlign w:val="center"/>
                </w:tcPr>
                <w:p w14:paraId="50D0FFD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西侧</w:t>
                  </w:r>
                </w:p>
              </w:tc>
              <w:tc>
                <w:tcPr>
                  <w:tcW w:w="806" w:type="pct"/>
                  <w:tcBorders>
                    <w:tl2br w:val="nil"/>
                    <w:tr2bl w:val="nil"/>
                  </w:tcBorders>
                  <w:shd w:val="clear" w:color="auto" w:fill="auto"/>
                  <w:noWrap w:val="0"/>
                  <w:vAlign w:val="center"/>
                </w:tcPr>
                <w:p w14:paraId="738E19B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207</w:t>
                  </w:r>
                  <w:r>
                    <w:rPr>
                      <w:rFonts w:hint="eastAsia" w:ascii="Times New Roman" w:hAnsi="Times New Roman" w:eastAsia="宋体" w:cs="Times New Roman"/>
                      <w:color w:val="auto"/>
                      <w:kern w:val="0"/>
                      <w:sz w:val="21"/>
                      <w:szCs w:val="20"/>
                      <w:lang w:val="en-US" w:eastAsia="zh-CN" w:bidi="ar-SA"/>
                    </w:rPr>
                    <w:t>m</w:t>
                  </w:r>
                </w:p>
              </w:tc>
              <w:tc>
                <w:tcPr>
                  <w:tcW w:w="1357" w:type="pct"/>
                  <w:vMerge w:val="continue"/>
                  <w:tcBorders>
                    <w:tl2br w:val="nil"/>
                    <w:tr2bl w:val="nil"/>
                  </w:tcBorders>
                  <w:noWrap w:val="0"/>
                  <w:vAlign w:val="center"/>
                </w:tcPr>
                <w:p w14:paraId="565F948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746C29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42" w:type="pct"/>
                  <w:vMerge w:val="continue"/>
                  <w:tcBorders>
                    <w:tl2br w:val="nil"/>
                    <w:tr2bl w:val="nil"/>
                  </w:tcBorders>
                  <w:noWrap w:val="0"/>
                  <w:vAlign w:val="center"/>
                </w:tcPr>
                <w:p w14:paraId="30CD9F55">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p>
              </w:tc>
              <w:tc>
                <w:tcPr>
                  <w:tcW w:w="1202" w:type="pct"/>
                  <w:tcBorders>
                    <w:tl2br w:val="nil"/>
                    <w:tr2bl w:val="nil"/>
                  </w:tcBorders>
                  <w:shd w:val="clear" w:color="auto" w:fill="auto"/>
                  <w:noWrap w:val="0"/>
                  <w:vAlign w:val="center"/>
                </w:tcPr>
                <w:p w14:paraId="487118A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国贸江屿原</w:t>
                  </w:r>
                </w:p>
              </w:tc>
              <w:tc>
                <w:tcPr>
                  <w:tcW w:w="691" w:type="pct"/>
                  <w:tcBorders>
                    <w:tl2br w:val="nil"/>
                    <w:tr2bl w:val="nil"/>
                  </w:tcBorders>
                  <w:shd w:val="clear" w:color="auto" w:fill="auto"/>
                  <w:noWrap w:val="0"/>
                  <w:vAlign w:val="center"/>
                </w:tcPr>
                <w:p w14:paraId="5D0E539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东北</w:t>
                  </w:r>
                  <w:r>
                    <w:rPr>
                      <w:rFonts w:hint="eastAsia" w:ascii="Times New Roman" w:hAnsi="Times New Roman" w:eastAsia="宋体" w:cs="Times New Roman"/>
                      <w:color w:val="auto"/>
                      <w:kern w:val="0"/>
                      <w:sz w:val="21"/>
                      <w:szCs w:val="20"/>
                      <w:lang w:val="en-US" w:eastAsia="zh-CN" w:bidi="ar-SA"/>
                    </w:rPr>
                    <w:t>侧</w:t>
                  </w:r>
                </w:p>
              </w:tc>
              <w:tc>
                <w:tcPr>
                  <w:tcW w:w="806" w:type="pct"/>
                  <w:tcBorders>
                    <w:tl2br w:val="nil"/>
                    <w:tr2bl w:val="nil"/>
                  </w:tcBorders>
                  <w:shd w:val="clear" w:color="auto" w:fill="auto"/>
                  <w:noWrap w:val="0"/>
                  <w:vAlign w:val="center"/>
                </w:tcPr>
                <w:p w14:paraId="5A41D56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235</w:t>
                  </w:r>
                  <w:r>
                    <w:rPr>
                      <w:rFonts w:hint="eastAsia" w:ascii="Times New Roman" w:hAnsi="Times New Roman" w:eastAsia="宋体" w:cs="Times New Roman"/>
                      <w:color w:val="auto"/>
                      <w:kern w:val="0"/>
                      <w:sz w:val="21"/>
                      <w:szCs w:val="20"/>
                      <w:lang w:val="en-US" w:eastAsia="zh-CN" w:bidi="ar-SA"/>
                    </w:rPr>
                    <w:t>m</w:t>
                  </w:r>
                </w:p>
              </w:tc>
              <w:tc>
                <w:tcPr>
                  <w:tcW w:w="1357" w:type="pct"/>
                  <w:vMerge w:val="continue"/>
                  <w:tcBorders>
                    <w:tl2br w:val="nil"/>
                    <w:tr2bl w:val="nil"/>
                  </w:tcBorders>
                  <w:noWrap w:val="0"/>
                  <w:vAlign w:val="center"/>
                </w:tcPr>
                <w:p w14:paraId="4ED7E51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325A6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42" w:type="pct"/>
                  <w:vMerge w:val="continue"/>
                  <w:tcBorders>
                    <w:tl2br w:val="nil"/>
                    <w:tr2bl w:val="nil"/>
                  </w:tcBorders>
                  <w:noWrap w:val="0"/>
                  <w:vAlign w:val="center"/>
                </w:tcPr>
                <w:p w14:paraId="4EACDDF2">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p>
              </w:tc>
              <w:tc>
                <w:tcPr>
                  <w:tcW w:w="1202" w:type="pct"/>
                  <w:tcBorders>
                    <w:tl2br w:val="nil"/>
                    <w:tr2bl w:val="nil"/>
                  </w:tcBorders>
                  <w:shd w:val="clear" w:color="auto" w:fill="auto"/>
                  <w:noWrap w:val="0"/>
                  <w:vAlign w:val="center"/>
                </w:tcPr>
                <w:p w14:paraId="58ECA24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溪源花园</w:t>
                  </w:r>
                </w:p>
              </w:tc>
              <w:tc>
                <w:tcPr>
                  <w:tcW w:w="691" w:type="pct"/>
                  <w:tcBorders>
                    <w:tl2br w:val="nil"/>
                    <w:tr2bl w:val="nil"/>
                  </w:tcBorders>
                  <w:shd w:val="clear" w:color="auto" w:fill="auto"/>
                  <w:noWrap w:val="0"/>
                  <w:vAlign w:val="center"/>
                </w:tcPr>
                <w:p w14:paraId="256DDBE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东侧</w:t>
                  </w:r>
                </w:p>
              </w:tc>
              <w:tc>
                <w:tcPr>
                  <w:tcW w:w="806" w:type="pct"/>
                  <w:tcBorders>
                    <w:tl2br w:val="nil"/>
                    <w:tr2bl w:val="nil"/>
                  </w:tcBorders>
                  <w:shd w:val="clear" w:color="auto" w:fill="auto"/>
                  <w:noWrap w:val="0"/>
                  <w:vAlign w:val="center"/>
                </w:tcPr>
                <w:p w14:paraId="16B6BFA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237m</w:t>
                  </w:r>
                </w:p>
              </w:tc>
              <w:tc>
                <w:tcPr>
                  <w:tcW w:w="1357" w:type="pct"/>
                  <w:vMerge w:val="continue"/>
                  <w:tcBorders>
                    <w:tl2br w:val="nil"/>
                    <w:tr2bl w:val="nil"/>
                  </w:tcBorders>
                  <w:noWrap w:val="0"/>
                  <w:vAlign w:val="center"/>
                </w:tcPr>
                <w:p w14:paraId="26DF916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20E403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42" w:type="pct"/>
                  <w:vMerge w:val="continue"/>
                  <w:tcBorders>
                    <w:tl2br w:val="nil"/>
                    <w:tr2bl w:val="nil"/>
                  </w:tcBorders>
                  <w:noWrap w:val="0"/>
                  <w:vAlign w:val="center"/>
                </w:tcPr>
                <w:p w14:paraId="0ADE603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p>
              </w:tc>
              <w:tc>
                <w:tcPr>
                  <w:tcW w:w="1202" w:type="pct"/>
                  <w:tcBorders>
                    <w:tl2br w:val="nil"/>
                    <w:tr2bl w:val="nil"/>
                  </w:tcBorders>
                  <w:shd w:val="clear" w:color="auto" w:fill="auto"/>
                  <w:noWrap w:val="0"/>
                  <w:vAlign w:val="center"/>
                </w:tcPr>
                <w:p w14:paraId="0FF82289">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融侨誉江</w:t>
                  </w:r>
                </w:p>
              </w:tc>
              <w:tc>
                <w:tcPr>
                  <w:tcW w:w="691" w:type="pct"/>
                  <w:tcBorders>
                    <w:tl2br w:val="nil"/>
                    <w:tr2bl w:val="nil"/>
                  </w:tcBorders>
                  <w:shd w:val="clear" w:color="auto" w:fill="auto"/>
                  <w:noWrap w:val="0"/>
                  <w:vAlign w:val="center"/>
                </w:tcPr>
                <w:p w14:paraId="36E37191">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北</w:t>
                  </w:r>
                </w:p>
              </w:tc>
              <w:tc>
                <w:tcPr>
                  <w:tcW w:w="806" w:type="pct"/>
                  <w:tcBorders>
                    <w:tl2br w:val="nil"/>
                    <w:tr2bl w:val="nil"/>
                  </w:tcBorders>
                  <w:shd w:val="clear" w:color="auto" w:fill="auto"/>
                  <w:noWrap w:val="0"/>
                  <w:vAlign w:val="center"/>
                </w:tcPr>
                <w:p w14:paraId="710F5D25">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379m</w:t>
                  </w:r>
                </w:p>
              </w:tc>
              <w:tc>
                <w:tcPr>
                  <w:tcW w:w="1357" w:type="pct"/>
                  <w:vMerge w:val="continue"/>
                  <w:tcBorders>
                    <w:tl2br w:val="nil"/>
                    <w:tr2bl w:val="nil"/>
                  </w:tcBorders>
                  <w:noWrap w:val="0"/>
                  <w:vAlign w:val="center"/>
                </w:tcPr>
                <w:p w14:paraId="790DC1C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39396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2" w:type="pct"/>
                  <w:tcBorders>
                    <w:tl2br w:val="nil"/>
                    <w:tr2bl w:val="nil"/>
                  </w:tcBorders>
                  <w:noWrap w:val="0"/>
                  <w:vAlign w:val="center"/>
                </w:tcPr>
                <w:p w14:paraId="5E3C50A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声环境</w:t>
                  </w:r>
                </w:p>
              </w:tc>
              <w:tc>
                <w:tcPr>
                  <w:tcW w:w="4057" w:type="pct"/>
                  <w:gridSpan w:val="4"/>
                  <w:tcBorders>
                    <w:tl2br w:val="nil"/>
                    <w:tr2bl w:val="nil"/>
                  </w:tcBorders>
                  <w:noWrap w:val="0"/>
                  <w:vAlign w:val="center"/>
                </w:tcPr>
                <w:p w14:paraId="7D63D2B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项目厂界</w:t>
                  </w:r>
                  <w:r>
                    <w:rPr>
                      <w:rFonts w:hint="eastAsia" w:cs="Times New Roman"/>
                      <w:color w:val="auto"/>
                      <w:kern w:val="0"/>
                      <w:sz w:val="21"/>
                      <w:szCs w:val="20"/>
                      <w:lang w:val="en-US" w:eastAsia="zh-CN" w:bidi="ar-SA"/>
                    </w:rPr>
                    <w:t>50m</w:t>
                  </w:r>
                  <w:r>
                    <w:rPr>
                      <w:rFonts w:hint="eastAsia" w:ascii="Times New Roman" w:hAnsi="Times New Roman" w:eastAsia="宋体" w:cs="Times New Roman"/>
                      <w:color w:val="auto"/>
                      <w:kern w:val="0"/>
                      <w:sz w:val="21"/>
                      <w:szCs w:val="20"/>
                      <w:lang w:val="en-US" w:eastAsia="zh-CN" w:bidi="ar-SA"/>
                    </w:rPr>
                    <w:t>范围内无声环境保护目标</w:t>
                  </w:r>
                </w:p>
              </w:tc>
            </w:tr>
            <w:tr w14:paraId="3D1267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2" w:type="pct"/>
                  <w:tcBorders>
                    <w:tl2br w:val="nil"/>
                    <w:tr2bl w:val="nil"/>
                  </w:tcBorders>
                  <w:noWrap w:val="0"/>
                  <w:vAlign w:val="center"/>
                </w:tcPr>
                <w:p w14:paraId="291A5C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地下水</w:t>
                  </w:r>
                </w:p>
              </w:tc>
              <w:tc>
                <w:tcPr>
                  <w:tcW w:w="2700" w:type="pct"/>
                  <w:gridSpan w:val="3"/>
                  <w:tcBorders>
                    <w:tl2br w:val="nil"/>
                    <w:tr2bl w:val="nil"/>
                  </w:tcBorders>
                  <w:noWrap w:val="0"/>
                  <w:vAlign w:val="center"/>
                </w:tcPr>
                <w:p w14:paraId="7136E5B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500m范围内无地下水敏感目标</w:t>
                  </w:r>
                </w:p>
              </w:tc>
              <w:tc>
                <w:tcPr>
                  <w:tcW w:w="1357" w:type="pct"/>
                  <w:tcBorders>
                    <w:tl2br w:val="nil"/>
                    <w:tr2bl w:val="nil"/>
                  </w:tcBorders>
                  <w:noWrap w:val="0"/>
                  <w:vAlign w:val="center"/>
                </w:tcPr>
                <w:p w14:paraId="4C2599B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GB/T14848-2017Ⅲ类标准</w:t>
                  </w:r>
                </w:p>
              </w:tc>
            </w:tr>
          </w:tbl>
          <w:p w14:paraId="18043145">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73" w:name="_Toc14132"/>
            <w:r>
              <w:rPr>
                <w:rFonts w:hint="eastAsia" w:ascii="Times New Roman" w:hAnsi="Times New Roman" w:eastAsia="宋体" w:cs="Times New Roman"/>
                <w:b/>
                <w:color w:val="auto"/>
                <w:kern w:val="2"/>
                <w:sz w:val="24"/>
                <w:szCs w:val="24"/>
                <w:lang w:val="en-US" w:eastAsia="zh-CN" w:bidi="ar-SA"/>
              </w:rPr>
              <w:t>3.6.2生态环境保护目标</w:t>
            </w:r>
            <w:bookmarkEnd w:id="73"/>
          </w:p>
          <w:p w14:paraId="7F8FE47A">
            <w:pPr>
              <w:pStyle w:val="22"/>
              <w:bidi w:val="0"/>
              <w:ind w:firstLine="480" w:firstLineChars="200"/>
              <w:rPr>
                <w:rFonts w:ascii="Times New Roman" w:hAnsi="Times New Roman"/>
                <w:color w:val="auto"/>
              </w:rPr>
            </w:pPr>
            <w:r>
              <w:rPr>
                <w:rFonts w:ascii="Times New Roman" w:hAnsi="Times New Roman"/>
                <w:color w:val="auto"/>
                <w:lang w:val="en-US" w:eastAsia="zh-CN"/>
              </w:rPr>
              <w:t>根据《建设项目环境影响报告表编制技术指南</w:t>
            </w:r>
            <w:r>
              <w:rPr>
                <w:rFonts w:hint="eastAsia" w:ascii="Times New Roman" w:hAnsi="Times New Roman"/>
                <w:color w:val="auto"/>
                <w:lang w:val="en-US" w:eastAsia="zh-CN"/>
              </w:rPr>
              <w:t>（</w:t>
            </w:r>
            <w:r>
              <w:rPr>
                <w:rFonts w:ascii="Times New Roman" w:hAnsi="Times New Roman"/>
                <w:color w:val="auto"/>
                <w:lang w:val="en-US" w:eastAsia="zh-CN"/>
              </w:rPr>
              <w:t>污染影响类</w:t>
            </w:r>
            <w:r>
              <w:rPr>
                <w:rFonts w:hint="eastAsia" w:ascii="Times New Roman" w:hAnsi="Times New Roman"/>
                <w:color w:val="auto"/>
                <w:lang w:val="en-US" w:eastAsia="zh-CN"/>
              </w:rPr>
              <w:t>）（</w:t>
            </w:r>
            <w:r>
              <w:rPr>
                <w:rFonts w:ascii="Times New Roman" w:hAnsi="Times New Roman"/>
                <w:color w:val="auto"/>
                <w:lang w:val="en-US" w:eastAsia="zh-CN"/>
              </w:rPr>
              <w:t>试行</w:t>
            </w:r>
            <w:r>
              <w:rPr>
                <w:rFonts w:hint="eastAsia" w:ascii="Times New Roman" w:hAnsi="Times New Roman"/>
                <w:color w:val="auto"/>
                <w:lang w:val="en-US" w:eastAsia="zh-CN"/>
              </w:rPr>
              <w:t>）</w:t>
            </w:r>
            <w:r>
              <w:rPr>
                <w:rFonts w:ascii="Times New Roman" w:hAnsi="Times New Roman"/>
                <w:color w:val="auto"/>
                <w:lang w:val="en-US" w:eastAsia="zh-CN"/>
              </w:rPr>
              <w:t>》</w:t>
            </w:r>
            <w:r>
              <w:rPr>
                <w:rFonts w:hint="eastAsia" w:ascii="Times New Roman" w:hAnsi="Times New Roman"/>
                <w:color w:val="auto"/>
                <w:lang w:val="en-US" w:eastAsia="zh-CN"/>
              </w:rPr>
              <w:t>（</w:t>
            </w:r>
            <w:r>
              <w:rPr>
                <w:rFonts w:ascii="Times New Roman" w:hAnsi="Times New Roman"/>
                <w:color w:val="auto"/>
                <w:lang w:val="en-US" w:eastAsia="zh-CN"/>
              </w:rPr>
              <w:t>环办环评〔2020〕33号</w:t>
            </w:r>
            <w:r>
              <w:rPr>
                <w:rFonts w:hint="eastAsia" w:ascii="Times New Roman" w:hAnsi="Times New Roman"/>
                <w:color w:val="auto"/>
                <w:lang w:val="en-US" w:eastAsia="zh-CN"/>
              </w:rPr>
              <w:t>）“</w:t>
            </w:r>
            <w:r>
              <w:rPr>
                <w:rFonts w:ascii="Times New Roman" w:hAnsi="Times New Roman"/>
                <w:color w:val="auto"/>
                <w:lang w:val="en-US" w:eastAsia="zh-CN"/>
              </w:rPr>
              <w:t>产业园区外建设项目新增用地的，应明确新增用地范围内生态环境保护目标</w:t>
            </w:r>
            <w:r>
              <w:rPr>
                <w:rFonts w:hint="eastAsia" w:ascii="Times New Roman" w:hAnsi="Times New Roman"/>
                <w:color w:val="auto"/>
                <w:lang w:val="en-US" w:eastAsia="zh-CN"/>
              </w:rPr>
              <w:t>”</w:t>
            </w:r>
            <w:r>
              <w:rPr>
                <w:rFonts w:ascii="Times New Roman" w:hAnsi="Times New Roman"/>
                <w:color w:val="auto"/>
                <w:lang w:val="en-US" w:eastAsia="zh-CN"/>
              </w:rPr>
              <w:t>。本项目</w:t>
            </w:r>
            <w:r>
              <w:rPr>
                <w:rFonts w:hint="eastAsia" w:ascii="Times New Roman" w:hAnsi="Times New Roman"/>
                <w:color w:val="auto"/>
                <w:lang w:val="en-US" w:eastAsia="zh-CN"/>
              </w:rPr>
              <w:t>所在区域不属于重点生态功能区，不涉及生态红线，不涉及饮用水源保护区、风景名胜区、重要湿地、生态公益林、重要自然与人文景观、文物古迹、基本农田及其他需要特别保护的生态环境保护目标。</w:t>
            </w:r>
          </w:p>
        </w:tc>
      </w:tr>
      <w:tr w14:paraId="3247D2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73" w:type="dxa"/>
            <w:noWrap w:val="0"/>
            <w:tcMar>
              <w:left w:w="28" w:type="dxa"/>
              <w:right w:w="28" w:type="dxa"/>
            </w:tcMar>
            <w:vAlign w:val="center"/>
          </w:tcPr>
          <w:p w14:paraId="74D363F3">
            <w:pPr>
              <w:adjustRightInd w:val="0"/>
              <w:snapToGrid w:val="0"/>
              <w:jc w:val="both"/>
              <w:rPr>
                <w:rFonts w:ascii="Times New Roman" w:hAnsi="Times New Roman" w:cs="宋体"/>
                <w:color w:val="auto"/>
                <w:kern w:val="0"/>
                <w:szCs w:val="21"/>
              </w:rPr>
            </w:pPr>
            <w:r>
              <w:rPr>
                <w:rFonts w:hint="eastAsia" w:ascii="Times New Roman" w:hAnsi="Times New Roman" w:cs="宋体"/>
                <w:color w:val="auto"/>
                <w:sz w:val="24"/>
                <w:szCs w:val="24"/>
              </w:rPr>
              <w:t>污染物排</w:t>
            </w:r>
            <w:r>
              <w:rPr>
                <w:rFonts w:hint="eastAsia" w:ascii="Times New Roman" w:hAnsi="Times New Roman" w:cs="宋体"/>
                <w:color w:val="auto"/>
                <w:sz w:val="24"/>
                <w:szCs w:val="24"/>
                <w:lang w:eastAsia="zh-CN"/>
              </w:rPr>
              <w:t>防控指标</w:t>
            </w:r>
            <w:r>
              <w:rPr>
                <w:rFonts w:hint="eastAsia" w:ascii="Times New Roman" w:hAnsi="Times New Roman" w:cs="宋体"/>
                <w:color w:val="auto"/>
                <w:sz w:val="24"/>
                <w:szCs w:val="24"/>
              </w:rPr>
              <w:t>准</w:t>
            </w:r>
          </w:p>
        </w:tc>
        <w:tc>
          <w:tcPr>
            <w:tcW w:w="8287" w:type="dxa"/>
            <w:noWrap w:val="0"/>
            <w:vAlign w:val="center"/>
          </w:tcPr>
          <w:p w14:paraId="11514C27">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bookmarkStart w:id="74" w:name="_Toc18302"/>
            <w:bookmarkStart w:id="75" w:name="_Toc18677"/>
            <w:r>
              <w:rPr>
                <w:rFonts w:hint="eastAsia" w:ascii="Times New Roman" w:hAnsi="Times New Roman" w:eastAsia="宋体" w:cs="Times New Roman"/>
                <w:b/>
                <w:color w:val="auto"/>
                <w:kern w:val="2"/>
                <w:sz w:val="28"/>
                <w:szCs w:val="24"/>
                <w:lang w:val="en-US" w:eastAsia="zh-CN" w:bidi="ar-SA"/>
              </w:rPr>
              <w:t>3.7污染物排放标准</w:t>
            </w:r>
            <w:bookmarkEnd w:id="74"/>
            <w:bookmarkEnd w:id="75"/>
          </w:p>
          <w:p w14:paraId="2920FB81">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76" w:name="_Toc8771"/>
            <w:r>
              <w:rPr>
                <w:rFonts w:hint="eastAsia" w:ascii="Times New Roman" w:hAnsi="Times New Roman" w:eastAsia="宋体" w:cs="Times New Roman"/>
                <w:b/>
                <w:color w:val="auto"/>
                <w:kern w:val="2"/>
                <w:sz w:val="24"/>
                <w:szCs w:val="24"/>
                <w:lang w:val="en-US" w:eastAsia="zh-CN" w:bidi="ar-SA"/>
              </w:rPr>
              <w:t>3.7.1</w:t>
            </w:r>
            <w:r>
              <w:rPr>
                <w:rFonts w:hint="eastAsia" w:cs="Times New Roman"/>
                <w:b/>
                <w:color w:val="auto"/>
                <w:kern w:val="2"/>
                <w:sz w:val="24"/>
                <w:szCs w:val="24"/>
                <w:lang w:val="en-US" w:eastAsia="zh-CN" w:bidi="ar-SA"/>
              </w:rPr>
              <w:t>水污染物排放</w:t>
            </w:r>
            <w:r>
              <w:rPr>
                <w:rFonts w:hint="eastAsia" w:ascii="Times New Roman" w:hAnsi="Times New Roman" w:eastAsia="宋体" w:cs="Times New Roman"/>
                <w:b/>
                <w:color w:val="auto"/>
                <w:kern w:val="2"/>
                <w:sz w:val="24"/>
                <w:szCs w:val="24"/>
                <w:lang w:val="en-US" w:eastAsia="zh-CN" w:bidi="ar-SA"/>
              </w:rPr>
              <w:t>标准</w:t>
            </w:r>
            <w:bookmarkEnd w:id="76"/>
          </w:p>
          <w:p w14:paraId="4C1E0F1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（1）项目废水污染物排放标准</w:t>
            </w:r>
          </w:p>
          <w:p w14:paraId="60F526F0">
            <w:pPr>
              <w:widowControl w:val="0"/>
              <w:bidi w:val="0"/>
              <w:spacing w:line="360" w:lineRule="auto"/>
              <w:ind w:firstLine="480" w:firstLineChars="200"/>
              <w:jc w:val="both"/>
              <w:rPr>
                <w:rFonts w:hint="eastAsia" w:ascii="Times New Roman" w:hAnsi="Times New Roman" w:eastAsia="宋体" w:cs="宋体"/>
                <w:color w:val="FF0000"/>
                <w:kern w:val="2"/>
                <w:sz w:val="24"/>
                <w:szCs w:val="24"/>
                <w:lang w:val="en-US" w:eastAsia="zh-CN" w:bidi="ar-SA"/>
              </w:rPr>
            </w:pPr>
            <w:r>
              <w:rPr>
                <w:rFonts w:hint="eastAsia" w:ascii="Times New Roman" w:hAnsi="Times New Roman" w:eastAsia="宋体" w:cs="宋体"/>
                <w:color w:val="FF0000"/>
                <w:kern w:val="2"/>
                <w:sz w:val="24"/>
                <w:szCs w:val="24"/>
                <w:lang w:val="en-US" w:eastAsia="zh-CN" w:bidi="ar-SA"/>
              </w:rPr>
              <w:t>本项目外排废水包括生活污水和生产废水，本项目生活污水经化粪池处理达到《污水综合排放标准》（GB8978-1996）中表4三级标准（氨氮执行《污水排入城镇下水道水质标准》（GB/T 31962-2015）表1中B级标准）后与经污水站处理达到《电子工业水污染物排放标准》（GB 39731-2020）表1规定的水污染物排放限值后的切割抛光粗磨废水、清洗废水一同通过总排口排入市政管网，纳入大学城污水处理厂；纯水槽的纯水、非纯净废水以及清洗废水中的纯净废水通过总排口直接排入市政管网，纳入大学城污水处理厂。</w:t>
            </w:r>
          </w:p>
          <w:p w14:paraId="2ECA4B21">
            <w:pPr>
              <w:widowControl w:val="0"/>
              <w:bidi w:val="0"/>
              <w:spacing w:line="360" w:lineRule="auto"/>
              <w:ind w:firstLine="480" w:firstLineChars="200"/>
              <w:jc w:val="both"/>
              <w:rPr>
                <w:rFonts w:hint="default" w:ascii="Times New Roman" w:hAnsi="Times New Roman" w:eastAsia="宋体" w:cs="宋体"/>
                <w:color w:val="FF0000"/>
                <w:kern w:val="2"/>
                <w:sz w:val="24"/>
                <w:szCs w:val="24"/>
                <w:lang w:val="en-US" w:eastAsia="zh-CN" w:bidi="ar-SA"/>
              </w:rPr>
            </w:pPr>
            <w:r>
              <w:rPr>
                <w:rFonts w:hint="eastAsia" w:ascii="Times New Roman" w:hAnsi="Times New Roman" w:eastAsia="宋体" w:cs="宋体"/>
                <w:color w:val="FF0000"/>
                <w:kern w:val="2"/>
                <w:sz w:val="24"/>
                <w:szCs w:val="24"/>
                <w:lang w:val="en-US" w:eastAsia="zh-CN" w:bidi="ar-SA"/>
              </w:rPr>
              <w:t>综上所述，项目废水执行《电子工业水污染物排放标准》（GB 39731-2020）表1规定的水污染物排放限值（其中BOD</w:t>
            </w:r>
            <w:r>
              <w:rPr>
                <w:rFonts w:hint="eastAsia" w:ascii="Times New Roman" w:hAnsi="Times New Roman" w:eastAsia="宋体" w:cs="宋体"/>
                <w:color w:val="FF0000"/>
                <w:kern w:val="2"/>
                <w:sz w:val="24"/>
                <w:szCs w:val="24"/>
                <w:vertAlign w:val="subscript"/>
                <w:lang w:val="en-US" w:eastAsia="zh-CN" w:bidi="ar-SA"/>
              </w:rPr>
              <w:t>5</w:t>
            </w:r>
            <w:r>
              <w:rPr>
                <w:rFonts w:hint="eastAsia" w:ascii="Times New Roman" w:hAnsi="Times New Roman" w:eastAsia="宋体" w:cs="宋体"/>
                <w:color w:val="FF0000"/>
                <w:kern w:val="2"/>
                <w:sz w:val="24"/>
                <w:szCs w:val="24"/>
                <w:lang w:val="en-US" w:eastAsia="zh-CN" w:bidi="ar-SA"/>
              </w:rPr>
              <w:t>执行《污水综合排放标准》（GB8978-1996）中表4三级标准），具</w:t>
            </w:r>
            <w:r>
              <w:rPr>
                <w:rFonts w:hint="eastAsia" w:ascii="宋体" w:hAnsi="宋体" w:eastAsia="宋体" w:cs="宋体"/>
                <w:color w:val="FF0000"/>
                <w:sz w:val="24"/>
                <w:szCs w:val="24"/>
                <w:lang w:val="en-US" w:eastAsia="zh-CN"/>
              </w:rPr>
              <w:t>体详见</w:t>
            </w:r>
            <w:r>
              <w:rPr>
                <w:rFonts w:hint="eastAsia" w:ascii="Times New Roman" w:hAnsi="Times New Roman" w:eastAsia="宋体" w:cs="宋体"/>
                <w:color w:val="FF0000"/>
                <w:kern w:val="2"/>
                <w:sz w:val="24"/>
                <w:szCs w:val="24"/>
                <w:lang w:val="en-US" w:eastAsia="zh-CN" w:bidi="ar-SA"/>
              </w:rPr>
              <w:t>表3.7-1。</w:t>
            </w:r>
          </w:p>
          <w:p w14:paraId="7446AD35">
            <w:pPr>
              <w:widowControl w:val="0"/>
              <w:bidi w:val="0"/>
              <w:adjustRightInd w:val="0"/>
              <w:snapToGrid w:val="0"/>
              <w:spacing w:before="10" w:beforeLines="10" w:after="10" w:afterLines="10"/>
              <w:ind w:firstLine="482" w:firstLineChars="200"/>
              <w:jc w:val="center"/>
              <w:rPr>
                <w:rFonts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表3.7-1</w:t>
            </w:r>
            <w:r>
              <w:rPr>
                <w:rFonts w:hint="eastAsia" w:cs="Times New Roman"/>
                <w:b/>
                <w:color w:val="auto"/>
                <w:kern w:val="0"/>
                <w:sz w:val="24"/>
                <w:szCs w:val="20"/>
                <w:lang w:val="en-US" w:eastAsia="zh-CN" w:bidi="ar-SA"/>
              </w:rPr>
              <w:t xml:space="preserve">  </w:t>
            </w:r>
            <w:r>
              <w:rPr>
                <w:rFonts w:ascii="Times New Roman" w:hAnsi="Times New Roman" w:eastAsia="宋体" w:cs="Times New Roman"/>
                <w:b/>
                <w:color w:val="auto"/>
                <w:kern w:val="0"/>
                <w:sz w:val="24"/>
                <w:szCs w:val="20"/>
                <w:lang w:val="en-US" w:eastAsia="zh-CN" w:bidi="ar-SA"/>
              </w:rPr>
              <w:t>项目</w:t>
            </w:r>
            <w:r>
              <w:rPr>
                <w:rFonts w:hint="eastAsia" w:cs="Times New Roman"/>
                <w:b/>
                <w:color w:val="auto"/>
                <w:kern w:val="0"/>
                <w:sz w:val="24"/>
                <w:szCs w:val="20"/>
                <w:lang w:val="en-US" w:eastAsia="zh-CN" w:bidi="ar-SA"/>
              </w:rPr>
              <w:t>废水</w:t>
            </w:r>
            <w:r>
              <w:rPr>
                <w:rFonts w:ascii="Times New Roman" w:hAnsi="Times New Roman" w:eastAsia="宋体" w:cs="Times New Roman"/>
                <w:b/>
                <w:color w:val="auto"/>
                <w:kern w:val="0"/>
                <w:sz w:val="24"/>
                <w:szCs w:val="20"/>
                <w:lang w:val="en-US" w:eastAsia="zh-CN" w:bidi="ar-SA"/>
              </w:rPr>
              <w:t>排放标准</w:t>
            </w:r>
          </w:p>
          <w:tbl>
            <w:tblPr>
              <w:tblStyle w:val="1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11"/>
              <w:gridCol w:w="1761"/>
              <w:gridCol w:w="4396"/>
            </w:tblGrid>
            <w:tr w14:paraId="0824EE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4" w:type="pct"/>
                  <w:tcBorders>
                    <w:tl2br w:val="nil"/>
                    <w:tr2bl w:val="nil"/>
                  </w:tcBorders>
                  <w:noWrap w:val="0"/>
                  <w:vAlign w:val="center"/>
                </w:tcPr>
                <w:p w14:paraId="51EA5A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污染物名称</w:t>
                  </w:r>
                </w:p>
              </w:tc>
              <w:tc>
                <w:tcPr>
                  <w:tcW w:w="1091" w:type="pct"/>
                  <w:tcBorders>
                    <w:tl2br w:val="nil"/>
                    <w:tr2bl w:val="nil"/>
                  </w:tcBorders>
                  <w:noWrap w:val="0"/>
                  <w:vAlign w:val="center"/>
                </w:tcPr>
                <w:p w14:paraId="327D04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标准值</w:t>
                  </w:r>
                </w:p>
              </w:tc>
              <w:tc>
                <w:tcPr>
                  <w:tcW w:w="2724" w:type="pct"/>
                  <w:tcBorders>
                    <w:tl2br w:val="nil"/>
                    <w:tr2bl w:val="nil"/>
                  </w:tcBorders>
                  <w:noWrap w:val="0"/>
                  <w:vAlign w:val="center"/>
                </w:tcPr>
                <w:p w14:paraId="216120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标准来源</w:t>
                  </w:r>
                </w:p>
              </w:tc>
            </w:tr>
            <w:tr w14:paraId="353ADD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4" w:type="pct"/>
                  <w:tcBorders>
                    <w:tl2br w:val="nil"/>
                    <w:tr2bl w:val="nil"/>
                  </w:tcBorders>
                  <w:noWrap w:val="0"/>
                  <w:vAlign w:val="center"/>
                </w:tcPr>
                <w:p w14:paraId="3B97FC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pH</w:t>
                  </w:r>
                </w:p>
              </w:tc>
              <w:tc>
                <w:tcPr>
                  <w:tcW w:w="1091" w:type="pct"/>
                  <w:tcBorders>
                    <w:tl2br w:val="nil"/>
                    <w:tr2bl w:val="nil"/>
                  </w:tcBorders>
                  <w:noWrap w:val="0"/>
                  <w:vAlign w:val="center"/>
                </w:tcPr>
                <w:p w14:paraId="5E11B2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6～9</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无量纲</w:t>
                  </w:r>
                  <w:r>
                    <w:rPr>
                      <w:rFonts w:hint="eastAsia" w:ascii="Times New Roman" w:hAnsi="Times New Roman" w:eastAsia="宋体" w:cs="Times New Roman"/>
                      <w:color w:val="auto"/>
                      <w:kern w:val="0"/>
                      <w:sz w:val="21"/>
                      <w:szCs w:val="20"/>
                      <w:lang w:val="en-US" w:eastAsia="zh-CN" w:bidi="ar-SA"/>
                    </w:rPr>
                    <w:t>）</w:t>
                  </w:r>
                </w:p>
              </w:tc>
              <w:tc>
                <w:tcPr>
                  <w:tcW w:w="2724" w:type="pct"/>
                  <w:vMerge w:val="restart"/>
                  <w:tcBorders>
                    <w:tl2br w:val="nil"/>
                    <w:tr2bl w:val="nil"/>
                  </w:tcBorders>
                  <w:noWrap w:val="0"/>
                  <w:vAlign w:val="center"/>
                </w:tcPr>
                <w:p w14:paraId="7062D9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宋体" w:hAnsi="宋体" w:eastAsia="宋体" w:cs="宋体"/>
                      <w:color w:val="auto"/>
                      <w:sz w:val="21"/>
                      <w:szCs w:val="21"/>
                    </w:rPr>
                    <w:t>《电子工业水污染物排放标准》</w:t>
                  </w:r>
                  <w:r>
                    <w:rPr>
                      <w:rFonts w:hint="eastAsia" w:ascii="Times New Roman" w:hAnsi="Times New Roman" w:eastAsia="宋体" w:cs="宋体"/>
                      <w:color w:val="auto"/>
                      <w:kern w:val="2"/>
                      <w:sz w:val="21"/>
                      <w:szCs w:val="21"/>
                      <w:lang w:val="en-US" w:eastAsia="zh-CN" w:bidi="ar-SA"/>
                    </w:rPr>
                    <w:t>（GB 39731-2020）表1规定的水污染物排放限值</w:t>
                  </w:r>
                </w:p>
              </w:tc>
            </w:tr>
            <w:tr w14:paraId="371D4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4" w:type="pct"/>
                  <w:tcBorders>
                    <w:tl2br w:val="nil"/>
                    <w:tr2bl w:val="nil"/>
                  </w:tcBorders>
                  <w:noWrap w:val="0"/>
                  <w:vAlign w:val="center"/>
                </w:tcPr>
                <w:p w14:paraId="4F8EF6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COD</w:t>
                  </w:r>
                </w:p>
              </w:tc>
              <w:tc>
                <w:tcPr>
                  <w:tcW w:w="1091" w:type="pct"/>
                  <w:tcBorders>
                    <w:tl2br w:val="nil"/>
                    <w:tr2bl w:val="nil"/>
                  </w:tcBorders>
                  <w:noWrap w:val="0"/>
                  <w:vAlign w:val="center"/>
                </w:tcPr>
                <w:p w14:paraId="103A25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500mg/L</w:t>
                  </w:r>
                </w:p>
              </w:tc>
              <w:tc>
                <w:tcPr>
                  <w:tcW w:w="2724" w:type="pct"/>
                  <w:vMerge w:val="continue"/>
                  <w:tcBorders>
                    <w:tl2br w:val="nil"/>
                    <w:tr2bl w:val="nil"/>
                  </w:tcBorders>
                  <w:noWrap w:val="0"/>
                  <w:vAlign w:val="center"/>
                </w:tcPr>
                <w:p w14:paraId="218126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r>
            <w:tr w14:paraId="510BB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4" w:type="pct"/>
                  <w:tcBorders>
                    <w:tl2br w:val="nil"/>
                    <w:tr2bl w:val="nil"/>
                  </w:tcBorders>
                  <w:shd w:val="clear" w:color="auto" w:fill="auto"/>
                  <w:noWrap w:val="0"/>
                  <w:vAlign w:val="center"/>
                </w:tcPr>
                <w:p w14:paraId="6F7498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SS</w:t>
                  </w:r>
                </w:p>
              </w:tc>
              <w:tc>
                <w:tcPr>
                  <w:tcW w:w="1091" w:type="pct"/>
                  <w:tcBorders>
                    <w:tl2br w:val="nil"/>
                    <w:tr2bl w:val="nil"/>
                  </w:tcBorders>
                  <w:shd w:val="clear" w:color="auto" w:fill="auto"/>
                  <w:noWrap w:val="0"/>
                  <w:vAlign w:val="center"/>
                </w:tcPr>
                <w:p w14:paraId="485DD2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400mg/L</w:t>
                  </w:r>
                </w:p>
              </w:tc>
              <w:tc>
                <w:tcPr>
                  <w:tcW w:w="2724" w:type="pct"/>
                  <w:vMerge w:val="continue"/>
                  <w:tcBorders>
                    <w:tl2br w:val="nil"/>
                    <w:tr2bl w:val="nil"/>
                  </w:tcBorders>
                  <w:noWrap w:val="0"/>
                  <w:vAlign w:val="center"/>
                </w:tcPr>
                <w:p w14:paraId="6AD14A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r>
            <w:tr w14:paraId="05CDC3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4" w:type="pct"/>
                  <w:tcBorders>
                    <w:tl2br w:val="nil"/>
                    <w:tr2bl w:val="nil"/>
                  </w:tcBorders>
                  <w:shd w:val="clear" w:color="auto" w:fill="auto"/>
                  <w:noWrap w:val="0"/>
                  <w:vAlign w:val="center"/>
                </w:tcPr>
                <w:p w14:paraId="1DE14E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NH</w:t>
                  </w:r>
                  <w:r>
                    <w:rPr>
                      <w:rFonts w:ascii="Times New Roman" w:hAnsi="Times New Roman" w:eastAsia="宋体" w:cs="Times New Roman"/>
                      <w:color w:val="auto"/>
                      <w:kern w:val="0"/>
                      <w:sz w:val="21"/>
                      <w:szCs w:val="20"/>
                      <w:vertAlign w:val="subscript"/>
                      <w:lang w:val="en-US" w:eastAsia="zh-CN" w:bidi="ar-SA"/>
                    </w:rPr>
                    <w:t>3</w:t>
                  </w:r>
                  <w:r>
                    <w:rPr>
                      <w:rFonts w:ascii="Times New Roman" w:hAnsi="Times New Roman" w:eastAsia="宋体" w:cs="Times New Roman"/>
                      <w:color w:val="auto"/>
                      <w:kern w:val="0"/>
                      <w:sz w:val="21"/>
                      <w:szCs w:val="20"/>
                      <w:lang w:val="en-US" w:eastAsia="zh-CN" w:bidi="ar-SA"/>
                    </w:rPr>
                    <w:t>-N</w:t>
                  </w:r>
                </w:p>
              </w:tc>
              <w:tc>
                <w:tcPr>
                  <w:tcW w:w="1091" w:type="pct"/>
                  <w:tcBorders>
                    <w:tl2br w:val="nil"/>
                    <w:tr2bl w:val="nil"/>
                  </w:tcBorders>
                  <w:shd w:val="clear" w:color="auto" w:fill="auto"/>
                  <w:noWrap w:val="0"/>
                  <w:vAlign w:val="center"/>
                </w:tcPr>
                <w:p w14:paraId="7C8409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45mg/L</w:t>
                  </w:r>
                </w:p>
              </w:tc>
              <w:tc>
                <w:tcPr>
                  <w:tcW w:w="2724" w:type="pct"/>
                  <w:vMerge w:val="continue"/>
                  <w:tcBorders>
                    <w:tl2br w:val="nil"/>
                    <w:tr2bl w:val="nil"/>
                  </w:tcBorders>
                  <w:noWrap w:val="0"/>
                  <w:vAlign w:val="center"/>
                </w:tcPr>
                <w:p w14:paraId="4E87D2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r>
            <w:tr w14:paraId="352517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4" w:type="pct"/>
                  <w:tcBorders>
                    <w:tl2br w:val="nil"/>
                    <w:tr2bl w:val="nil"/>
                  </w:tcBorders>
                  <w:shd w:val="clear" w:color="auto" w:fill="auto"/>
                  <w:noWrap w:val="0"/>
                  <w:vAlign w:val="center"/>
                </w:tcPr>
                <w:p w14:paraId="0B011290">
                  <w:pPr>
                    <w:adjustRightInd w:val="0"/>
                    <w:snapToGrid w:val="0"/>
                    <w:spacing w:before="24" w:beforeLines="10" w:after="24" w:afterLines="10"/>
                    <w:jc w:val="center"/>
                    <w:rPr>
                      <w:rFonts w:ascii="Times New Roman" w:hAnsi="Times New Roman" w:eastAsia="宋体" w:cs="Times New Roman"/>
                      <w:color w:val="auto"/>
                      <w:kern w:val="0"/>
                      <w:sz w:val="21"/>
                      <w:szCs w:val="20"/>
                      <w:lang w:val="en-US" w:eastAsia="zh-CN" w:bidi="ar-SA"/>
                    </w:rPr>
                  </w:pPr>
                  <w:r>
                    <w:rPr>
                      <w:rFonts w:hint="eastAsia"/>
                      <w:color w:val="auto"/>
                      <w:kern w:val="0"/>
                      <w:szCs w:val="20"/>
                    </w:rPr>
                    <w:t>阴离子表面活性剂</w:t>
                  </w:r>
                </w:p>
              </w:tc>
              <w:tc>
                <w:tcPr>
                  <w:tcW w:w="1091" w:type="pct"/>
                  <w:tcBorders>
                    <w:tl2br w:val="nil"/>
                    <w:tr2bl w:val="nil"/>
                  </w:tcBorders>
                  <w:shd w:val="clear" w:color="auto" w:fill="auto"/>
                  <w:noWrap w:val="0"/>
                  <w:vAlign w:val="center"/>
                </w:tcPr>
                <w:p w14:paraId="4E337EA6">
                  <w:pPr>
                    <w:adjustRightInd w:val="0"/>
                    <w:snapToGrid w:val="0"/>
                    <w:spacing w:before="24" w:beforeLines="10" w:after="24" w:afterLines="10"/>
                    <w:jc w:val="center"/>
                    <w:rPr>
                      <w:rFonts w:ascii="Times New Roman" w:hAnsi="Times New Roman" w:eastAsia="宋体" w:cs="Times New Roman"/>
                      <w:color w:val="auto"/>
                      <w:kern w:val="0"/>
                      <w:sz w:val="21"/>
                      <w:szCs w:val="20"/>
                      <w:lang w:val="en-US" w:eastAsia="zh-CN" w:bidi="ar-SA"/>
                    </w:rPr>
                  </w:pPr>
                  <w:r>
                    <w:rPr>
                      <w:rFonts w:hint="eastAsia"/>
                      <w:color w:val="auto"/>
                      <w:kern w:val="0"/>
                      <w:szCs w:val="20"/>
                      <w:lang w:val="en-US" w:eastAsia="zh-CN"/>
                    </w:rPr>
                    <w:t>20</w:t>
                  </w:r>
                  <w:r>
                    <w:rPr>
                      <w:color w:val="auto"/>
                      <w:kern w:val="0"/>
                      <w:szCs w:val="20"/>
                    </w:rPr>
                    <w:t>mg/L</w:t>
                  </w:r>
                </w:p>
              </w:tc>
              <w:tc>
                <w:tcPr>
                  <w:tcW w:w="2724" w:type="pct"/>
                  <w:vMerge w:val="continue"/>
                  <w:tcBorders>
                    <w:tl2br w:val="nil"/>
                    <w:tr2bl w:val="nil"/>
                  </w:tcBorders>
                  <w:noWrap w:val="0"/>
                  <w:vAlign w:val="center"/>
                </w:tcPr>
                <w:p w14:paraId="455FB3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r>
            <w:tr w14:paraId="140EFC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4" w:type="pct"/>
                  <w:tcBorders>
                    <w:tl2br w:val="nil"/>
                    <w:tr2bl w:val="nil"/>
                  </w:tcBorders>
                  <w:shd w:val="clear" w:color="auto" w:fill="auto"/>
                  <w:noWrap w:val="0"/>
                  <w:vAlign w:val="center"/>
                </w:tcPr>
                <w:p w14:paraId="5D3612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BOD</w:t>
                  </w:r>
                  <w:r>
                    <w:rPr>
                      <w:rFonts w:ascii="Times New Roman" w:hAnsi="Times New Roman" w:eastAsia="宋体" w:cs="Times New Roman"/>
                      <w:color w:val="auto"/>
                      <w:kern w:val="0"/>
                      <w:sz w:val="21"/>
                      <w:szCs w:val="20"/>
                      <w:vertAlign w:val="subscript"/>
                      <w:lang w:val="en-US" w:eastAsia="zh-CN" w:bidi="ar-SA"/>
                    </w:rPr>
                    <w:t>5</w:t>
                  </w:r>
                </w:p>
              </w:tc>
              <w:tc>
                <w:tcPr>
                  <w:tcW w:w="1091" w:type="pct"/>
                  <w:tcBorders>
                    <w:tl2br w:val="nil"/>
                    <w:tr2bl w:val="nil"/>
                  </w:tcBorders>
                  <w:shd w:val="clear" w:color="auto" w:fill="auto"/>
                  <w:noWrap w:val="0"/>
                  <w:vAlign w:val="center"/>
                </w:tcPr>
                <w:p w14:paraId="128006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300mg/L</w:t>
                  </w:r>
                </w:p>
              </w:tc>
              <w:tc>
                <w:tcPr>
                  <w:tcW w:w="2724" w:type="pct"/>
                  <w:tcBorders>
                    <w:tl2br w:val="nil"/>
                    <w:tr2bl w:val="nil"/>
                  </w:tcBorders>
                  <w:noWrap w:val="0"/>
                  <w:vAlign w:val="center"/>
                </w:tcPr>
                <w:p w14:paraId="259DC2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《污水综合排放标准》</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GB8978-1996</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中表4三级标准</w:t>
                  </w:r>
                </w:p>
              </w:tc>
            </w:tr>
          </w:tbl>
          <w:p w14:paraId="0C2002B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w:t>
            </w:r>
            <w:r>
              <w:rPr>
                <w:rFonts w:hint="eastAsia" w:cs="宋体"/>
                <w:color w:val="auto"/>
                <w:kern w:val="2"/>
                <w:sz w:val="24"/>
                <w:szCs w:val="24"/>
                <w:lang w:val="en-US" w:eastAsia="zh-CN" w:bidi="ar-SA"/>
              </w:rPr>
              <w:t>污水处理厂</w:t>
            </w:r>
            <w:r>
              <w:rPr>
                <w:rFonts w:hint="eastAsia" w:ascii="Times New Roman" w:hAnsi="Times New Roman" w:eastAsia="宋体" w:cs="宋体"/>
                <w:color w:val="auto"/>
                <w:kern w:val="2"/>
                <w:sz w:val="24"/>
                <w:szCs w:val="24"/>
                <w:lang w:val="en-US" w:eastAsia="zh-CN" w:bidi="ar-SA"/>
              </w:rPr>
              <w:t>排放标准</w:t>
            </w:r>
          </w:p>
          <w:p w14:paraId="509E4F7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根据调查，大学城污水处理厂尾水排入溪源溪，尾水排放执行《城镇污水处理厂污染物排放标准》（GB18918-2002）及其修改单表1的一级A标准，具体详见表3.7-</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w:t>
            </w:r>
          </w:p>
          <w:p w14:paraId="627D8F56">
            <w:pPr>
              <w:widowControl w:val="0"/>
              <w:bidi w:val="0"/>
              <w:adjustRightInd w:val="0"/>
              <w:snapToGrid w:val="0"/>
              <w:spacing w:before="10" w:beforeLines="10" w:after="10" w:afterLines="10"/>
              <w:ind w:firstLine="482" w:firstLineChars="20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表3.7-</w:t>
            </w:r>
            <w:r>
              <w:rPr>
                <w:rFonts w:hint="eastAsia" w:cs="Times New Roman"/>
                <w:b/>
                <w:color w:val="auto"/>
                <w:kern w:val="0"/>
                <w:sz w:val="24"/>
                <w:szCs w:val="20"/>
                <w:lang w:val="en-US" w:eastAsia="zh-CN" w:bidi="ar-SA"/>
              </w:rPr>
              <w:t xml:space="preserve">2  </w:t>
            </w:r>
            <w:r>
              <w:rPr>
                <w:rFonts w:hint="eastAsia" w:ascii="Times New Roman" w:hAnsi="Times New Roman" w:eastAsia="宋体" w:cs="Times New Roman"/>
                <w:b/>
                <w:color w:val="auto"/>
                <w:kern w:val="0"/>
                <w:sz w:val="24"/>
                <w:szCs w:val="20"/>
                <w:lang w:val="en-US" w:eastAsia="zh-CN" w:bidi="ar-SA"/>
              </w:rPr>
              <w:t>污水处理厂尾水排放标准</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2826"/>
              <w:gridCol w:w="2018"/>
              <w:gridCol w:w="2019"/>
            </w:tblGrid>
            <w:tr w14:paraId="1BDDCB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tcBorders>
                    <w:tl2br w:val="nil"/>
                    <w:tr2bl w:val="nil"/>
                  </w:tcBorders>
                  <w:noWrap w:val="0"/>
                  <w:vAlign w:val="center"/>
                </w:tcPr>
                <w:p w14:paraId="0F74EF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序号</w:t>
                  </w:r>
                </w:p>
              </w:tc>
              <w:tc>
                <w:tcPr>
                  <w:tcW w:w="1751" w:type="pct"/>
                  <w:tcBorders>
                    <w:tl2br w:val="nil"/>
                    <w:tr2bl w:val="nil"/>
                  </w:tcBorders>
                  <w:noWrap w:val="0"/>
                  <w:vAlign w:val="center"/>
                </w:tcPr>
                <w:p w14:paraId="32DDAD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污染物名称</w:t>
                  </w:r>
                </w:p>
              </w:tc>
              <w:tc>
                <w:tcPr>
                  <w:tcW w:w="1250" w:type="pct"/>
                  <w:tcBorders>
                    <w:tl2br w:val="nil"/>
                    <w:tr2bl w:val="nil"/>
                  </w:tcBorders>
                  <w:noWrap w:val="0"/>
                  <w:vAlign w:val="center"/>
                </w:tcPr>
                <w:p w14:paraId="601CE8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一级标准B标准</w:t>
                  </w:r>
                </w:p>
              </w:tc>
              <w:tc>
                <w:tcPr>
                  <w:tcW w:w="1250" w:type="pct"/>
                  <w:tcBorders>
                    <w:tl2br w:val="nil"/>
                    <w:tr2bl w:val="nil"/>
                  </w:tcBorders>
                  <w:noWrap w:val="0"/>
                  <w:vAlign w:val="center"/>
                </w:tcPr>
                <w:p w14:paraId="2EAACD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标准来源</w:t>
                  </w:r>
                </w:p>
              </w:tc>
            </w:tr>
            <w:tr w14:paraId="689BAC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tcBorders>
                    <w:tl2br w:val="nil"/>
                    <w:tr2bl w:val="nil"/>
                  </w:tcBorders>
                  <w:noWrap w:val="0"/>
                  <w:vAlign w:val="center"/>
                </w:tcPr>
                <w:p w14:paraId="11D244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w:t>
                  </w:r>
                </w:p>
              </w:tc>
              <w:tc>
                <w:tcPr>
                  <w:tcW w:w="1751" w:type="pct"/>
                  <w:tcBorders>
                    <w:tl2br w:val="nil"/>
                    <w:tr2bl w:val="nil"/>
                  </w:tcBorders>
                  <w:noWrap w:val="0"/>
                  <w:vAlign w:val="center"/>
                </w:tcPr>
                <w:p w14:paraId="4F62F4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pH值</w:t>
                  </w:r>
                </w:p>
              </w:tc>
              <w:tc>
                <w:tcPr>
                  <w:tcW w:w="1250" w:type="pct"/>
                  <w:tcBorders>
                    <w:tl2br w:val="nil"/>
                    <w:tr2bl w:val="nil"/>
                  </w:tcBorders>
                  <w:noWrap w:val="0"/>
                  <w:vAlign w:val="center"/>
                </w:tcPr>
                <w:p w14:paraId="78D4F9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6～9</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无量纲</w:t>
                  </w:r>
                  <w:r>
                    <w:rPr>
                      <w:rFonts w:hint="eastAsia" w:ascii="Times New Roman" w:hAnsi="Times New Roman" w:eastAsia="宋体" w:cs="Times New Roman"/>
                      <w:color w:val="auto"/>
                      <w:kern w:val="0"/>
                      <w:sz w:val="21"/>
                      <w:szCs w:val="21"/>
                      <w:lang w:val="en-US" w:eastAsia="zh-CN" w:bidi="ar-SA"/>
                    </w:rPr>
                    <w:t>）</w:t>
                  </w:r>
                </w:p>
              </w:tc>
              <w:tc>
                <w:tcPr>
                  <w:tcW w:w="1250" w:type="pct"/>
                  <w:vMerge w:val="restart"/>
                  <w:tcBorders>
                    <w:tl2br w:val="nil"/>
                    <w:tr2bl w:val="nil"/>
                  </w:tcBorders>
                  <w:noWrap w:val="0"/>
                  <w:vAlign w:val="center"/>
                </w:tcPr>
                <w:p w14:paraId="41B0FE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《城镇污水处理厂污染物排放标准》（GB18918-2002）及其修改单表1的一级标准</w:t>
                  </w:r>
                  <w:r>
                    <w:rPr>
                      <w:rFonts w:hint="eastAsia" w:ascii="Times New Roman" w:hAnsi="Times New Roman" w:eastAsia="宋体" w:cs="Times New Roman"/>
                      <w:color w:val="auto"/>
                      <w:kern w:val="0"/>
                      <w:sz w:val="21"/>
                      <w:szCs w:val="21"/>
                      <w:lang w:val="en-US" w:eastAsia="zh-CN" w:bidi="ar-SA"/>
                    </w:rPr>
                    <w:t>A</w:t>
                  </w:r>
                  <w:r>
                    <w:rPr>
                      <w:rFonts w:hint="default" w:ascii="Times New Roman" w:hAnsi="Times New Roman" w:eastAsia="宋体" w:cs="Times New Roman"/>
                      <w:color w:val="auto"/>
                      <w:kern w:val="0"/>
                      <w:sz w:val="21"/>
                      <w:szCs w:val="21"/>
                      <w:lang w:val="en-US" w:eastAsia="zh-CN" w:bidi="ar-SA"/>
                    </w:rPr>
                    <w:t>标准</w:t>
                  </w:r>
                </w:p>
              </w:tc>
            </w:tr>
            <w:tr w14:paraId="785A7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tcBorders>
                    <w:tl2br w:val="nil"/>
                    <w:tr2bl w:val="nil"/>
                  </w:tcBorders>
                  <w:noWrap w:val="0"/>
                  <w:vAlign w:val="center"/>
                </w:tcPr>
                <w:p w14:paraId="3B6FC4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w:t>
                  </w:r>
                </w:p>
              </w:tc>
              <w:tc>
                <w:tcPr>
                  <w:tcW w:w="1751" w:type="pct"/>
                  <w:tcBorders>
                    <w:tl2br w:val="nil"/>
                    <w:tr2bl w:val="nil"/>
                  </w:tcBorders>
                  <w:noWrap w:val="0"/>
                  <w:vAlign w:val="center"/>
                </w:tcPr>
                <w:p w14:paraId="62F0DB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COD</w:t>
                  </w:r>
                </w:p>
              </w:tc>
              <w:tc>
                <w:tcPr>
                  <w:tcW w:w="1250" w:type="pct"/>
                  <w:tcBorders>
                    <w:tl2br w:val="nil"/>
                    <w:tr2bl w:val="nil"/>
                  </w:tcBorders>
                  <w:noWrap w:val="0"/>
                  <w:vAlign w:val="center"/>
                </w:tcPr>
                <w:p w14:paraId="47F124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25m</w:t>
                  </w:r>
                  <w:r>
                    <w:rPr>
                      <w:rFonts w:ascii="Times New Roman" w:hAnsi="Times New Roman" w:eastAsia="宋体" w:cs="Times New Roman"/>
                      <w:color w:val="auto"/>
                      <w:kern w:val="0"/>
                      <w:sz w:val="21"/>
                      <w:szCs w:val="21"/>
                      <w:lang w:val="en-US" w:eastAsia="zh-CN" w:bidi="ar-SA"/>
                    </w:rPr>
                    <w:t>g/L</w:t>
                  </w:r>
                </w:p>
              </w:tc>
              <w:tc>
                <w:tcPr>
                  <w:tcW w:w="1250" w:type="pct"/>
                  <w:vMerge w:val="continue"/>
                  <w:tcBorders>
                    <w:tl2br w:val="nil"/>
                    <w:tr2bl w:val="nil"/>
                  </w:tcBorders>
                  <w:noWrap w:val="0"/>
                  <w:vAlign w:val="center"/>
                </w:tcPr>
                <w:p w14:paraId="1256EE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p>
              </w:tc>
            </w:tr>
            <w:tr w14:paraId="76EC2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tcBorders>
                    <w:tl2br w:val="nil"/>
                    <w:tr2bl w:val="nil"/>
                  </w:tcBorders>
                  <w:noWrap w:val="0"/>
                  <w:vAlign w:val="center"/>
                </w:tcPr>
                <w:p w14:paraId="61A590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3</w:t>
                  </w:r>
                </w:p>
              </w:tc>
              <w:tc>
                <w:tcPr>
                  <w:tcW w:w="1751" w:type="pct"/>
                  <w:tcBorders>
                    <w:tl2br w:val="nil"/>
                    <w:tr2bl w:val="nil"/>
                  </w:tcBorders>
                  <w:noWrap w:val="0"/>
                  <w:vAlign w:val="center"/>
                </w:tcPr>
                <w:p w14:paraId="793CF9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BOD</w:t>
                  </w:r>
                  <w:r>
                    <w:rPr>
                      <w:rFonts w:hint="eastAsia" w:ascii="Times New Roman" w:hAnsi="Times New Roman" w:eastAsia="宋体" w:cs="Times New Roman"/>
                      <w:color w:val="auto"/>
                      <w:kern w:val="0"/>
                      <w:sz w:val="21"/>
                      <w:szCs w:val="21"/>
                      <w:vertAlign w:val="subscript"/>
                      <w:lang w:val="en-US" w:eastAsia="zh-CN" w:bidi="ar-SA"/>
                    </w:rPr>
                    <w:t>5</w:t>
                  </w:r>
                </w:p>
              </w:tc>
              <w:tc>
                <w:tcPr>
                  <w:tcW w:w="1250" w:type="pct"/>
                  <w:tcBorders>
                    <w:tl2br w:val="nil"/>
                    <w:tr2bl w:val="nil"/>
                  </w:tcBorders>
                  <w:noWrap w:val="0"/>
                  <w:vAlign w:val="center"/>
                </w:tcPr>
                <w:p w14:paraId="666321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w:t>
                  </w:r>
                  <w:r>
                    <w:rPr>
                      <w:rFonts w:ascii="Times New Roman" w:hAnsi="Times New Roman" w:eastAsia="宋体" w:cs="Times New Roman"/>
                      <w:color w:val="auto"/>
                      <w:kern w:val="0"/>
                      <w:sz w:val="21"/>
                      <w:szCs w:val="21"/>
                      <w:lang w:val="en-US" w:eastAsia="zh-CN" w:bidi="ar-SA"/>
                    </w:rPr>
                    <w:t>0mg/L</w:t>
                  </w:r>
                </w:p>
              </w:tc>
              <w:tc>
                <w:tcPr>
                  <w:tcW w:w="1250" w:type="pct"/>
                  <w:vMerge w:val="continue"/>
                  <w:tcBorders>
                    <w:tl2br w:val="nil"/>
                    <w:tr2bl w:val="nil"/>
                  </w:tcBorders>
                  <w:noWrap w:val="0"/>
                  <w:vAlign w:val="center"/>
                </w:tcPr>
                <w:p w14:paraId="76781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p>
              </w:tc>
            </w:tr>
            <w:tr w14:paraId="022A5E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tcBorders>
                    <w:tl2br w:val="nil"/>
                    <w:tr2bl w:val="nil"/>
                  </w:tcBorders>
                  <w:noWrap w:val="0"/>
                  <w:vAlign w:val="center"/>
                </w:tcPr>
                <w:p w14:paraId="5F6CCD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4</w:t>
                  </w:r>
                </w:p>
              </w:tc>
              <w:tc>
                <w:tcPr>
                  <w:tcW w:w="1751" w:type="pct"/>
                  <w:tcBorders>
                    <w:tl2br w:val="nil"/>
                    <w:tr2bl w:val="nil"/>
                  </w:tcBorders>
                  <w:noWrap w:val="0"/>
                  <w:vAlign w:val="center"/>
                </w:tcPr>
                <w:p w14:paraId="202AB7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SS</w:t>
                  </w:r>
                </w:p>
              </w:tc>
              <w:tc>
                <w:tcPr>
                  <w:tcW w:w="1250" w:type="pct"/>
                  <w:tcBorders>
                    <w:tl2br w:val="nil"/>
                    <w:tr2bl w:val="nil"/>
                  </w:tcBorders>
                  <w:noWrap w:val="0"/>
                  <w:vAlign w:val="center"/>
                </w:tcPr>
                <w:p w14:paraId="6825AE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w:t>
                  </w:r>
                  <w:r>
                    <w:rPr>
                      <w:rFonts w:ascii="Times New Roman" w:hAnsi="Times New Roman" w:eastAsia="宋体" w:cs="Times New Roman"/>
                      <w:color w:val="auto"/>
                      <w:kern w:val="0"/>
                      <w:sz w:val="21"/>
                      <w:szCs w:val="21"/>
                      <w:lang w:val="en-US" w:eastAsia="zh-CN" w:bidi="ar-SA"/>
                    </w:rPr>
                    <w:t>0mg/L</w:t>
                  </w:r>
                </w:p>
              </w:tc>
              <w:tc>
                <w:tcPr>
                  <w:tcW w:w="1250" w:type="pct"/>
                  <w:vMerge w:val="continue"/>
                  <w:tcBorders>
                    <w:tl2br w:val="nil"/>
                    <w:tr2bl w:val="nil"/>
                  </w:tcBorders>
                  <w:noWrap w:val="0"/>
                  <w:vAlign w:val="center"/>
                </w:tcPr>
                <w:p w14:paraId="2629CE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p>
              </w:tc>
            </w:tr>
            <w:tr w14:paraId="3250A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tcBorders>
                    <w:tl2br w:val="nil"/>
                    <w:tr2bl w:val="nil"/>
                  </w:tcBorders>
                  <w:noWrap w:val="0"/>
                  <w:vAlign w:val="center"/>
                </w:tcPr>
                <w:p w14:paraId="6B4745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5</w:t>
                  </w:r>
                </w:p>
              </w:tc>
              <w:tc>
                <w:tcPr>
                  <w:tcW w:w="1751" w:type="pct"/>
                  <w:tcBorders>
                    <w:tl2br w:val="nil"/>
                    <w:tr2bl w:val="nil"/>
                  </w:tcBorders>
                  <w:noWrap w:val="0"/>
                  <w:vAlign w:val="center"/>
                </w:tcPr>
                <w:p w14:paraId="289351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NH</w:t>
                  </w:r>
                  <w:r>
                    <w:rPr>
                      <w:rFonts w:hint="eastAsia" w:ascii="Times New Roman" w:hAnsi="Times New Roman" w:eastAsia="宋体" w:cs="Times New Roman"/>
                      <w:color w:val="auto"/>
                      <w:kern w:val="0"/>
                      <w:sz w:val="21"/>
                      <w:szCs w:val="21"/>
                      <w:vertAlign w:val="subscript"/>
                      <w:lang w:val="en-US" w:eastAsia="zh-CN" w:bidi="ar-SA"/>
                    </w:rPr>
                    <w:t>3</w:t>
                  </w:r>
                  <w:r>
                    <w:rPr>
                      <w:rFonts w:hint="eastAsia" w:ascii="Times New Roman" w:hAnsi="Times New Roman" w:eastAsia="宋体" w:cs="Times New Roman"/>
                      <w:color w:val="auto"/>
                      <w:kern w:val="0"/>
                      <w:sz w:val="21"/>
                      <w:szCs w:val="21"/>
                      <w:lang w:val="en-US" w:eastAsia="zh-CN" w:bidi="ar-SA"/>
                    </w:rPr>
                    <w:t>-N</w:t>
                  </w:r>
                </w:p>
              </w:tc>
              <w:tc>
                <w:tcPr>
                  <w:tcW w:w="1250" w:type="pct"/>
                  <w:tcBorders>
                    <w:tl2br w:val="nil"/>
                    <w:tr2bl w:val="nil"/>
                  </w:tcBorders>
                  <w:noWrap w:val="0"/>
                  <w:vAlign w:val="center"/>
                </w:tcPr>
                <w:p w14:paraId="131DDA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5</w:t>
                  </w:r>
                  <w:r>
                    <w:rPr>
                      <w:rFonts w:ascii="Times New Roman" w:hAnsi="Times New Roman" w:eastAsia="宋体" w:cs="Times New Roman"/>
                      <w:color w:val="auto"/>
                      <w:kern w:val="0"/>
                      <w:sz w:val="21"/>
                      <w:szCs w:val="21"/>
                      <w:lang w:val="en-US" w:eastAsia="zh-CN" w:bidi="ar-SA"/>
                    </w:rPr>
                    <w:t>mg/L</w:t>
                  </w:r>
                </w:p>
              </w:tc>
              <w:tc>
                <w:tcPr>
                  <w:tcW w:w="1250" w:type="pct"/>
                  <w:vMerge w:val="continue"/>
                  <w:tcBorders>
                    <w:tl2br w:val="nil"/>
                    <w:tr2bl w:val="nil"/>
                  </w:tcBorders>
                  <w:noWrap w:val="0"/>
                  <w:vAlign w:val="center"/>
                </w:tcPr>
                <w:p w14:paraId="3DF526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p>
              </w:tc>
            </w:tr>
            <w:tr w14:paraId="37E60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7" w:type="pct"/>
                  <w:tcBorders>
                    <w:tl2br w:val="nil"/>
                    <w:tr2bl w:val="nil"/>
                  </w:tcBorders>
                  <w:noWrap w:val="0"/>
                  <w:vAlign w:val="center"/>
                </w:tcPr>
                <w:p w14:paraId="770D40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bookmarkStart w:id="77" w:name="_Toc21816"/>
                  <w:r>
                    <w:rPr>
                      <w:rFonts w:hint="eastAsia" w:cs="Times New Roman"/>
                      <w:color w:val="auto"/>
                      <w:kern w:val="0"/>
                      <w:sz w:val="21"/>
                      <w:szCs w:val="21"/>
                      <w:lang w:val="en-US" w:eastAsia="zh-CN" w:bidi="ar-SA"/>
                    </w:rPr>
                    <w:t>6</w:t>
                  </w:r>
                </w:p>
              </w:tc>
              <w:tc>
                <w:tcPr>
                  <w:tcW w:w="1751" w:type="pct"/>
                  <w:tcBorders>
                    <w:tl2br w:val="nil"/>
                    <w:tr2bl w:val="nil"/>
                  </w:tcBorders>
                  <w:shd w:val="clear" w:color="auto" w:fill="auto"/>
                  <w:noWrap w:val="0"/>
                  <w:vAlign w:val="center"/>
                </w:tcPr>
                <w:p w14:paraId="534DF46A">
                  <w:pPr>
                    <w:adjustRightInd w:val="0"/>
                    <w:snapToGrid w:val="0"/>
                    <w:spacing w:before="24" w:beforeLines="10" w:after="24" w:afterLines="10"/>
                    <w:jc w:val="center"/>
                    <w:rPr>
                      <w:rFonts w:hint="eastAsia" w:ascii="Times New Roman" w:hAnsi="Times New Roman" w:eastAsia="宋体" w:cs="Times New Roman"/>
                      <w:color w:val="auto"/>
                      <w:kern w:val="0"/>
                      <w:sz w:val="21"/>
                      <w:szCs w:val="20"/>
                      <w:lang w:val="en-US" w:eastAsia="zh-CN" w:bidi="ar-SA"/>
                    </w:rPr>
                  </w:pPr>
                  <w:r>
                    <w:rPr>
                      <w:rFonts w:hint="eastAsia"/>
                      <w:color w:val="auto"/>
                      <w:kern w:val="0"/>
                      <w:szCs w:val="20"/>
                    </w:rPr>
                    <w:t>阴离子表面活性剂</w:t>
                  </w:r>
                </w:p>
              </w:tc>
              <w:tc>
                <w:tcPr>
                  <w:tcW w:w="1250" w:type="pct"/>
                  <w:tcBorders>
                    <w:tl2br w:val="nil"/>
                    <w:tr2bl w:val="nil"/>
                  </w:tcBorders>
                  <w:shd w:val="clear" w:color="auto" w:fill="auto"/>
                  <w:noWrap w:val="0"/>
                  <w:vAlign w:val="center"/>
                </w:tcPr>
                <w:p w14:paraId="29A66732">
                  <w:pPr>
                    <w:adjustRightInd w:val="0"/>
                    <w:snapToGrid w:val="0"/>
                    <w:spacing w:before="24" w:beforeLines="10" w:after="24" w:afterLines="10"/>
                    <w:jc w:val="center"/>
                    <w:rPr>
                      <w:rFonts w:hint="eastAsia" w:ascii="Times New Roman" w:hAnsi="Times New Roman" w:eastAsia="宋体" w:cs="Times New Roman"/>
                      <w:color w:val="auto"/>
                      <w:kern w:val="0"/>
                      <w:sz w:val="21"/>
                      <w:szCs w:val="20"/>
                      <w:lang w:val="en-US" w:eastAsia="zh-CN" w:bidi="ar-SA"/>
                    </w:rPr>
                  </w:pPr>
                  <w:r>
                    <w:rPr>
                      <w:rFonts w:hint="eastAsia"/>
                      <w:color w:val="auto"/>
                      <w:kern w:val="0"/>
                      <w:szCs w:val="20"/>
                      <w:lang w:val="en-US" w:eastAsia="zh-CN"/>
                    </w:rPr>
                    <w:t>0.5</w:t>
                  </w:r>
                  <w:r>
                    <w:rPr>
                      <w:color w:val="auto"/>
                      <w:kern w:val="0"/>
                      <w:szCs w:val="20"/>
                    </w:rPr>
                    <w:t>mg/L</w:t>
                  </w:r>
                </w:p>
              </w:tc>
              <w:tc>
                <w:tcPr>
                  <w:tcW w:w="1250" w:type="pct"/>
                  <w:vMerge w:val="continue"/>
                  <w:tcBorders>
                    <w:tl2br w:val="nil"/>
                    <w:tr2bl w:val="nil"/>
                  </w:tcBorders>
                  <w:noWrap w:val="0"/>
                  <w:vAlign w:val="center"/>
                </w:tcPr>
                <w:p w14:paraId="337A1C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p>
              </w:tc>
            </w:tr>
          </w:tbl>
          <w:p w14:paraId="0DDA872F">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r>
              <w:rPr>
                <w:rFonts w:hint="eastAsia" w:ascii="Times New Roman" w:hAnsi="Times New Roman" w:eastAsia="宋体" w:cs="Times New Roman"/>
                <w:b/>
                <w:color w:val="auto"/>
                <w:kern w:val="2"/>
                <w:sz w:val="24"/>
                <w:szCs w:val="24"/>
                <w:lang w:val="en-US" w:eastAsia="zh-CN" w:bidi="ar-SA"/>
              </w:rPr>
              <w:t>3.7.2大气污染物排放标准</w:t>
            </w:r>
            <w:bookmarkEnd w:id="77"/>
          </w:p>
          <w:p w14:paraId="728DC8A0">
            <w:pPr>
              <w:pStyle w:val="48"/>
              <w:ind w:firstLine="480" w:firstLineChars="200"/>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项目产生的废气包括</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废气、擦拭废气、</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、粗磨抛光产生的投料废气</w:t>
            </w:r>
            <w:r>
              <w:rPr>
                <w:rFonts w:hint="eastAsia" w:ascii="Times New Roman" w:hAnsi="Times New Roman" w:eastAsia="宋体" w:cs="宋体"/>
                <w:color w:val="auto"/>
                <w:kern w:val="2"/>
                <w:sz w:val="24"/>
                <w:szCs w:val="24"/>
                <w:lang w:val="en-US" w:eastAsia="zh-CN" w:bidi="ar-SA"/>
              </w:rPr>
              <w:t>。</w:t>
            </w:r>
          </w:p>
          <w:p w14:paraId="2D87E267">
            <w:pPr>
              <w:pStyle w:val="48"/>
              <w:ind w:firstLine="480" w:firstLineChars="200"/>
              <w:rPr>
                <w:rFonts w:hint="eastAsia" w:ascii="Times New Roman" w:hAnsi="Times New Roman" w:eastAsia="宋体" w:cs="Times New Roman"/>
                <w:b w:val="0"/>
                <w:bCs/>
                <w:color w:val="auto"/>
                <w:szCs w:val="24"/>
                <w:highlight w:val="none"/>
                <w:lang w:val="en-US" w:eastAsia="zh-CN"/>
              </w:rPr>
            </w:pPr>
            <w:r>
              <w:rPr>
                <w:rFonts w:hint="eastAsia" w:ascii="Times New Roman" w:hAnsi="Times New Roman" w:eastAsia="宋体" w:cs="Times New Roman"/>
                <w:b w:val="0"/>
                <w:bCs/>
                <w:color w:val="auto"/>
                <w:szCs w:val="24"/>
                <w:highlight w:val="none"/>
                <w:lang w:val="en-US" w:eastAsia="zh-CN"/>
              </w:rPr>
              <w:t>（1）有组织废气</w:t>
            </w:r>
          </w:p>
          <w:p w14:paraId="0A0A529C">
            <w:pPr>
              <w:pStyle w:val="48"/>
              <w:ind w:firstLine="480" w:firstLineChars="200"/>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本项目</w:t>
            </w:r>
            <w:r>
              <w:rPr>
                <w:rFonts w:hint="eastAsia" w:cs="宋体"/>
                <w:color w:val="auto"/>
                <w:kern w:val="2"/>
                <w:sz w:val="24"/>
                <w:szCs w:val="24"/>
                <w:highlight w:val="none"/>
                <w:lang w:val="en-US" w:eastAsia="zh-CN" w:bidi="ar-SA"/>
              </w:rPr>
              <w:t>VOCs、乙醇、乙醚、丙酮（以非甲烷总烃计）</w:t>
            </w:r>
            <w:r>
              <w:rPr>
                <w:rFonts w:hint="eastAsia" w:ascii="Times New Roman" w:hAnsi="Times New Roman" w:eastAsia="宋体" w:cs="宋体"/>
                <w:color w:val="auto"/>
                <w:kern w:val="2"/>
                <w:sz w:val="24"/>
                <w:szCs w:val="24"/>
                <w:highlight w:val="none"/>
                <w:lang w:val="en-US" w:eastAsia="zh-CN" w:bidi="ar-SA"/>
              </w:rPr>
              <w:t>有组织排放执行《工业企业挥发性有机物排放标准》（DB35/1782-2018）表1中其他行业标准。</w:t>
            </w:r>
          </w:p>
          <w:p w14:paraId="6E99263D">
            <w:pPr>
              <w:pStyle w:val="48"/>
              <w:keepNext w:val="0"/>
              <w:keepLines w:val="0"/>
              <w:pageBreakBefore w:val="0"/>
              <w:widowControl/>
              <w:kinsoku/>
              <w:wordWrap/>
              <w:overflowPunct/>
              <w:topLinePunct w:val="0"/>
              <w:autoSpaceDE/>
              <w:autoSpaceDN/>
              <w:bidi w:val="0"/>
              <w:adjustRightInd/>
              <w:snapToGrid/>
              <w:spacing w:line="240" w:lineRule="auto"/>
              <w:ind w:firstLine="482" w:firstLineChars="200"/>
              <w:jc w:val="center"/>
              <w:textAlignment w:val="auto"/>
              <w:rPr>
                <w:rFonts w:hint="eastAsia" w:ascii="Times New Roman" w:hAnsi="Times New Roman" w:eastAsia="宋体" w:cs="Times New Roman"/>
                <w:b/>
                <w:bCs w:val="0"/>
                <w:color w:val="auto"/>
                <w:szCs w:val="24"/>
                <w:highlight w:val="none"/>
                <w:lang w:eastAsia="zh-CN"/>
              </w:rPr>
            </w:pPr>
            <w:r>
              <w:rPr>
                <w:rFonts w:hint="eastAsia" w:ascii="Times New Roman" w:hAnsi="Times New Roman" w:eastAsia="宋体" w:cs="Times New Roman"/>
                <w:b/>
                <w:bCs w:val="0"/>
                <w:color w:val="auto"/>
                <w:szCs w:val="24"/>
                <w:highlight w:val="none"/>
                <w:lang w:val="en-US" w:eastAsia="zh-CN"/>
              </w:rPr>
              <w:t>表3</w:t>
            </w:r>
            <w:r>
              <w:rPr>
                <w:rFonts w:hint="eastAsia" w:cs="Times New Roman"/>
                <w:b/>
                <w:bCs w:val="0"/>
                <w:color w:val="auto"/>
                <w:szCs w:val="24"/>
                <w:highlight w:val="none"/>
                <w:lang w:val="en-US" w:eastAsia="zh-CN"/>
              </w:rPr>
              <w:t>.7</w:t>
            </w:r>
            <w:r>
              <w:rPr>
                <w:rFonts w:hint="eastAsia" w:ascii="Times New Roman" w:hAnsi="Times New Roman" w:eastAsia="宋体" w:cs="Times New Roman"/>
                <w:b/>
                <w:bCs w:val="0"/>
                <w:color w:val="auto"/>
                <w:szCs w:val="24"/>
                <w:highlight w:val="none"/>
                <w:lang w:val="en-US" w:eastAsia="zh-CN"/>
              </w:rPr>
              <w:t>-</w:t>
            </w:r>
            <w:r>
              <w:rPr>
                <w:rFonts w:hint="eastAsia" w:cs="Times New Roman"/>
                <w:b/>
                <w:bCs w:val="0"/>
                <w:color w:val="auto"/>
                <w:szCs w:val="24"/>
                <w:highlight w:val="none"/>
                <w:lang w:val="en-US" w:eastAsia="zh-CN"/>
              </w:rPr>
              <w:t xml:space="preserve">3  </w:t>
            </w:r>
            <w:r>
              <w:rPr>
                <w:rFonts w:hint="eastAsia" w:ascii="Times New Roman" w:hAnsi="Times New Roman" w:eastAsia="宋体" w:cs="Times New Roman"/>
                <w:b/>
                <w:bCs w:val="0"/>
                <w:color w:val="auto"/>
                <w:szCs w:val="24"/>
                <w:highlight w:val="none"/>
                <w:lang w:val="en-US" w:eastAsia="zh-CN"/>
              </w:rPr>
              <w:t>有组织废气污染物排放标准</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087"/>
              <w:gridCol w:w="1765"/>
              <w:gridCol w:w="2040"/>
              <w:gridCol w:w="2132"/>
            </w:tblGrid>
            <w:tr w14:paraId="56C3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8" w:type="dxa"/>
                  <w:tcBorders>
                    <w:top w:val="single" w:color="auto" w:sz="12" w:space="0"/>
                    <w:left w:val="nil"/>
                  </w:tcBorders>
                  <w:noWrap w:val="0"/>
                  <w:vAlign w:val="center"/>
                </w:tcPr>
                <w:p w14:paraId="30860DC5">
                  <w:pPr>
                    <w:pStyle w:val="30"/>
                    <w:bidi w:val="0"/>
                    <w:rPr>
                      <w:rFonts w:hint="eastAsia" w:ascii="Times New Roman" w:hAnsi="Times New Roman" w:eastAsia="宋体" w:cs="Times New Roman"/>
                      <w:b/>
                      <w:bCs/>
                      <w:color w:val="auto"/>
                      <w:kern w:val="0"/>
                      <w:sz w:val="21"/>
                      <w:szCs w:val="21"/>
                      <w:highlight w:val="none"/>
                      <w:lang w:val="en-US" w:eastAsia="zh-CN" w:bidi="ar-SA"/>
                    </w:rPr>
                  </w:pPr>
                  <w:r>
                    <w:rPr>
                      <w:rFonts w:hint="eastAsia"/>
                      <w:b/>
                      <w:bCs/>
                      <w:color w:val="auto"/>
                      <w:sz w:val="21"/>
                      <w:szCs w:val="21"/>
                      <w:highlight w:val="none"/>
                      <w:lang w:val="en-US" w:eastAsia="zh-CN"/>
                    </w:rPr>
                    <w:t>行业名称</w:t>
                  </w:r>
                </w:p>
              </w:tc>
              <w:tc>
                <w:tcPr>
                  <w:tcW w:w="1087" w:type="dxa"/>
                  <w:tcBorders>
                    <w:top w:val="single" w:color="auto" w:sz="12" w:space="0"/>
                  </w:tcBorders>
                  <w:noWrap w:val="0"/>
                  <w:vAlign w:val="center"/>
                </w:tcPr>
                <w:p w14:paraId="79B3B2DC">
                  <w:pPr>
                    <w:pStyle w:val="30"/>
                    <w:bidi w:val="0"/>
                    <w:rPr>
                      <w:rFonts w:hint="eastAsia" w:ascii="Times New Roman" w:hAnsi="Times New Roman" w:eastAsia="宋体" w:cs="Times New Roman"/>
                      <w:b/>
                      <w:bCs/>
                      <w:color w:val="auto"/>
                      <w:kern w:val="0"/>
                      <w:sz w:val="21"/>
                      <w:szCs w:val="21"/>
                      <w:highlight w:val="none"/>
                      <w:lang w:val="en-US" w:eastAsia="zh-CN" w:bidi="ar-SA"/>
                    </w:rPr>
                  </w:pPr>
                  <w:r>
                    <w:rPr>
                      <w:rFonts w:hint="eastAsia"/>
                      <w:b/>
                      <w:bCs/>
                      <w:color w:val="auto"/>
                      <w:sz w:val="21"/>
                      <w:szCs w:val="21"/>
                      <w:highlight w:val="none"/>
                      <w:lang w:val="en-US" w:eastAsia="zh-CN"/>
                    </w:rPr>
                    <w:t>工艺设施</w:t>
                  </w:r>
                </w:p>
              </w:tc>
              <w:tc>
                <w:tcPr>
                  <w:tcW w:w="1765" w:type="dxa"/>
                  <w:tcBorders>
                    <w:top w:val="single" w:color="auto" w:sz="12" w:space="0"/>
                  </w:tcBorders>
                  <w:noWrap w:val="0"/>
                  <w:vAlign w:val="center"/>
                </w:tcPr>
                <w:p w14:paraId="458CBD18">
                  <w:pPr>
                    <w:pStyle w:val="30"/>
                    <w:bidi w:val="0"/>
                    <w:rPr>
                      <w:rFonts w:hint="eastAsia" w:ascii="Times New Roman" w:hAnsi="Times New Roman" w:eastAsia="宋体" w:cs="Times New Roman"/>
                      <w:b/>
                      <w:bCs/>
                      <w:color w:val="auto"/>
                      <w:kern w:val="0"/>
                      <w:sz w:val="21"/>
                      <w:szCs w:val="21"/>
                      <w:highlight w:val="none"/>
                      <w:lang w:val="en-US" w:eastAsia="zh-CN" w:bidi="ar-SA"/>
                    </w:rPr>
                  </w:pPr>
                  <w:r>
                    <w:rPr>
                      <w:rFonts w:hint="eastAsia"/>
                      <w:b/>
                      <w:bCs/>
                      <w:color w:val="auto"/>
                      <w:sz w:val="21"/>
                      <w:szCs w:val="21"/>
                      <w:highlight w:val="none"/>
                      <w:lang w:val="en-US" w:eastAsia="zh-CN"/>
                    </w:rPr>
                    <w:t>污染物项目</w:t>
                  </w:r>
                </w:p>
              </w:tc>
              <w:tc>
                <w:tcPr>
                  <w:tcW w:w="2040" w:type="dxa"/>
                  <w:tcBorders>
                    <w:top w:val="single" w:color="auto" w:sz="12" w:space="0"/>
                  </w:tcBorders>
                  <w:noWrap w:val="0"/>
                  <w:vAlign w:val="center"/>
                </w:tcPr>
                <w:p w14:paraId="235F5A5B">
                  <w:pPr>
                    <w:pStyle w:val="30"/>
                    <w:bidi w:val="0"/>
                    <w:rPr>
                      <w:rFonts w:hint="eastAsia" w:ascii="Times New Roman" w:hAnsi="Times New Roman" w:eastAsia="宋体" w:cs="Times New Roman"/>
                      <w:b/>
                      <w:bCs/>
                      <w:color w:val="auto"/>
                      <w:kern w:val="0"/>
                      <w:sz w:val="21"/>
                      <w:szCs w:val="21"/>
                      <w:highlight w:val="none"/>
                      <w:lang w:val="en-US" w:eastAsia="zh-CN" w:bidi="ar-SA"/>
                    </w:rPr>
                  </w:pPr>
                  <w:r>
                    <w:rPr>
                      <w:rFonts w:hint="eastAsia"/>
                      <w:b/>
                      <w:bCs/>
                      <w:color w:val="auto"/>
                      <w:sz w:val="21"/>
                      <w:szCs w:val="21"/>
                      <w:highlight w:val="none"/>
                      <w:lang w:val="en-US" w:eastAsia="zh-CN"/>
                    </w:rPr>
                    <w:t>最高允许排放浓度mg/m</w:t>
                  </w:r>
                  <w:r>
                    <w:rPr>
                      <w:rFonts w:hint="eastAsia"/>
                      <w:b/>
                      <w:bCs/>
                      <w:color w:val="auto"/>
                      <w:sz w:val="21"/>
                      <w:szCs w:val="21"/>
                      <w:highlight w:val="none"/>
                      <w:vertAlign w:val="superscript"/>
                      <w:lang w:val="en-US" w:eastAsia="zh-CN"/>
                    </w:rPr>
                    <w:t>3</w:t>
                  </w:r>
                </w:p>
              </w:tc>
              <w:tc>
                <w:tcPr>
                  <w:tcW w:w="2132" w:type="dxa"/>
                  <w:tcBorders>
                    <w:top w:val="single" w:color="auto" w:sz="12" w:space="0"/>
                    <w:right w:val="nil"/>
                  </w:tcBorders>
                  <w:noWrap w:val="0"/>
                  <w:vAlign w:val="center"/>
                </w:tcPr>
                <w:p w14:paraId="11A84F0E">
                  <w:pPr>
                    <w:pStyle w:val="30"/>
                    <w:bidi w:val="0"/>
                    <w:rPr>
                      <w:rFonts w:hint="eastAsia"/>
                      <w:b/>
                      <w:bCs/>
                      <w:color w:val="auto"/>
                      <w:sz w:val="21"/>
                      <w:szCs w:val="21"/>
                      <w:highlight w:val="none"/>
                      <w:lang w:val="en-US" w:eastAsia="zh-CN"/>
                    </w:rPr>
                  </w:pPr>
                  <w:r>
                    <w:rPr>
                      <w:rFonts w:hint="eastAsia"/>
                      <w:b/>
                      <w:bCs/>
                      <w:color w:val="auto"/>
                      <w:sz w:val="21"/>
                      <w:szCs w:val="21"/>
                      <w:highlight w:val="none"/>
                      <w:lang w:val="en-US" w:eastAsia="zh-CN"/>
                    </w:rPr>
                    <w:t>最高允许排放速率</w:t>
                  </w:r>
                  <w:r>
                    <w:rPr>
                      <w:rFonts w:hint="eastAsia"/>
                      <w:b/>
                      <w:bCs/>
                      <w:color w:val="auto"/>
                      <w:sz w:val="21"/>
                      <w:szCs w:val="21"/>
                      <w:highlight w:val="none"/>
                      <w:vertAlign w:val="superscript"/>
                      <w:lang w:val="en-US" w:eastAsia="zh-CN"/>
                    </w:rPr>
                    <w:t>a</w:t>
                  </w:r>
                  <w:r>
                    <w:rPr>
                      <w:rFonts w:hint="eastAsia"/>
                      <w:b/>
                      <w:bCs/>
                      <w:color w:val="auto"/>
                      <w:sz w:val="21"/>
                      <w:szCs w:val="21"/>
                      <w:highlight w:val="none"/>
                      <w:lang w:val="en-US" w:eastAsia="zh-CN"/>
                    </w:rPr>
                    <w:t>kg/h</w:t>
                  </w:r>
                </w:p>
              </w:tc>
            </w:tr>
            <w:tr w14:paraId="5B90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8" w:type="dxa"/>
                  <w:vMerge w:val="restart"/>
                  <w:tcBorders>
                    <w:left w:val="nil"/>
                  </w:tcBorders>
                  <w:noWrap w:val="0"/>
                  <w:vAlign w:val="center"/>
                </w:tcPr>
                <w:p w14:paraId="16539C6E">
                  <w:pPr>
                    <w:pStyle w:val="30"/>
                    <w:bidi w:val="0"/>
                    <w:rPr>
                      <w:rFonts w:hint="default"/>
                      <w:color w:val="auto"/>
                      <w:sz w:val="21"/>
                      <w:szCs w:val="21"/>
                      <w:highlight w:val="none"/>
                      <w:lang w:val="en-US" w:eastAsia="zh-CN"/>
                    </w:rPr>
                  </w:pPr>
                  <w:r>
                    <w:rPr>
                      <w:rFonts w:hint="eastAsia"/>
                      <w:color w:val="auto"/>
                      <w:sz w:val="21"/>
                      <w:szCs w:val="21"/>
                      <w:highlight w:val="none"/>
                      <w:lang w:val="en-US" w:eastAsia="zh-CN"/>
                    </w:rPr>
                    <w:t>其他行业</w:t>
                  </w:r>
                </w:p>
              </w:tc>
              <w:tc>
                <w:tcPr>
                  <w:tcW w:w="1087" w:type="dxa"/>
                  <w:vMerge w:val="restart"/>
                  <w:noWrap w:val="0"/>
                  <w:vAlign w:val="center"/>
                </w:tcPr>
                <w:p w14:paraId="74D3C14D">
                  <w:pPr>
                    <w:pStyle w:val="30"/>
                    <w:bidi w:val="0"/>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1765" w:type="dxa"/>
                  <w:vMerge w:val="restart"/>
                  <w:noWrap w:val="0"/>
                  <w:vAlign w:val="center"/>
                </w:tcPr>
                <w:p w14:paraId="57A8F9D1">
                  <w:pPr>
                    <w:pStyle w:val="59"/>
                    <w:spacing w:line="246" w:lineRule="exact"/>
                    <w:ind w:left="111"/>
                    <w:jc w:val="center"/>
                    <w:rPr>
                      <w:rFonts w:hint="default"/>
                      <w:color w:val="auto"/>
                      <w:sz w:val="21"/>
                      <w:szCs w:val="21"/>
                      <w:highlight w:val="none"/>
                      <w:lang w:val="en-US" w:eastAsia="zh-CN"/>
                    </w:rPr>
                  </w:pPr>
                  <w:r>
                    <w:rPr>
                      <w:rFonts w:hint="eastAsia" w:ascii="Times New Roman" w:hAnsi="Times New Roman" w:cs="Times New Roman"/>
                      <w:color w:val="auto"/>
                      <w:kern w:val="0"/>
                      <w:sz w:val="21"/>
                      <w:szCs w:val="21"/>
                      <w:highlight w:val="none"/>
                      <w:lang w:val="en-US" w:eastAsia="zh-CN" w:bidi="ar-SA"/>
                    </w:rPr>
                    <w:t>VOCs、乙醇、乙醚、丙酮（以非甲烷总烃计）</w:t>
                  </w:r>
                </w:p>
              </w:tc>
              <w:tc>
                <w:tcPr>
                  <w:tcW w:w="2040" w:type="dxa"/>
                  <w:vMerge w:val="restart"/>
                  <w:noWrap w:val="0"/>
                  <w:vAlign w:val="center"/>
                </w:tcPr>
                <w:p w14:paraId="281DC937">
                  <w:pPr>
                    <w:pStyle w:val="30"/>
                    <w:bidi w:val="0"/>
                    <w:rPr>
                      <w:rFonts w:hint="default"/>
                      <w:color w:val="auto"/>
                      <w:sz w:val="21"/>
                      <w:szCs w:val="21"/>
                      <w:highlight w:val="none"/>
                      <w:lang w:val="en-US" w:eastAsia="zh-CN"/>
                    </w:rPr>
                  </w:pPr>
                  <w:r>
                    <w:rPr>
                      <w:rFonts w:hint="eastAsia"/>
                      <w:color w:val="auto"/>
                      <w:sz w:val="21"/>
                      <w:szCs w:val="21"/>
                      <w:highlight w:val="none"/>
                      <w:lang w:val="en-US" w:eastAsia="zh-CN"/>
                    </w:rPr>
                    <w:t>100</w:t>
                  </w:r>
                </w:p>
              </w:tc>
              <w:tc>
                <w:tcPr>
                  <w:tcW w:w="2132" w:type="dxa"/>
                  <w:noWrap w:val="0"/>
                  <w:vAlign w:val="center"/>
                </w:tcPr>
                <w:p w14:paraId="5A8A815B">
                  <w:pPr>
                    <w:pStyle w:val="30"/>
                    <w:bidi w:val="0"/>
                    <w:rPr>
                      <w:rFonts w:hint="default"/>
                      <w:color w:val="auto"/>
                      <w:sz w:val="21"/>
                      <w:szCs w:val="21"/>
                      <w:highlight w:val="none"/>
                      <w:lang w:val="en-US" w:eastAsia="zh-CN"/>
                    </w:rPr>
                  </w:pPr>
                  <w:r>
                    <w:rPr>
                      <w:rFonts w:hint="eastAsia"/>
                      <w:color w:val="auto"/>
                      <w:sz w:val="21"/>
                      <w:szCs w:val="21"/>
                      <w:highlight w:val="none"/>
                      <w:lang w:val="en-US" w:eastAsia="zh-CN"/>
                    </w:rPr>
                    <w:t>20m</w:t>
                  </w:r>
                </w:p>
              </w:tc>
            </w:tr>
            <w:tr w14:paraId="37F1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8" w:type="dxa"/>
                  <w:vMerge w:val="continue"/>
                  <w:tcBorders>
                    <w:left w:val="nil"/>
                  </w:tcBorders>
                  <w:noWrap w:val="0"/>
                  <w:vAlign w:val="center"/>
                </w:tcPr>
                <w:p w14:paraId="02F24867">
                  <w:pPr>
                    <w:pStyle w:val="30"/>
                    <w:bidi w:val="0"/>
                    <w:rPr>
                      <w:rFonts w:hint="eastAsia"/>
                      <w:color w:val="auto"/>
                      <w:sz w:val="21"/>
                      <w:szCs w:val="21"/>
                      <w:highlight w:val="none"/>
                      <w:lang w:val="en-US" w:eastAsia="zh-CN"/>
                    </w:rPr>
                  </w:pPr>
                </w:p>
              </w:tc>
              <w:tc>
                <w:tcPr>
                  <w:tcW w:w="1087" w:type="dxa"/>
                  <w:vMerge w:val="continue"/>
                  <w:noWrap w:val="0"/>
                  <w:vAlign w:val="center"/>
                </w:tcPr>
                <w:p w14:paraId="149626BB">
                  <w:pPr>
                    <w:pStyle w:val="30"/>
                    <w:bidi w:val="0"/>
                    <w:rPr>
                      <w:rFonts w:hint="eastAsia"/>
                      <w:color w:val="auto"/>
                      <w:sz w:val="21"/>
                      <w:szCs w:val="21"/>
                      <w:highlight w:val="none"/>
                      <w:lang w:val="en-US" w:eastAsia="zh-CN"/>
                    </w:rPr>
                  </w:pPr>
                </w:p>
              </w:tc>
              <w:tc>
                <w:tcPr>
                  <w:tcW w:w="1765" w:type="dxa"/>
                  <w:vMerge w:val="continue"/>
                  <w:noWrap w:val="0"/>
                  <w:vAlign w:val="center"/>
                </w:tcPr>
                <w:p w14:paraId="0C037441">
                  <w:pPr>
                    <w:pStyle w:val="30"/>
                    <w:bidi w:val="0"/>
                    <w:rPr>
                      <w:rFonts w:hint="eastAsia"/>
                      <w:color w:val="auto"/>
                      <w:sz w:val="21"/>
                      <w:szCs w:val="21"/>
                      <w:highlight w:val="none"/>
                      <w:lang w:val="en-US" w:eastAsia="zh-CN"/>
                    </w:rPr>
                  </w:pPr>
                </w:p>
              </w:tc>
              <w:tc>
                <w:tcPr>
                  <w:tcW w:w="2040" w:type="dxa"/>
                  <w:vMerge w:val="continue"/>
                  <w:noWrap w:val="0"/>
                  <w:vAlign w:val="center"/>
                </w:tcPr>
                <w:p w14:paraId="482E1F4C">
                  <w:pPr>
                    <w:pStyle w:val="30"/>
                    <w:bidi w:val="0"/>
                    <w:rPr>
                      <w:rFonts w:hint="eastAsia"/>
                      <w:color w:val="auto"/>
                      <w:sz w:val="21"/>
                      <w:szCs w:val="21"/>
                      <w:highlight w:val="none"/>
                      <w:lang w:val="en-US" w:eastAsia="zh-CN"/>
                    </w:rPr>
                  </w:pPr>
                </w:p>
              </w:tc>
              <w:tc>
                <w:tcPr>
                  <w:tcW w:w="2132" w:type="dxa"/>
                  <w:noWrap w:val="0"/>
                  <w:vAlign w:val="center"/>
                </w:tcPr>
                <w:p w14:paraId="1F78B1AC">
                  <w:pPr>
                    <w:pStyle w:val="30"/>
                    <w:bidi w:val="0"/>
                    <w:rPr>
                      <w:rFonts w:hint="default"/>
                      <w:color w:val="auto"/>
                      <w:sz w:val="21"/>
                      <w:szCs w:val="21"/>
                      <w:highlight w:val="none"/>
                      <w:lang w:val="en-US" w:eastAsia="zh-CN"/>
                    </w:rPr>
                  </w:pPr>
                  <w:r>
                    <w:rPr>
                      <w:rFonts w:hint="eastAsia"/>
                      <w:color w:val="auto"/>
                      <w:sz w:val="21"/>
                      <w:szCs w:val="21"/>
                      <w:highlight w:val="none"/>
                      <w:lang w:val="en-US" w:eastAsia="zh-CN"/>
                    </w:rPr>
                    <w:t>3.6</w:t>
                  </w:r>
                </w:p>
              </w:tc>
            </w:tr>
            <w:tr w14:paraId="6BBD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02" w:type="dxa"/>
                  <w:gridSpan w:val="5"/>
                  <w:tcBorders>
                    <w:left w:val="nil"/>
                    <w:bottom w:val="single" w:color="auto" w:sz="12" w:space="0"/>
                    <w:right w:val="nil"/>
                  </w:tcBorders>
                  <w:noWrap w:val="0"/>
                  <w:vAlign w:val="center"/>
                </w:tcPr>
                <w:p w14:paraId="781F3C43">
                  <w:pPr>
                    <w:pStyle w:val="30"/>
                    <w:bidi w:val="0"/>
                    <w:ind w:firstLine="360" w:firstLineChars="200"/>
                    <w:jc w:val="both"/>
                    <w:rPr>
                      <w:rFonts w:hint="eastAsia"/>
                      <w:color w:val="auto"/>
                      <w:sz w:val="18"/>
                      <w:szCs w:val="18"/>
                      <w:highlight w:val="none"/>
                      <w:lang w:val="en-US" w:eastAsia="zh-CN"/>
                    </w:rPr>
                  </w:pPr>
                  <w:r>
                    <w:rPr>
                      <w:rFonts w:hint="eastAsia"/>
                      <w:color w:val="auto"/>
                      <w:sz w:val="18"/>
                      <w:szCs w:val="18"/>
                      <w:highlight w:val="none"/>
                      <w:lang w:val="en-US" w:eastAsia="zh-CN"/>
                    </w:rPr>
                    <w:t>注：a当非甲烷总烃的去除率≥90%时，等同于满足最高允许排放速率限值要求；</w:t>
                  </w:r>
                </w:p>
                <w:p w14:paraId="44A39B5D">
                  <w:pPr>
                    <w:ind w:firstLine="360" w:firstLineChars="200"/>
                    <w:rPr>
                      <w:rFonts w:hint="default"/>
                      <w:color w:val="auto"/>
                      <w:lang w:val="en-US" w:eastAsia="zh-CN"/>
                    </w:rPr>
                  </w:pPr>
                  <w:r>
                    <w:rPr>
                      <w:rFonts w:ascii="宋体" w:hAnsi="宋体" w:eastAsia="宋体" w:cs="宋体"/>
                      <w:b w:val="0"/>
                      <w:bCs w:val="0"/>
                      <w:color w:val="auto"/>
                      <w:sz w:val="18"/>
                      <w:szCs w:val="18"/>
                    </w:rPr>
                    <w:t>本项目属于</w:t>
                  </w:r>
                  <w:r>
                    <w:rPr>
                      <w:rFonts w:hint="eastAsia" w:ascii="宋体" w:hAnsi="宋体" w:eastAsia="宋体" w:cs="宋体"/>
                      <w:b w:val="0"/>
                      <w:bCs w:val="0"/>
                      <w:color w:val="auto"/>
                      <w:sz w:val="18"/>
                      <w:szCs w:val="18"/>
                      <w:lang w:val="en-US" w:eastAsia="zh-CN"/>
                    </w:rPr>
                    <w:t>光学</w:t>
                  </w:r>
                  <w:r>
                    <w:rPr>
                      <w:rFonts w:ascii="宋体" w:hAnsi="宋体" w:eastAsia="宋体" w:cs="宋体"/>
                      <w:b w:val="0"/>
                      <w:bCs w:val="0"/>
                      <w:color w:val="auto"/>
                      <w:sz w:val="18"/>
                      <w:szCs w:val="18"/>
                    </w:rPr>
                    <w:t>玻璃制品制造工序，</w:t>
                  </w:r>
                  <w:r>
                    <w:rPr>
                      <w:rStyle w:val="21"/>
                      <w:rFonts w:ascii="宋体" w:hAnsi="宋体" w:eastAsia="宋体" w:cs="宋体"/>
                      <w:b w:val="0"/>
                      <w:bCs w:val="0"/>
                      <w:color w:val="auto"/>
                      <w:sz w:val="18"/>
                      <w:szCs w:val="18"/>
                    </w:rPr>
                    <w:t>生产过程不熔炼玻璃原料、无熔融玻璃液产生</w:t>
                  </w:r>
                  <w:r>
                    <w:rPr>
                      <w:rFonts w:ascii="宋体" w:hAnsi="宋体" w:eastAsia="宋体" w:cs="宋体"/>
                      <w:b w:val="0"/>
                      <w:bCs w:val="0"/>
                      <w:color w:val="auto"/>
                      <w:sz w:val="18"/>
                      <w:szCs w:val="18"/>
                    </w:rPr>
                    <w:t>，仅以外购成品玻璃原片/玻璃坯料进行深加工，不涉及熔窑熔融工段，</w:t>
                  </w:r>
                  <w:r>
                    <w:rPr>
                      <w:rStyle w:val="21"/>
                      <w:rFonts w:ascii="宋体" w:hAnsi="宋体" w:eastAsia="宋体" w:cs="宋体"/>
                      <w:b w:val="0"/>
                      <w:bCs w:val="0"/>
                      <w:color w:val="auto"/>
                      <w:sz w:val="18"/>
                      <w:szCs w:val="18"/>
                    </w:rPr>
                    <w:t>不适用玻璃熔窑基准排气量核算要求，无需考核基准排气量指标</w:t>
                  </w:r>
                  <w:r>
                    <w:rPr>
                      <w:rFonts w:ascii="宋体" w:hAnsi="宋体" w:eastAsia="宋体" w:cs="宋体"/>
                      <w:b w:val="0"/>
                      <w:bCs w:val="0"/>
                      <w:color w:val="auto"/>
                      <w:sz w:val="18"/>
                      <w:szCs w:val="18"/>
                    </w:rPr>
                    <w:t>。</w:t>
                  </w:r>
                </w:p>
              </w:tc>
            </w:tr>
          </w:tbl>
          <w:p w14:paraId="6A2CA66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（2）无组织废气</w:t>
            </w:r>
          </w:p>
          <w:p w14:paraId="53C39748">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本项目</w:t>
            </w:r>
            <w:r>
              <w:rPr>
                <w:rFonts w:hint="eastAsia" w:cs="宋体"/>
                <w:color w:val="auto"/>
                <w:kern w:val="2"/>
                <w:sz w:val="24"/>
                <w:szCs w:val="24"/>
                <w:highlight w:val="none"/>
                <w:lang w:val="en-US" w:eastAsia="zh-CN" w:bidi="ar-SA"/>
              </w:rPr>
              <w:t>VOCs、乙醇、乙醚、丙酮（以非甲烷总烃计）</w:t>
            </w:r>
            <w:r>
              <w:rPr>
                <w:rFonts w:hint="eastAsia" w:ascii="Times New Roman" w:hAnsi="Times New Roman" w:eastAsia="宋体" w:cs="宋体"/>
                <w:color w:val="auto"/>
                <w:kern w:val="2"/>
                <w:sz w:val="24"/>
                <w:szCs w:val="24"/>
                <w:highlight w:val="none"/>
                <w:lang w:val="en-US" w:eastAsia="zh-CN" w:bidi="ar-SA"/>
              </w:rPr>
              <w:t>厂界无组织排放执行《工业企业挥发性有机物排放标准》（DB35/1782-2018）表3中企业边界监控点浓度限值</w:t>
            </w:r>
            <w:r>
              <w:rPr>
                <w:rFonts w:hint="eastAsia" w:cs="宋体"/>
                <w:color w:val="auto"/>
                <w:kern w:val="2"/>
                <w:sz w:val="24"/>
                <w:szCs w:val="24"/>
                <w:highlight w:val="none"/>
                <w:lang w:val="en-US" w:eastAsia="zh-CN" w:bidi="ar-SA"/>
              </w:rPr>
              <w:t>；颗粒物厂界无组织排放执行</w:t>
            </w:r>
            <w:r>
              <w:rPr>
                <w:rFonts w:ascii="宋体" w:hAnsi="宋体" w:eastAsia="宋体" w:cs="宋体"/>
                <w:i w:val="0"/>
                <w:iCs w:val="0"/>
                <w:caps w:val="0"/>
                <w:color w:val="auto"/>
                <w:spacing w:val="0"/>
                <w:sz w:val="24"/>
                <w:szCs w:val="24"/>
                <w:shd w:val="clear" w:fill="FFFFFF"/>
              </w:rPr>
              <w:t>《大气污染物综合排放标准》（GB 16297-1996）表2中无组织排放监控浓度限值</w:t>
            </w:r>
            <w:r>
              <w:rPr>
                <w:rFonts w:hint="eastAsia" w:ascii="宋体" w:hAnsi="宋体" w:eastAsia="宋体" w:cs="宋体"/>
                <w:i w:val="0"/>
                <w:iCs w:val="0"/>
                <w:caps w:val="0"/>
                <w:color w:val="auto"/>
                <w:spacing w:val="0"/>
                <w:sz w:val="24"/>
                <w:szCs w:val="24"/>
                <w:shd w:val="clear" w:fill="FFFFFF"/>
                <w:lang w:eastAsia="zh-CN"/>
              </w:rPr>
              <w:t>。</w:t>
            </w:r>
          </w:p>
          <w:p w14:paraId="1438A085">
            <w:pPr>
              <w:pStyle w:val="52"/>
              <w:keepNext w:val="0"/>
              <w:keepLines w:val="0"/>
              <w:pageBreakBefore w:val="0"/>
              <w:widowControl w:val="0"/>
              <w:kinsoku/>
              <w:wordWrap/>
              <w:overflowPunct/>
              <w:topLinePunct w:val="0"/>
              <w:autoSpaceDE/>
              <w:autoSpaceDN/>
              <w:bidi w:val="0"/>
              <w:adjustRightInd/>
              <w:snapToGrid w:val="0"/>
              <w:spacing w:before="0" w:after="0"/>
              <w:ind w:firstLine="482" w:firstLineChars="200"/>
              <w:textAlignment w:val="auto"/>
              <w:rPr>
                <w:rFonts w:hint="default"/>
                <w:color w:val="auto"/>
                <w:highlight w:val="none"/>
                <w:lang w:val="en-US" w:eastAsia="zh-CN"/>
              </w:rPr>
            </w:pPr>
            <w:r>
              <w:rPr>
                <w:rFonts w:hint="eastAsia"/>
                <w:color w:val="auto"/>
                <w:highlight w:val="none"/>
                <w:lang w:val="en-US" w:eastAsia="zh-CN"/>
              </w:rPr>
              <w:t>表3.7-4  厂界无组织废气排放标准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7"/>
              <w:gridCol w:w="2687"/>
              <w:gridCol w:w="2687"/>
            </w:tblGrid>
            <w:tr w14:paraId="6A16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66" w:type="pct"/>
                  <w:tcBorders>
                    <w:top w:val="single" w:color="auto" w:sz="12" w:space="0"/>
                    <w:left w:val="nil"/>
                  </w:tcBorders>
                  <w:shd w:val="clear" w:color="auto" w:fill="auto"/>
                  <w:noWrap w:val="0"/>
                  <w:vAlign w:val="center"/>
                </w:tcPr>
                <w:p w14:paraId="3A83C2F8">
                  <w:pPr>
                    <w:pStyle w:val="30"/>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污染物项目</w:t>
                  </w:r>
                </w:p>
              </w:tc>
              <w:tc>
                <w:tcPr>
                  <w:tcW w:w="1666" w:type="pct"/>
                  <w:tcBorders>
                    <w:top w:val="single" w:color="auto" w:sz="12" w:space="0"/>
                  </w:tcBorders>
                  <w:shd w:val="clear" w:color="auto" w:fill="auto"/>
                  <w:noWrap w:val="0"/>
                  <w:vAlign w:val="center"/>
                </w:tcPr>
                <w:p w14:paraId="4E1256EA">
                  <w:pPr>
                    <w:pStyle w:val="30"/>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排放浓度限值</w:t>
                  </w:r>
                </w:p>
              </w:tc>
              <w:tc>
                <w:tcPr>
                  <w:tcW w:w="1666" w:type="pct"/>
                  <w:tcBorders>
                    <w:top w:val="single" w:color="auto" w:sz="12" w:space="0"/>
                    <w:right w:val="nil"/>
                  </w:tcBorders>
                  <w:shd w:val="clear" w:color="auto" w:fill="auto"/>
                  <w:noWrap w:val="0"/>
                  <w:vAlign w:val="center"/>
                </w:tcPr>
                <w:p w14:paraId="1B9A60B4">
                  <w:pPr>
                    <w:pStyle w:val="30"/>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适用范围</w:t>
                  </w:r>
                </w:p>
              </w:tc>
            </w:tr>
            <w:tr w14:paraId="7BED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6" w:type="pct"/>
                  <w:tcBorders>
                    <w:left w:val="nil"/>
                  </w:tcBorders>
                  <w:noWrap w:val="0"/>
                  <w:vAlign w:val="center"/>
                </w:tcPr>
                <w:p w14:paraId="4C6CF082">
                  <w:pPr>
                    <w:pStyle w:val="30"/>
                    <w:bidi w:val="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非甲烷总烃</w:t>
                  </w:r>
                </w:p>
              </w:tc>
              <w:tc>
                <w:tcPr>
                  <w:tcW w:w="1666" w:type="pct"/>
                  <w:noWrap w:val="0"/>
                  <w:vAlign w:val="center"/>
                </w:tcPr>
                <w:p w14:paraId="34F3C7D5">
                  <w:pPr>
                    <w:pStyle w:val="30"/>
                    <w:bidi w:val="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2.0mg/m</w:t>
                  </w:r>
                  <w:r>
                    <w:rPr>
                      <w:rFonts w:hint="eastAsia" w:ascii="Times New Roman" w:hAnsi="Times New Roman" w:eastAsia="宋体" w:cs="Times New Roman"/>
                      <w:color w:val="auto"/>
                      <w:sz w:val="21"/>
                      <w:szCs w:val="21"/>
                      <w:highlight w:val="none"/>
                      <w:vertAlign w:val="superscript"/>
                      <w:lang w:val="en-US" w:eastAsia="zh-CN"/>
                    </w:rPr>
                    <w:t>3</w:t>
                  </w:r>
                </w:p>
              </w:tc>
              <w:tc>
                <w:tcPr>
                  <w:tcW w:w="1666" w:type="pct"/>
                  <w:tcBorders>
                    <w:right w:val="nil"/>
                  </w:tcBorders>
                  <w:noWrap w:val="0"/>
                  <w:vAlign w:val="center"/>
                </w:tcPr>
                <w:p w14:paraId="382D3C73">
                  <w:pPr>
                    <w:pStyle w:val="30"/>
                    <w:bidi w:val="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所有行业</w:t>
                  </w:r>
                </w:p>
              </w:tc>
            </w:tr>
            <w:tr w14:paraId="5395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6" w:type="pct"/>
                  <w:tcBorders>
                    <w:left w:val="nil"/>
                    <w:bottom w:val="single" w:color="auto" w:sz="12" w:space="0"/>
                  </w:tcBorders>
                  <w:noWrap w:val="0"/>
                  <w:vAlign w:val="center"/>
                </w:tcPr>
                <w:p w14:paraId="233CA250">
                  <w:pPr>
                    <w:pStyle w:val="30"/>
                    <w:bidi w:val="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1666" w:type="pct"/>
                  <w:tcBorders>
                    <w:bottom w:val="single" w:color="auto" w:sz="12" w:space="0"/>
                  </w:tcBorders>
                  <w:noWrap w:val="0"/>
                  <w:vAlign w:val="center"/>
                </w:tcPr>
                <w:p w14:paraId="644F868F">
                  <w:pPr>
                    <w:pStyle w:val="30"/>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1.0mg/m</w:t>
                  </w:r>
                  <w:r>
                    <w:rPr>
                      <w:rFonts w:hint="eastAsia" w:ascii="Times New Roman" w:hAnsi="Times New Roman" w:eastAsia="宋体" w:cs="Times New Roman"/>
                      <w:color w:val="auto"/>
                      <w:sz w:val="21"/>
                      <w:szCs w:val="21"/>
                      <w:highlight w:val="none"/>
                      <w:vertAlign w:val="superscript"/>
                      <w:lang w:val="en-US" w:eastAsia="zh-CN"/>
                    </w:rPr>
                    <w:t>3</w:t>
                  </w:r>
                </w:p>
              </w:tc>
              <w:tc>
                <w:tcPr>
                  <w:tcW w:w="1666" w:type="pct"/>
                  <w:tcBorders>
                    <w:bottom w:val="single" w:color="auto" w:sz="12" w:space="0"/>
                    <w:right w:val="nil"/>
                  </w:tcBorders>
                  <w:noWrap w:val="0"/>
                  <w:vAlign w:val="center"/>
                </w:tcPr>
                <w:p w14:paraId="2CFDE04C">
                  <w:pPr>
                    <w:pStyle w:val="30"/>
                    <w:bidi w:val="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其他</w:t>
                  </w:r>
                </w:p>
              </w:tc>
            </w:tr>
          </w:tbl>
          <w:p w14:paraId="3E03F201">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本项目</w:t>
            </w:r>
            <w:r>
              <w:rPr>
                <w:rFonts w:hint="eastAsia" w:cs="宋体"/>
                <w:color w:val="auto"/>
                <w:kern w:val="2"/>
                <w:sz w:val="24"/>
                <w:szCs w:val="24"/>
                <w:highlight w:val="none"/>
                <w:lang w:val="en-US" w:eastAsia="zh-CN" w:bidi="ar-SA"/>
              </w:rPr>
              <w:t>VOCs、乙醇、乙醚、丙酮（以非甲烷总烃计）</w:t>
            </w:r>
            <w:r>
              <w:rPr>
                <w:rFonts w:hint="eastAsia" w:ascii="Times New Roman" w:hAnsi="Times New Roman" w:eastAsia="宋体" w:cs="宋体"/>
                <w:color w:val="auto"/>
                <w:kern w:val="2"/>
                <w:sz w:val="24"/>
                <w:szCs w:val="24"/>
                <w:highlight w:val="none"/>
                <w:lang w:val="en-US" w:eastAsia="zh-CN" w:bidi="ar-SA"/>
              </w:rPr>
              <w:t>厂区内无组织排放执行《挥发性有机物无组织排放控制标准》（GB37822-2019）中附录A表A.1无组织排放限值以及《工业企业挥发性有机物排放标准》（DB35/1782-2018）表2中厂区内监控点浓度限值。</w:t>
            </w:r>
          </w:p>
          <w:p w14:paraId="2CEDE469">
            <w:pPr>
              <w:pStyle w:val="52"/>
              <w:keepNext w:val="0"/>
              <w:keepLines w:val="0"/>
              <w:pageBreakBefore w:val="0"/>
              <w:widowControl w:val="0"/>
              <w:kinsoku/>
              <w:wordWrap/>
              <w:overflowPunct/>
              <w:topLinePunct w:val="0"/>
              <w:autoSpaceDE/>
              <w:autoSpaceDN/>
              <w:bidi w:val="0"/>
              <w:adjustRightInd/>
              <w:snapToGrid w:val="0"/>
              <w:spacing w:before="0" w:after="0"/>
              <w:ind w:firstLine="482" w:firstLineChars="200"/>
              <w:textAlignment w:val="auto"/>
              <w:rPr>
                <w:rFonts w:hint="default"/>
                <w:color w:val="auto"/>
                <w:highlight w:val="none"/>
                <w:lang w:val="en-US" w:eastAsia="zh-CN"/>
              </w:rPr>
            </w:pPr>
            <w:r>
              <w:rPr>
                <w:rFonts w:hint="eastAsia"/>
                <w:color w:val="auto"/>
                <w:highlight w:val="none"/>
                <w:lang w:val="en-US" w:eastAsia="zh-CN"/>
              </w:rPr>
              <w:t>表3.7-5  厂区内无组织废气排放标准（单位：mg/m</w:t>
            </w:r>
            <w:r>
              <w:rPr>
                <w:rFonts w:hint="eastAsia"/>
                <w:color w:val="auto"/>
                <w:highlight w:val="none"/>
                <w:vertAlign w:val="superscript"/>
                <w:lang w:val="en-US" w:eastAsia="zh-CN"/>
              </w:rPr>
              <w:t>3</w:t>
            </w:r>
            <w:r>
              <w:rPr>
                <w:rFonts w:hint="eastAsia"/>
                <w:color w:val="auto"/>
                <w:highlight w:val="none"/>
                <w:lang w:val="en-US" w:eastAsia="zh-CN"/>
              </w:rPr>
              <w:t>）</w:t>
            </w:r>
          </w:p>
          <w:tbl>
            <w:tblPr>
              <w:tblStyle w:val="19"/>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1322"/>
              <w:gridCol w:w="2215"/>
              <w:gridCol w:w="3069"/>
            </w:tblGrid>
            <w:tr w14:paraId="026F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96" w:type="pct"/>
                  <w:tcBorders>
                    <w:top w:val="single" w:color="auto" w:sz="12" w:space="0"/>
                    <w:left w:val="nil"/>
                  </w:tcBorders>
                  <w:shd w:val="clear" w:color="auto" w:fill="auto"/>
                  <w:noWrap w:val="0"/>
                  <w:vAlign w:val="center"/>
                </w:tcPr>
                <w:p w14:paraId="4693A0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污染物项目</w:t>
                  </w:r>
                </w:p>
              </w:tc>
              <w:tc>
                <w:tcPr>
                  <w:tcW w:w="821" w:type="pct"/>
                  <w:tcBorders>
                    <w:top w:val="single" w:color="auto" w:sz="12" w:space="0"/>
                  </w:tcBorders>
                  <w:shd w:val="clear" w:color="auto" w:fill="auto"/>
                  <w:noWrap w:val="0"/>
                  <w:vAlign w:val="center"/>
                </w:tcPr>
                <w:p w14:paraId="6FC2DC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排放限值</w:t>
                  </w:r>
                </w:p>
              </w:tc>
              <w:tc>
                <w:tcPr>
                  <w:tcW w:w="1376" w:type="pct"/>
                  <w:tcBorders>
                    <w:top w:val="single" w:color="auto" w:sz="12" w:space="0"/>
                  </w:tcBorders>
                  <w:shd w:val="clear" w:color="auto" w:fill="auto"/>
                  <w:noWrap w:val="0"/>
                  <w:vAlign w:val="center"/>
                </w:tcPr>
                <w:p w14:paraId="3C1882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限值含义</w:t>
                  </w:r>
                </w:p>
              </w:tc>
              <w:tc>
                <w:tcPr>
                  <w:tcW w:w="1905" w:type="pct"/>
                  <w:tcBorders>
                    <w:top w:val="single" w:color="auto" w:sz="12" w:space="0"/>
                    <w:right w:val="nil"/>
                  </w:tcBorders>
                  <w:shd w:val="clear" w:color="auto" w:fill="auto"/>
                  <w:noWrap w:val="0"/>
                  <w:vAlign w:val="center"/>
                </w:tcPr>
                <w:p w14:paraId="55AFC6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无组织排放监控位置</w:t>
                  </w:r>
                </w:p>
              </w:tc>
            </w:tr>
            <w:tr w14:paraId="7679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96" w:type="pct"/>
                  <w:vMerge w:val="restart"/>
                  <w:tcBorders>
                    <w:left w:val="nil"/>
                  </w:tcBorders>
                  <w:noWrap w:val="0"/>
                  <w:vAlign w:val="center"/>
                </w:tcPr>
                <w:p w14:paraId="0235AB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NMHC</w:t>
                  </w:r>
                </w:p>
              </w:tc>
              <w:tc>
                <w:tcPr>
                  <w:tcW w:w="821" w:type="pct"/>
                  <w:noWrap w:val="0"/>
                  <w:vAlign w:val="center"/>
                </w:tcPr>
                <w:p w14:paraId="027C15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10</w:t>
                  </w:r>
                </w:p>
              </w:tc>
              <w:tc>
                <w:tcPr>
                  <w:tcW w:w="1376" w:type="pct"/>
                  <w:noWrap w:val="0"/>
                  <w:vAlign w:val="center"/>
                </w:tcPr>
                <w:p w14:paraId="030629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监控点处1h平均浓度值</w:t>
                  </w:r>
                </w:p>
              </w:tc>
              <w:tc>
                <w:tcPr>
                  <w:tcW w:w="1905" w:type="pct"/>
                  <w:vMerge w:val="restart"/>
                  <w:tcBorders>
                    <w:right w:val="nil"/>
                  </w:tcBorders>
                  <w:noWrap w:val="0"/>
                  <w:vAlign w:val="center"/>
                </w:tcPr>
                <w:p w14:paraId="09A2DA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在厂房外设置监控点</w:t>
                  </w:r>
                </w:p>
              </w:tc>
            </w:tr>
            <w:tr w14:paraId="1874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96" w:type="pct"/>
                  <w:vMerge w:val="continue"/>
                  <w:tcBorders>
                    <w:left w:val="nil"/>
                  </w:tcBorders>
                  <w:noWrap w:val="0"/>
                  <w:vAlign w:val="center"/>
                </w:tcPr>
                <w:p w14:paraId="4DFDBC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821" w:type="pct"/>
                  <w:noWrap w:val="0"/>
                  <w:vAlign w:val="center"/>
                </w:tcPr>
                <w:p w14:paraId="2CE386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30</w:t>
                  </w:r>
                </w:p>
              </w:tc>
              <w:tc>
                <w:tcPr>
                  <w:tcW w:w="1376" w:type="pct"/>
                  <w:noWrap w:val="0"/>
                  <w:vAlign w:val="center"/>
                </w:tcPr>
                <w:p w14:paraId="220EE3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监控点处任意一次浓度值</w:t>
                  </w:r>
                </w:p>
              </w:tc>
              <w:tc>
                <w:tcPr>
                  <w:tcW w:w="1905" w:type="pct"/>
                  <w:vMerge w:val="continue"/>
                  <w:tcBorders>
                    <w:right w:val="nil"/>
                  </w:tcBorders>
                  <w:noWrap w:val="0"/>
                  <w:vAlign w:val="center"/>
                </w:tcPr>
                <w:p w14:paraId="5B6AEA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r>
            <w:tr w14:paraId="0746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96" w:type="pct"/>
                  <w:tcBorders>
                    <w:left w:val="nil"/>
                  </w:tcBorders>
                  <w:noWrap w:val="0"/>
                  <w:vAlign w:val="center"/>
                </w:tcPr>
                <w:p w14:paraId="104C7E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非甲烷总烃</w:t>
                  </w:r>
                </w:p>
              </w:tc>
              <w:tc>
                <w:tcPr>
                  <w:tcW w:w="821" w:type="pct"/>
                  <w:noWrap w:val="0"/>
                  <w:vAlign w:val="center"/>
                </w:tcPr>
                <w:p w14:paraId="5819B3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8.0</w:t>
                  </w:r>
                </w:p>
              </w:tc>
              <w:tc>
                <w:tcPr>
                  <w:tcW w:w="1376" w:type="pct"/>
                  <w:noWrap w:val="0"/>
                  <w:vAlign w:val="center"/>
                </w:tcPr>
                <w:p w14:paraId="3AAE4C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w:t>
                  </w:r>
                </w:p>
              </w:tc>
              <w:tc>
                <w:tcPr>
                  <w:tcW w:w="1905" w:type="pct"/>
                  <w:tcBorders>
                    <w:right w:val="nil"/>
                  </w:tcBorders>
                  <w:noWrap w:val="0"/>
                  <w:vAlign w:val="center"/>
                </w:tcPr>
                <w:p w14:paraId="321844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为判别厂界内车间或生产装置外、储罐区域外大气污染物是否超过标准而设立的监测点</w:t>
                  </w:r>
                </w:p>
              </w:tc>
            </w:tr>
            <w:tr w14:paraId="0D6A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000" w:type="pct"/>
                  <w:gridSpan w:val="4"/>
                  <w:tcBorders>
                    <w:left w:val="nil"/>
                    <w:bottom w:val="single" w:color="auto" w:sz="12" w:space="0"/>
                    <w:right w:val="nil"/>
                  </w:tcBorders>
                  <w:noWrap w:val="0"/>
                  <w:vAlign w:val="center"/>
                </w:tcPr>
                <w:p w14:paraId="04E6213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注：</w:t>
                  </w:r>
                  <w:r>
                    <w:rPr>
                      <w:rFonts w:ascii="Times New Roman" w:hAnsi="Times New Roman" w:eastAsia="宋体" w:cs="Segoe UI Emoji"/>
                      <w:i w:val="0"/>
                      <w:iCs w:val="0"/>
                      <w:caps w:val="0"/>
                      <w:color w:val="auto"/>
                      <w:spacing w:val="0"/>
                      <w:sz w:val="18"/>
                      <w:szCs w:val="18"/>
                    </w:rPr>
                    <w:t>仅冷加工光学玻璃（无熔窑：切割、研磨、抛光、清洗，无玻璃熔炼工序，无玻璃熔制、仅机械加工，不属于</w:t>
                  </w:r>
                  <w:r>
                    <w:rPr>
                      <w:rFonts w:hint="eastAsia" w:ascii="Times New Roman" w:hAnsi="Times New Roman" w:eastAsia="宋体" w:cs="Segoe UI Emoji"/>
                      <w:i w:val="0"/>
                      <w:iCs w:val="0"/>
                      <w:caps w:val="0"/>
                      <w:color w:val="auto"/>
                      <w:spacing w:val="0"/>
                      <w:sz w:val="18"/>
                      <w:szCs w:val="18"/>
                      <w:lang w:eastAsia="zh-CN"/>
                    </w:rPr>
                    <w:t>（</w:t>
                  </w:r>
                  <w:r>
                    <w:rPr>
                      <w:rFonts w:ascii="Times New Roman" w:hAnsi="Times New Roman" w:eastAsia="宋体" w:cs="Segoe UI Emoji"/>
                      <w:i w:val="0"/>
                      <w:iCs w:val="0"/>
                      <w:caps w:val="0"/>
                      <w:color w:val="auto"/>
                      <w:spacing w:val="0"/>
                      <w:sz w:val="18"/>
                      <w:szCs w:val="18"/>
                    </w:rPr>
                    <w:t>GB</w:t>
                  </w:r>
                  <w:r>
                    <w:rPr>
                      <w:rFonts w:hint="eastAsia" w:ascii="Times New Roman" w:hAnsi="Times New Roman" w:eastAsia="宋体" w:cs="Segoe UI Emoji"/>
                      <w:i w:val="0"/>
                      <w:iCs w:val="0"/>
                      <w:caps w:val="0"/>
                      <w:color w:val="auto"/>
                      <w:spacing w:val="0"/>
                      <w:sz w:val="18"/>
                      <w:szCs w:val="18"/>
                      <w:lang w:val="en-US" w:eastAsia="zh-CN"/>
                    </w:rPr>
                    <w:t xml:space="preserve"> </w:t>
                  </w:r>
                  <w:r>
                    <w:rPr>
                      <w:rFonts w:ascii="Times New Roman" w:hAnsi="Times New Roman" w:eastAsia="宋体" w:cs="Segoe UI Emoji"/>
                      <w:i w:val="0"/>
                      <w:iCs w:val="0"/>
                      <w:caps w:val="0"/>
                      <w:color w:val="auto"/>
                      <w:spacing w:val="0"/>
                      <w:sz w:val="18"/>
                      <w:szCs w:val="18"/>
                    </w:rPr>
                    <w:t>26453</w:t>
                  </w:r>
                  <w:r>
                    <w:rPr>
                      <w:rFonts w:hint="eastAsia" w:ascii="Times New Roman" w:hAnsi="Times New Roman" w:eastAsia="宋体" w:cs="Segoe UI Emoji"/>
                      <w:i w:val="0"/>
                      <w:iCs w:val="0"/>
                      <w:caps w:val="0"/>
                      <w:color w:val="auto"/>
                      <w:spacing w:val="0"/>
                      <w:sz w:val="18"/>
                      <w:szCs w:val="18"/>
                      <w:lang w:val="en-US" w:eastAsia="zh-CN"/>
                    </w:rPr>
                    <w:t>-2022</w:t>
                  </w:r>
                  <w:r>
                    <w:rPr>
                      <w:rFonts w:hint="eastAsia" w:ascii="Times New Roman" w:hAnsi="Times New Roman" w:eastAsia="宋体" w:cs="Segoe UI Emoji"/>
                      <w:i w:val="0"/>
                      <w:iCs w:val="0"/>
                      <w:caps w:val="0"/>
                      <w:color w:val="auto"/>
                      <w:spacing w:val="0"/>
                      <w:sz w:val="18"/>
                      <w:szCs w:val="18"/>
                      <w:lang w:eastAsia="zh-CN"/>
                    </w:rPr>
                    <w:t>）</w:t>
                  </w:r>
                  <w:r>
                    <w:rPr>
                      <w:rFonts w:ascii="Times New Roman" w:hAnsi="Times New Roman" w:eastAsia="宋体" w:cs="Segoe UI Emoji"/>
                      <w:i w:val="0"/>
                      <w:iCs w:val="0"/>
                      <w:caps w:val="0"/>
                      <w:color w:val="auto"/>
                      <w:spacing w:val="0"/>
                      <w:sz w:val="18"/>
                      <w:szCs w:val="18"/>
                    </w:rPr>
                    <w:t>管控范畴，暂无国标专项厂区内颗粒物限值，环评/验收参照管控：车间岗位颗粒物参考（GB 16297-1996）管理，无强制数值，以密闭收集为主</w:t>
                  </w:r>
                  <w:r>
                    <w:rPr>
                      <w:rFonts w:hint="eastAsia" w:ascii="Times New Roman" w:hAnsi="Times New Roman" w:eastAsia="宋体" w:cs="Segoe UI Emoji"/>
                      <w:i w:val="0"/>
                      <w:iCs w:val="0"/>
                      <w:caps w:val="0"/>
                      <w:color w:val="auto"/>
                      <w:spacing w:val="0"/>
                      <w:sz w:val="18"/>
                      <w:szCs w:val="18"/>
                      <w:lang w:eastAsia="zh-CN"/>
                    </w:rPr>
                    <w:t>。</w:t>
                  </w:r>
                </w:p>
              </w:tc>
            </w:tr>
          </w:tbl>
          <w:p w14:paraId="617416E9">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78" w:name="_Toc32765"/>
            <w:r>
              <w:rPr>
                <w:rFonts w:hint="eastAsia" w:ascii="Times New Roman" w:hAnsi="Times New Roman" w:eastAsia="宋体" w:cs="Times New Roman"/>
                <w:b/>
                <w:color w:val="auto"/>
                <w:kern w:val="2"/>
                <w:sz w:val="24"/>
                <w:szCs w:val="24"/>
                <w:lang w:val="en-US" w:eastAsia="zh-CN" w:bidi="ar-SA"/>
              </w:rPr>
              <w:t>3.7.3噪声排放标准</w:t>
            </w:r>
            <w:bookmarkEnd w:id="78"/>
          </w:p>
          <w:p w14:paraId="177FFB5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项目运营期厂界噪声执行《工业企业厂界环境噪声排放标准》</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GB12348-2008</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中</w:t>
            </w:r>
            <w:r>
              <w:rPr>
                <w:rFonts w:hint="eastAsia" w:ascii="Times New Roman" w:hAnsi="Times New Roman" w:eastAsia="宋体" w:cs="宋体"/>
                <w:color w:val="auto"/>
                <w:kern w:val="2"/>
                <w:sz w:val="24"/>
                <w:szCs w:val="24"/>
                <w:lang w:val="en-US" w:eastAsia="zh-CN" w:bidi="ar-SA"/>
              </w:rPr>
              <w:t>3</w:t>
            </w:r>
            <w:r>
              <w:rPr>
                <w:rFonts w:ascii="Times New Roman" w:hAnsi="Times New Roman" w:eastAsia="宋体" w:cs="宋体"/>
                <w:color w:val="auto"/>
                <w:kern w:val="2"/>
                <w:sz w:val="24"/>
                <w:szCs w:val="24"/>
                <w:lang w:val="en-US" w:eastAsia="zh-CN" w:bidi="ar-SA"/>
              </w:rPr>
              <w:t>类标准</w:t>
            </w:r>
            <w:r>
              <w:rPr>
                <w:rFonts w:hint="eastAsia" w:ascii="Times New Roman" w:hAnsi="Times New Roman" w:eastAsia="宋体" w:cs="Times New Roman"/>
                <w:color w:val="auto"/>
                <w:sz w:val="24"/>
                <w:highlight w:val="none"/>
                <w:lang w:val="en-US" w:eastAsia="zh-CN"/>
              </w:rPr>
              <w:t>，</w:t>
            </w:r>
            <w:r>
              <w:rPr>
                <w:rFonts w:ascii="Times New Roman" w:hAnsi="Times New Roman" w:eastAsia="宋体" w:cs="宋体"/>
                <w:color w:val="auto"/>
                <w:kern w:val="2"/>
                <w:sz w:val="24"/>
                <w:szCs w:val="24"/>
                <w:lang w:val="en-US" w:eastAsia="zh-CN" w:bidi="ar-SA"/>
              </w:rPr>
              <w:t>具体详见表3.7-</w:t>
            </w:r>
            <w:r>
              <w:rPr>
                <w:rFonts w:hint="eastAsia" w:cs="宋体"/>
                <w:color w:val="auto"/>
                <w:kern w:val="2"/>
                <w:sz w:val="24"/>
                <w:szCs w:val="24"/>
                <w:lang w:val="en-US" w:eastAsia="zh-CN" w:bidi="ar-SA"/>
              </w:rPr>
              <w:t>6</w:t>
            </w:r>
            <w:r>
              <w:rPr>
                <w:rFonts w:ascii="Times New Roman" w:hAnsi="Times New Roman" w:eastAsia="宋体" w:cs="宋体"/>
                <w:color w:val="auto"/>
                <w:kern w:val="2"/>
                <w:sz w:val="24"/>
                <w:szCs w:val="24"/>
                <w:lang w:val="en-US" w:eastAsia="zh-CN" w:bidi="ar-SA"/>
              </w:rPr>
              <w:t>。</w:t>
            </w:r>
          </w:p>
          <w:p w14:paraId="27F87CC7">
            <w:pPr>
              <w:widowControl w:val="0"/>
              <w:bidi w:val="0"/>
              <w:adjustRightInd w:val="0"/>
              <w:snapToGrid w:val="0"/>
              <w:spacing w:before="10" w:beforeLines="10" w:after="10" w:afterLines="10"/>
              <w:ind w:firstLine="482" w:firstLineChars="200"/>
              <w:jc w:val="center"/>
              <w:rPr>
                <w:rFonts w:hint="eastAsia" w:ascii="Times New Roman" w:hAnsi="Times New Roman" w:eastAsia="宋体" w:cs="Times New Roman"/>
                <w:b/>
                <w:color w:val="auto"/>
                <w:kern w:val="0"/>
                <w:sz w:val="24"/>
                <w:szCs w:val="20"/>
                <w:lang w:val="en-US" w:eastAsia="zh-CN" w:bidi="ar-SA"/>
              </w:rPr>
            </w:pPr>
            <w:r>
              <w:rPr>
                <w:rFonts w:ascii="Times New Roman" w:hAnsi="Times New Roman" w:eastAsia="宋体" w:cs="Times New Roman"/>
                <w:b/>
                <w:color w:val="auto"/>
                <w:kern w:val="0"/>
                <w:sz w:val="24"/>
                <w:szCs w:val="20"/>
                <w:lang w:val="en-US" w:eastAsia="zh-CN" w:bidi="ar-SA"/>
              </w:rPr>
              <w:t>表3.7-</w:t>
            </w:r>
            <w:r>
              <w:rPr>
                <w:rFonts w:hint="eastAsia" w:cs="Times New Roman"/>
                <w:b/>
                <w:color w:val="auto"/>
                <w:kern w:val="0"/>
                <w:sz w:val="24"/>
                <w:szCs w:val="20"/>
                <w:lang w:val="en-US" w:eastAsia="zh-CN" w:bidi="ar-SA"/>
              </w:rPr>
              <w:t>6</w:t>
            </w:r>
            <w:r>
              <w:rPr>
                <w:rFonts w:ascii="Times New Roman" w:hAnsi="Times New Roman" w:eastAsia="宋体" w:cs="Times New Roman"/>
                <w:b/>
                <w:color w:val="auto"/>
                <w:kern w:val="0"/>
                <w:sz w:val="24"/>
                <w:szCs w:val="20"/>
                <w:lang w:val="en-US" w:eastAsia="zh-CN" w:bidi="ar-SA"/>
              </w:rPr>
              <w:t xml:space="preserve"> </w:t>
            </w:r>
            <w:r>
              <w:rPr>
                <w:rFonts w:hint="eastAsia" w:cs="Times New Roman"/>
                <w:b/>
                <w:color w:val="auto"/>
                <w:kern w:val="0"/>
                <w:sz w:val="24"/>
                <w:szCs w:val="20"/>
                <w:lang w:val="en-US" w:eastAsia="zh-CN" w:bidi="ar-SA"/>
              </w:rPr>
              <w:t xml:space="preserve"> </w:t>
            </w:r>
            <w:r>
              <w:rPr>
                <w:rFonts w:ascii="Times New Roman" w:hAnsi="Times New Roman" w:eastAsia="宋体" w:cs="Times New Roman"/>
                <w:b/>
                <w:color w:val="auto"/>
                <w:kern w:val="0"/>
                <w:sz w:val="24"/>
                <w:szCs w:val="20"/>
                <w:lang w:val="en-US" w:eastAsia="zh-CN" w:bidi="ar-SA"/>
              </w:rPr>
              <w:t>《工业企业厂界环境噪声排放标准》</w:t>
            </w:r>
            <w:r>
              <w:rPr>
                <w:rFonts w:hint="eastAsia" w:ascii="Times New Roman" w:hAnsi="Times New Roman" w:eastAsia="宋体" w:cs="Times New Roman"/>
                <w:b/>
                <w:color w:val="auto"/>
                <w:kern w:val="0"/>
                <w:sz w:val="24"/>
                <w:szCs w:val="20"/>
                <w:lang w:val="en-US" w:eastAsia="zh-CN" w:bidi="ar-SA"/>
              </w:rPr>
              <w:t>（</w:t>
            </w:r>
            <w:r>
              <w:rPr>
                <w:rFonts w:ascii="Times New Roman" w:hAnsi="Times New Roman" w:eastAsia="宋体" w:cs="Times New Roman"/>
                <w:b/>
                <w:color w:val="auto"/>
                <w:kern w:val="0"/>
                <w:sz w:val="24"/>
                <w:szCs w:val="20"/>
                <w:lang w:val="en-US" w:eastAsia="zh-CN" w:bidi="ar-SA"/>
              </w:rPr>
              <w:t>GB12348-2008</w:t>
            </w:r>
            <w:r>
              <w:rPr>
                <w:rFonts w:hint="eastAsia" w:ascii="Times New Roman" w:hAnsi="Times New Roman" w:eastAsia="宋体" w:cs="Times New Roman"/>
                <w:b/>
                <w:color w:val="auto"/>
                <w:kern w:val="0"/>
                <w:sz w:val="24"/>
                <w:szCs w:val="20"/>
                <w:lang w:val="en-US" w:eastAsia="zh-CN" w:bidi="ar-SA"/>
              </w:rPr>
              <w:t>）</w:t>
            </w:r>
            <w:r>
              <w:rPr>
                <w:rFonts w:ascii="Times New Roman" w:hAnsi="Times New Roman" w:eastAsia="宋体" w:cs="Times New Roman"/>
                <w:b/>
                <w:color w:val="auto"/>
                <w:kern w:val="0"/>
                <w:sz w:val="24"/>
                <w:szCs w:val="20"/>
                <w:lang w:val="en-US" w:eastAsia="zh-CN" w:bidi="ar-SA"/>
              </w:rPr>
              <w:t>表1</w:t>
            </w:r>
            <w:r>
              <w:rPr>
                <w:rFonts w:hint="eastAsia" w:ascii="Times New Roman" w:hAnsi="Times New Roman" w:eastAsia="宋体" w:cs="Times New Roman"/>
                <w:b/>
                <w:color w:val="auto"/>
                <w:kern w:val="0"/>
                <w:sz w:val="24"/>
                <w:szCs w:val="20"/>
                <w:lang w:val="en-US" w:eastAsia="zh-CN" w:bidi="ar-SA"/>
              </w:rPr>
              <w:t>（</w:t>
            </w:r>
            <w:r>
              <w:rPr>
                <w:rFonts w:ascii="Times New Roman" w:hAnsi="Times New Roman" w:eastAsia="宋体" w:cs="Times New Roman"/>
                <w:b/>
                <w:color w:val="auto"/>
                <w:kern w:val="0"/>
                <w:sz w:val="24"/>
                <w:szCs w:val="20"/>
                <w:lang w:val="en-US" w:eastAsia="zh-CN" w:bidi="ar-SA"/>
              </w:rPr>
              <w:t>摘录</w:t>
            </w:r>
            <w:r>
              <w:rPr>
                <w:rFonts w:hint="eastAsia" w:ascii="Times New Roman" w:hAnsi="Times New Roman" w:eastAsia="宋体" w:cs="Times New Roman"/>
                <w:b/>
                <w:color w:val="auto"/>
                <w:kern w:val="0"/>
                <w:sz w:val="24"/>
                <w:szCs w:val="20"/>
                <w:lang w:val="en-US" w:eastAsia="zh-CN" w:bidi="ar-SA"/>
              </w:rPr>
              <w:t>）</w:t>
            </w:r>
          </w:p>
          <w:tbl>
            <w:tblPr>
              <w:tblStyle w:val="18"/>
              <w:tblW w:w="80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54"/>
              <w:gridCol w:w="1480"/>
              <w:gridCol w:w="1303"/>
              <w:gridCol w:w="1301"/>
            </w:tblGrid>
            <w:tr w14:paraId="698B8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54" w:type="dxa"/>
                  <w:tcBorders>
                    <w:tl2br w:val="nil"/>
                    <w:tr2bl w:val="nil"/>
                  </w:tcBorders>
                  <w:noWrap w:val="0"/>
                  <w:vAlign w:val="center"/>
                </w:tcPr>
                <w:p w14:paraId="57D115BF">
                  <w:pPr>
                    <w:widowControl w:val="0"/>
                    <w:bidi w:val="0"/>
                    <w:adjustRightInd w:val="0"/>
                    <w:snapToGrid w:val="0"/>
                    <w:spacing w:before="10" w:beforeLines="10" w:after="10" w:afterLines="10" w:line="240" w:lineRule="auto"/>
                    <w:ind w:firstLine="422" w:firstLineChars="200"/>
                    <w:jc w:val="right"/>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 xml:space="preserve">          </w:t>
                  </w:r>
                  <w:r>
                    <w:rPr>
                      <w:rFonts w:hint="eastAsia" w:ascii="Times New Roman" w:hAnsi="Times New Roman" w:eastAsia="宋体" w:cs="Times New Roman"/>
                      <w:b/>
                      <w:bCs/>
                      <w:color w:val="auto"/>
                      <w:kern w:val="0"/>
                      <w:sz w:val="21"/>
                      <w:szCs w:val="20"/>
                      <w:lang w:val="en-US" w:eastAsia="zh-CN" w:bidi="ar-SA"/>
                    </w:rPr>
                    <w:t xml:space="preserve">    </w:t>
                  </w:r>
                  <w:r>
                    <w:rPr>
                      <w:rFonts w:ascii="Times New Roman" w:hAnsi="Times New Roman" w:eastAsia="宋体" w:cs="Times New Roman"/>
                      <w:b/>
                      <w:bCs/>
                      <w:color w:val="auto"/>
                      <w:kern w:val="0"/>
                      <w:sz w:val="21"/>
                      <w:szCs w:val="20"/>
                      <w:lang w:val="en-US" w:eastAsia="zh-CN" w:bidi="ar-SA"/>
                    </w:rPr>
                    <w:t>时段</w:t>
                  </w:r>
                </w:p>
                <w:p w14:paraId="5C5D504A">
                  <w:pPr>
                    <w:widowControl w:val="0"/>
                    <w:bidi w:val="0"/>
                    <w:adjustRightInd w:val="0"/>
                    <w:snapToGrid w:val="0"/>
                    <w:spacing w:before="10" w:beforeLines="10" w:after="10" w:afterLines="10" w:line="240" w:lineRule="auto"/>
                    <w:ind w:firstLine="422" w:firstLineChars="200"/>
                    <w:jc w:val="left"/>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厂界外声环境功能区类别</w:t>
                  </w:r>
                </w:p>
              </w:tc>
              <w:tc>
                <w:tcPr>
                  <w:tcW w:w="1480" w:type="dxa"/>
                  <w:tcBorders>
                    <w:tl2br w:val="nil"/>
                    <w:tr2bl w:val="nil"/>
                  </w:tcBorders>
                  <w:noWrap w:val="0"/>
                  <w:vAlign w:val="center"/>
                </w:tcPr>
                <w:p w14:paraId="2BA15AE6">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昼 间</w:t>
                  </w:r>
                </w:p>
              </w:tc>
              <w:tc>
                <w:tcPr>
                  <w:tcW w:w="1303" w:type="dxa"/>
                  <w:tcBorders>
                    <w:tl2br w:val="nil"/>
                    <w:tr2bl w:val="nil"/>
                  </w:tcBorders>
                  <w:noWrap w:val="0"/>
                  <w:vAlign w:val="center"/>
                </w:tcPr>
                <w:p w14:paraId="58E52B3A">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夜 间</w:t>
                  </w:r>
                </w:p>
              </w:tc>
              <w:tc>
                <w:tcPr>
                  <w:tcW w:w="1301" w:type="dxa"/>
                  <w:tcBorders>
                    <w:tl2br w:val="nil"/>
                    <w:tr2bl w:val="nil"/>
                  </w:tcBorders>
                  <w:noWrap w:val="0"/>
                  <w:vAlign w:val="center"/>
                </w:tcPr>
                <w:p w14:paraId="2BC0D87E">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单 位</w:t>
                  </w:r>
                </w:p>
              </w:tc>
            </w:tr>
            <w:tr w14:paraId="1CD25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954" w:type="dxa"/>
                  <w:tcBorders>
                    <w:tl2br w:val="nil"/>
                    <w:tr2bl w:val="nil"/>
                  </w:tcBorders>
                  <w:noWrap w:val="0"/>
                  <w:vAlign w:val="center"/>
                </w:tcPr>
                <w:p w14:paraId="0027A486">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w:t>
                  </w:r>
                  <w:r>
                    <w:rPr>
                      <w:rFonts w:ascii="Times New Roman" w:hAnsi="Times New Roman" w:eastAsia="宋体" w:cs="Times New Roman"/>
                      <w:color w:val="auto"/>
                      <w:kern w:val="0"/>
                      <w:sz w:val="21"/>
                      <w:szCs w:val="20"/>
                      <w:lang w:val="en-US" w:eastAsia="zh-CN" w:bidi="ar-SA"/>
                    </w:rPr>
                    <w:t>类</w:t>
                  </w:r>
                </w:p>
              </w:tc>
              <w:tc>
                <w:tcPr>
                  <w:tcW w:w="1480" w:type="dxa"/>
                  <w:tcBorders>
                    <w:tl2br w:val="nil"/>
                    <w:tr2bl w:val="nil"/>
                  </w:tcBorders>
                  <w:noWrap w:val="0"/>
                  <w:vAlign w:val="center"/>
                </w:tcPr>
                <w:p w14:paraId="415E4841">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w:t>
                  </w:r>
                  <w:r>
                    <w:rPr>
                      <w:rFonts w:hint="eastAsia" w:ascii="Times New Roman" w:hAnsi="Times New Roman" w:eastAsia="宋体" w:cs="Times New Roman"/>
                      <w:color w:val="auto"/>
                      <w:kern w:val="0"/>
                      <w:sz w:val="21"/>
                      <w:szCs w:val="20"/>
                      <w:lang w:val="en-US" w:eastAsia="zh-CN" w:bidi="ar-SA"/>
                    </w:rPr>
                    <w:t>5</w:t>
                  </w:r>
                </w:p>
              </w:tc>
              <w:tc>
                <w:tcPr>
                  <w:tcW w:w="1303" w:type="dxa"/>
                  <w:tcBorders>
                    <w:tl2br w:val="nil"/>
                    <w:tr2bl w:val="nil"/>
                  </w:tcBorders>
                  <w:noWrap w:val="0"/>
                  <w:vAlign w:val="center"/>
                </w:tcPr>
                <w:p w14:paraId="77CE08E7">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≤5</w:t>
                  </w:r>
                  <w:r>
                    <w:rPr>
                      <w:rFonts w:hint="eastAsia" w:ascii="Times New Roman" w:hAnsi="Times New Roman" w:eastAsia="宋体" w:cs="Times New Roman"/>
                      <w:color w:val="auto"/>
                      <w:kern w:val="0"/>
                      <w:sz w:val="21"/>
                      <w:szCs w:val="20"/>
                      <w:lang w:val="en-US" w:eastAsia="zh-CN" w:bidi="ar-SA"/>
                    </w:rPr>
                    <w:t>5</w:t>
                  </w:r>
                </w:p>
              </w:tc>
              <w:tc>
                <w:tcPr>
                  <w:tcW w:w="1301" w:type="dxa"/>
                  <w:tcBorders>
                    <w:tl2br w:val="nil"/>
                    <w:tr2bl w:val="nil"/>
                  </w:tcBorders>
                  <w:noWrap w:val="0"/>
                  <w:vAlign w:val="center"/>
                </w:tcPr>
                <w:p w14:paraId="73D11A2B">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dB</w:t>
                  </w:r>
                  <w:r>
                    <w:rPr>
                      <w:rFonts w:hint="eastAsia"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A</w:t>
                  </w:r>
                  <w:r>
                    <w:rPr>
                      <w:rFonts w:hint="eastAsia" w:cs="Times New Roman"/>
                      <w:color w:val="auto"/>
                      <w:kern w:val="0"/>
                      <w:sz w:val="21"/>
                      <w:szCs w:val="20"/>
                      <w:lang w:val="en-US" w:eastAsia="zh-CN" w:bidi="ar-SA"/>
                    </w:rPr>
                    <w:t>)</w:t>
                  </w:r>
                </w:p>
              </w:tc>
            </w:tr>
          </w:tbl>
          <w:p w14:paraId="558CA5F2">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79" w:name="_Toc19574"/>
            <w:r>
              <w:rPr>
                <w:rFonts w:hint="eastAsia" w:ascii="Times New Roman" w:hAnsi="Times New Roman" w:eastAsia="宋体" w:cs="Times New Roman"/>
                <w:b/>
                <w:color w:val="auto"/>
                <w:kern w:val="2"/>
                <w:sz w:val="24"/>
                <w:szCs w:val="24"/>
                <w:lang w:val="en-US" w:eastAsia="zh-CN" w:bidi="ar-SA"/>
              </w:rPr>
              <w:t>3.7.4固体废物</w:t>
            </w:r>
            <w:bookmarkEnd w:id="79"/>
          </w:p>
          <w:p w14:paraId="6BEC4CE3">
            <w:pPr>
              <w:pStyle w:val="22"/>
              <w:bidi w:val="0"/>
              <w:ind w:firstLine="480" w:firstLineChars="200"/>
              <w:rPr>
                <w:rFonts w:ascii="Times New Roman" w:hAnsi="Times New Roman"/>
                <w:color w:val="auto"/>
              </w:rPr>
            </w:pPr>
            <w:r>
              <w:rPr>
                <w:rFonts w:ascii="Times New Roman" w:hAnsi="Times New Roman"/>
                <w:color w:val="auto"/>
                <w:lang w:val="en-US" w:eastAsia="zh-CN"/>
              </w:rPr>
              <w:t>运营期项目内产生的一般工业固废应按照《一般工业固体废物贮存和填埋污染控制标准》</w:t>
            </w:r>
            <w:r>
              <w:rPr>
                <w:rFonts w:hint="eastAsia" w:ascii="Times New Roman" w:hAnsi="Times New Roman"/>
                <w:color w:val="auto"/>
                <w:lang w:val="en-US" w:eastAsia="zh-CN"/>
              </w:rPr>
              <w:t>（</w:t>
            </w:r>
            <w:r>
              <w:rPr>
                <w:rFonts w:ascii="Times New Roman" w:hAnsi="Times New Roman"/>
                <w:color w:val="auto"/>
                <w:lang w:val="en-US" w:eastAsia="zh-CN"/>
              </w:rPr>
              <w:t>GB 18599-2020</w:t>
            </w:r>
            <w:r>
              <w:rPr>
                <w:rFonts w:hint="eastAsia" w:ascii="Times New Roman" w:hAnsi="Times New Roman"/>
                <w:color w:val="auto"/>
                <w:lang w:val="en-US" w:eastAsia="zh-CN"/>
              </w:rPr>
              <w:t>）</w:t>
            </w:r>
            <w:r>
              <w:rPr>
                <w:rFonts w:ascii="Times New Roman" w:hAnsi="Times New Roman"/>
                <w:color w:val="auto"/>
                <w:lang w:val="en-US" w:eastAsia="zh-CN"/>
              </w:rPr>
              <w:t>的要求进行</w:t>
            </w:r>
            <w:r>
              <w:rPr>
                <w:rFonts w:hint="eastAsia" w:ascii="Times New Roman" w:hAnsi="Times New Roman"/>
                <w:color w:val="auto"/>
                <w:lang w:val="en-US" w:eastAsia="zh-CN"/>
              </w:rPr>
              <w:t>暂存管理</w:t>
            </w:r>
            <w:r>
              <w:rPr>
                <w:rFonts w:ascii="Times New Roman" w:hAnsi="Times New Roman"/>
                <w:color w:val="auto"/>
                <w:lang w:val="en-US" w:eastAsia="zh-CN"/>
              </w:rPr>
              <w:t>。项目内产生的危险废物应按照</w:t>
            </w:r>
            <w:r>
              <w:rPr>
                <w:rFonts w:hint="eastAsia"/>
                <w:color w:val="auto"/>
                <w:lang w:val="en-US" w:eastAsia="zh-CN"/>
              </w:rPr>
              <w:t>《危险废物贮存污染控制标准》（GB18597-2023）</w:t>
            </w:r>
            <w:r>
              <w:rPr>
                <w:rFonts w:ascii="Times New Roman" w:hAnsi="Times New Roman"/>
                <w:color w:val="auto"/>
                <w:lang w:val="en-US" w:eastAsia="zh-CN"/>
              </w:rPr>
              <w:t>中的要求进行</w:t>
            </w:r>
            <w:r>
              <w:rPr>
                <w:rFonts w:hint="eastAsia" w:ascii="Times New Roman" w:hAnsi="Times New Roman"/>
                <w:color w:val="auto"/>
                <w:lang w:val="en-US" w:eastAsia="zh-CN"/>
              </w:rPr>
              <w:t>暂存管理</w:t>
            </w:r>
            <w:r>
              <w:rPr>
                <w:rFonts w:ascii="Times New Roman" w:hAnsi="Times New Roman"/>
                <w:color w:val="auto"/>
                <w:lang w:val="en-US" w:eastAsia="zh-CN"/>
              </w:rPr>
              <w:t>。</w:t>
            </w:r>
          </w:p>
        </w:tc>
      </w:tr>
      <w:tr w14:paraId="7ACBF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773" w:type="dxa"/>
            <w:noWrap w:val="0"/>
            <w:vAlign w:val="center"/>
          </w:tcPr>
          <w:p w14:paraId="79B4C620">
            <w:pPr>
              <w:adjustRightInd w:val="0"/>
              <w:snapToGrid w:val="0"/>
              <w:jc w:val="both"/>
              <w:rPr>
                <w:rFonts w:ascii="Times New Roman" w:hAnsi="Times New Roman" w:cs="宋体"/>
                <w:color w:val="auto"/>
                <w:kern w:val="0"/>
                <w:szCs w:val="21"/>
              </w:rPr>
            </w:pPr>
            <w:r>
              <w:rPr>
                <w:rFonts w:hint="eastAsia" w:ascii="Times New Roman" w:hAnsi="Times New Roman" w:cs="宋体"/>
                <w:color w:val="auto"/>
                <w:sz w:val="24"/>
                <w:szCs w:val="24"/>
              </w:rPr>
              <w:t>总量控制指标</w:t>
            </w:r>
          </w:p>
        </w:tc>
        <w:tc>
          <w:tcPr>
            <w:tcW w:w="8287" w:type="dxa"/>
            <w:noWrap w:val="0"/>
            <w:vAlign w:val="center"/>
          </w:tcPr>
          <w:p w14:paraId="2AE774DF">
            <w:pPr>
              <w:pStyle w:val="3"/>
              <w:keepNext/>
              <w:keepLines/>
              <w:pageBreakBefore w:val="0"/>
              <w:widowControl w:val="0"/>
              <w:kinsoku/>
              <w:wordWrap/>
              <w:overflowPunct w:val="0"/>
              <w:topLinePunct w:val="0"/>
              <w:autoSpaceDE/>
              <w:autoSpaceDN/>
              <w:bidi w:val="0"/>
              <w:adjustRightInd/>
              <w:snapToGrid w:val="0"/>
              <w:spacing w:before="0" w:after="0"/>
              <w:ind w:left="431" w:firstLine="562" w:firstLineChars="200"/>
              <w:textAlignment w:val="auto"/>
              <w:rPr>
                <w:rFonts w:hint="eastAsia" w:ascii="Times New Roman" w:hAnsi="Times New Roman"/>
                <w:b/>
                <w:bCs w:val="0"/>
                <w:color w:val="auto"/>
              </w:rPr>
            </w:pPr>
            <w:bookmarkStart w:id="80" w:name="_Toc31133"/>
            <w:bookmarkStart w:id="81" w:name="_Toc3373"/>
            <w:r>
              <w:rPr>
                <w:rFonts w:hint="eastAsia" w:ascii="Times New Roman" w:hAnsi="Times New Roman"/>
                <w:b/>
                <w:bCs w:val="0"/>
                <w:color w:val="auto"/>
              </w:rPr>
              <w:t>3.8总量控制</w:t>
            </w:r>
            <w:bookmarkEnd w:id="80"/>
            <w:bookmarkEnd w:id="81"/>
          </w:p>
          <w:p w14:paraId="613FBB01">
            <w:pPr>
              <w:pStyle w:val="22"/>
              <w:bidi w:val="0"/>
              <w:ind w:firstLine="480" w:firstLineChars="200"/>
              <w:rPr>
                <w:rFonts w:hint="eastAsia" w:ascii="Times New Roman" w:hAnsi="Times New Roman" w:eastAsia="宋体" w:cs="宋体"/>
                <w:color w:val="auto"/>
                <w:lang w:val="en-US" w:eastAsia="zh-CN"/>
              </w:rPr>
            </w:pPr>
            <w:r>
              <w:rPr>
                <w:rFonts w:hint="eastAsia" w:ascii="Times New Roman" w:hAnsi="Times New Roman" w:eastAsia="宋体" w:cs="宋体"/>
                <w:color w:val="auto"/>
                <w:lang w:val="en-US" w:eastAsia="zh-CN"/>
              </w:rPr>
              <w:t>总量控制是我国环境保护管理工作的一项重要举措，而实行污染物排放总量是环境保护法律法规的要求，它不仅是促进经济结构战略性调整和经济增长方式根本性转变的有力措施，同时也是促进工业技术进步和管理水平的提高，做到环保与经济的相互促进。实施以环境容量为基础的排污总量控制制度是改善环境质量的根本手段。</w:t>
            </w:r>
          </w:p>
          <w:p w14:paraId="02C6C031">
            <w:pPr>
              <w:pStyle w:val="4"/>
              <w:bidi w:val="0"/>
              <w:ind w:firstLine="482" w:firstLineChars="200"/>
              <w:rPr>
                <w:rFonts w:hint="eastAsia" w:ascii="Times New Roman" w:hAnsi="Times New Roman"/>
                <w:color w:val="auto"/>
              </w:rPr>
            </w:pPr>
            <w:bookmarkStart w:id="82" w:name="_Toc3998"/>
            <w:r>
              <w:rPr>
                <w:rFonts w:hint="eastAsia" w:ascii="Times New Roman" w:hAnsi="Times New Roman"/>
                <w:color w:val="auto"/>
              </w:rPr>
              <w:t>3.8.1废水总量</w:t>
            </w:r>
            <w:bookmarkEnd w:id="82"/>
          </w:p>
          <w:p w14:paraId="05E5CAD9">
            <w:pPr>
              <w:pStyle w:val="22"/>
              <w:bidi w:val="0"/>
              <w:ind w:firstLine="480" w:firstLineChars="200"/>
              <w:rPr>
                <w:rFonts w:hint="eastAsia" w:ascii="Times New Roman" w:hAnsi="Times New Roman"/>
                <w:color w:val="auto"/>
              </w:rPr>
            </w:pPr>
            <w:r>
              <w:rPr>
                <w:rFonts w:hint="eastAsia" w:ascii="Times New Roman" w:hAnsi="Times New Roman"/>
                <w:color w:val="auto"/>
              </w:rPr>
              <w:t>（1）COD、NH</w:t>
            </w:r>
            <w:r>
              <w:rPr>
                <w:rFonts w:hint="eastAsia" w:ascii="Times New Roman" w:hAnsi="Times New Roman"/>
                <w:color w:val="auto"/>
                <w:vertAlign w:val="subscript"/>
              </w:rPr>
              <w:t>3</w:t>
            </w:r>
            <w:r>
              <w:rPr>
                <w:rFonts w:hint="eastAsia" w:ascii="Times New Roman" w:hAnsi="Times New Roman"/>
                <w:color w:val="auto"/>
              </w:rPr>
              <w:t>-N总量控制</w:t>
            </w:r>
          </w:p>
          <w:p w14:paraId="67A5B910">
            <w:pPr>
              <w:pStyle w:val="22"/>
              <w:bidi w:val="0"/>
              <w:ind w:firstLine="480" w:firstLineChars="200"/>
              <w:rPr>
                <w:rFonts w:hint="eastAsia" w:ascii="Times New Roman" w:hAnsi="Times New Roman"/>
                <w:color w:val="auto"/>
              </w:rPr>
            </w:pPr>
            <w:r>
              <w:rPr>
                <w:rFonts w:hint="eastAsia" w:ascii="Times New Roman" w:hAnsi="Times New Roman"/>
                <w:color w:val="auto"/>
              </w:rPr>
              <w:t>根据国家制定的总量控制指标，结合本项目的特征污染物，确定本项目</w:t>
            </w:r>
            <w:r>
              <w:rPr>
                <w:rFonts w:hint="eastAsia" w:ascii="Times New Roman" w:hAnsi="Times New Roman"/>
                <w:color w:val="auto"/>
                <w:lang w:val="en-US" w:eastAsia="zh-CN"/>
              </w:rPr>
              <w:t>水</w:t>
            </w:r>
            <w:r>
              <w:rPr>
                <w:rFonts w:hint="eastAsia" w:ascii="Times New Roman" w:hAnsi="Times New Roman"/>
                <w:color w:val="auto"/>
              </w:rPr>
              <w:t>污染物中总量控制的项目有：COD、NH</w:t>
            </w:r>
            <w:r>
              <w:rPr>
                <w:rFonts w:hint="eastAsia" w:ascii="Times New Roman" w:hAnsi="Times New Roman"/>
                <w:color w:val="auto"/>
                <w:vertAlign w:val="subscript"/>
              </w:rPr>
              <w:t>3</w:t>
            </w:r>
            <w:r>
              <w:rPr>
                <w:rFonts w:hint="eastAsia" w:ascii="Times New Roman" w:hAnsi="Times New Roman"/>
                <w:color w:val="auto"/>
              </w:rPr>
              <w:t>-N。</w:t>
            </w:r>
            <w:r>
              <w:rPr>
                <w:rFonts w:hint="eastAsia" w:ascii="Times New Roman" w:hAnsi="Times New Roman"/>
                <w:color w:val="auto"/>
                <w:lang w:val="en-US" w:eastAsia="zh-CN"/>
              </w:rPr>
              <w:t>本项目生活污水经化粪池处理达标后排入市政管网，纳入大学城污水处理厂</w:t>
            </w:r>
            <w:r>
              <w:rPr>
                <w:rFonts w:hint="eastAsia" w:ascii="Times New Roman" w:hAnsi="Times New Roman" w:eastAsia="宋体" w:cs="宋体"/>
                <w:color w:val="auto"/>
                <w:lang w:val="en-US" w:eastAsia="zh-CN"/>
              </w:rPr>
              <w:t>；</w:t>
            </w:r>
            <w:r>
              <w:rPr>
                <w:rFonts w:hint="eastAsia" w:cs="宋体"/>
                <w:color w:val="auto"/>
                <w:lang w:val="en-US" w:eastAsia="zh-CN"/>
              </w:rPr>
              <w:t>切割</w:t>
            </w:r>
            <w:r>
              <w:rPr>
                <w:rFonts w:hint="eastAsia" w:ascii="Times New Roman" w:hAnsi="Times New Roman" w:eastAsia="宋体" w:cs="宋体"/>
                <w:color w:val="auto"/>
                <w:lang w:val="en-US" w:eastAsia="zh-CN"/>
              </w:rPr>
              <w:t>抛光</w:t>
            </w:r>
            <w:r>
              <w:rPr>
                <w:rFonts w:hint="eastAsia" w:cs="宋体"/>
                <w:color w:val="auto"/>
                <w:lang w:val="en-US" w:eastAsia="zh-CN"/>
              </w:rPr>
              <w:t>粗磨</w:t>
            </w:r>
            <w:r>
              <w:rPr>
                <w:rFonts w:hint="eastAsia" w:ascii="Times New Roman" w:hAnsi="Times New Roman" w:eastAsia="宋体" w:cs="宋体"/>
                <w:color w:val="auto"/>
                <w:lang w:val="en-US" w:eastAsia="zh-CN"/>
              </w:rPr>
              <w:t>废水、清洗废水经过沉淀池沉淀后排入市政管网，纳入大学城污</w:t>
            </w:r>
            <w:r>
              <w:rPr>
                <w:rFonts w:hint="eastAsia" w:ascii="Times New Roman" w:hAnsi="Times New Roman"/>
                <w:color w:val="auto"/>
                <w:lang w:val="en-US" w:eastAsia="zh-CN"/>
              </w:rPr>
              <w:t>水处理厂；纯水槽的纯水</w:t>
            </w:r>
            <w:r>
              <w:rPr>
                <w:rFonts w:hint="eastAsia"/>
                <w:color w:val="auto"/>
                <w:lang w:val="en-US" w:eastAsia="zh-CN"/>
              </w:rPr>
              <w:t>、</w:t>
            </w:r>
            <w:r>
              <w:rPr>
                <w:rFonts w:hint="eastAsia" w:ascii="Times New Roman" w:hAnsi="Times New Roman"/>
                <w:color w:val="auto"/>
                <w:lang w:val="en-US" w:eastAsia="zh-CN"/>
              </w:rPr>
              <w:t>非纯净废水以及清洗废水中的纯净废水直接排入市政管网，纳入大学城污水处理厂</w:t>
            </w:r>
            <w:r>
              <w:rPr>
                <w:rFonts w:hint="eastAsia" w:ascii="Times New Roman" w:hAnsi="Times New Roman"/>
                <w:color w:val="auto"/>
              </w:rPr>
              <w:t>。大学城污水处理厂出水排放执行《城镇污水处理厂污染物排放标准》（GB18918-2002）中一级A排放标准：COD为</w:t>
            </w:r>
            <w:r>
              <w:rPr>
                <w:rFonts w:hint="eastAsia"/>
                <w:color w:val="auto"/>
                <w:lang w:val="en-US" w:eastAsia="zh-CN"/>
              </w:rPr>
              <w:t>50</w:t>
            </w:r>
            <w:r>
              <w:rPr>
                <w:rFonts w:hint="eastAsia"/>
                <w:color w:val="auto"/>
                <w:lang w:eastAsia="zh-CN"/>
              </w:rPr>
              <w:t>m</w:t>
            </w:r>
            <w:r>
              <w:rPr>
                <w:rFonts w:hint="eastAsia" w:ascii="Times New Roman" w:hAnsi="Times New Roman"/>
                <w:color w:val="auto"/>
              </w:rPr>
              <w:t>g/L、氨氮为5mg/L，统一处理后项目污染物排放总量详见表3.</w:t>
            </w:r>
            <w:r>
              <w:rPr>
                <w:rFonts w:hint="eastAsia" w:ascii="Times New Roman" w:hAnsi="Times New Roman"/>
                <w:color w:val="auto"/>
                <w:lang w:val="en-US" w:eastAsia="zh-CN"/>
              </w:rPr>
              <w:t>8</w:t>
            </w:r>
            <w:r>
              <w:rPr>
                <w:rFonts w:hint="eastAsia" w:ascii="Times New Roman" w:hAnsi="Times New Roman"/>
                <w:color w:val="auto"/>
              </w:rPr>
              <w:t>-1。</w:t>
            </w:r>
          </w:p>
          <w:p w14:paraId="4DF40353">
            <w:pPr>
              <w:pStyle w:val="27"/>
              <w:bidi w:val="0"/>
              <w:ind w:firstLine="482" w:firstLineChars="200"/>
              <w:rPr>
                <w:rFonts w:hint="eastAsia"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3.8-</w:t>
            </w:r>
            <w:r>
              <w:rPr>
                <w:rFonts w:hint="eastAsia" w:ascii="Times New Roman" w:hAnsi="Times New Roman"/>
                <w:color w:val="auto"/>
              </w:rPr>
              <w:t>1</w:t>
            </w:r>
            <w:r>
              <w:rPr>
                <w:rFonts w:hint="eastAsia"/>
                <w:color w:val="auto"/>
                <w:lang w:val="en-US" w:eastAsia="zh-CN"/>
              </w:rPr>
              <w:t xml:space="preserve">  </w:t>
            </w:r>
            <w:r>
              <w:rPr>
                <w:rFonts w:hint="eastAsia" w:ascii="Times New Roman" w:hAnsi="Times New Roman"/>
                <w:color w:val="auto"/>
                <w:lang w:val="en-US" w:eastAsia="zh-CN"/>
              </w:rPr>
              <w:t>本</w:t>
            </w:r>
            <w:r>
              <w:rPr>
                <w:rFonts w:hint="eastAsia" w:ascii="Times New Roman" w:hAnsi="Times New Roman"/>
                <w:color w:val="auto"/>
              </w:rPr>
              <w:t>项目</w:t>
            </w:r>
            <w:r>
              <w:rPr>
                <w:rFonts w:hint="eastAsia" w:ascii="Times New Roman" w:hAnsi="Times New Roman"/>
                <w:color w:val="auto"/>
                <w:lang w:eastAsia="zh-CN"/>
              </w:rPr>
              <w:t>水</w:t>
            </w:r>
            <w:r>
              <w:rPr>
                <w:rFonts w:hint="eastAsia" w:ascii="Times New Roman" w:hAnsi="Times New Roman"/>
                <w:color w:val="auto"/>
              </w:rPr>
              <w:t>污染物排放总量指标</w:t>
            </w:r>
            <w:r>
              <w:rPr>
                <w:rFonts w:hint="eastAsia"/>
                <w:color w:val="auto"/>
                <w:lang w:val="en-US" w:eastAsia="zh-CN"/>
              </w:rPr>
              <w:t xml:space="preserve">  </w:t>
            </w:r>
            <w:r>
              <w:rPr>
                <w:rFonts w:hint="default" w:ascii="Times New Roman" w:hAnsi="Times New Roman" w:eastAsia="宋体" w:cs="Times New Roman"/>
                <w:b/>
                <w:color w:val="auto"/>
                <w:sz w:val="24"/>
                <w:szCs w:val="24"/>
                <w:highlight w:val="none"/>
                <w:lang w:val="en-US" w:eastAsia="zh-CN"/>
              </w:rPr>
              <w:t>单位</w:t>
            </w:r>
            <w:r>
              <w:rPr>
                <w:rFonts w:hint="eastAsia"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lang w:val="en-US" w:eastAsia="zh-CN"/>
              </w:rPr>
              <w:t>t/a</w:t>
            </w:r>
          </w:p>
          <w:tbl>
            <w:tblPr>
              <w:tblStyle w:val="18"/>
              <w:tblW w:w="4998"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09"/>
              <w:gridCol w:w="1301"/>
              <w:gridCol w:w="1488"/>
              <w:gridCol w:w="1811"/>
              <w:gridCol w:w="2258"/>
            </w:tblGrid>
            <w:tr w14:paraId="68870C5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50" w:type="pct"/>
                  <w:tcBorders>
                    <w:top w:val="single" w:color="000000" w:sz="12" w:space="0"/>
                    <w:left w:val="nil"/>
                    <w:tl2br w:val="nil"/>
                  </w:tcBorders>
                  <w:shd w:val="clear" w:color="auto" w:fill="auto"/>
                  <w:vAlign w:val="center"/>
                </w:tcPr>
                <w:p w14:paraId="2A29BB50">
                  <w:pPr>
                    <w:pStyle w:val="58"/>
                    <w:suppressLineNumbers w:val="0"/>
                    <w:bidi w:val="0"/>
                    <w:spacing w:before="0" w:beforeAutospacing="0" w:after="0" w:afterAutospacing="0"/>
                    <w:ind w:left="0" w:right="0"/>
                    <w:rPr>
                      <w:rFonts w:hint="eastAsia"/>
                      <w:b/>
                      <w:bCs/>
                      <w:color w:val="auto"/>
                    </w:rPr>
                  </w:pPr>
                  <w:r>
                    <w:rPr>
                      <w:rFonts w:hint="eastAsia"/>
                      <w:b/>
                      <w:bCs/>
                      <w:color w:val="auto"/>
                      <w:lang w:val="en-US" w:eastAsia="zh-CN"/>
                    </w:rPr>
                    <w:t>项目</w:t>
                  </w:r>
                </w:p>
              </w:tc>
              <w:tc>
                <w:tcPr>
                  <w:tcW w:w="4249" w:type="pct"/>
                  <w:gridSpan w:val="4"/>
                  <w:tcBorders>
                    <w:top w:val="single" w:color="000000" w:sz="12" w:space="0"/>
                    <w:right w:val="nil"/>
                  </w:tcBorders>
                  <w:shd w:val="clear" w:color="auto" w:fill="auto"/>
                  <w:vAlign w:val="center"/>
                </w:tcPr>
                <w:p w14:paraId="103BECC8">
                  <w:pPr>
                    <w:pStyle w:val="58"/>
                    <w:suppressLineNumbers w:val="0"/>
                    <w:bidi w:val="0"/>
                    <w:spacing w:before="0" w:beforeAutospacing="0" w:after="0" w:afterAutospacing="0"/>
                    <w:ind w:left="0" w:right="0"/>
                    <w:rPr>
                      <w:rFonts w:hint="eastAsia"/>
                      <w:b/>
                      <w:bCs/>
                      <w:color w:val="auto"/>
                    </w:rPr>
                  </w:pPr>
                  <w:r>
                    <w:rPr>
                      <w:rFonts w:hint="eastAsia"/>
                      <w:b/>
                      <w:bCs/>
                      <w:color w:val="auto"/>
                      <w:lang w:val="en-US" w:eastAsia="zh-CN"/>
                    </w:rPr>
                    <w:t>建议申报指标</w:t>
                  </w:r>
                </w:p>
              </w:tc>
            </w:tr>
            <w:tr w14:paraId="363869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65" w:hRule="atLeast"/>
              </w:trPr>
              <w:tc>
                <w:tcPr>
                  <w:tcW w:w="750" w:type="pct"/>
                  <w:tcBorders>
                    <w:left w:val="nil"/>
                  </w:tcBorders>
                  <w:shd w:val="clear" w:color="auto" w:fill="auto"/>
                  <w:vAlign w:val="center"/>
                </w:tcPr>
                <w:p w14:paraId="4843D819">
                  <w:pPr>
                    <w:pStyle w:val="58"/>
                    <w:suppressLineNumbers w:val="0"/>
                    <w:bidi w:val="0"/>
                    <w:spacing w:before="0" w:beforeAutospacing="0" w:after="0" w:afterAutospacing="0"/>
                    <w:ind w:left="0" w:right="0"/>
                    <w:rPr>
                      <w:rFonts w:hint="eastAsia"/>
                      <w:b/>
                      <w:bCs/>
                      <w:color w:val="auto"/>
                    </w:rPr>
                  </w:pPr>
                  <w:r>
                    <w:rPr>
                      <w:rFonts w:hint="eastAsia"/>
                      <w:b/>
                      <w:bCs/>
                      <w:color w:val="auto"/>
                      <w:lang w:val="en-US" w:eastAsia="zh-CN"/>
                    </w:rPr>
                    <w:t>污染物名称</w:t>
                  </w:r>
                </w:p>
              </w:tc>
              <w:tc>
                <w:tcPr>
                  <w:tcW w:w="806" w:type="pct"/>
                  <w:shd w:val="clear" w:color="auto" w:fill="auto"/>
                  <w:vAlign w:val="center"/>
                </w:tcPr>
                <w:p w14:paraId="02EE01EF">
                  <w:pPr>
                    <w:pStyle w:val="58"/>
                    <w:suppressLineNumbers w:val="0"/>
                    <w:bidi w:val="0"/>
                    <w:spacing w:before="0" w:beforeAutospacing="0" w:after="0" w:afterAutospacing="0"/>
                    <w:ind w:left="0" w:right="0"/>
                    <w:rPr>
                      <w:rFonts w:hint="eastAsia"/>
                      <w:b/>
                      <w:bCs/>
                      <w:color w:val="auto"/>
                    </w:rPr>
                  </w:pPr>
                  <w:r>
                    <w:rPr>
                      <w:rFonts w:hint="eastAsia"/>
                      <w:b/>
                      <w:bCs/>
                      <w:color w:val="auto"/>
                      <w:lang w:val="en-US" w:eastAsia="zh-CN"/>
                    </w:rPr>
                    <w:t>排放浓度</w:t>
                  </w:r>
                  <w:r>
                    <w:rPr>
                      <w:rFonts w:hint="default"/>
                      <w:b/>
                      <w:bCs/>
                      <w:color w:val="auto"/>
                      <w:lang w:val="en-US" w:eastAsia="zh-CN"/>
                    </w:rPr>
                    <w:t>mg/L</w:t>
                  </w:r>
                </w:p>
              </w:tc>
              <w:tc>
                <w:tcPr>
                  <w:tcW w:w="922" w:type="pct"/>
                  <w:shd w:val="clear" w:color="auto" w:fill="auto"/>
                  <w:vAlign w:val="center"/>
                </w:tcPr>
                <w:p w14:paraId="2386C232">
                  <w:pPr>
                    <w:pStyle w:val="58"/>
                    <w:suppressLineNumbers w:val="0"/>
                    <w:bidi w:val="0"/>
                    <w:spacing w:before="0" w:beforeAutospacing="0" w:after="0" w:afterAutospacing="0"/>
                    <w:ind w:left="0" w:right="0"/>
                    <w:rPr>
                      <w:rFonts w:hint="eastAsia"/>
                      <w:b/>
                      <w:bCs/>
                      <w:color w:val="auto"/>
                    </w:rPr>
                  </w:pPr>
                  <w:r>
                    <w:rPr>
                      <w:rFonts w:hint="eastAsia"/>
                      <w:b/>
                      <w:bCs/>
                      <w:color w:val="auto"/>
                      <w:lang w:val="en-US" w:eastAsia="zh-CN"/>
                    </w:rPr>
                    <w:t>已核定总量（t/a）</w:t>
                  </w:r>
                </w:p>
              </w:tc>
              <w:tc>
                <w:tcPr>
                  <w:tcW w:w="1122" w:type="pct"/>
                  <w:shd w:val="clear" w:color="auto" w:fill="auto"/>
                  <w:vAlign w:val="center"/>
                </w:tcPr>
                <w:p w14:paraId="57664D85">
                  <w:pPr>
                    <w:pStyle w:val="58"/>
                    <w:suppressLineNumbers w:val="0"/>
                    <w:bidi w:val="0"/>
                    <w:spacing w:before="0" w:beforeAutospacing="0" w:after="0" w:afterAutospacing="0"/>
                    <w:ind w:left="0" w:right="0"/>
                    <w:rPr>
                      <w:rFonts w:hint="eastAsia"/>
                      <w:b/>
                      <w:bCs/>
                      <w:color w:val="auto"/>
                    </w:rPr>
                  </w:pPr>
                  <w:r>
                    <w:rPr>
                      <w:rFonts w:hint="eastAsia"/>
                      <w:b/>
                      <w:bCs/>
                      <w:color w:val="auto"/>
                      <w:lang w:val="en-US" w:eastAsia="zh-CN"/>
                    </w:rPr>
                    <w:t>由污水处理厂中调配（t/a）</w:t>
                  </w:r>
                </w:p>
              </w:tc>
              <w:tc>
                <w:tcPr>
                  <w:tcW w:w="1399" w:type="pct"/>
                  <w:tcBorders>
                    <w:right w:val="nil"/>
                  </w:tcBorders>
                  <w:shd w:val="clear" w:color="auto" w:fill="auto"/>
                  <w:vAlign w:val="center"/>
                </w:tcPr>
                <w:p w14:paraId="08C2D414">
                  <w:pPr>
                    <w:pStyle w:val="58"/>
                    <w:suppressLineNumbers w:val="0"/>
                    <w:bidi w:val="0"/>
                    <w:spacing w:before="0" w:beforeAutospacing="0" w:after="0" w:afterAutospacing="0"/>
                    <w:ind w:left="0" w:right="0"/>
                    <w:rPr>
                      <w:rFonts w:hint="default"/>
                      <w:b/>
                      <w:bCs/>
                      <w:color w:val="auto"/>
                    </w:rPr>
                  </w:pPr>
                  <w:r>
                    <w:rPr>
                      <w:rFonts w:hint="eastAsia"/>
                      <w:b/>
                      <w:bCs/>
                      <w:color w:val="auto"/>
                      <w:lang w:val="en-US" w:eastAsia="zh-CN"/>
                    </w:rPr>
                    <w:t>通过排污权交易获得（t/a）</w:t>
                  </w:r>
                </w:p>
              </w:tc>
            </w:tr>
            <w:tr w14:paraId="4FC4EDC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50" w:type="pct"/>
                  <w:tcBorders>
                    <w:left w:val="nil"/>
                  </w:tcBorders>
                  <w:shd w:val="clear" w:color="auto" w:fill="auto"/>
                  <w:vAlign w:val="center"/>
                </w:tcPr>
                <w:p w14:paraId="6BE8E383">
                  <w:pPr>
                    <w:pStyle w:val="58"/>
                    <w:suppressLineNumbers w:val="0"/>
                    <w:bidi w:val="0"/>
                    <w:spacing w:before="0" w:beforeAutospacing="0" w:after="0" w:afterAutospacing="0"/>
                    <w:ind w:left="0" w:right="0"/>
                    <w:rPr>
                      <w:rFonts w:hint="eastAsia"/>
                      <w:color w:val="auto"/>
                    </w:rPr>
                  </w:pPr>
                  <w:r>
                    <w:rPr>
                      <w:rFonts w:hint="eastAsia"/>
                      <w:color w:val="auto"/>
                      <w:lang w:val="en-US" w:eastAsia="zh-CN"/>
                    </w:rPr>
                    <w:t>生活污水</w:t>
                  </w:r>
                </w:p>
              </w:tc>
              <w:tc>
                <w:tcPr>
                  <w:tcW w:w="806" w:type="pct"/>
                  <w:shd w:val="clear" w:color="auto" w:fill="auto"/>
                  <w:vAlign w:val="center"/>
                </w:tcPr>
                <w:p w14:paraId="37AA2342">
                  <w:pPr>
                    <w:pStyle w:val="58"/>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w:t>
                  </w:r>
                </w:p>
              </w:tc>
              <w:tc>
                <w:tcPr>
                  <w:tcW w:w="922" w:type="pct"/>
                  <w:shd w:val="clear" w:color="auto" w:fill="auto"/>
                  <w:vAlign w:val="center"/>
                </w:tcPr>
                <w:p w14:paraId="4A107B50">
                  <w:pPr>
                    <w:pStyle w:val="58"/>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122" w:type="pct"/>
                  <w:shd w:val="clear" w:color="auto" w:fill="auto"/>
                  <w:vAlign w:val="center"/>
                </w:tcPr>
                <w:p w14:paraId="4250E763">
                  <w:pPr>
                    <w:pStyle w:val="58"/>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4482</w:t>
                  </w:r>
                </w:p>
              </w:tc>
              <w:tc>
                <w:tcPr>
                  <w:tcW w:w="1399" w:type="pct"/>
                  <w:tcBorders>
                    <w:right w:val="nil"/>
                  </w:tcBorders>
                  <w:shd w:val="clear" w:color="auto" w:fill="auto"/>
                  <w:vAlign w:val="center"/>
                </w:tcPr>
                <w:p w14:paraId="5D1EA3CB">
                  <w:pPr>
                    <w:pStyle w:val="58"/>
                    <w:suppressLineNumbers w:val="0"/>
                    <w:bidi w:val="0"/>
                    <w:spacing w:before="0" w:beforeAutospacing="0" w:after="0" w:afterAutospacing="0"/>
                    <w:ind w:left="0" w:right="0"/>
                    <w:rPr>
                      <w:rFonts w:hint="default"/>
                      <w:color w:val="auto"/>
                    </w:rPr>
                  </w:pPr>
                  <w:r>
                    <w:rPr>
                      <w:rFonts w:hint="eastAsia"/>
                      <w:color w:val="auto"/>
                      <w:lang w:val="en-US" w:eastAsia="zh-CN"/>
                    </w:rPr>
                    <w:t>/</w:t>
                  </w:r>
                </w:p>
              </w:tc>
            </w:tr>
            <w:tr w14:paraId="776855C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0" w:hRule="atLeast"/>
              </w:trPr>
              <w:tc>
                <w:tcPr>
                  <w:tcW w:w="750" w:type="pct"/>
                  <w:tcBorders>
                    <w:left w:val="nil"/>
                  </w:tcBorders>
                  <w:shd w:val="clear" w:color="auto" w:fill="auto"/>
                  <w:vAlign w:val="center"/>
                </w:tcPr>
                <w:p w14:paraId="40C1A6F3">
                  <w:pPr>
                    <w:pStyle w:val="58"/>
                    <w:suppressLineNumbers w:val="0"/>
                    <w:bidi w:val="0"/>
                    <w:spacing w:before="0" w:beforeAutospacing="0" w:after="0" w:afterAutospacing="0"/>
                    <w:ind w:left="0" w:right="0"/>
                    <w:rPr>
                      <w:rFonts w:hint="default"/>
                      <w:color w:val="auto"/>
                    </w:rPr>
                  </w:pPr>
                  <w:r>
                    <w:rPr>
                      <w:rFonts w:hint="default"/>
                      <w:color w:val="auto"/>
                      <w:lang w:val="en-US" w:eastAsia="zh-CN"/>
                    </w:rPr>
                    <w:t>COD</w:t>
                  </w:r>
                </w:p>
              </w:tc>
              <w:tc>
                <w:tcPr>
                  <w:tcW w:w="806" w:type="pct"/>
                  <w:shd w:val="clear" w:color="auto" w:fill="auto"/>
                  <w:vAlign w:val="center"/>
                </w:tcPr>
                <w:p w14:paraId="6FC3C9AB">
                  <w:pPr>
                    <w:pStyle w:val="58"/>
                    <w:suppressLineNumbers w:val="0"/>
                    <w:bidi w:val="0"/>
                    <w:spacing w:before="0" w:beforeAutospacing="0" w:after="0" w:afterAutospacing="0"/>
                    <w:ind w:left="0" w:right="0"/>
                    <w:rPr>
                      <w:rFonts w:hint="default" w:eastAsia="宋体"/>
                      <w:color w:val="auto"/>
                      <w:lang w:val="en-US" w:eastAsia="zh-CN"/>
                    </w:rPr>
                  </w:pPr>
                  <w:r>
                    <w:rPr>
                      <w:rFonts w:hint="default"/>
                      <w:color w:val="auto"/>
                      <w:lang w:val="en-US" w:eastAsia="zh-CN"/>
                    </w:rPr>
                    <w:t>50</w:t>
                  </w:r>
                </w:p>
              </w:tc>
              <w:tc>
                <w:tcPr>
                  <w:tcW w:w="922" w:type="pct"/>
                  <w:shd w:val="clear" w:color="auto" w:fill="auto"/>
                  <w:vAlign w:val="center"/>
                </w:tcPr>
                <w:p w14:paraId="315D2C41">
                  <w:pPr>
                    <w:pStyle w:val="58"/>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122" w:type="pct"/>
                  <w:shd w:val="clear" w:color="auto" w:fill="auto"/>
                  <w:vAlign w:val="center"/>
                </w:tcPr>
                <w:p w14:paraId="5E6AAE50">
                  <w:pPr>
                    <w:pStyle w:val="58"/>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0.2241</w:t>
                  </w:r>
                </w:p>
              </w:tc>
              <w:tc>
                <w:tcPr>
                  <w:tcW w:w="1399" w:type="pct"/>
                  <w:tcBorders>
                    <w:right w:val="nil"/>
                  </w:tcBorders>
                  <w:shd w:val="clear" w:color="auto" w:fill="auto"/>
                  <w:vAlign w:val="center"/>
                </w:tcPr>
                <w:p w14:paraId="791A718B">
                  <w:pPr>
                    <w:pStyle w:val="58"/>
                    <w:suppressLineNumbers w:val="0"/>
                    <w:bidi w:val="0"/>
                    <w:spacing w:before="0" w:beforeAutospacing="0" w:after="0" w:afterAutospacing="0"/>
                    <w:ind w:left="0" w:right="0"/>
                    <w:rPr>
                      <w:rFonts w:hint="default"/>
                      <w:color w:val="auto"/>
                    </w:rPr>
                  </w:pPr>
                  <w:r>
                    <w:rPr>
                      <w:rFonts w:hint="eastAsia"/>
                      <w:color w:val="auto"/>
                      <w:lang w:val="en-US" w:eastAsia="zh-CN"/>
                    </w:rPr>
                    <w:t>/</w:t>
                  </w:r>
                </w:p>
              </w:tc>
            </w:tr>
            <w:tr w14:paraId="2FEB2EB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trPr>
              <w:tc>
                <w:tcPr>
                  <w:tcW w:w="750" w:type="pct"/>
                  <w:tcBorders>
                    <w:left w:val="nil"/>
                  </w:tcBorders>
                  <w:shd w:val="clear" w:color="auto" w:fill="auto"/>
                  <w:vAlign w:val="center"/>
                </w:tcPr>
                <w:p w14:paraId="63AF0B3B">
                  <w:pPr>
                    <w:pStyle w:val="58"/>
                    <w:suppressLineNumbers w:val="0"/>
                    <w:bidi w:val="0"/>
                    <w:spacing w:before="0" w:beforeAutospacing="0" w:after="0" w:afterAutospacing="0"/>
                    <w:ind w:left="0" w:right="0"/>
                    <w:rPr>
                      <w:rFonts w:hint="default"/>
                      <w:color w:val="auto"/>
                    </w:rPr>
                  </w:pPr>
                  <w:r>
                    <w:rPr>
                      <w:rFonts w:hint="default"/>
                      <w:color w:val="auto"/>
                      <w:lang w:val="en-US" w:eastAsia="zh-CN"/>
                    </w:rPr>
                    <w:t>NH</w:t>
                  </w:r>
                  <w:r>
                    <w:rPr>
                      <w:rFonts w:hint="default"/>
                      <w:color w:val="auto"/>
                      <w:vertAlign w:val="subscript"/>
                      <w:lang w:val="en-US" w:eastAsia="zh-CN"/>
                    </w:rPr>
                    <w:t>3</w:t>
                  </w:r>
                  <w:r>
                    <w:rPr>
                      <w:rFonts w:hint="default"/>
                      <w:color w:val="auto"/>
                      <w:lang w:val="en-US" w:eastAsia="zh-CN"/>
                    </w:rPr>
                    <w:t>-N</w:t>
                  </w:r>
                </w:p>
              </w:tc>
              <w:tc>
                <w:tcPr>
                  <w:tcW w:w="806" w:type="pct"/>
                  <w:shd w:val="clear" w:color="auto" w:fill="auto"/>
                  <w:vAlign w:val="center"/>
                </w:tcPr>
                <w:p w14:paraId="27C32831">
                  <w:pPr>
                    <w:pStyle w:val="58"/>
                    <w:suppressLineNumbers w:val="0"/>
                    <w:bidi w:val="0"/>
                    <w:spacing w:before="0" w:beforeAutospacing="0" w:after="0" w:afterAutospacing="0"/>
                    <w:ind w:left="0" w:right="0"/>
                    <w:rPr>
                      <w:rFonts w:hint="default" w:eastAsia="宋体"/>
                      <w:color w:val="auto"/>
                      <w:lang w:val="en-US" w:eastAsia="zh-CN"/>
                    </w:rPr>
                  </w:pPr>
                  <w:r>
                    <w:rPr>
                      <w:rFonts w:hint="default"/>
                      <w:color w:val="auto"/>
                      <w:lang w:val="en-US" w:eastAsia="zh-CN"/>
                    </w:rPr>
                    <w:t>5</w:t>
                  </w:r>
                </w:p>
              </w:tc>
              <w:tc>
                <w:tcPr>
                  <w:tcW w:w="922" w:type="pct"/>
                  <w:shd w:val="clear" w:color="auto" w:fill="auto"/>
                  <w:vAlign w:val="center"/>
                </w:tcPr>
                <w:p w14:paraId="48154062">
                  <w:pPr>
                    <w:pStyle w:val="58"/>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122" w:type="pct"/>
                  <w:shd w:val="clear" w:color="auto" w:fill="auto"/>
                  <w:vAlign w:val="center"/>
                </w:tcPr>
                <w:p w14:paraId="2D283375">
                  <w:pPr>
                    <w:pStyle w:val="58"/>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0.02241</w:t>
                  </w:r>
                </w:p>
              </w:tc>
              <w:tc>
                <w:tcPr>
                  <w:tcW w:w="1399" w:type="pct"/>
                  <w:tcBorders>
                    <w:right w:val="nil"/>
                  </w:tcBorders>
                  <w:shd w:val="clear" w:color="auto" w:fill="auto"/>
                  <w:vAlign w:val="center"/>
                </w:tcPr>
                <w:p w14:paraId="1263C90E">
                  <w:pPr>
                    <w:pStyle w:val="58"/>
                    <w:suppressLineNumbers w:val="0"/>
                    <w:bidi w:val="0"/>
                    <w:spacing w:before="0" w:beforeAutospacing="0" w:after="0" w:afterAutospacing="0"/>
                    <w:ind w:left="0" w:right="0"/>
                    <w:rPr>
                      <w:rFonts w:hint="default"/>
                      <w:color w:val="auto"/>
                    </w:rPr>
                  </w:pPr>
                  <w:r>
                    <w:rPr>
                      <w:rFonts w:hint="eastAsia"/>
                      <w:color w:val="auto"/>
                      <w:lang w:val="en-US" w:eastAsia="zh-CN"/>
                    </w:rPr>
                    <w:t>/</w:t>
                  </w:r>
                </w:p>
              </w:tc>
            </w:tr>
            <w:tr w14:paraId="07334B6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0" w:type="pct"/>
                  <w:tcBorders>
                    <w:left w:val="nil"/>
                  </w:tcBorders>
                  <w:shd w:val="clear" w:color="auto" w:fill="auto"/>
                  <w:vAlign w:val="center"/>
                </w:tcPr>
                <w:p w14:paraId="4C61C056">
                  <w:pPr>
                    <w:pStyle w:val="58"/>
                    <w:suppressLineNumbers w:val="0"/>
                    <w:bidi w:val="0"/>
                    <w:spacing w:before="0" w:beforeAutospacing="0" w:after="0" w:afterAutospacing="0"/>
                    <w:ind w:left="0" w:right="0"/>
                    <w:rPr>
                      <w:rFonts w:hint="eastAsia"/>
                      <w:color w:val="auto"/>
                    </w:rPr>
                  </w:pPr>
                  <w:r>
                    <w:rPr>
                      <w:rFonts w:hint="eastAsia"/>
                      <w:color w:val="auto"/>
                      <w:lang w:val="en-US" w:eastAsia="zh-CN"/>
                    </w:rPr>
                    <w:t>生产废水</w:t>
                  </w:r>
                </w:p>
              </w:tc>
              <w:tc>
                <w:tcPr>
                  <w:tcW w:w="806" w:type="pct"/>
                  <w:shd w:val="clear" w:color="auto" w:fill="auto"/>
                  <w:vAlign w:val="center"/>
                </w:tcPr>
                <w:p w14:paraId="4FE9FD64">
                  <w:pPr>
                    <w:pStyle w:val="58"/>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w:t>
                  </w:r>
                </w:p>
              </w:tc>
              <w:tc>
                <w:tcPr>
                  <w:tcW w:w="922" w:type="pct"/>
                  <w:shd w:val="clear" w:color="auto" w:fill="auto"/>
                  <w:vAlign w:val="center"/>
                </w:tcPr>
                <w:p w14:paraId="5843BEF6">
                  <w:pPr>
                    <w:pStyle w:val="58"/>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889" w:type="dxa"/>
                  <w:shd w:val="clear" w:color="auto" w:fill="auto"/>
                  <w:vAlign w:val="center"/>
                </w:tcPr>
                <w:p w14:paraId="060A1AB8">
                  <w:pPr>
                    <w:pStyle w:val="58"/>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w:t>
                  </w:r>
                </w:p>
              </w:tc>
              <w:tc>
                <w:tcPr>
                  <w:tcW w:w="1399" w:type="pct"/>
                  <w:tcBorders>
                    <w:right w:val="nil"/>
                  </w:tcBorders>
                  <w:shd w:val="clear" w:color="auto" w:fill="auto"/>
                  <w:vAlign w:val="center"/>
                </w:tcPr>
                <w:p w14:paraId="25FD9EBC">
                  <w:pPr>
                    <w:pStyle w:val="58"/>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1900</w:t>
                  </w:r>
                </w:p>
              </w:tc>
            </w:tr>
            <w:tr w14:paraId="0EF8407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50" w:type="pct"/>
                  <w:tcBorders>
                    <w:left w:val="nil"/>
                  </w:tcBorders>
                  <w:shd w:val="clear" w:color="auto" w:fill="auto"/>
                  <w:vAlign w:val="center"/>
                </w:tcPr>
                <w:p w14:paraId="5F7AC177">
                  <w:pPr>
                    <w:pStyle w:val="58"/>
                    <w:suppressLineNumbers w:val="0"/>
                    <w:bidi w:val="0"/>
                    <w:spacing w:before="0" w:beforeAutospacing="0" w:after="0" w:afterAutospacing="0"/>
                    <w:ind w:left="0" w:right="0"/>
                    <w:rPr>
                      <w:rFonts w:hint="default"/>
                      <w:color w:val="auto"/>
                    </w:rPr>
                  </w:pPr>
                  <w:r>
                    <w:rPr>
                      <w:rFonts w:hint="default"/>
                      <w:color w:val="auto"/>
                      <w:lang w:val="en-US" w:eastAsia="zh-CN"/>
                    </w:rPr>
                    <w:t>COD</w:t>
                  </w:r>
                </w:p>
              </w:tc>
              <w:tc>
                <w:tcPr>
                  <w:tcW w:w="806" w:type="pct"/>
                  <w:shd w:val="clear" w:color="auto" w:fill="auto"/>
                  <w:vAlign w:val="center"/>
                </w:tcPr>
                <w:p w14:paraId="57BB0010">
                  <w:pPr>
                    <w:pStyle w:val="58"/>
                    <w:suppressLineNumbers w:val="0"/>
                    <w:bidi w:val="0"/>
                    <w:spacing w:before="0" w:beforeAutospacing="0" w:after="0" w:afterAutospacing="0"/>
                    <w:ind w:left="0" w:right="0"/>
                    <w:rPr>
                      <w:rFonts w:hint="default" w:eastAsia="宋体"/>
                      <w:color w:val="auto"/>
                      <w:lang w:val="en-US" w:eastAsia="zh-CN"/>
                    </w:rPr>
                  </w:pPr>
                  <w:r>
                    <w:rPr>
                      <w:rFonts w:hint="default"/>
                      <w:color w:val="auto"/>
                      <w:lang w:val="en-US" w:eastAsia="zh-CN"/>
                    </w:rPr>
                    <w:t>50</w:t>
                  </w:r>
                </w:p>
              </w:tc>
              <w:tc>
                <w:tcPr>
                  <w:tcW w:w="922" w:type="pct"/>
                  <w:shd w:val="clear" w:color="auto" w:fill="auto"/>
                  <w:vAlign w:val="center"/>
                </w:tcPr>
                <w:p w14:paraId="63DD972D">
                  <w:pPr>
                    <w:pStyle w:val="58"/>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w:t>
                  </w:r>
                </w:p>
              </w:tc>
              <w:tc>
                <w:tcPr>
                  <w:tcW w:w="1889" w:type="dxa"/>
                  <w:shd w:val="clear" w:color="auto" w:fill="auto"/>
                  <w:vAlign w:val="center"/>
                </w:tcPr>
                <w:p w14:paraId="6C7527E9">
                  <w:pPr>
                    <w:pStyle w:val="58"/>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w:t>
                  </w:r>
                </w:p>
              </w:tc>
              <w:tc>
                <w:tcPr>
                  <w:tcW w:w="1399" w:type="pct"/>
                  <w:tcBorders>
                    <w:right w:val="nil"/>
                  </w:tcBorders>
                  <w:shd w:val="clear" w:color="auto" w:fill="auto"/>
                  <w:vAlign w:val="center"/>
                </w:tcPr>
                <w:p w14:paraId="2905358F">
                  <w:pPr>
                    <w:pStyle w:val="58"/>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0.095</w:t>
                  </w:r>
                </w:p>
              </w:tc>
            </w:tr>
            <w:tr w14:paraId="3B88AD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50" w:type="pct"/>
                  <w:tcBorders>
                    <w:left w:val="nil"/>
                    <w:bottom w:val="single" w:color="000000" w:sz="12" w:space="0"/>
                  </w:tcBorders>
                  <w:shd w:val="clear" w:color="auto" w:fill="auto"/>
                  <w:vAlign w:val="center"/>
                </w:tcPr>
                <w:p w14:paraId="08C91A55">
                  <w:pPr>
                    <w:pStyle w:val="58"/>
                    <w:suppressLineNumbers w:val="0"/>
                    <w:bidi w:val="0"/>
                    <w:spacing w:before="0" w:beforeAutospacing="0" w:after="0" w:afterAutospacing="0"/>
                    <w:ind w:left="0" w:right="0"/>
                    <w:rPr>
                      <w:rFonts w:hint="default"/>
                      <w:color w:val="auto"/>
                    </w:rPr>
                  </w:pPr>
                  <w:r>
                    <w:rPr>
                      <w:rFonts w:hint="default"/>
                      <w:color w:val="auto"/>
                      <w:lang w:val="en-US" w:eastAsia="zh-CN"/>
                    </w:rPr>
                    <w:t>NH</w:t>
                  </w:r>
                  <w:r>
                    <w:rPr>
                      <w:rFonts w:hint="default"/>
                      <w:color w:val="auto"/>
                      <w:vertAlign w:val="subscript"/>
                      <w:lang w:val="en-US" w:eastAsia="zh-CN"/>
                    </w:rPr>
                    <w:t>3</w:t>
                  </w:r>
                  <w:r>
                    <w:rPr>
                      <w:rFonts w:hint="default"/>
                      <w:color w:val="auto"/>
                      <w:lang w:val="en-US" w:eastAsia="zh-CN"/>
                    </w:rPr>
                    <w:t>-N</w:t>
                  </w:r>
                </w:p>
              </w:tc>
              <w:tc>
                <w:tcPr>
                  <w:tcW w:w="806" w:type="pct"/>
                  <w:tcBorders>
                    <w:bottom w:val="single" w:color="000000" w:sz="12" w:space="0"/>
                  </w:tcBorders>
                  <w:shd w:val="clear" w:color="auto" w:fill="auto"/>
                  <w:vAlign w:val="center"/>
                </w:tcPr>
                <w:p w14:paraId="5E7A7E94">
                  <w:pPr>
                    <w:pStyle w:val="58"/>
                    <w:suppressLineNumbers w:val="0"/>
                    <w:bidi w:val="0"/>
                    <w:spacing w:before="0" w:beforeAutospacing="0" w:after="0" w:afterAutospacing="0"/>
                    <w:ind w:left="0" w:right="0"/>
                    <w:rPr>
                      <w:rFonts w:hint="default" w:eastAsia="宋体"/>
                      <w:color w:val="auto"/>
                      <w:lang w:val="en-US" w:eastAsia="zh-CN"/>
                    </w:rPr>
                  </w:pPr>
                  <w:r>
                    <w:rPr>
                      <w:rFonts w:hint="default"/>
                      <w:color w:val="auto"/>
                      <w:lang w:val="en-US" w:eastAsia="zh-CN"/>
                    </w:rPr>
                    <w:t>5</w:t>
                  </w:r>
                </w:p>
              </w:tc>
              <w:tc>
                <w:tcPr>
                  <w:tcW w:w="922" w:type="pct"/>
                  <w:tcBorders>
                    <w:bottom w:val="single" w:color="000000" w:sz="12" w:space="0"/>
                  </w:tcBorders>
                  <w:shd w:val="clear" w:color="auto" w:fill="auto"/>
                  <w:vAlign w:val="center"/>
                </w:tcPr>
                <w:p w14:paraId="4EF486FD">
                  <w:pPr>
                    <w:pStyle w:val="58"/>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w:t>
                  </w:r>
                </w:p>
              </w:tc>
              <w:tc>
                <w:tcPr>
                  <w:tcW w:w="1889" w:type="dxa"/>
                  <w:tcBorders>
                    <w:bottom w:val="single" w:color="000000" w:sz="12" w:space="0"/>
                  </w:tcBorders>
                  <w:shd w:val="clear" w:color="auto" w:fill="auto"/>
                  <w:vAlign w:val="center"/>
                </w:tcPr>
                <w:p w14:paraId="30CF887E">
                  <w:pPr>
                    <w:pStyle w:val="58"/>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w:t>
                  </w:r>
                </w:p>
              </w:tc>
              <w:tc>
                <w:tcPr>
                  <w:tcW w:w="1399" w:type="pct"/>
                  <w:tcBorders>
                    <w:bottom w:val="single" w:color="000000" w:sz="12" w:space="0"/>
                    <w:right w:val="nil"/>
                  </w:tcBorders>
                  <w:shd w:val="clear" w:color="auto" w:fill="auto"/>
                  <w:vAlign w:val="center"/>
                </w:tcPr>
                <w:p w14:paraId="4335F72C">
                  <w:pPr>
                    <w:pStyle w:val="58"/>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0.0095</w:t>
                  </w:r>
                </w:p>
              </w:tc>
            </w:tr>
          </w:tbl>
          <w:p w14:paraId="76D876A3">
            <w:pPr>
              <w:pStyle w:val="22"/>
              <w:bidi w:val="0"/>
              <w:ind w:firstLine="480" w:firstLineChars="200"/>
              <w:rPr>
                <w:rFonts w:hint="eastAsia" w:eastAsia="宋体"/>
                <w:color w:val="auto"/>
                <w:highlight w:val="none"/>
                <w:lang w:val="en-US" w:eastAsia="zh-CN"/>
              </w:rPr>
            </w:pPr>
            <w:r>
              <w:rPr>
                <w:rFonts w:hint="eastAsia"/>
                <w:color w:val="auto"/>
                <w:highlight w:val="none"/>
              </w:rPr>
              <w:t>根据福建省环保厅关于印发《福建省主要污染物排污权指标核定管理办法（试行）》的通知（闽环发</w:t>
            </w:r>
            <w:r>
              <w:rPr>
                <w:rFonts w:hint="eastAsia"/>
                <w:color w:val="auto"/>
                <w:highlight w:val="none"/>
                <w:lang w:eastAsia="zh-CN"/>
              </w:rPr>
              <w:t>〔2014〕12号</w:t>
            </w:r>
            <w:r>
              <w:rPr>
                <w:rFonts w:hint="eastAsia"/>
                <w:color w:val="auto"/>
                <w:highlight w:val="none"/>
              </w:rPr>
              <w:t>），生活污水排放暂不需要购买相应的排污权指标，因此，</w:t>
            </w:r>
            <w:r>
              <w:rPr>
                <w:rFonts w:hint="eastAsia"/>
                <w:color w:val="auto"/>
                <w:highlight w:val="none"/>
                <w:lang w:val="en-US" w:eastAsia="zh-CN"/>
              </w:rPr>
              <w:t>生活污水</w:t>
            </w:r>
            <w:r>
              <w:rPr>
                <w:rFonts w:hint="eastAsia"/>
                <w:color w:val="auto"/>
                <w:highlight w:val="none"/>
              </w:rPr>
              <w:t>无需申请总量控制指标。</w:t>
            </w:r>
            <w:r>
              <w:rPr>
                <w:rFonts w:hint="eastAsia"/>
                <w:color w:val="auto"/>
                <w:highlight w:val="none"/>
                <w:lang w:val="en-US" w:eastAsia="zh-CN"/>
              </w:rPr>
              <w:t>本次项目需申请购买</w:t>
            </w:r>
            <w:r>
              <w:rPr>
                <w:rFonts w:hint="eastAsia"/>
                <w:color w:val="auto"/>
                <w:highlight w:val="none"/>
              </w:rPr>
              <w:t>COD、NH</w:t>
            </w:r>
            <w:r>
              <w:rPr>
                <w:rFonts w:hint="eastAsia"/>
                <w:color w:val="auto"/>
                <w:highlight w:val="none"/>
                <w:vertAlign w:val="subscript"/>
              </w:rPr>
              <w:t>3</w:t>
            </w:r>
            <w:r>
              <w:rPr>
                <w:rFonts w:hint="eastAsia"/>
                <w:color w:val="auto"/>
                <w:highlight w:val="none"/>
              </w:rPr>
              <w:t>-N总量</w:t>
            </w:r>
            <w:r>
              <w:rPr>
                <w:rFonts w:hint="eastAsia"/>
                <w:color w:val="auto"/>
                <w:highlight w:val="none"/>
                <w:lang w:val="en-US" w:eastAsia="zh-CN"/>
              </w:rPr>
              <w:t>0.095t/a、0.0095/a。</w:t>
            </w:r>
          </w:p>
          <w:p w14:paraId="50EC7761">
            <w:pPr>
              <w:pStyle w:val="4"/>
              <w:bidi w:val="0"/>
              <w:ind w:firstLine="482" w:firstLineChars="200"/>
              <w:rPr>
                <w:rFonts w:hint="eastAsia" w:ascii="Times New Roman" w:hAnsi="Times New Roman"/>
                <w:color w:val="auto"/>
              </w:rPr>
            </w:pPr>
            <w:bookmarkStart w:id="83" w:name="_Toc13739"/>
            <w:r>
              <w:rPr>
                <w:rFonts w:hint="eastAsia" w:ascii="Times New Roman" w:hAnsi="Times New Roman"/>
                <w:color w:val="auto"/>
              </w:rPr>
              <w:t>3.8.2废气总量</w:t>
            </w:r>
            <w:bookmarkEnd w:id="83"/>
          </w:p>
          <w:p w14:paraId="3A3BDC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废气污染物主要为非甲烷总烃，项目废气污染物排放总量指标详见表</w:t>
            </w:r>
            <w:r>
              <w:rPr>
                <w:rFonts w:hint="default" w:ascii="Times New Roman" w:hAnsi="Times New Roman" w:eastAsia="宋体" w:cs="Times New Roman"/>
                <w:color w:val="auto"/>
                <w:sz w:val="24"/>
                <w:szCs w:val="24"/>
                <w:highlight w:val="none"/>
                <w:lang w:val="en-US" w:eastAsia="zh-CN"/>
              </w:rPr>
              <w:t>3.</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p>
          <w:p w14:paraId="7E5EB376">
            <w:pPr>
              <w:widowControl w:val="0"/>
              <w:spacing w:line="240" w:lineRule="auto"/>
              <w:ind w:firstLine="482" w:firstLineChars="20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3.</w:t>
            </w:r>
            <w:r>
              <w:rPr>
                <w:rFonts w:hint="eastAsia"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lang w:val="en-US" w:eastAsia="zh-CN"/>
              </w:rPr>
              <w:t>-</w:t>
            </w:r>
            <w:r>
              <w:rPr>
                <w:rFonts w:hint="eastAsia" w:cs="Times New Roman"/>
                <w:b/>
                <w:color w:val="auto"/>
                <w:sz w:val="24"/>
                <w:szCs w:val="24"/>
                <w:highlight w:val="none"/>
                <w:lang w:val="en-US" w:eastAsia="zh-CN"/>
              </w:rPr>
              <w:t xml:space="preserve">1  </w:t>
            </w:r>
            <w:r>
              <w:rPr>
                <w:rFonts w:hint="eastAsia" w:ascii="Times New Roman" w:hAnsi="Times New Roman" w:eastAsia="宋体" w:cs="Times New Roman"/>
                <w:b/>
                <w:bCs/>
                <w:color w:val="auto"/>
                <w:sz w:val="24"/>
                <w:highlight w:val="none"/>
                <w:lang w:val="en-US" w:eastAsia="zh-CN"/>
              </w:rPr>
              <w:t>本项目</w:t>
            </w:r>
            <w:r>
              <w:rPr>
                <w:rFonts w:hint="default" w:ascii="Times New Roman" w:hAnsi="Times New Roman" w:eastAsia="宋体" w:cs="Times New Roman"/>
                <w:b/>
                <w:bCs/>
                <w:color w:val="auto"/>
                <w:sz w:val="24"/>
                <w:highlight w:val="none"/>
                <w:lang w:val="en-US" w:eastAsia="zh-CN"/>
              </w:rPr>
              <w:t xml:space="preserve">废气污染物排放总量指标一览表 </w:t>
            </w:r>
            <w:r>
              <w:rPr>
                <w:rFonts w:hint="default" w:ascii="Times New Roman" w:hAnsi="Times New Roman" w:eastAsia="宋体" w:cs="Times New Roman"/>
                <w:b/>
                <w:color w:val="auto"/>
                <w:sz w:val="24"/>
                <w:szCs w:val="24"/>
                <w:highlight w:val="none"/>
                <w:lang w:val="en-US" w:eastAsia="zh-CN"/>
              </w:rPr>
              <w:t xml:space="preserve"> 单位</w:t>
            </w:r>
            <w:r>
              <w:rPr>
                <w:rFonts w:hint="eastAsia"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lang w:val="en-US" w:eastAsia="zh-CN"/>
              </w:rPr>
              <w:t>t/a</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1537"/>
              <w:gridCol w:w="1720"/>
              <w:gridCol w:w="1626"/>
              <w:gridCol w:w="1627"/>
            </w:tblGrid>
            <w:tr w14:paraId="143819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65" w:type="pct"/>
                  <w:tcBorders>
                    <w:tl2br w:val="nil"/>
                    <w:tr2bl w:val="nil"/>
                  </w:tcBorders>
                  <w:noWrap w:val="0"/>
                  <w:vAlign w:val="center"/>
                </w:tcPr>
                <w:p w14:paraId="395EEB05">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val="en-US" w:eastAsia="zh-CN"/>
                    </w:rPr>
                    <w:t>总量控制项目</w:t>
                  </w:r>
                </w:p>
              </w:tc>
              <w:tc>
                <w:tcPr>
                  <w:tcW w:w="952" w:type="pct"/>
                  <w:tcBorders>
                    <w:tl2br w:val="nil"/>
                    <w:tr2bl w:val="nil"/>
                  </w:tcBorders>
                  <w:noWrap w:val="0"/>
                  <w:vAlign w:val="center"/>
                </w:tcPr>
                <w:p w14:paraId="50FCACA5">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val="en-US" w:eastAsia="zh-CN"/>
                    </w:rPr>
                    <w:t>有组织排放量</w:t>
                  </w:r>
                </w:p>
              </w:tc>
              <w:tc>
                <w:tcPr>
                  <w:tcW w:w="1066" w:type="pct"/>
                  <w:tcBorders>
                    <w:tl2br w:val="nil"/>
                    <w:tr2bl w:val="nil"/>
                  </w:tcBorders>
                  <w:noWrap w:val="0"/>
                  <w:vAlign w:val="center"/>
                </w:tcPr>
                <w:p w14:paraId="55682495">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eastAsia="zh-CN"/>
                    </w:rPr>
                    <w:t>无组织排放量</w:t>
                  </w:r>
                </w:p>
              </w:tc>
              <w:tc>
                <w:tcPr>
                  <w:tcW w:w="1008" w:type="pct"/>
                  <w:tcBorders>
                    <w:tl2br w:val="nil"/>
                    <w:tr2bl w:val="nil"/>
                  </w:tcBorders>
                  <w:noWrap w:val="0"/>
                  <w:vAlign w:val="center"/>
                </w:tcPr>
                <w:p w14:paraId="7B72CA61">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val="en-US" w:eastAsia="zh-CN"/>
                    </w:rPr>
                    <w:t>排放总量</w:t>
                  </w:r>
                </w:p>
              </w:tc>
              <w:tc>
                <w:tcPr>
                  <w:tcW w:w="1008" w:type="pct"/>
                  <w:tcBorders>
                    <w:tl2br w:val="nil"/>
                    <w:tr2bl w:val="nil"/>
                  </w:tcBorders>
                  <w:noWrap w:val="0"/>
                  <w:vAlign w:val="center"/>
                </w:tcPr>
                <w:p w14:paraId="134A8E1D">
                  <w:pPr>
                    <w:widowControl w:val="0"/>
                    <w:spacing w:line="240" w:lineRule="auto"/>
                    <w:ind w:firstLine="0" w:firstLineChars="0"/>
                    <w:jc w:val="center"/>
                    <w:rPr>
                      <w:rFonts w:hint="eastAsia" w:cs="Times New Roman"/>
                      <w:b/>
                      <w:bCs/>
                      <w:color w:val="auto"/>
                      <w:sz w:val="21"/>
                      <w:szCs w:val="22"/>
                      <w:highlight w:val="none"/>
                      <w:lang w:val="en-US" w:eastAsia="zh-CN"/>
                    </w:rPr>
                  </w:pPr>
                  <w:r>
                    <w:rPr>
                      <w:rFonts w:hint="eastAsia" w:ascii="Times New Roman" w:hAnsi="Times New Roman" w:eastAsia="宋体" w:cs="Times New Roman"/>
                      <w:b/>
                      <w:bCs/>
                      <w:color w:val="auto"/>
                      <w:sz w:val="21"/>
                      <w:szCs w:val="22"/>
                      <w:highlight w:val="none"/>
                      <w:lang w:val="en-US" w:eastAsia="zh-CN"/>
                    </w:rPr>
                    <w:t>建议申报指标</w:t>
                  </w:r>
                </w:p>
              </w:tc>
            </w:tr>
            <w:tr w14:paraId="08933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965" w:type="pct"/>
                  <w:tcBorders>
                    <w:tl2br w:val="nil"/>
                    <w:tr2bl w:val="nil"/>
                  </w:tcBorders>
                  <w:noWrap w:val="0"/>
                  <w:vAlign w:val="center"/>
                </w:tcPr>
                <w:p w14:paraId="364083B9">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非甲烷总烃</w:t>
                  </w:r>
                </w:p>
              </w:tc>
              <w:tc>
                <w:tcPr>
                  <w:tcW w:w="952" w:type="pct"/>
                  <w:tcBorders>
                    <w:tl2br w:val="nil"/>
                    <w:tr2bl w:val="nil"/>
                  </w:tcBorders>
                  <w:noWrap w:val="0"/>
                  <w:vAlign w:val="center"/>
                </w:tcPr>
                <w:p w14:paraId="5BBD5E34">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0.524</w:t>
                  </w:r>
                </w:p>
              </w:tc>
              <w:tc>
                <w:tcPr>
                  <w:tcW w:w="1066" w:type="pct"/>
                  <w:tcBorders>
                    <w:tl2br w:val="nil"/>
                    <w:tr2bl w:val="nil"/>
                  </w:tcBorders>
                  <w:noWrap w:val="0"/>
                  <w:vAlign w:val="center"/>
                </w:tcPr>
                <w:p w14:paraId="0023CDE9">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0.2911</w:t>
                  </w:r>
                </w:p>
              </w:tc>
              <w:tc>
                <w:tcPr>
                  <w:tcW w:w="1008" w:type="pct"/>
                  <w:tcBorders>
                    <w:tl2br w:val="nil"/>
                    <w:tr2bl w:val="nil"/>
                  </w:tcBorders>
                  <w:noWrap w:val="0"/>
                  <w:vAlign w:val="center"/>
                </w:tcPr>
                <w:p w14:paraId="60E9E34E">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0.8151</w:t>
                  </w:r>
                </w:p>
              </w:tc>
              <w:tc>
                <w:tcPr>
                  <w:tcW w:w="1008" w:type="pct"/>
                  <w:tcBorders>
                    <w:tl2br w:val="nil"/>
                    <w:tr2bl w:val="nil"/>
                  </w:tcBorders>
                  <w:noWrap w:val="0"/>
                  <w:vAlign w:val="center"/>
                </w:tcPr>
                <w:p w14:paraId="740D1661">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0.8151</w:t>
                  </w:r>
                </w:p>
              </w:tc>
            </w:tr>
          </w:tbl>
          <w:p w14:paraId="1DA67D84">
            <w:pPr>
              <w:pStyle w:val="22"/>
              <w:bidi w:val="0"/>
              <w:ind w:firstLine="480" w:firstLineChars="200"/>
              <w:jc w:val="both"/>
              <w:rPr>
                <w:rFonts w:hint="eastAsia" w:ascii="Times New Roman" w:hAnsi="Times New Roman"/>
                <w:color w:val="auto"/>
              </w:rPr>
            </w:pPr>
            <w:r>
              <w:rPr>
                <w:rFonts w:hint="eastAsia" w:ascii="Times New Roman" w:hAnsi="Times New Roman"/>
                <w:color w:val="auto"/>
              </w:rPr>
              <w:t>（1）非甲烷总烃总量控制</w:t>
            </w:r>
          </w:p>
          <w:p w14:paraId="031B4B68">
            <w:pPr>
              <w:pStyle w:val="22"/>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根据《福州市环境保护局关于印发福州市大气污染联防控联治工作方案的</w:t>
            </w:r>
          </w:p>
          <w:p w14:paraId="6455E46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通知》榕环保综</w:t>
            </w:r>
            <w:r>
              <w:rPr>
                <w:rFonts w:hint="eastAsia" w:cs="Times New Roman"/>
                <w:color w:val="auto"/>
                <w:kern w:val="2"/>
                <w:sz w:val="24"/>
                <w:szCs w:val="24"/>
                <w:highlight w:val="none"/>
                <w:lang w:val="en-US" w:eastAsia="zh-CN" w:bidi="ar-SA"/>
              </w:rPr>
              <w:t>〔2018〕386号</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排放实行区域内倍量替代，新、改扩建涉</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排放项目，应从源头加强控制，使用低（无）</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含量的原辅材料，加强废气收集、安装高效治理设施。根据工程分析可知，本项目</w:t>
            </w:r>
            <w:r>
              <w:rPr>
                <w:rFonts w:hint="eastAsia" w:cs="Times New Roman"/>
                <w:color w:val="auto"/>
                <w:kern w:val="2"/>
                <w:sz w:val="24"/>
                <w:szCs w:val="24"/>
                <w:highlight w:val="none"/>
                <w:lang w:val="en-US" w:eastAsia="zh-CN" w:bidi="ar-SA"/>
              </w:rPr>
              <w:t>VOCs、乙醇、乙醚、丙酮（以非甲烷总烃计</w:t>
            </w:r>
            <w:r>
              <w:rPr>
                <w:rFonts w:hint="eastAsia" w:ascii="Times New Roman" w:hAnsi="Times New Roman" w:eastAsia="宋体" w:cs="Times New Roman"/>
                <w:color w:val="auto"/>
                <w:kern w:val="2"/>
                <w:sz w:val="24"/>
                <w:szCs w:val="24"/>
                <w:highlight w:val="none"/>
                <w:lang w:val="en-US" w:eastAsia="zh-CN" w:bidi="ar-SA"/>
              </w:rPr>
              <w:t>）有组织排放量为0.524</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，无组织排放量为0.2911</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，排放总量为：0.8151</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，建设单位需建议申报总量指标为0.8151t/a</w:t>
            </w:r>
            <w:r>
              <w:rPr>
                <w:rFonts w:hint="eastAsia" w:cs="Times New Roman"/>
                <w:color w:val="auto"/>
                <w:kern w:val="2"/>
                <w:sz w:val="24"/>
                <w:szCs w:val="24"/>
                <w:highlight w:val="none"/>
                <w:lang w:val="en-US" w:eastAsia="zh-CN" w:bidi="ar-SA"/>
              </w:rPr>
              <w:t>。</w:t>
            </w:r>
          </w:p>
          <w:p w14:paraId="2B0393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olor w:val="auto"/>
              </w:rPr>
            </w:pPr>
            <w:r>
              <w:rPr>
                <w:rFonts w:hint="eastAsia" w:ascii="Times New Roman" w:hAnsi="Times New Roman" w:eastAsia="宋体" w:cs="Times New Roman"/>
                <w:color w:val="FF0000"/>
                <w:kern w:val="2"/>
                <w:sz w:val="24"/>
                <w:szCs w:val="24"/>
                <w:highlight w:val="none"/>
                <w:lang w:val="en-US" w:eastAsia="zh-CN" w:bidi="ar-SA"/>
              </w:rPr>
              <w:t>根据福建省相关文件规定，福州市属于重点控制区，全区域</w:t>
            </w:r>
            <w:r>
              <w:rPr>
                <w:rFonts w:hint="default" w:ascii="Times New Roman" w:hAnsi="Times New Roman" w:eastAsia="宋体" w:cs="Times New Roman"/>
                <w:color w:val="FF0000"/>
                <w:kern w:val="2"/>
                <w:sz w:val="24"/>
                <w:szCs w:val="24"/>
                <w:highlight w:val="none"/>
                <w:lang w:val="en-US" w:eastAsia="zh-CN" w:bidi="ar-SA"/>
              </w:rPr>
              <w:t>VOCs</w:t>
            </w:r>
            <w:r>
              <w:rPr>
                <w:rFonts w:hint="eastAsia" w:ascii="Times New Roman" w:hAnsi="Times New Roman" w:eastAsia="宋体" w:cs="Times New Roman"/>
                <w:color w:val="FF0000"/>
                <w:kern w:val="2"/>
                <w:sz w:val="24"/>
                <w:szCs w:val="24"/>
                <w:highlight w:val="none"/>
                <w:lang w:val="en-US" w:eastAsia="zh-CN" w:bidi="ar-SA"/>
              </w:rPr>
              <w:t>排放均要求实行区域内1.2及以上倍量替换，</w:t>
            </w:r>
            <w:r>
              <w:rPr>
                <w:rFonts w:hint="eastAsia" w:ascii="Times New Roman" w:hAnsi="Times New Roman" w:eastAsia="宋体" w:cs="Times New Roman"/>
                <w:color w:val="auto"/>
                <w:kern w:val="2"/>
                <w:sz w:val="24"/>
                <w:szCs w:val="24"/>
                <w:highlight w:val="none"/>
                <w:lang w:val="en-US" w:eastAsia="zh-CN" w:bidi="ar-SA"/>
              </w:rPr>
              <w:t>由建设单位向当地生态环境主管部门申请区域削减替代。需按照标准严格控制其排放，</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（非甲烷总烃）总量需要通过区域调剂来获得。最终的总量控制指标以本报告表报批生态环境主管部门后核定的总量为准。</w:t>
            </w:r>
          </w:p>
        </w:tc>
      </w:tr>
    </w:tbl>
    <w:p w14:paraId="189972C4">
      <w:pPr>
        <w:pStyle w:val="2"/>
        <w:bidi w:val="0"/>
        <w:ind w:firstLine="602" w:firstLineChars="200"/>
        <w:jc w:val="center"/>
        <w:outlineLvl w:val="0"/>
        <w:rPr>
          <w:rFonts w:hint="eastAsia" w:ascii="Times New Roman" w:hAnsi="Times New Roman"/>
          <w:color w:val="auto"/>
        </w:rPr>
      </w:pPr>
      <w:r>
        <w:rPr>
          <w:rStyle w:val="26"/>
          <w:rFonts w:hint="eastAsia" w:ascii="Times New Roman" w:hAnsi="Times New Roman"/>
          <w:color w:val="auto"/>
        </w:rPr>
        <w:br w:type="page"/>
      </w:r>
      <w:r>
        <w:rPr>
          <w:rFonts w:hint="eastAsia" w:ascii="Times New Roman" w:hAnsi="Times New Roman"/>
          <w:color w:val="auto"/>
        </w:rPr>
        <w:t>四、主要环境影响和保护措施</w:t>
      </w:r>
    </w:p>
    <w:tbl>
      <w:tblPr>
        <w:tblStyle w:val="18"/>
        <w:tblW w:w="89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91"/>
        <w:gridCol w:w="8389"/>
      </w:tblGrid>
      <w:tr w14:paraId="452B35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591" w:type="dxa"/>
            <w:noWrap w:val="0"/>
            <w:tcMar>
              <w:left w:w="28" w:type="dxa"/>
              <w:right w:w="28" w:type="dxa"/>
            </w:tcMar>
            <w:vAlign w:val="center"/>
          </w:tcPr>
          <w:p w14:paraId="3BD8064E">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施工</w:t>
            </w:r>
          </w:p>
          <w:p w14:paraId="6645B7F8">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期环</w:t>
            </w:r>
          </w:p>
          <w:p w14:paraId="1742D0AF">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境保</w:t>
            </w:r>
          </w:p>
          <w:p w14:paraId="1844A5D2">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护措</w:t>
            </w:r>
          </w:p>
          <w:p w14:paraId="2B9B1C0D">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施</w:t>
            </w:r>
          </w:p>
        </w:tc>
        <w:tc>
          <w:tcPr>
            <w:tcW w:w="8389" w:type="dxa"/>
            <w:noWrap w:val="0"/>
            <w:vAlign w:val="center"/>
          </w:tcPr>
          <w:p w14:paraId="56D0F367">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lang w:val="en-US" w:eastAsia="zh-CN"/>
              </w:rPr>
              <w:t>本项目位于福建省福州市闽侯县上街镇高新大道巨泽中心1号楼2层、2号楼2-3层和3号楼2、4层。厂房早已建成。项目施工期主要为设备安装、调试阶段产生的环境问题，本项目设备安装、调试简单，且时间较短，因此，随着设备安装、调试完毕后，项目施工期也将结束，施工期环境影响也随之消失，不会对周边环境噪声影响。</w:t>
            </w:r>
          </w:p>
        </w:tc>
      </w:tr>
      <w:tr w14:paraId="0CF4EF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591" w:type="dxa"/>
            <w:noWrap w:val="0"/>
            <w:tcMar>
              <w:left w:w="28" w:type="dxa"/>
              <w:right w:w="28" w:type="dxa"/>
            </w:tcMar>
            <w:vAlign w:val="center"/>
          </w:tcPr>
          <w:p w14:paraId="2E21FA58">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运营</w:t>
            </w:r>
          </w:p>
          <w:p w14:paraId="3BAF24E9">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期环</w:t>
            </w:r>
          </w:p>
          <w:p w14:paraId="2389CD6E">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境影</w:t>
            </w:r>
          </w:p>
          <w:p w14:paraId="27F25B87">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响和</w:t>
            </w:r>
          </w:p>
          <w:p w14:paraId="3F282054">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保护</w:t>
            </w:r>
          </w:p>
          <w:p w14:paraId="710D8F02">
            <w:pPr>
              <w:adjustRightInd w:val="0"/>
              <w:snapToGrid w:val="0"/>
              <w:jc w:val="both"/>
              <w:rPr>
                <w:rFonts w:ascii="Times New Roman" w:hAnsi="Times New Roman" w:cs="宋体"/>
                <w:bCs/>
                <w:color w:val="auto"/>
                <w:szCs w:val="21"/>
              </w:rPr>
            </w:pPr>
            <w:r>
              <w:rPr>
                <w:rFonts w:hint="eastAsia" w:ascii="Times New Roman" w:hAnsi="Times New Roman" w:cs="宋体"/>
                <w:color w:val="auto"/>
                <w:sz w:val="24"/>
                <w:szCs w:val="24"/>
              </w:rPr>
              <w:t>措施</w:t>
            </w:r>
          </w:p>
        </w:tc>
        <w:tc>
          <w:tcPr>
            <w:tcW w:w="8389" w:type="dxa"/>
            <w:noWrap w:val="0"/>
            <w:vAlign w:val="center"/>
          </w:tcPr>
          <w:p w14:paraId="72488A71">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bookmarkStart w:id="84" w:name="_Toc990"/>
            <w:bookmarkStart w:id="85" w:name="_Toc2565"/>
            <w:r>
              <w:rPr>
                <w:rFonts w:hint="eastAsia" w:ascii="Times New Roman" w:hAnsi="Times New Roman" w:eastAsia="宋体" w:cs="Times New Roman"/>
                <w:b/>
                <w:color w:val="auto"/>
                <w:kern w:val="2"/>
                <w:sz w:val="28"/>
                <w:szCs w:val="24"/>
                <w:lang w:val="en-US" w:eastAsia="zh-CN" w:bidi="ar-SA"/>
              </w:rPr>
              <w:t>4.1运营期水环境影响分析和污染防治措施</w:t>
            </w:r>
            <w:bookmarkEnd w:id="84"/>
            <w:bookmarkEnd w:id="85"/>
          </w:p>
          <w:p w14:paraId="172AE884">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86" w:name="_Toc32103"/>
            <w:r>
              <w:rPr>
                <w:rFonts w:hint="eastAsia" w:ascii="Times New Roman" w:hAnsi="Times New Roman" w:eastAsia="宋体" w:cs="Times New Roman"/>
                <w:b/>
                <w:color w:val="auto"/>
                <w:kern w:val="2"/>
                <w:sz w:val="24"/>
                <w:szCs w:val="24"/>
                <w:lang w:val="en-US" w:eastAsia="zh-CN" w:bidi="ar-SA"/>
              </w:rPr>
              <w:t>4.1.1运营期废水源强核算</w:t>
            </w:r>
            <w:bookmarkEnd w:id="86"/>
          </w:p>
          <w:p w14:paraId="344914D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本项目产生的废水包括</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废水、抛光废水、</w:t>
            </w:r>
            <w:r>
              <w:rPr>
                <w:rFonts w:hint="eastAsia" w:cs="宋体"/>
                <w:color w:val="auto"/>
                <w:kern w:val="2"/>
                <w:sz w:val="24"/>
                <w:szCs w:val="24"/>
                <w:lang w:val="en-US" w:eastAsia="zh-CN" w:bidi="ar-SA"/>
              </w:rPr>
              <w:t>粗磨</w:t>
            </w:r>
            <w:r>
              <w:rPr>
                <w:rFonts w:hint="eastAsia" w:ascii="Times New Roman" w:hAnsi="Times New Roman" w:eastAsia="宋体" w:cs="宋体"/>
                <w:color w:val="auto"/>
                <w:kern w:val="2"/>
                <w:sz w:val="24"/>
                <w:szCs w:val="24"/>
                <w:lang w:val="en-US" w:eastAsia="zh-CN" w:bidi="ar-SA"/>
              </w:rPr>
              <w:t>废水、</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废水、镀膜冷却水、纯水槽的纯水与非纯净废水、生活污水。</w:t>
            </w:r>
          </w:p>
          <w:p w14:paraId="28EC10DD">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（1）</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废水</w:t>
            </w:r>
          </w:p>
          <w:p w14:paraId="26A6ED21">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工序的切割机中会将光学玻璃材料进行</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新鲜水使用量为</w:t>
            </w:r>
            <w:r>
              <w:rPr>
                <w:rFonts w:hint="eastAsia" w:cs="宋体"/>
                <w:color w:val="auto"/>
                <w:kern w:val="2"/>
                <w:sz w:val="24"/>
                <w:szCs w:val="24"/>
                <w:highlight w:val="none"/>
                <w:lang w:val="en-US" w:eastAsia="zh-CN" w:bidi="ar-SA"/>
              </w:rPr>
              <w:t>7</w:t>
            </w:r>
            <w:r>
              <w:rPr>
                <w:rFonts w:hint="eastAsia" w:ascii="Times New Roman" w:hAnsi="Times New Roman" w:eastAsia="宋体" w:cs="宋体"/>
                <w:color w:val="auto"/>
                <w:kern w:val="2"/>
                <w:sz w:val="24"/>
                <w:szCs w:val="24"/>
                <w:highlight w:val="none"/>
                <w:lang w:val="en-US" w:eastAsia="zh-CN" w:bidi="ar-SA"/>
              </w:rPr>
              <w:t>00t/a，废水产生量为</w:t>
            </w:r>
            <w:r>
              <w:rPr>
                <w:rFonts w:hint="eastAsia" w:cs="宋体"/>
                <w:color w:val="auto"/>
                <w:kern w:val="2"/>
                <w:sz w:val="24"/>
                <w:szCs w:val="24"/>
                <w:highlight w:val="none"/>
                <w:lang w:val="en-US" w:eastAsia="zh-CN" w:bidi="ar-SA"/>
              </w:rPr>
              <w:t>7</w:t>
            </w:r>
            <w:r>
              <w:rPr>
                <w:rFonts w:hint="eastAsia" w:ascii="Times New Roman" w:hAnsi="Times New Roman" w:eastAsia="宋体" w:cs="宋体"/>
                <w:color w:val="auto"/>
                <w:kern w:val="2"/>
                <w:sz w:val="24"/>
                <w:szCs w:val="24"/>
                <w:highlight w:val="none"/>
                <w:lang w:val="en-US" w:eastAsia="zh-CN" w:bidi="ar-SA"/>
              </w:rPr>
              <w:t>00t/a，</w:t>
            </w:r>
            <w:r>
              <w:rPr>
                <w:rFonts w:hint="eastAsia" w:ascii="Times New Roman" w:hAnsi="Times New Roman" w:eastAsia="宋体" w:cs="Times New Roman"/>
                <w:color w:val="auto"/>
                <w:sz w:val="24"/>
                <w:szCs w:val="24"/>
                <w:highlight w:val="none"/>
                <w:lang w:val="en-US" w:eastAsia="zh-CN"/>
              </w:rPr>
              <w:t>经过三级沉淀池沉淀处理达标后排入市政管网，纳入大学城污水处理厂。</w:t>
            </w:r>
            <w:r>
              <w:rPr>
                <w:rFonts w:hint="default" w:ascii="Times New Roman" w:hAnsi="Times New Roman" w:eastAsia="宋体" w:cs="宋体"/>
                <w:color w:val="auto"/>
                <w:kern w:val="2"/>
                <w:sz w:val="24"/>
                <w:szCs w:val="24"/>
                <w:highlight w:val="none"/>
                <w:lang w:val="en-US" w:eastAsia="zh-CN" w:bidi="ar-SA"/>
              </w:rPr>
              <w:t>参照《排放源统计调查产排污核算方法和系数手册》中《38-40电子电气行业系数手册》</w:t>
            </w:r>
            <w:r>
              <w:rPr>
                <w:rFonts w:hint="eastAsia" w:ascii="Times New Roman" w:hAnsi="Times New Roman" w:eastAsia="宋体" w:cs="宋体"/>
                <w:color w:val="auto"/>
                <w:kern w:val="2"/>
                <w:sz w:val="24"/>
                <w:szCs w:val="24"/>
                <w:highlight w:val="none"/>
                <w:lang w:val="en-US" w:eastAsia="zh-CN" w:bidi="ar-SA"/>
              </w:rPr>
              <w:t>切片、研磨</w:t>
            </w:r>
            <w:r>
              <w:rPr>
                <w:rFonts w:hint="default" w:ascii="Times New Roman" w:hAnsi="Times New Roman" w:eastAsia="宋体" w:cs="宋体"/>
                <w:color w:val="auto"/>
                <w:kern w:val="2"/>
                <w:sz w:val="24"/>
                <w:szCs w:val="24"/>
                <w:highlight w:val="none"/>
                <w:lang w:val="en-US" w:eastAsia="zh-CN" w:bidi="ar-SA"/>
              </w:rPr>
              <w:t>的废水产污系数</w:t>
            </w:r>
            <w:r>
              <w:rPr>
                <w:rFonts w:hint="eastAsia" w:ascii="Times New Roman" w:hAnsi="Times New Roman" w:eastAsia="宋体" w:cs="宋体"/>
                <w:color w:val="auto"/>
                <w:kern w:val="2"/>
                <w:sz w:val="24"/>
                <w:szCs w:val="24"/>
                <w:highlight w:val="none"/>
                <w:lang w:val="en-US" w:eastAsia="zh-CN" w:bidi="ar-SA"/>
              </w:rPr>
              <w:t>，化学需氧量产污系数为2.092×10</w:t>
            </w:r>
            <w:r>
              <w:rPr>
                <w:rFonts w:hint="eastAsia" w:ascii="Times New Roman" w:hAnsi="Times New Roman" w:eastAsia="宋体" w:cs="宋体"/>
                <w:color w:val="auto"/>
                <w:kern w:val="2"/>
                <w:sz w:val="24"/>
                <w:szCs w:val="24"/>
                <w:highlight w:val="none"/>
                <w:vertAlign w:val="superscript"/>
                <w:lang w:val="en-US" w:eastAsia="zh-CN" w:bidi="ar-SA"/>
              </w:rPr>
              <w:t>2</w:t>
            </w:r>
            <w:r>
              <w:rPr>
                <w:rFonts w:hint="eastAsia" w:ascii="Times New Roman" w:hAnsi="Times New Roman" w:eastAsia="宋体" w:cs="宋体"/>
                <w:color w:val="auto"/>
                <w:kern w:val="2"/>
                <w:sz w:val="24"/>
                <w:szCs w:val="24"/>
                <w:highlight w:val="none"/>
                <w:lang w:val="en-US" w:eastAsia="zh-CN" w:bidi="ar-SA"/>
              </w:rPr>
              <w:t>克/千克-原料，氨氮产污系数为4.456×10</w:t>
            </w:r>
            <w:r>
              <w:rPr>
                <w:rFonts w:hint="eastAsia" w:ascii="Times New Roman" w:hAnsi="Times New Roman" w:eastAsia="宋体" w:cs="宋体"/>
                <w:color w:val="auto"/>
                <w:kern w:val="2"/>
                <w:sz w:val="24"/>
                <w:szCs w:val="24"/>
                <w:highlight w:val="none"/>
                <w:vertAlign w:val="superscript"/>
                <w:lang w:val="en-US" w:eastAsia="zh-CN" w:bidi="ar-SA"/>
              </w:rPr>
              <w:t>-1</w:t>
            </w:r>
            <w:r>
              <w:rPr>
                <w:rFonts w:hint="eastAsia" w:ascii="Times New Roman" w:hAnsi="Times New Roman" w:eastAsia="宋体" w:cs="宋体"/>
                <w:color w:val="auto"/>
                <w:kern w:val="2"/>
                <w:sz w:val="24"/>
                <w:szCs w:val="24"/>
                <w:highlight w:val="none"/>
                <w:lang w:val="en-US" w:eastAsia="zh-CN" w:bidi="ar-SA"/>
              </w:rPr>
              <w:t>克/千克-原料，项目磨削液使用量为</w:t>
            </w:r>
            <w:r>
              <w:rPr>
                <w:rFonts w:hint="eastAsia" w:cs="宋体"/>
                <w:color w:val="auto"/>
                <w:kern w:val="2"/>
                <w:sz w:val="24"/>
                <w:szCs w:val="24"/>
                <w:highlight w:val="none"/>
                <w:lang w:val="en-US" w:eastAsia="zh-CN" w:bidi="ar-SA"/>
              </w:rPr>
              <w:t>0.3</w:t>
            </w:r>
            <w:r>
              <w:rPr>
                <w:rFonts w:hint="eastAsia" w:ascii="Times New Roman" w:hAnsi="Times New Roman" w:eastAsia="宋体" w:cs="宋体"/>
                <w:color w:val="auto"/>
                <w:kern w:val="2"/>
                <w:sz w:val="24"/>
                <w:szCs w:val="24"/>
                <w:highlight w:val="none"/>
                <w:lang w:val="en-US" w:eastAsia="zh-CN" w:bidi="ar-SA"/>
              </w:rPr>
              <w:t>t/a，则化学需氧量产生量为0.06276t/a，氨氮产生量为 0.00013368t/a。</w:t>
            </w:r>
          </w:p>
          <w:p w14:paraId="24379CBA">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（2）抛光废水</w:t>
            </w:r>
          </w:p>
          <w:p w14:paraId="42A3F582">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项目抛光工序中新鲜水使用量为</w:t>
            </w:r>
            <w:r>
              <w:rPr>
                <w:rFonts w:hint="eastAsia" w:cs="宋体"/>
                <w:color w:val="auto"/>
                <w:kern w:val="2"/>
                <w:sz w:val="24"/>
                <w:szCs w:val="24"/>
                <w:highlight w:val="none"/>
                <w:lang w:val="en-US" w:eastAsia="zh-CN" w:bidi="ar-SA"/>
              </w:rPr>
              <w:t>2</w:t>
            </w:r>
            <w:r>
              <w:rPr>
                <w:rFonts w:hint="eastAsia" w:ascii="Times New Roman" w:hAnsi="Times New Roman" w:eastAsia="宋体" w:cs="宋体"/>
                <w:color w:val="auto"/>
                <w:kern w:val="2"/>
                <w:sz w:val="24"/>
                <w:szCs w:val="24"/>
                <w:highlight w:val="none"/>
                <w:lang w:val="en-US" w:eastAsia="zh-CN" w:bidi="ar-SA"/>
              </w:rPr>
              <w:t>00</w:t>
            </w:r>
            <w:r>
              <w:rPr>
                <w:rFonts w:hint="default" w:ascii="Times New Roman" w:hAnsi="Times New Roman" w:eastAsia="宋体" w:cs="宋体"/>
                <w:color w:val="auto"/>
                <w:kern w:val="2"/>
                <w:sz w:val="24"/>
                <w:szCs w:val="24"/>
                <w:highlight w:val="none"/>
                <w:lang w:val="en-US" w:eastAsia="zh-CN" w:bidi="ar-SA"/>
              </w:rPr>
              <w:t>t/a，废水产生量为</w:t>
            </w:r>
            <w:r>
              <w:rPr>
                <w:rFonts w:hint="eastAsia" w:cs="宋体"/>
                <w:color w:val="auto"/>
                <w:kern w:val="2"/>
                <w:sz w:val="24"/>
                <w:szCs w:val="24"/>
                <w:highlight w:val="none"/>
                <w:lang w:val="en-US" w:eastAsia="zh-CN" w:bidi="ar-SA"/>
              </w:rPr>
              <w:t>2</w:t>
            </w:r>
            <w:r>
              <w:rPr>
                <w:rFonts w:hint="eastAsia" w:ascii="Times New Roman" w:hAnsi="Times New Roman" w:eastAsia="宋体" w:cs="宋体"/>
                <w:color w:val="auto"/>
                <w:kern w:val="2"/>
                <w:sz w:val="24"/>
                <w:szCs w:val="24"/>
                <w:highlight w:val="none"/>
                <w:lang w:val="en-US" w:eastAsia="zh-CN" w:bidi="ar-SA"/>
              </w:rPr>
              <w:t>00</w:t>
            </w:r>
            <w:r>
              <w:rPr>
                <w:rFonts w:hint="default" w:ascii="Times New Roman" w:hAnsi="Times New Roman" w:eastAsia="宋体" w:cs="宋体"/>
                <w:color w:val="auto"/>
                <w:kern w:val="2"/>
                <w:sz w:val="24"/>
                <w:szCs w:val="24"/>
                <w:highlight w:val="none"/>
                <w:lang w:val="en-US" w:eastAsia="zh-CN" w:bidi="ar-SA"/>
              </w:rPr>
              <w:t>t/a，</w:t>
            </w:r>
            <w:r>
              <w:rPr>
                <w:rFonts w:hint="eastAsia" w:ascii="Times New Roman" w:hAnsi="Times New Roman" w:eastAsia="宋体" w:cs="宋体"/>
                <w:color w:val="auto"/>
                <w:kern w:val="2"/>
                <w:sz w:val="24"/>
                <w:szCs w:val="24"/>
                <w:highlight w:val="none"/>
                <w:lang w:val="en-US" w:eastAsia="zh-CN" w:bidi="ar-SA"/>
              </w:rPr>
              <w:t>抛光废水</w:t>
            </w:r>
            <w:r>
              <w:rPr>
                <w:rFonts w:hint="eastAsia" w:ascii="Times New Roman" w:hAnsi="Times New Roman" w:eastAsia="宋体" w:cs="Times New Roman"/>
                <w:color w:val="auto"/>
                <w:sz w:val="24"/>
                <w:szCs w:val="20"/>
                <w:highlight w:val="none"/>
                <w:lang w:val="en-US" w:eastAsia="zh-CN"/>
              </w:rPr>
              <w:t>经过三级沉淀池沉淀处理达标后排入市政管网，纳入大学城污水处理厂。</w:t>
            </w:r>
            <w:r>
              <w:rPr>
                <w:rFonts w:hint="eastAsia" w:ascii="Times New Roman" w:hAnsi="Times New Roman" w:eastAsia="宋体" w:cs="宋体"/>
                <w:color w:val="auto"/>
                <w:kern w:val="2"/>
                <w:sz w:val="24"/>
                <w:szCs w:val="24"/>
                <w:highlight w:val="none"/>
                <w:lang w:val="en-US" w:eastAsia="zh-CN" w:bidi="ar-SA"/>
              </w:rPr>
              <w:t>参考《排放源统计调查产排污核算方法和系数手册》中《38-40电子电气行业系数手册》抛光工序的废水产污系数，化学需氧量产污系数为1.039×10</w:t>
            </w:r>
            <w:r>
              <w:rPr>
                <w:rFonts w:hint="eastAsia" w:ascii="Times New Roman" w:hAnsi="Times New Roman" w:eastAsia="宋体" w:cs="宋体"/>
                <w:color w:val="auto"/>
                <w:kern w:val="2"/>
                <w:sz w:val="24"/>
                <w:szCs w:val="24"/>
                <w:highlight w:val="none"/>
                <w:vertAlign w:val="superscript"/>
                <w:lang w:val="en-US" w:eastAsia="zh-CN" w:bidi="ar-SA"/>
              </w:rPr>
              <w:t>2</w:t>
            </w:r>
            <w:r>
              <w:rPr>
                <w:rFonts w:hint="eastAsia" w:ascii="Times New Roman" w:hAnsi="Times New Roman" w:eastAsia="宋体" w:cs="宋体"/>
                <w:color w:val="auto"/>
                <w:kern w:val="2"/>
                <w:sz w:val="24"/>
                <w:szCs w:val="24"/>
                <w:highlight w:val="none"/>
                <w:lang w:val="en-US" w:eastAsia="zh-CN" w:bidi="ar-SA"/>
              </w:rPr>
              <w:t>g/kg-原料，氨氮产污系数为7.337×10</w:t>
            </w:r>
            <w:r>
              <w:rPr>
                <w:rFonts w:hint="eastAsia" w:ascii="Times New Roman" w:hAnsi="Times New Roman" w:eastAsia="宋体" w:cs="宋体"/>
                <w:color w:val="auto"/>
                <w:kern w:val="2"/>
                <w:sz w:val="24"/>
                <w:szCs w:val="24"/>
                <w:highlight w:val="none"/>
                <w:vertAlign w:val="superscript"/>
                <w:lang w:val="en-US" w:eastAsia="zh-CN" w:bidi="ar-SA"/>
              </w:rPr>
              <w:t>-1</w:t>
            </w:r>
            <w:r>
              <w:rPr>
                <w:rFonts w:hint="eastAsia" w:ascii="Times New Roman" w:hAnsi="Times New Roman" w:eastAsia="宋体" w:cs="宋体"/>
                <w:color w:val="auto"/>
                <w:kern w:val="2"/>
                <w:sz w:val="24"/>
                <w:szCs w:val="24"/>
                <w:highlight w:val="none"/>
                <w:lang w:val="en-US" w:eastAsia="zh-CN" w:bidi="ar-SA"/>
              </w:rPr>
              <w:t>g/kg-原料，项目抛光粉使用量为</w:t>
            </w:r>
            <w:r>
              <w:rPr>
                <w:rFonts w:hint="eastAsia" w:cs="宋体"/>
                <w:color w:val="auto"/>
                <w:kern w:val="2"/>
                <w:sz w:val="24"/>
                <w:szCs w:val="24"/>
                <w:highlight w:val="none"/>
                <w:lang w:val="en-US" w:eastAsia="zh-CN" w:bidi="ar-SA"/>
              </w:rPr>
              <w:t>0.1</w:t>
            </w:r>
            <w:r>
              <w:rPr>
                <w:rFonts w:hint="eastAsia" w:ascii="Times New Roman" w:hAnsi="Times New Roman" w:eastAsia="宋体" w:cs="宋体"/>
                <w:color w:val="auto"/>
                <w:kern w:val="2"/>
                <w:sz w:val="24"/>
                <w:szCs w:val="24"/>
                <w:highlight w:val="none"/>
                <w:lang w:val="en-US" w:eastAsia="zh-CN" w:bidi="ar-SA"/>
              </w:rPr>
              <w:t>t/a，则化学需氧量产生量为0.01039t/a，氨氮产生量为0.00007337t/a。</w:t>
            </w:r>
          </w:p>
          <w:p w14:paraId="27C80A9A">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（3）</w:t>
            </w:r>
            <w:r>
              <w:rPr>
                <w:rFonts w:hint="eastAsia" w:cs="宋体"/>
                <w:color w:val="auto"/>
                <w:kern w:val="2"/>
                <w:sz w:val="24"/>
                <w:szCs w:val="24"/>
                <w:highlight w:val="none"/>
                <w:lang w:val="en-US" w:eastAsia="zh-CN" w:bidi="ar-SA"/>
              </w:rPr>
              <w:t>粗磨</w:t>
            </w:r>
            <w:r>
              <w:rPr>
                <w:rFonts w:hint="eastAsia" w:ascii="Times New Roman" w:hAnsi="Times New Roman" w:eastAsia="宋体" w:cs="宋体"/>
                <w:color w:val="auto"/>
                <w:kern w:val="2"/>
                <w:sz w:val="24"/>
                <w:szCs w:val="24"/>
                <w:highlight w:val="none"/>
                <w:lang w:val="en-US" w:eastAsia="zh-CN" w:bidi="ar-SA"/>
              </w:rPr>
              <w:t>废水</w:t>
            </w:r>
          </w:p>
          <w:p w14:paraId="714EF7FD">
            <w:pPr>
              <w:widowControl w:val="0"/>
              <w:bidi w:val="0"/>
              <w:spacing w:line="360" w:lineRule="auto"/>
              <w:ind w:firstLine="480" w:firstLineChars="200"/>
              <w:jc w:val="both"/>
              <w:rPr>
                <w:rFonts w:hint="eastAsia" w:ascii="Times New Roman" w:hAnsi="Times New Roman" w:eastAsia="宋体" w:cs="Times New Roman"/>
                <w:color w:val="auto"/>
                <w:sz w:val="24"/>
                <w:szCs w:val="20"/>
                <w:highlight w:val="none"/>
                <w:lang w:val="en-US" w:eastAsia="zh-CN"/>
              </w:rPr>
            </w:pPr>
            <w:r>
              <w:rPr>
                <w:rFonts w:hint="eastAsia" w:cs="宋体"/>
                <w:color w:val="auto"/>
                <w:kern w:val="2"/>
                <w:sz w:val="24"/>
                <w:szCs w:val="24"/>
                <w:highlight w:val="none"/>
                <w:lang w:val="en-US" w:eastAsia="zh-CN" w:bidi="ar-SA"/>
              </w:rPr>
              <w:t>粗磨</w:t>
            </w:r>
            <w:r>
              <w:rPr>
                <w:rFonts w:hint="default" w:ascii="Times New Roman" w:hAnsi="Times New Roman" w:eastAsia="宋体" w:cs="宋体"/>
                <w:color w:val="auto"/>
                <w:kern w:val="2"/>
                <w:sz w:val="24"/>
                <w:szCs w:val="24"/>
                <w:highlight w:val="none"/>
                <w:lang w:val="en-US" w:eastAsia="zh-CN" w:bidi="ar-SA"/>
              </w:rPr>
              <w:t>工序新鲜水使用量为</w:t>
            </w:r>
            <w:r>
              <w:rPr>
                <w:rFonts w:hint="eastAsia" w:cs="宋体"/>
                <w:color w:val="auto"/>
                <w:kern w:val="2"/>
                <w:sz w:val="24"/>
                <w:szCs w:val="24"/>
                <w:highlight w:val="none"/>
                <w:lang w:val="en-US" w:eastAsia="zh-CN" w:bidi="ar-SA"/>
              </w:rPr>
              <w:t>3</w:t>
            </w:r>
            <w:r>
              <w:rPr>
                <w:rFonts w:hint="eastAsia" w:ascii="Times New Roman" w:hAnsi="Times New Roman" w:eastAsia="宋体" w:cs="宋体"/>
                <w:color w:val="auto"/>
                <w:kern w:val="2"/>
                <w:sz w:val="24"/>
                <w:szCs w:val="24"/>
                <w:highlight w:val="none"/>
                <w:lang w:val="en-US" w:eastAsia="zh-CN" w:bidi="ar-SA"/>
              </w:rPr>
              <w:t>00</w:t>
            </w:r>
            <w:r>
              <w:rPr>
                <w:rFonts w:hint="default" w:ascii="Times New Roman" w:hAnsi="Times New Roman" w:eastAsia="宋体" w:cs="宋体"/>
                <w:color w:val="auto"/>
                <w:kern w:val="2"/>
                <w:sz w:val="24"/>
                <w:szCs w:val="24"/>
                <w:highlight w:val="none"/>
                <w:lang w:val="en-US" w:eastAsia="zh-CN" w:bidi="ar-SA"/>
              </w:rPr>
              <w:t>t/a，</w:t>
            </w:r>
            <w:r>
              <w:rPr>
                <w:rFonts w:hint="eastAsia" w:cs="宋体"/>
                <w:color w:val="auto"/>
                <w:kern w:val="2"/>
                <w:sz w:val="24"/>
                <w:szCs w:val="24"/>
                <w:highlight w:val="none"/>
                <w:lang w:val="en-US" w:eastAsia="zh-CN" w:bidi="ar-SA"/>
              </w:rPr>
              <w:t>粗磨</w:t>
            </w:r>
            <w:r>
              <w:rPr>
                <w:rFonts w:hint="default" w:ascii="Times New Roman" w:hAnsi="Times New Roman" w:eastAsia="宋体" w:cs="宋体"/>
                <w:color w:val="auto"/>
                <w:kern w:val="2"/>
                <w:sz w:val="24"/>
                <w:szCs w:val="24"/>
                <w:highlight w:val="none"/>
                <w:lang w:val="en-US" w:eastAsia="zh-CN" w:bidi="ar-SA"/>
              </w:rPr>
              <w:t>废水产生量为</w:t>
            </w:r>
            <w:r>
              <w:rPr>
                <w:rFonts w:hint="eastAsia" w:cs="宋体"/>
                <w:color w:val="auto"/>
                <w:kern w:val="2"/>
                <w:sz w:val="24"/>
                <w:szCs w:val="24"/>
                <w:highlight w:val="none"/>
                <w:lang w:val="en-US" w:eastAsia="zh-CN" w:bidi="ar-SA"/>
              </w:rPr>
              <w:t>3</w:t>
            </w:r>
            <w:r>
              <w:rPr>
                <w:rFonts w:hint="eastAsia" w:ascii="Times New Roman" w:hAnsi="Times New Roman" w:eastAsia="宋体" w:cs="宋体"/>
                <w:color w:val="auto"/>
                <w:kern w:val="2"/>
                <w:sz w:val="24"/>
                <w:szCs w:val="24"/>
                <w:highlight w:val="none"/>
                <w:lang w:val="en-US" w:eastAsia="zh-CN" w:bidi="ar-SA"/>
              </w:rPr>
              <w:t>00</w:t>
            </w:r>
            <w:r>
              <w:rPr>
                <w:rFonts w:hint="default" w:ascii="Times New Roman" w:hAnsi="Times New Roman" w:eastAsia="宋体" w:cs="宋体"/>
                <w:color w:val="auto"/>
                <w:kern w:val="2"/>
                <w:sz w:val="24"/>
                <w:szCs w:val="24"/>
                <w:highlight w:val="none"/>
                <w:lang w:val="en-US" w:eastAsia="zh-CN" w:bidi="ar-SA"/>
              </w:rPr>
              <w:t>t/a，产生的废水</w:t>
            </w:r>
            <w:r>
              <w:rPr>
                <w:rFonts w:hint="eastAsia" w:ascii="Times New Roman" w:hAnsi="Times New Roman" w:eastAsia="宋体" w:cs="Times New Roman"/>
                <w:color w:val="auto"/>
                <w:sz w:val="24"/>
                <w:szCs w:val="20"/>
                <w:highlight w:val="none"/>
                <w:lang w:val="en-US" w:eastAsia="zh-CN"/>
              </w:rPr>
              <w:t>经过三级沉淀池沉淀处理达标后排入市政管网，纳入大学城污水处理厂。</w:t>
            </w:r>
            <w:r>
              <w:rPr>
                <w:rFonts w:hint="eastAsia" w:ascii="Times New Roman" w:hAnsi="Times New Roman" w:eastAsia="宋体" w:cs="宋体"/>
                <w:color w:val="auto"/>
                <w:kern w:val="2"/>
                <w:sz w:val="24"/>
                <w:szCs w:val="24"/>
                <w:highlight w:val="none"/>
                <w:lang w:val="en-US" w:eastAsia="zh-CN" w:bidi="ar-SA"/>
              </w:rPr>
              <w:t>参照《排放源统计调查产排污核算方法和系数手册》中《3052光学玻璃制造行业系数手册》切削</w:t>
            </w:r>
            <w:r>
              <w:rPr>
                <w:rFonts w:hint="eastAsia"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打磨的废水产污系数，化学需氧量产污系数为410克/吨-产品，</w:t>
            </w:r>
            <w:r>
              <w:rPr>
                <w:rFonts w:hint="eastAsia" w:ascii="Times New Roman" w:hAnsi="Times New Roman" w:eastAsia="宋体"/>
                <w:color w:val="auto"/>
                <w:sz w:val="24"/>
                <w:szCs w:val="24"/>
              </w:rPr>
              <w:t>双折射晶体</w:t>
            </w:r>
            <w:r>
              <w:rPr>
                <w:rFonts w:hint="eastAsia" w:ascii="Times New Roman" w:hAnsi="Times New Roman" w:eastAsia="宋体" w:cs="宋体"/>
                <w:color w:val="auto"/>
                <w:kern w:val="2"/>
                <w:sz w:val="24"/>
                <w:szCs w:val="24"/>
                <w:highlight w:val="none"/>
                <w:lang w:val="en-US" w:eastAsia="zh-CN" w:bidi="ar-SA"/>
              </w:rPr>
              <w:t>：年产量</w:t>
            </w:r>
            <w:r>
              <w:rPr>
                <w:rFonts w:hint="eastAsia" w:cs="宋体"/>
                <w:color w:val="auto"/>
                <w:kern w:val="2"/>
                <w:sz w:val="24"/>
                <w:szCs w:val="24"/>
                <w:highlight w:val="none"/>
                <w:lang w:val="en-US" w:eastAsia="zh-CN" w:bidi="ar-SA"/>
              </w:rPr>
              <w:t>15</w:t>
            </w:r>
            <w:r>
              <w:rPr>
                <w:rFonts w:hint="eastAsia" w:ascii="Times New Roman" w:hAnsi="Times New Roman" w:eastAsia="宋体" w:cs="宋体"/>
                <w:color w:val="auto"/>
                <w:kern w:val="2"/>
                <w:sz w:val="24"/>
                <w:szCs w:val="24"/>
                <w:highlight w:val="none"/>
                <w:lang w:val="en-US" w:eastAsia="zh-CN" w:bidi="ar-SA"/>
              </w:rPr>
              <w:t>万片，单片重0.90g，总重</w:t>
            </w:r>
            <w:r>
              <w:rPr>
                <w:rFonts w:hint="eastAsia" w:cs="宋体"/>
                <w:color w:val="auto"/>
                <w:kern w:val="2"/>
                <w:sz w:val="24"/>
                <w:szCs w:val="24"/>
                <w:highlight w:val="none"/>
                <w:lang w:val="en-US" w:eastAsia="zh-CN" w:bidi="ar-SA"/>
              </w:rPr>
              <w:t>135</w:t>
            </w:r>
            <w:r>
              <w:rPr>
                <w:rFonts w:hint="eastAsia" w:ascii="Times New Roman" w:hAnsi="Times New Roman" w:eastAsia="宋体" w:cs="宋体"/>
                <w:color w:val="auto"/>
                <w:kern w:val="2"/>
                <w:sz w:val="24"/>
                <w:szCs w:val="24"/>
                <w:highlight w:val="none"/>
                <w:lang w:val="en-US" w:eastAsia="zh-CN" w:bidi="ar-SA"/>
              </w:rPr>
              <w:t>000g（</w:t>
            </w:r>
            <w:r>
              <w:rPr>
                <w:rFonts w:hint="eastAsia" w:cs="宋体"/>
                <w:color w:val="auto"/>
                <w:kern w:val="2"/>
                <w:sz w:val="24"/>
                <w:szCs w:val="24"/>
                <w:highlight w:val="none"/>
                <w:lang w:val="en-US" w:eastAsia="zh-CN" w:bidi="ar-SA"/>
              </w:rPr>
              <w:t>135</w:t>
            </w:r>
            <w:r>
              <w:rPr>
                <w:rFonts w:hint="eastAsia" w:ascii="Times New Roman" w:hAnsi="Times New Roman" w:eastAsia="宋体" w:cs="宋体"/>
                <w:color w:val="auto"/>
                <w:kern w:val="2"/>
                <w:sz w:val="24"/>
                <w:szCs w:val="24"/>
                <w:highlight w:val="none"/>
                <w:lang w:val="en-US" w:eastAsia="zh-CN" w:bidi="ar-SA"/>
              </w:rPr>
              <w:t>kg）；</w:t>
            </w:r>
            <w:r>
              <w:rPr>
                <w:rFonts w:hint="eastAsia" w:ascii="Times New Roman" w:hAnsi="Times New Roman" w:eastAsia="宋体"/>
                <w:color w:val="auto"/>
                <w:sz w:val="24"/>
                <w:szCs w:val="24"/>
              </w:rPr>
              <w:t>激光晶体</w:t>
            </w:r>
            <w:r>
              <w:rPr>
                <w:rFonts w:hint="eastAsia" w:ascii="Times New Roman" w:hAnsi="Times New Roman" w:eastAsia="宋体" w:cs="宋体"/>
                <w:color w:val="auto"/>
                <w:kern w:val="2"/>
                <w:sz w:val="24"/>
                <w:szCs w:val="24"/>
                <w:highlight w:val="none"/>
                <w:lang w:val="en-US" w:eastAsia="zh-CN" w:bidi="ar-SA"/>
              </w:rPr>
              <w:t>：年产量3万片，单片重0.70g，总重21000g（21kg）；</w:t>
            </w:r>
            <w:r>
              <w:rPr>
                <w:rFonts w:hint="eastAsia" w:ascii="Times New Roman" w:hAnsi="Times New Roman" w:eastAsia="宋体"/>
                <w:color w:val="auto"/>
                <w:sz w:val="24"/>
                <w:szCs w:val="24"/>
              </w:rPr>
              <w:t>精密光学元件</w:t>
            </w:r>
            <w:r>
              <w:rPr>
                <w:rFonts w:hint="eastAsia" w:ascii="Times New Roman" w:hAnsi="Times New Roman" w:eastAsia="宋体" w:cs="宋体"/>
                <w:color w:val="auto"/>
                <w:kern w:val="2"/>
                <w:sz w:val="24"/>
                <w:szCs w:val="24"/>
                <w:highlight w:val="none"/>
                <w:lang w:val="en-US" w:eastAsia="zh-CN" w:bidi="ar-SA"/>
              </w:rPr>
              <w:t>：年产量</w:t>
            </w:r>
            <w:r>
              <w:rPr>
                <w:rFonts w:hint="eastAsia" w:cs="宋体"/>
                <w:color w:val="auto"/>
                <w:kern w:val="2"/>
                <w:sz w:val="24"/>
                <w:szCs w:val="24"/>
                <w:highlight w:val="none"/>
                <w:lang w:val="en-US" w:eastAsia="zh-CN" w:bidi="ar-SA"/>
              </w:rPr>
              <w:t>5</w:t>
            </w:r>
            <w:r>
              <w:rPr>
                <w:rFonts w:hint="eastAsia" w:ascii="Times New Roman" w:hAnsi="Times New Roman" w:eastAsia="宋体" w:cs="宋体"/>
                <w:color w:val="auto"/>
                <w:kern w:val="2"/>
                <w:sz w:val="24"/>
                <w:szCs w:val="24"/>
                <w:highlight w:val="none"/>
                <w:lang w:val="en-US" w:eastAsia="zh-CN" w:bidi="ar-SA"/>
              </w:rPr>
              <w:t>万片，单片重1.00g，总重</w:t>
            </w:r>
            <w:r>
              <w:rPr>
                <w:rFonts w:hint="eastAsia" w:cs="宋体"/>
                <w:color w:val="auto"/>
                <w:kern w:val="2"/>
                <w:sz w:val="24"/>
                <w:szCs w:val="24"/>
                <w:highlight w:val="none"/>
                <w:lang w:val="en-US" w:eastAsia="zh-CN" w:bidi="ar-SA"/>
              </w:rPr>
              <w:t>5</w:t>
            </w:r>
            <w:r>
              <w:rPr>
                <w:rFonts w:hint="eastAsia" w:ascii="Times New Roman" w:hAnsi="Times New Roman" w:eastAsia="宋体" w:cs="宋体"/>
                <w:color w:val="auto"/>
                <w:kern w:val="2"/>
                <w:sz w:val="24"/>
                <w:szCs w:val="24"/>
                <w:highlight w:val="none"/>
                <w:lang w:val="en-US" w:eastAsia="zh-CN" w:bidi="ar-SA"/>
              </w:rPr>
              <w:t>0000g（</w:t>
            </w:r>
            <w:r>
              <w:rPr>
                <w:rFonts w:hint="eastAsia" w:cs="宋体"/>
                <w:color w:val="auto"/>
                <w:kern w:val="2"/>
                <w:sz w:val="24"/>
                <w:szCs w:val="24"/>
                <w:highlight w:val="none"/>
                <w:lang w:val="en-US" w:eastAsia="zh-CN" w:bidi="ar-SA"/>
              </w:rPr>
              <w:t>50</w:t>
            </w:r>
            <w:r>
              <w:rPr>
                <w:rFonts w:hint="eastAsia" w:ascii="Times New Roman" w:hAnsi="Times New Roman" w:eastAsia="宋体" w:cs="宋体"/>
                <w:color w:val="auto"/>
                <w:kern w:val="2"/>
                <w:sz w:val="24"/>
                <w:szCs w:val="24"/>
                <w:highlight w:val="none"/>
                <w:lang w:val="en-US" w:eastAsia="zh-CN" w:bidi="ar-SA"/>
              </w:rPr>
              <w:t>kg）；</w:t>
            </w:r>
            <w:r>
              <w:rPr>
                <w:rFonts w:hint="eastAsia" w:ascii="Times New Roman" w:hAnsi="Times New Roman" w:eastAsia="宋体"/>
                <w:color w:val="auto"/>
                <w:sz w:val="24"/>
                <w:szCs w:val="24"/>
              </w:rPr>
              <w:t>磁光晶体</w:t>
            </w:r>
            <w:r>
              <w:rPr>
                <w:rFonts w:hint="eastAsia" w:ascii="Times New Roman" w:hAnsi="Times New Roman" w:eastAsia="宋体" w:cs="宋体"/>
                <w:color w:val="auto"/>
                <w:kern w:val="2"/>
                <w:sz w:val="24"/>
                <w:szCs w:val="24"/>
                <w:highlight w:val="none"/>
                <w:lang w:val="en-US" w:eastAsia="zh-CN" w:bidi="ar-SA"/>
              </w:rPr>
              <w:t>：年产量</w:t>
            </w:r>
            <w:r>
              <w:rPr>
                <w:rFonts w:hint="eastAsia" w:cs="宋体"/>
                <w:color w:val="auto"/>
                <w:kern w:val="2"/>
                <w:sz w:val="24"/>
                <w:szCs w:val="24"/>
                <w:highlight w:val="none"/>
                <w:lang w:val="en-US" w:eastAsia="zh-CN" w:bidi="ar-SA"/>
              </w:rPr>
              <w:t>27</w:t>
            </w:r>
            <w:r>
              <w:rPr>
                <w:rFonts w:hint="eastAsia" w:ascii="Times New Roman" w:hAnsi="Times New Roman" w:eastAsia="宋体" w:cs="宋体"/>
                <w:color w:val="auto"/>
                <w:kern w:val="2"/>
                <w:sz w:val="24"/>
                <w:szCs w:val="24"/>
                <w:highlight w:val="none"/>
                <w:lang w:val="en-US" w:eastAsia="zh-CN" w:bidi="ar-SA"/>
              </w:rPr>
              <w:t>万片，单片重</w:t>
            </w:r>
            <w:r>
              <w:rPr>
                <w:rFonts w:hint="eastAsia" w:cs="宋体"/>
                <w:color w:val="auto"/>
                <w:kern w:val="2"/>
                <w:sz w:val="24"/>
                <w:szCs w:val="24"/>
                <w:highlight w:val="none"/>
                <w:lang w:val="en-US" w:eastAsia="zh-CN" w:bidi="ar-SA"/>
              </w:rPr>
              <w:t>1.2</w:t>
            </w:r>
            <w:r>
              <w:rPr>
                <w:rFonts w:hint="eastAsia" w:ascii="Times New Roman" w:hAnsi="Times New Roman" w:eastAsia="宋体" w:cs="宋体"/>
                <w:color w:val="auto"/>
                <w:kern w:val="2"/>
                <w:sz w:val="24"/>
                <w:szCs w:val="24"/>
                <w:highlight w:val="none"/>
                <w:lang w:val="en-US" w:eastAsia="zh-CN" w:bidi="ar-SA"/>
              </w:rPr>
              <w:t>0g，总重</w:t>
            </w:r>
            <w:r>
              <w:rPr>
                <w:rFonts w:hint="eastAsia" w:cs="宋体"/>
                <w:color w:val="auto"/>
                <w:kern w:val="2"/>
                <w:sz w:val="24"/>
                <w:szCs w:val="24"/>
                <w:highlight w:val="none"/>
                <w:lang w:val="en-US" w:eastAsia="zh-CN" w:bidi="ar-SA"/>
              </w:rPr>
              <w:t>324</w:t>
            </w:r>
            <w:r>
              <w:rPr>
                <w:rFonts w:hint="eastAsia" w:ascii="Times New Roman" w:hAnsi="Times New Roman" w:eastAsia="宋体" w:cs="宋体"/>
                <w:color w:val="auto"/>
                <w:kern w:val="2"/>
                <w:sz w:val="24"/>
                <w:szCs w:val="24"/>
                <w:highlight w:val="none"/>
                <w:lang w:val="en-US" w:eastAsia="zh-CN" w:bidi="ar-SA"/>
              </w:rPr>
              <w:t>000g（3</w:t>
            </w:r>
            <w:r>
              <w:rPr>
                <w:rFonts w:hint="eastAsia" w:cs="宋体"/>
                <w:color w:val="auto"/>
                <w:kern w:val="2"/>
                <w:sz w:val="24"/>
                <w:szCs w:val="24"/>
                <w:highlight w:val="none"/>
                <w:lang w:val="en-US" w:eastAsia="zh-CN" w:bidi="ar-SA"/>
              </w:rPr>
              <w:t>24</w:t>
            </w:r>
            <w:r>
              <w:rPr>
                <w:rFonts w:hint="eastAsia" w:ascii="Times New Roman" w:hAnsi="Times New Roman" w:eastAsia="宋体" w:cs="宋体"/>
                <w:color w:val="auto"/>
                <w:kern w:val="2"/>
                <w:sz w:val="24"/>
                <w:szCs w:val="24"/>
                <w:highlight w:val="none"/>
                <w:lang w:val="en-US" w:eastAsia="zh-CN" w:bidi="ar-SA"/>
              </w:rPr>
              <w:t>kg），则项目产品产能为</w:t>
            </w:r>
            <w:r>
              <w:rPr>
                <w:rFonts w:hint="eastAsia" w:cs="宋体"/>
                <w:color w:val="auto"/>
                <w:kern w:val="2"/>
                <w:sz w:val="24"/>
                <w:szCs w:val="24"/>
                <w:highlight w:val="none"/>
                <w:lang w:val="en-US" w:eastAsia="zh-CN" w:bidi="ar-SA"/>
              </w:rPr>
              <w:t>0.53</w:t>
            </w:r>
            <w:r>
              <w:rPr>
                <w:rFonts w:hint="eastAsia" w:ascii="Times New Roman" w:hAnsi="Times New Roman" w:eastAsia="宋体" w:cs="宋体"/>
                <w:color w:val="auto"/>
                <w:kern w:val="2"/>
                <w:sz w:val="24"/>
                <w:szCs w:val="24"/>
                <w:highlight w:val="none"/>
                <w:lang w:val="en-US" w:eastAsia="zh-CN" w:bidi="ar-SA"/>
              </w:rPr>
              <w:t>t/a，则COD产生量为</w:t>
            </w:r>
            <w:r>
              <w:rPr>
                <w:rFonts w:hint="eastAsia" w:cs="宋体"/>
                <w:color w:val="auto"/>
                <w:kern w:val="2"/>
                <w:sz w:val="24"/>
                <w:szCs w:val="24"/>
                <w:highlight w:val="none"/>
                <w:lang w:val="en-US" w:eastAsia="zh-CN" w:bidi="ar-SA"/>
              </w:rPr>
              <w:t>0.0002173</w:t>
            </w:r>
            <w:r>
              <w:rPr>
                <w:rFonts w:hint="eastAsia" w:ascii="Times New Roman" w:hAnsi="Times New Roman" w:eastAsia="宋体" w:cs="宋体"/>
                <w:color w:val="auto"/>
                <w:kern w:val="2"/>
                <w:sz w:val="24"/>
                <w:szCs w:val="24"/>
                <w:highlight w:val="none"/>
                <w:lang w:val="en-US" w:eastAsia="zh-CN" w:bidi="ar-SA"/>
              </w:rPr>
              <w:t>t/a。</w:t>
            </w:r>
          </w:p>
          <w:p w14:paraId="79A62D0B">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（4）</w:t>
            </w:r>
            <w:r>
              <w:rPr>
                <w:rFonts w:hint="eastAsia" w:cs="宋体"/>
                <w:color w:val="auto"/>
                <w:kern w:val="2"/>
                <w:sz w:val="24"/>
                <w:szCs w:val="24"/>
                <w:highlight w:val="none"/>
                <w:lang w:val="en-US" w:eastAsia="zh-CN" w:bidi="ar-SA"/>
              </w:rPr>
              <w:t>清洗</w:t>
            </w:r>
            <w:r>
              <w:rPr>
                <w:rFonts w:hint="eastAsia" w:ascii="Times New Roman" w:hAnsi="Times New Roman" w:eastAsia="宋体" w:cs="宋体"/>
                <w:color w:val="auto"/>
                <w:kern w:val="2"/>
                <w:sz w:val="24"/>
                <w:szCs w:val="24"/>
                <w:highlight w:val="none"/>
                <w:lang w:val="en-US" w:eastAsia="zh-CN" w:bidi="ar-SA"/>
              </w:rPr>
              <w:t>废水</w:t>
            </w:r>
          </w:p>
          <w:p w14:paraId="149F6D37">
            <w:pPr>
              <w:widowControl w:val="0"/>
              <w:bidi w:val="0"/>
              <w:spacing w:line="360" w:lineRule="auto"/>
              <w:ind w:firstLine="480" w:firstLineChars="200"/>
              <w:jc w:val="both"/>
              <w:rPr>
                <w:rFonts w:hint="default"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本工序纯水制备使用3300t/a新鲜水，制备出纯净水的产生量为1980t/a，纯水制备过程中产生的1320t/a非纯净水；制备出的纯净水通过超声波清洗机对晶体进行超声波清洗超洗过程中产生的超洗废水量为1782t/a，其中包括700t/a清洗废水、1082t/a纯净废水、损耗量为198t/a。1320t/a的非纯净水、1082t/a纯净废水和生活污水一起通过污水管道</w:t>
            </w:r>
            <w:r>
              <w:rPr>
                <w:rFonts w:hint="eastAsia"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lang w:val="en-US" w:eastAsia="zh-CN" w:bidi="ar-SA"/>
              </w:rPr>
              <w:t>纳入大学城污水处理厂。</w:t>
            </w:r>
            <w:r>
              <w:rPr>
                <w:rFonts w:hint="eastAsia" w:ascii="Times New Roman" w:hAnsi="Times New Roman" w:eastAsia="宋体" w:cs="宋体"/>
                <w:color w:val="auto"/>
                <w:kern w:val="2"/>
                <w:sz w:val="24"/>
                <w:szCs w:val="24"/>
                <w:highlight w:val="none"/>
                <w:lang w:val="en-US" w:eastAsia="zh-CN" w:bidi="ar-SA"/>
              </w:rPr>
              <w:t>根据《排放源统计调查产排污核算方法和系数手册》中《电子电气行业系数手册》清洗工段，</w:t>
            </w:r>
            <w:r>
              <w:rPr>
                <w:rFonts w:hint="eastAsia" w:cs="宋体"/>
                <w:color w:val="auto"/>
                <w:kern w:val="2"/>
                <w:sz w:val="24"/>
                <w:szCs w:val="24"/>
                <w:highlight w:val="none"/>
                <w:lang w:val="en-US" w:eastAsia="zh-CN" w:bidi="ar-SA"/>
              </w:rPr>
              <w:t>清洗</w:t>
            </w:r>
            <w:r>
              <w:rPr>
                <w:rFonts w:hint="eastAsia" w:ascii="Times New Roman" w:hAnsi="Times New Roman" w:eastAsia="宋体" w:cs="宋体"/>
                <w:color w:val="auto"/>
                <w:kern w:val="2"/>
                <w:sz w:val="24"/>
                <w:szCs w:val="24"/>
                <w:highlight w:val="none"/>
                <w:lang w:val="en-US" w:eastAsia="zh-CN" w:bidi="ar-SA"/>
              </w:rPr>
              <w:t>废水中</w:t>
            </w:r>
            <w:r>
              <w:rPr>
                <w:rFonts w:hint="eastAsia" w:cs="宋体"/>
                <w:color w:val="auto"/>
                <w:kern w:val="2"/>
                <w:sz w:val="24"/>
                <w:szCs w:val="24"/>
                <w:highlight w:val="none"/>
                <w:lang w:val="en-US" w:eastAsia="zh-CN" w:bidi="ar-SA"/>
              </w:rPr>
              <w:t>水基型</w:t>
            </w:r>
            <w:r>
              <w:rPr>
                <w:rFonts w:hint="eastAsia" w:ascii="Times New Roman" w:hAnsi="Times New Roman" w:eastAsia="宋体" w:cs="宋体"/>
                <w:color w:val="auto"/>
                <w:kern w:val="2"/>
                <w:sz w:val="24"/>
                <w:szCs w:val="24"/>
                <w:highlight w:val="none"/>
                <w:lang w:val="en-US" w:eastAsia="zh-CN" w:bidi="ar-SA"/>
              </w:rPr>
              <w:t>清洗剂废水的COD产污系数为</w:t>
            </w:r>
            <w:r>
              <w:rPr>
                <w:rFonts w:hint="eastAsia" w:cs="宋体"/>
                <w:color w:val="auto"/>
                <w:kern w:val="2"/>
                <w:sz w:val="24"/>
                <w:szCs w:val="24"/>
                <w:highlight w:val="none"/>
                <w:lang w:val="en-US" w:eastAsia="zh-CN" w:bidi="ar-SA"/>
              </w:rPr>
              <w:t>2.1</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10</w:t>
            </w:r>
            <w:r>
              <w:rPr>
                <w:rFonts w:hint="eastAsia" w:ascii="Times New Roman" w:hAnsi="Times New Roman" w:eastAsia="宋体" w:cs="宋体"/>
                <w:color w:val="auto"/>
                <w:kern w:val="2"/>
                <w:sz w:val="24"/>
                <w:szCs w:val="24"/>
                <w:highlight w:val="none"/>
                <w:vertAlign w:val="superscript"/>
                <w:lang w:val="en-US" w:eastAsia="zh-CN" w:bidi="ar-SA"/>
              </w:rPr>
              <w:t>2</w:t>
            </w:r>
            <w:r>
              <w:rPr>
                <w:rFonts w:hint="eastAsia" w:ascii="Times New Roman" w:hAnsi="Times New Roman" w:eastAsia="宋体" w:cs="宋体"/>
                <w:color w:val="auto"/>
                <w:kern w:val="2"/>
                <w:sz w:val="24"/>
                <w:szCs w:val="24"/>
                <w:highlight w:val="none"/>
                <w:lang w:val="en-US" w:eastAsia="zh-CN" w:bidi="ar-SA"/>
              </w:rPr>
              <w:t>克/千克-清洗剂，氨氮产污系数为</w:t>
            </w:r>
            <w:r>
              <w:rPr>
                <w:rFonts w:hint="eastAsia" w:cs="宋体"/>
                <w:color w:val="auto"/>
                <w:kern w:val="2"/>
                <w:sz w:val="24"/>
                <w:szCs w:val="24"/>
                <w:highlight w:val="none"/>
                <w:lang w:val="en-US" w:eastAsia="zh-CN" w:bidi="ar-SA"/>
              </w:rPr>
              <w:t>1.077</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10</w:t>
            </w:r>
            <w:r>
              <w:rPr>
                <w:rFonts w:hint="eastAsia" w:cs="宋体"/>
                <w:color w:val="auto"/>
                <w:kern w:val="2"/>
                <w:sz w:val="24"/>
                <w:szCs w:val="24"/>
                <w:highlight w:val="none"/>
                <w:vertAlign w:val="superscript"/>
                <w:lang w:val="en-US" w:eastAsia="zh-CN" w:bidi="ar-SA"/>
              </w:rPr>
              <w:t>0</w:t>
            </w:r>
            <w:r>
              <w:rPr>
                <w:rFonts w:hint="eastAsia" w:ascii="Times New Roman" w:hAnsi="Times New Roman" w:eastAsia="宋体" w:cs="宋体"/>
                <w:color w:val="auto"/>
                <w:kern w:val="2"/>
                <w:sz w:val="24"/>
                <w:szCs w:val="24"/>
                <w:highlight w:val="none"/>
                <w:lang w:val="en-US" w:eastAsia="zh-CN" w:bidi="ar-SA"/>
              </w:rPr>
              <w:t>克/千克-清洗剂，清洗剂使用量为</w:t>
            </w:r>
            <w:r>
              <w:rPr>
                <w:rFonts w:hint="eastAsia" w:cs="宋体"/>
                <w:color w:val="auto"/>
                <w:kern w:val="2"/>
                <w:sz w:val="24"/>
                <w:szCs w:val="24"/>
                <w:highlight w:val="none"/>
                <w:lang w:val="en-US" w:eastAsia="zh-CN" w:bidi="ar-SA"/>
              </w:rPr>
              <w:t>5</w:t>
            </w:r>
            <w:r>
              <w:rPr>
                <w:rFonts w:hint="eastAsia" w:ascii="Times New Roman" w:hAnsi="Times New Roman" w:eastAsia="宋体" w:cs="宋体"/>
                <w:color w:val="auto"/>
                <w:kern w:val="2"/>
                <w:sz w:val="24"/>
                <w:szCs w:val="24"/>
                <w:highlight w:val="none"/>
                <w:lang w:val="en-US" w:eastAsia="zh-CN" w:bidi="ar-SA"/>
              </w:rPr>
              <w:t>t/a，则COD产生量为</w:t>
            </w:r>
            <w:r>
              <w:rPr>
                <w:rFonts w:hint="eastAsia" w:cs="宋体"/>
                <w:color w:val="auto"/>
                <w:kern w:val="2"/>
                <w:sz w:val="24"/>
                <w:szCs w:val="24"/>
                <w:highlight w:val="none"/>
                <w:lang w:val="en-US" w:eastAsia="zh-CN" w:bidi="ar-SA"/>
              </w:rPr>
              <w:t>1.05</w:t>
            </w:r>
            <w:r>
              <w:rPr>
                <w:rFonts w:hint="eastAsia" w:ascii="Times New Roman" w:hAnsi="Times New Roman" w:eastAsia="宋体" w:cs="宋体"/>
                <w:color w:val="auto"/>
                <w:kern w:val="2"/>
                <w:sz w:val="24"/>
                <w:szCs w:val="24"/>
                <w:highlight w:val="none"/>
                <w:lang w:val="en-US" w:eastAsia="zh-CN" w:bidi="ar-SA"/>
              </w:rPr>
              <w:t>t/a、NH</w:t>
            </w:r>
            <w:r>
              <w:rPr>
                <w:rFonts w:hint="eastAsia" w:ascii="Times New Roman" w:hAnsi="Times New Roman" w:eastAsia="宋体" w:cs="宋体"/>
                <w:color w:val="auto"/>
                <w:kern w:val="2"/>
                <w:sz w:val="24"/>
                <w:szCs w:val="24"/>
                <w:highlight w:val="none"/>
                <w:vertAlign w:val="subscript"/>
                <w:lang w:val="en-US" w:eastAsia="zh-CN" w:bidi="ar-SA"/>
              </w:rPr>
              <w:t>3</w:t>
            </w:r>
            <w:r>
              <w:rPr>
                <w:rFonts w:hint="eastAsia" w:ascii="Times New Roman" w:hAnsi="Times New Roman" w:eastAsia="宋体" w:cs="宋体"/>
                <w:color w:val="auto"/>
                <w:kern w:val="2"/>
                <w:sz w:val="24"/>
                <w:szCs w:val="24"/>
                <w:highlight w:val="none"/>
                <w:lang w:val="en-US" w:eastAsia="zh-CN" w:bidi="ar-SA"/>
              </w:rPr>
              <w:t>-N产生量</w:t>
            </w:r>
            <w:r>
              <w:rPr>
                <w:rFonts w:hint="eastAsia" w:cs="宋体"/>
                <w:color w:val="auto"/>
                <w:kern w:val="2"/>
                <w:sz w:val="24"/>
                <w:szCs w:val="24"/>
                <w:highlight w:val="none"/>
                <w:lang w:val="en-US" w:eastAsia="zh-CN" w:bidi="ar-SA"/>
              </w:rPr>
              <w:t>为0.005385t/a</w:t>
            </w:r>
            <w:r>
              <w:rPr>
                <w:rFonts w:hint="default" w:cs="宋体"/>
                <w:color w:val="auto"/>
                <w:kern w:val="2"/>
                <w:sz w:val="24"/>
                <w:szCs w:val="24"/>
                <w:highlight w:val="none"/>
                <w:lang w:val="en-US" w:eastAsia="zh-CN" w:bidi="ar-SA"/>
              </w:rPr>
              <w:t>。</w:t>
            </w:r>
          </w:p>
          <w:p w14:paraId="4CB7520F">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（5）镀膜冷却水</w:t>
            </w:r>
          </w:p>
          <w:p w14:paraId="4F0C5910">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镀膜冷却水在镀膜环节的用水工序中产生，镀膜机配套的镀膜冷却塔</w:t>
            </w:r>
            <w:r>
              <w:rPr>
                <w:rFonts w:hint="eastAsia" w:ascii="Times New Roman" w:hAnsi="Times New Roman" w:eastAsia="宋体" w:cs="宋体"/>
                <w:color w:val="auto"/>
                <w:kern w:val="2"/>
                <w:sz w:val="24"/>
                <w:szCs w:val="24"/>
                <w:highlight w:val="none"/>
                <w:lang w:val="en-US" w:eastAsia="zh-CN" w:bidi="ar-SA"/>
              </w:rPr>
              <w:t>，</w:t>
            </w:r>
            <w:r>
              <w:rPr>
                <w:rFonts w:hint="default" w:ascii="Times New Roman" w:hAnsi="Times New Roman" w:eastAsia="宋体" w:cs="宋体"/>
                <w:color w:val="auto"/>
                <w:kern w:val="2"/>
                <w:sz w:val="24"/>
                <w:szCs w:val="24"/>
                <w:highlight w:val="none"/>
                <w:lang w:val="en-US" w:eastAsia="zh-CN" w:bidi="ar-SA"/>
              </w:rPr>
              <w:t>冷却水用量为</w:t>
            </w:r>
            <w:r>
              <w:rPr>
                <w:rFonts w:hint="eastAsia" w:cs="宋体"/>
                <w:color w:val="auto"/>
                <w:kern w:val="2"/>
                <w:sz w:val="24"/>
                <w:szCs w:val="24"/>
                <w:highlight w:val="none"/>
                <w:lang w:val="en-US" w:eastAsia="zh-CN" w:bidi="ar-SA"/>
              </w:rPr>
              <w:t>1</w:t>
            </w:r>
            <w:r>
              <w:rPr>
                <w:rFonts w:hint="default" w:ascii="Times New Roman" w:hAnsi="Times New Roman" w:eastAsia="宋体" w:cs="宋体"/>
                <w:color w:val="auto"/>
                <w:kern w:val="2"/>
                <w:sz w:val="24"/>
                <w:szCs w:val="24"/>
                <w:highlight w:val="none"/>
                <w:lang w:val="en-US" w:eastAsia="zh-CN" w:bidi="ar-SA"/>
              </w:rPr>
              <w:t>0t/a，用于冷却降温。冷却水循环使用，定期补充</w:t>
            </w:r>
            <w:r>
              <w:rPr>
                <w:rFonts w:hint="eastAsia" w:ascii="Times New Roman" w:hAnsi="Times New Roman" w:eastAsia="宋体" w:cs="宋体"/>
                <w:color w:val="auto"/>
                <w:kern w:val="2"/>
                <w:sz w:val="24"/>
                <w:szCs w:val="24"/>
                <w:highlight w:val="none"/>
                <w:lang w:val="en-US" w:eastAsia="zh-CN" w:bidi="ar-SA"/>
              </w:rPr>
              <w:t>，</w:t>
            </w:r>
            <w:r>
              <w:rPr>
                <w:rFonts w:hint="default" w:ascii="Times New Roman" w:hAnsi="Times New Roman" w:eastAsia="宋体" w:cs="宋体"/>
                <w:color w:val="auto"/>
                <w:kern w:val="2"/>
                <w:sz w:val="24"/>
                <w:szCs w:val="24"/>
                <w:highlight w:val="none"/>
                <w:lang w:val="en-US" w:eastAsia="zh-CN" w:bidi="ar-SA"/>
              </w:rPr>
              <w:t>不外排</w:t>
            </w:r>
            <w:r>
              <w:rPr>
                <w:rFonts w:hint="eastAsia" w:ascii="Times New Roman" w:hAnsi="Times New Roman" w:eastAsia="宋体" w:cs="宋体"/>
                <w:color w:val="auto"/>
                <w:kern w:val="2"/>
                <w:sz w:val="24"/>
                <w:szCs w:val="24"/>
                <w:highlight w:val="none"/>
                <w:lang w:val="en-US" w:eastAsia="zh-CN" w:bidi="ar-SA"/>
              </w:rPr>
              <w:t>。</w:t>
            </w:r>
          </w:p>
          <w:p w14:paraId="38CCC9AD">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（6）生活污水</w:t>
            </w:r>
          </w:p>
          <w:p w14:paraId="0EE24610">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本项目劳动定员</w:t>
            </w:r>
            <w:r>
              <w:rPr>
                <w:rFonts w:hint="eastAsia" w:cs="宋体"/>
                <w:color w:val="auto"/>
                <w:kern w:val="2"/>
                <w:sz w:val="24"/>
                <w:szCs w:val="24"/>
                <w:highlight w:val="none"/>
                <w:lang w:val="en-US" w:eastAsia="zh-CN" w:bidi="ar-SA"/>
              </w:rPr>
              <w:t>200</w:t>
            </w:r>
            <w:r>
              <w:rPr>
                <w:rFonts w:hint="eastAsia" w:ascii="Times New Roman" w:hAnsi="Times New Roman" w:cs="宋体"/>
                <w:color w:val="auto"/>
                <w:kern w:val="2"/>
                <w:sz w:val="24"/>
                <w:szCs w:val="24"/>
                <w:highlight w:val="none"/>
                <w:lang w:val="en-US" w:eastAsia="zh-CN" w:bidi="ar-SA"/>
              </w:rPr>
              <w:t>人</w:t>
            </w:r>
            <w:r>
              <w:rPr>
                <w:rFonts w:hint="default" w:ascii="Times New Roman" w:hAnsi="Times New Roman" w:eastAsia="宋体" w:cs="宋体"/>
                <w:color w:val="auto"/>
                <w:kern w:val="2"/>
                <w:sz w:val="24"/>
                <w:szCs w:val="24"/>
                <w:highlight w:val="none"/>
                <w:lang w:val="en-US" w:eastAsia="zh-CN" w:bidi="ar-SA"/>
              </w:rPr>
              <w:t>，均</w:t>
            </w:r>
            <w:r>
              <w:rPr>
                <w:rFonts w:hint="eastAsia" w:cs="宋体"/>
                <w:color w:val="auto"/>
                <w:kern w:val="2"/>
                <w:sz w:val="24"/>
                <w:szCs w:val="24"/>
                <w:highlight w:val="none"/>
                <w:lang w:val="en-US" w:eastAsia="zh-CN" w:bidi="ar-SA"/>
              </w:rPr>
              <w:t>不</w:t>
            </w:r>
            <w:r>
              <w:rPr>
                <w:rFonts w:hint="default" w:ascii="Times New Roman" w:hAnsi="Times New Roman" w:eastAsia="宋体" w:cs="宋体"/>
                <w:color w:val="auto"/>
                <w:kern w:val="2"/>
                <w:sz w:val="24"/>
                <w:szCs w:val="24"/>
                <w:highlight w:val="none"/>
                <w:lang w:val="en-US" w:eastAsia="zh-CN" w:bidi="ar-SA"/>
              </w:rPr>
              <w:t>住厂，根据《建筑给水排水设计标准》（GB50015-2019），车间工人的生活用水定额应根据车间性质确定，一般宜采用30-50L/人·班，本项目不住厂职工生活用水定额按50L/人·班计。项目年工作日按</w:t>
            </w:r>
            <w:r>
              <w:rPr>
                <w:rFonts w:hint="eastAsia" w:cs="宋体"/>
                <w:color w:val="auto"/>
                <w:kern w:val="2"/>
                <w:sz w:val="24"/>
                <w:szCs w:val="24"/>
                <w:highlight w:val="none"/>
                <w:lang w:val="en-US" w:eastAsia="zh-CN" w:bidi="ar-SA"/>
              </w:rPr>
              <w:t>26</w:t>
            </w:r>
            <w:r>
              <w:rPr>
                <w:rFonts w:hint="eastAsia" w:ascii="Times New Roman" w:hAnsi="Times New Roman" w:eastAsia="宋体" w:cs="宋体"/>
                <w:color w:val="auto"/>
                <w:kern w:val="2"/>
                <w:sz w:val="24"/>
                <w:szCs w:val="24"/>
                <w:highlight w:val="none"/>
                <w:lang w:val="en-US" w:eastAsia="zh-CN" w:bidi="ar-SA"/>
              </w:rPr>
              <w:t>0</w:t>
            </w:r>
            <w:r>
              <w:rPr>
                <w:rFonts w:hint="default" w:ascii="Times New Roman" w:hAnsi="Times New Roman" w:eastAsia="宋体" w:cs="宋体"/>
                <w:color w:val="auto"/>
                <w:kern w:val="2"/>
                <w:sz w:val="24"/>
                <w:szCs w:val="24"/>
                <w:highlight w:val="none"/>
                <w:lang w:val="en-US" w:eastAsia="zh-CN" w:bidi="ar-SA"/>
              </w:rPr>
              <w:t>天计，则本项目职工生活用水量约为</w:t>
            </w:r>
            <w:r>
              <w:rPr>
                <w:rFonts w:hint="eastAsia" w:cs="宋体"/>
                <w:color w:val="auto"/>
                <w:kern w:val="2"/>
                <w:sz w:val="24"/>
                <w:szCs w:val="24"/>
                <w:highlight w:val="none"/>
                <w:lang w:val="en-US" w:eastAsia="zh-CN" w:bidi="ar-SA"/>
              </w:rPr>
              <w:t>10</w:t>
            </w:r>
            <w:r>
              <w:rPr>
                <w:rFonts w:hint="default" w:ascii="Times New Roman" w:hAnsi="Times New Roman" w:eastAsia="宋体" w:cs="宋体"/>
                <w:color w:val="auto"/>
                <w:kern w:val="2"/>
                <w:sz w:val="24"/>
                <w:szCs w:val="24"/>
                <w:highlight w:val="none"/>
                <w:lang w:val="en-US" w:eastAsia="zh-CN" w:bidi="ar-SA"/>
              </w:rPr>
              <w:t>t/d（</w:t>
            </w:r>
            <w:r>
              <w:rPr>
                <w:rFonts w:hint="eastAsia" w:cs="宋体"/>
                <w:color w:val="auto"/>
                <w:kern w:val="2"/>
                <w:sz w:val="24"/>
                <w:szCs w:val="24"/>
                <w:highlight w:val="none"/>
                <w:lang w:val="en-US" w:eastAsia="zh-CN" w:bidi="ar-SA"/>
              </w:rPr>
              <w:t>26</w:t>
            </w:r>
            <w:r>
              <w:rPr>
                <w:rFonts w:hint="eastAsia" w:ascii="Times New Roman" w:hAnsi="Times New Roman" w:cs="宋体"/>
                <w:color w:val="auto"/>
                <w:kern w:val="2"/>
                <w:sz w:val="24"/>
                <w:szCs w:val="24"/>
                <w:highlight w:val="none"/>
                <w:lang w:val="en-US" w:eastAsia="zh-CN" w:bidi="ar-SA"/>
              </w:rPr>
              <w:t>00.0</w:t>
            </w:r>
            <w:r>
              <w:rPr>
                <w:rFonts w:hint="default" w:ascii="Times New Roman" w:hAnsi="Times New Roman" w:eastAsia="宋体" w:cs="宋体"/>
                <w:color w:val="auto"/>
                <w:kern w:val="2"/>
                <w:sz w:val="24"/>
                <w:szCs w:val="24"/>
                <w:highlight w:val="none"/>
                <w:lang w:val="en-US" w:eastAsia="zh-CN" w:bidi="ar-SA"/>
              </w:rPr>
              <w:t>t/a），根据《排放源统计调查产排污计算方法和核算手册》中《生活源产排污系数手册》，人均日生活用水量≤150升/人·天时，折污系数取0.8（详见图2.1-1），则项目生活污水产生量约</w:t>
            </w:r>
            <w:r>
              <w:rPr>
                <w:rFonts w:hint="eastAsia" w:cs="宋体"/>
                <w:color w:val="auto"/>
                <w:kern w:val="2"/>
                <w:sz w:val="24"/>
                <w:szCs w:val="24"/>
                <w:highlight w:val="none"/>
                <w:lang w:val="en-US" w:eastAsia="zh-CN" w:bidi="ar-SA"/>
              </w:rPr>
              <w:t>8</w:t>
            </w:r>
            <w:r>
              <w:rPr>
                <w:rFonts w:hint="default" w:ascii="Times New Roman" w:hAnsi="Times New Roman" w:eastAsia="宋体" w:cs="宋体"/>
                <w:color w:val="auto"/>
                <w:kern w:val="2"/>
                <w:sz w:val="24"/>
                <w:szCs w:val="24"/>
                <w:highlight w:val="none"/>
                <w:lang w:val="en-US" w:eastAsia="zh-CN" w:bidi="ar-SA"/>
              </w:rPr>
              <w:t>t/d（</w:t>
            </w:r>
            <w:r>
              <w:rPr>
                <w:rFonts w:hint="eastAsia" w:cs="宋体"/>
                <w:color w:val="auto"/>
                <w:kern w:val="2"/>
                <w:sz w:val="24"/>
                <w:szCs w:val="24"/>
                <w:highlight w:val="none"/>
                <w:lang w:val="en-US" w:eastAsia="zh-CN" w:bidi="ar-SA"/>
              </w:rPr>
              <w:t>2080</w:t>
            </w:r>
            <w:r>
              <w:rPr>
                <w:rFonts w:hint="default" w:ascii="Times New Roman" w:hAnsi="Times New Roman" w:eastAsia="宋体" w:cs="宋体"/>
                <w:color w:val="auto"/>
                <w:kern w:val="2"/>
                <w:sz w:val="24"/>
                <w:szCs w:val="24"/>
                <w:highlight w:val="none"/>
                <w:lang w:val="en-US" w:eastAsia="zh-CN" w:bidi="ar-SA"/>
              </w:rPr>
              <w:t>t/a）。参考《给排水设计手册》（第五册城镇排水）典型生活污水水质，确定本项目污水污染物浓度为：CODcr：400mg/L、BOD</w:t>
            </w:r>
            <w:r>
              <w:rPr>
                <w:rFonts w:hint="default" w:ascii="Times New Roman" w:hAnsi="Times New Roman" w:eastAsia="宋体" w:cs="宋体"/>
                <w:color w:val="auto"/>
                <w:kern w:val="2"/>
                <w:sz w:val="24"/>
                <w:szCs w:val="24"/>
                <w:highlight w:val="none"/>
                <w:vertAlign w:val="subscript"/>
                <w:lang w:val="en-US" w:eastAsia="zh-CN" w:bidi="ar-SA"/>
              </w:rPr>
              <w:t>5</w:t>
            </w:r>
            <w:r>
              <w:rPr>
                <w:rFonts w:hint="default" w:ascii="Times New Roman" w:hAnsi="Times New Roman" w:eastAsia="宋体" w:cs="宋体"/>
                <w:color w:val="auto"/>
                <w:kern w:val="2"/>
                <w:sz w:val="24"/>
                <w:szCs w:val="24"/>
                <w:highlight w:val="none"/>
                <w:lang w:val="en-US" w:eastAsia="zh-CN" w:bidi="ar-SA"/>
              </w:rPr>
              <w:t>：200mg/L、氨氮：35mg/L、SS：220mg/L</w:t>
            </w:r>
            <w:r>
              <w:rPr>
                <w:rFonts w:hint="eastAsia" w:ascii="Times New Roman" w:hAnsi="Times New Roman" w:eastAsia="宋体" w:cs="宋体"/>
                <w:color w:val="auto"/>
                <w:kern w:val="2"/>
                <w:sz w:val="24"/>
                <w:szCs w:val="24"/>
                <w:highlight w:val="none"/>
                <w:lang w:val="en-US" w:eastAsia="zh-CN" w:bidi="ar-SA"/>
              </w:rPr>
              <w:t>。生活污水依托化粪池处理达标后排入市政管网，纳入大学城污水处理厂。本项目生活污水经化粪池处理，化粪池对生活污水COD</w:t>
            </w:r>
            <w:r>
              <w:rPr>
                <w:rFonts w:hint="eastAsia" w:ascii="Times New Roman" w:hAnsi="Times New Roman" w:eastAsia="宋体" w:cs="宋体"/>
                <w:color w:val="auto"/>
                <w:kern w:val="2"/>
                <w:sz w:val="24"/>
                <w:szCs w:val="24"/>
                <w:highlight w:val="none"/>
                <w:vertAlign w:val="subscript"/>
                <w:lang w:val="en-US" w:eastAsia="zh-CN" w:bidi="ar-SA"/>
              </w:rPr>
              <w:t>cr</w:t>
            </w:r>
            <w:r>
              <w:rPr>
                <w:rFonts w:hint="eastAsia" w:ascii="Times New Roman" w:hAnsi="Times New Roman" w:eastAsia="宋体" w:cs="宋体"/>
                <w:color w:val="auto"/>
                <w:kern w:val="2"/>
                <w:sz w:val="24"/>
                <w:szCs w:val="24"/>
                <w:highlight w:val="none"/>
                <w:lang w:val="en-US" w:eastAsia="zh-CN" w:bidi="ar-SA"/>
              </w:rPr>
              <w:t>、BOD</w:t>
            </w:r>
            <w:r>
              <w:rPr>
                <w:rFonts w:hint="eastAsia" w:ascii="Times New Roman" w:hAnsi="Times New Roman" w:eastAsia="宋体" w:cs="宋体"/>
                <w:color w:val="auto"/>
                <w:kern w:val="2"/>
                <w:sz w:val="24"/>
                <w:szCs w:val="24"/>
                <w:highlight w:val="none"/>
                <w:vertAlign w:val="subscript"/>
                <w:lang w:val="en-US" w:eastAsia="zh-CN" w:bidi="ar-SA"/>
              </w:rPr>
              <w:t>5</w:t>
            </w:r>
            <w:r>
              <w:rPr>
                <w:rFonts w:hint="eastAsia" w:ascii="Times New Roman" w:hAnsi="Times New Roman" w:eastAsia="宋体" w:cs="宋体"/>
                <w:color w:val="auto"/>
                <w:kern w:val="2"/>
                <w:sz w:val="24"/>
                <w:szCs w:val="24"/>
                <w:highlight w:val="none"/>
                <w:lang w:val="en-US" w:eastAsia="zh-CN" w:bidi="ar-SA"/>
              </w:rPr>
              <w:t>、SS、NH</w:t>
            </w:r>
            <w:r>
              <w:rPr>
                <w:rFonts w:hint="eastAsia" w:ascii="Times New Roman" w:hAnsi="Times New Roman" w:eastAsia="宋体" w:cs="宋体"/>
                <w:color w:val="auto"/>
                <w:kern w:val="2"/>
                <w:sz w:val="24"/>
                <w:szCs w:val="24"/>
                <w:highlight w:val="none"/>
                <w:vertAlign w:val="subscript"/>
                <w:lang w:val="en-US" w:eastAsia="zh-CN" w:bidi="ar-SA"/>
              </w:rPr>
              <w:t>3</w:t>
            </w:r>
            <w:r>
              <w:rPr>
                <w:rFonts w:hint="eastAsia" w:ascii="Times New Roman" w:hAnsi="Times New Roman" w:eastAsia="宋体" w:cs="宋体"/>
                <w:color w:val="auto"/>
                <w:kern w:val="2"/>
                <w:sz w:val="24"/>
                <w:szCs w:val="24"/>
                <w:highlight w:val="none"/>
                <w:lang w:val="en-US" w:eastAsia="zh-CN" w:bidi="ar-SA"/>
              </w:rPr>
              <w:t>-N的设计去除率分别取20%、15%、30%、0%。</w:t>
            </w:r>
            <w:r>
              <w:rPr>
                <w:rFonts w:hint="default" w:ascii="Times New Roman" w:hAnsi="Times New Roman" w:eastAsia="宋体" w:cs="宋体"/>
                <w:color w:val="auto"/>
                <w:kern w:val="2"/>
                <w:sz w:val="24"/>
                <w:szCs w:val="24"/>
                <w:highlight w:val="none"/>
                <w:lang w:val="en-US" w:eastAsia="zh-CN" w:bidi="ar-SA"/>
              </w:rPr>
              <w:t>则生活污水中各污染物</w:t>
            </w:r>
            <w:r>
              <w:rPr>
                <w:rFonts w:hint="eastAsia" w:ascii="Times New Roman" w:hAnsi="Times New Roman" w:eastAsia="宋体" w:cs="宋体"/>
                <w:color w:val="auto"/>
                <w:kern w:val="2"/>
                <w:sz w:val="24"/>
                <w:szCs w:val="24"/>
                <w:highlight w:val="none"/>
                <w:lang w:val="en-US" w:eastAsia="zh-CN" w:bidi="ar-SA"/>
              </w:rPr>
              <w:t>产生</w:t>
            </w:r>
            <w:r>
              <w:rPr>
                <w:rFonts w:hint="default" w:ascii="Times New Roman" w:hAnsi="Times New Roman" w:eastAsia="宋体" w:cs="宋体"/>
                <w:color w:val="auto"/>
                <w:kern w:val="2"/>
                <w:sz w:val="24"/>
                <w:szCs w:val="24"/>
                <w:highlight w:val="none"/>
                <w:lang w:val="en-US" w:eastAsia="zh-CN" w:bidi="ar-SA"/>
              </w:rPr>
              <w:t>情况见表</w:t>
            </w:r>
            <w:r>
              <w:rPr>
                <w:rFonts w:hint="eastAsia" w:ascii="Times New Roman" w:hAnsi="Times New Roman" w:eastAsia="宋体" w:cs="宋体"/>
                <w:color w:val="auto"/>
                <w:kern w:val="2"/>
                <w:sz w:val="24"/>
                <w:szCs w:val="24"/>
                <w:highlight w:val="none"/>
                <w:lang w:val="en-US" w:eastAsia="zh-CN" w:bidi="ar-SA"/>
              </w:rPr>
              <w:t>4.1-1。</w:t>
            </w:r>
          </w:p>
          <w:p w14:paraId="65B5A935">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本项目生产废水特征污染物悬浮物、</w:t>
            </w:r>
            <w:r>
              <w:rPr>
                <w:rFonts w:hint="eastAsia" w:cs="宋体"/>
                <w:color w:val="auto"/>
                <w:kern w:val="2"/>
                <w:sz w:val="24"/>
                <w:szCs w:val="24"/>
                <w:highlight w:val="none"/>
                <w:lang w:val="en-US" w:eastAsia="zh-CN" w:bidi="ar-SA"/>
              </w:rPr>
              <w:t>阴离子表面活性剂</w:t>
            </w:r>
            <w:r>
              <w:rPr>
                <w:rFonts w:hint="eastAsia" w:ascii="Times New Roman" w:hAnsi="Times New Roman" w:eastAsia="宋体" w:cs="宋体"/>
                <w:color w:val="auto"/>
                <w:kern w:val="2"/>
                <w:sz w:val="24"/>
                <w:szCs w:val="24"/>
                <w:highlight w:val="none"/>
                <w:lang w:val="en-US" w:eastAsia="zh-CN" w:bidi="ar-SA"/>
              </w:rPr>
              <w:t>源强分析,本项目生产废水的特征污染物因子为悬浮物，本项目生产废水需经过沉淀处理后才可排放，</w:t>
            </w:r>
            <w:r>
              <w:rPr>
                <w:rFonts w:hint="eastAsia" w:ascii="Times New Roman" w:hAnsi="Times New Roman" w:eastAsia="宋体" w:cs="宋体"/>
                <w:color w:val="FF0000"/>
                <w:kern w:val="2"/>
                <w:sz w:val="24"/>
                <w:szCs w:val="24"/>
                <w:highlight w:val="none"/>
                <w:lang w:val="en-US" w:eastAsia="zh-CN" w:bidi="ar-SA"/>
              </w:rPr>
              <w:t>参考同类型企业项目（所类比项目工艺流程所涉及产污环节以及废水处理设施基本一致），</w:t>
            </w:r>
            <w:r>
              <w:rPr>
                <w:rFonts w:hint="eastAsia" w:ascii="Times New Roman" w:hAnsi="Times New Roman" w:eastAsia="宋体" w:cs="宋体"/>
                <w:color w:val="auto"/>
                <w:kern w:val="2"/>
                <w:sz w:val="24"/>
                <w:szCs w:val="24"/>
                <w:highlight w:val="none"/>
                <w:lang w:val="en-US" w:eastAsia="zh-CN" w:bidi="ar-SA"/>
              </w:rPr>
              <w:t>福建威泰思光电有限公司《年产200万片光学镜片生产项目》的验收检测报告（报告编号：FZHJ2410044）中生产废水的进口浓度（详见附件</w:t>
            </w:r>
            <w:r>
              <w:rPr>
                <w:rFonts w:hint="eastAsia" w:cs="宋体"/>
                <w:color w:val="auto"/>
                <w:kern w:val="2"/>
                <w:sz w:val="24"/>
                <w:szCs w:val="24"/>
                <w:highlight w:val="none"/>
                <w:lang w:val="en-US" w:eastAsia="zh-CN" w:bidi="ar-SA"/>
              </w:rPr>
              <w:t>十七</w:t>
            </w:r>
            <w:r>
              <w:rPr>
                <w:rFonts w:hint="eastAsia" w:ascii="Times New Roman" w:hAnsi="Times New Roman" w:eastAsia="宋体" w:cs="宋体"/>
                <w:color w:val="auto"/>
                <w:kern w:val="2"/>
                <w:sz w:val="24"/>
                <w:szCs w:val="24"/>
                <w:highlight w:val="none"/>
                <w:lang w:val="en-US" w:eastAsia="zh-CN" w:bidi="ar-SA"/>
              </w:rPr>
              <w:t>），则本项目生产废水的悬浮物产生浓度最大值为138mg/L</w:t>
            </w:r>
            <w:r>
              <w:rPr>
                <w:rFonts w:hint="eastAsia" w:cs="宋体"/>
                <w:color w:val="auto"/>
                <w:kern w:val="2"/>
                <w:sz w:val="24"/>
                <w:szCs w:val="24"/>
                <w:highlight w:val="none"/>
                <w:lang w:val="en-US" w:eastAsia="zh-CN" w:bidi="ar-SA"/>
              </w:rPr>
              <w:t>；参考同类型企业项目</w:t>
            </w:r>
            <w:r>
              <w:rPr>
                <w:rFonts w:hint="eastAsia"/>
                <w:color w:val="auto"/>
                <w:sz w:val="24"/>
              </w:rPr>
              <w:t>福州闽波光电技术有限公司</w:t>
            </w:r>
            <w:r>
              <w:rPr>
                <w:rFonts w:hint="eastAsia" w:ascii="Times New Roman" w:hAnsi="Times New Roman" w:eastAsia="宋体" w:cs="宋体"/>
                <w:color w:val="auto"/>
                <w:kern w:val="2"/>
                <w:sz w:val="24"/>
                <w:szCs w:val="24"/>
                <w:highlight w:val="none"/>
                <w:lang w:val="en-US" w:eastAsia="zh-CN" w:bidi="ar-SA"/>
              </w:rPr>
              <w:t>《</w:t>
            </w:r>
            <w:r>
              <w:rPr>
                <w:rFonts w:hint="eastAsia"/>
                <w:color w:val="auto"/>
                <w:sz w:val="24"/>
                <w:lang w:eastAsia="zh-CN"/>
              </w:rPr>
              <w:t>闽波光电毛坯光学镜片</w:t>
            </w:r>
            <w:r>
              <w:rPr>
                <w:rFonts w:hint="eastAsia"/>
                <w:color w:val="auto"/>
                <w:sz w:val="24"/>
              </w:rPr>
              <w:t>生产项目</w:t>
            </w:r>
            <w:r>
              <w:rPr>
                <w:rFonts w:hint="eastAsia" w:ascii="Times New Roman" w:hAnsi="Times New Roman" w:eastAsia="宋体" w:cs="宋体"/>
                <w:color w:val="auto"/>
                <w:kern w:val="2"/>
                <w:sz w:val="24"/>
                <w:szCs w:val="24"/>
                <w:highlight w:val="none"/>
                <w:lang w:val="en-US" w:eastAsia="zh-CN" w:bidi="ar-SA"/>
              </w:rPr>
              <w:t>》的验收检测报告（报告编号：HYJC251211003）中生产废水的进口浓度（详见附件</w:t>
            </w:r>
            <w:r>
              <w:rPr>
                <w:rFonts w:hint="eastAsia" w:cs="宋体"/>
                <w:color w:val="auto"/>
                <w:kern w:val="2"/>
                <w:sz w:val="24"/>
                <w:szCs w:val="24"/>
                <w:highlight w:val="none"/>
                <w:lang w:val="en-US" w:eastAsia="zh-CN" w:bidi="ar-SA"/>
              </w:rPr>
              <w:t>十七</w:t>
            </w:r>
            <w:r>
              <w:rPr>
                <w:rFonts w:hint="eastAsia" w:ascii="Times New Roman" w:hAnsi="Times New Roman" w:eastAsia="宋体" w:cs="宋体"/>
                <w:color w:val="auto"/>
                <w:kern w:val="2"/>
                <w:sz w:val="24"/>
                <w:szCs w:val="24"/>
                <w:highlight w:val="none"/>
                <w:lang w:val="en-US" w:eastAsia="zh-CN" w:bidi="ar-SA"/>
              </w:rPr>
              <w:t>），则本项目生产废水的阴离子表面活性剂产生浓度最大值为1.32mg/L。</w:t>
            </w:r>
          </w:p>
          <w:p w14:paraId="09414AA4">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本项目废水处理设施的处理工艺为沉淀，设计处理规模为10t/d，</w:t>
            </w:r>
            <w:r>
              <w:rPr>
                <w:rFonts w:hint="eastAsia" w:ascii="Times New Roman" w:hAnsi="Times New Roman" w:eastAsia="宋体" w:cs="宋体"/>
                <w:color w:val="auto"/>
                <w:kern w:val="2"/>
                <w:sz w:val="24"/>
                <w:szCs w:val="24"/>
                <w:lang w:val="en-US" w:eastAsia="zh-CN" w:bidi="ar-SA"/>
              </w:rPr>
              <w:t>根据《排放源统计调查产排污核算方法和系数手册》中《光学玻璃制造行业系数手册》，对化学需氧量</w:t>
            </w:r>
            <w:r>
              <w:rPr>
                <w:rFonts w:hint="eastAsia" w:ascii="Times New Roman" w:hAnsi="Times New Roman" w:eastAsia="宋体" w:cs="宋体"/>
                <w:color w:val="auto"/>
                <w:kern w:val="2"/>
                <w:sz w:val="24"/>
                <w:szCs w:val="24"/>
                <w:highlight w:val="none"/>
                <w:lang w:val="en-US" w:eastAsia="zh-CN" w:bidi="ar-SA"/>
              </w:rPr>
              <w:t>的平均处理效率分别为35%；对氨氮</w:t>
            </w:r>
            <w:r>
              <w:rPr>
                <w:rFonts w:hint="eastAsia" w:cs="宋体"/>
                <w:color w:val="auto"/>
                <w:kern w:val="2"/>
                <w:sz w:val="24"/>
                <w:szCs w:val="24"/>
                <w:highlight w:val="none"/>
                <w:lang w:val="en-US" w:eastAsia="zh-CN" w:bidi="ar-SA"/>
              </w:rPr>
              <w:t>、LAS</w:t>
            </w:r>
            <w:r>
              <w:rPr>
                <w:rFonts w:hint="eastAsia" w:ascii="Times New Roman" w:hAnsi="Times New Roman" w:eastAsia="宋体" w:cs="宋体"/>
                <w:color w:val="auto"/>
                <w:kern w:val="2"/>
                <w:sz w:val="24"/>
                <w:szCs w:val="24"/>
                <w:highlight w:val="none"/>
                <w:lang w:val="en-US" w:eastAsia="zh-CN" w:bidi="ar-SA"/>
              </w:rPr>
              <w:t>无实质去除效果，去除率≤5%（本次评价按0计）；核心功能为去除悬浮物70%～85%（本次评价按70%）。</w:t>
            </w:r>
          </w:p>
          <w:p w14:paraId="1EB0C05E">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本项目生产废水产排放情况见表4.1-2</w:t>
            </w:r>
            <w:r>
              <w:rPr>
                <w:rFonts w:hint="eastAsia" w:cs="宋体"/>
                <w:color w:val="auto"/>
                <w:kern w:val="2"/>
                <w:sz w:val="24"/>
                <w:szCs w:val="24"/>
                <w:highlight w:val="none"/>
                <w:lang w:val="en-US" w:eastAsia="zh-CN" w:bidi="ar-SA"/>
              </w:rPr>
              <w:t>，综合废水排放情况见表4.1-3。</w:t>
            </w:r>
          </w:p>
          <w:p w14:paraId="148989FC">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highlight w:val="none"/>
                <w:lang w:val="en-US" w:eastAsia="zh-CN" w:bidi="ar-SA"/>
              </w:rPr>
            </w:pPr>
            <w:r>
              <w:rPr>
                <w:rFonts w:hint="eastAsia" w:ascii="Times New Roman" w:hAnsi="Times New Roman" w:eastAsia="宋体" w:cs="Times New Roman"/>
                <w:b/>
                <w:color w:val="auto"/>
                <w:kern w:val="0"/>
                <w:sz w:val="24"/>
                <w:szCs w:val="20"/>
                <w:highlight w:val="none"/>
                <w:lang w:val="en-US" w:eastAsia="zh-CN" w:bidi="ar-SA"/>
              </w:rPr>
              <w:t>表4.1-1运营期生活污水排放情况</w:t>
            </w:r>
          </w:p>
          <w:tbl>
            <w:tblPr>
              <w:tblStyle w:val="18"/>
              <w:tblW w:w="8016" w:type="dxa"/>
              <w:tblInd w:w="-1"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168"/>
              <w:gridCol w:w="1994"/>
              <w:gridCol w:w="1185"/>
              <w:gridCol w:w="1260"/>
              <w:gridCol w:w="1185"/>
              <w:gridCol w:w="1224"/>
            </w:tblGrid>
            <w:tr w14:paraId="5DD7C0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8" w:type="pct"/>
                  <w:tcBorders>
                    <w:tl2br w:val="nil"/>
                    <w:tr2bl w:val="nil"/>
                  </w:tcBorders>
                  <w:noWrap w:val="0"/>
                  <w:vAlign w:val="center"/>
                </w:tcPr>
                <w:p w14:paraId="638078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废水量</w:t>
                  </w:r>
                </w:p>
              </w:tc>
              <w:tc>
                <w:tcPr>
                  <w:tcW w:w="1243" w:type="pct"/>
                  <w:tcBorders>
                    <w:tl2br w:val="nil"/>
                    <w:tr2bl w:val="nil"/>
                  </w:tcBorders>
                  <w:noWrap w:val="0"/>
                  <w:vAlign w:val="center"/>
                </w:tcPr>
                <w:p w14:paraId="48A3D3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项目</w:t>
                  </w:r>
                </w:p>
              </w:tc>
              <w:tc>
                <w:tcPr>
                  <w:tcW w:w="739" w:type="pct"/>
                  <w:tcBorders>
                    <w:tl2br w:val="nil"/>
                    <w:tr2bl w:val="nil"/>
                  </w:tcBorders>
                  <w:noWrap w:val="0"/>
                  <w:vAlign w:val="center"/>
                </w:tcPr>
                <w:p w14:paraId="04CB6D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COD</w:t>
                  </w:r>
                  <w:r>
                    <w:rPr>
                      <w:rFonts w:hint="default" w:ascii="Times New Roman" w:hAnsi="Times New Roman" w:eastAsia="宋体" w:cs="Times New Roman"/>
                      <w:b/>
                      <w:bCs/>
                      <w:color w:val="auto"/>
                      <w:kern w:val="0"/>
                      <w:sz w:val="21"/>
                      <w:szCs w:val="20"/>
                      <w:highlight w:val="none"/>
                      <w:vertAlign w:val="subscript"/>
                      <w:lang w:val="en-US" w:eastAsia="zh-CN" w:bidi="ar-SA"/>
                    </w:rPr>
                    <w:t>cr</w:t>
                  </w:r>
                </w:p>
              </w:tc>
              <w:tc>
                <w:tcPr>
                  <w:tcW w:w="785" w:type="pct"/>
                  <w:tcBorders>
                    <w:tl2br w:val="nil"/>
                    <w:tr2bl w:val="nil"/>
                  </w:tcBorders>
                  <w:noWrap w:val="0"/>
                  <w:vAlign w:val="center"/>
                </w:tcPr>
                <w:p w14:paraId="750C29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BOD</w:t>
                  </w:r>
                  <w:r>
                    <w:rPr>
                      <w:rFonts w:hint="default" w:ascii="Times New Roman" w:hAnsi="Times New Roman" w:eastAsia="宋体" w:cs="Times New Roman"/>
                      <w:b/>
                      <w:bCs/>
                      <w:color w:val="auto"/>
                      <w:kern w:val="0"/>
                      <w:sz w:val="21"/>
                      <w:szCs w:val="20"/>
                      <w:highlight w:val="none"/>
                      <w:vertAlign w:val="subscript"/>
                      <w:lang w:val="en-US" w:eastAsia="zh-CN" w:bidi="ar-SA"/>
                    </w:rPr>
                    <w:t>5</w:t>
                  </w:r>
                </w:p>
              </w:tc>
              <w:tc>
                <w:tcPr>
                  <w:tcW w:w="739" w:type="pct"/>
                  <w:tcBorders>
                    <w:tl2br w:val="nil"/>
                    <w:tr2bl w:val="nil"/>
                  </w:tcBorders>
                  <w:noWrap w:val="0"/>
                  <w:vAlign w:val="center"/>
                </w:tcPr>
                <w:p w14:paraId="24BDFF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SS</w:t>
                  </w:r>
                </w:p>
              </w:tc>
              <w:tc>
                <w:tcPr>
                  <w:tcW w:w="763" w:type="pct"/>
                  <w:tcBorders>
                    <w:tl2br w:val="nil"/>
                    <w:tr2bl w:val="nil"/>
                  </w:tcBorders>
                  <w:noWrap w:val="0"/>
                  <w:vAlign w:val="center"/>
                </w:tcPr>
                <w:p w14:paraId="57E7B0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NH</w:t>
                  </w:r>
                  <w:r>
                    <w:rPr>
                      <w:rFonts w:hint="default" w:ascii="Times New Roman" w:hAnsi="Times New Roman" w:eastAsia="宋体" w:cs="Times New Roman"/>
                      <w:b/>
                      <w:bCs/>
                      <w:color w:val="auto"/>
                      <w:kern w:val="0"/>
                      <w:sz w:val="21"/>
                      <w:szCs w:val="20"/>
                      <w:highlight w:val="none"/>
                      <w:vertAlign w:val="subscript"/>
                      <w:lang w:val="en-US" w:eastAsia="zh-CN" w:bidi="ar-SA"/>
                    </w:rPr>
                    <w:t>3</w:t>
                  </w:r>
                  <w:r>
                    <w:rPr>
                      <w:rFonts w:hint="default" w:ascii="Times New Roman" w:hAnsi="Times New Roman" w:eastAsia="宋体" w:cs="Times New Roman"/>
                      <w:b/>
                      <w:bCs/>
                      <w:color w:val="auto"/>
                      <w:kern w:val="0"/>
                      <w:sz w:val="21"/>
                      <w:szCs w:val="20"/>
                      <w:highlight w:val="none"/>
                      <w:lang w:val="en-US" w:eastAsia="zh-CN" w:bidi="ar-SA"/>
                    </w:rPr>
                    <w:t>-N</w:t>
                  </w:r>
                </w:p>
              </w:tc>
            </w:tr>
            <w:tr w14:paraId="745CBE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8" w:type="pct"/>
                  <w:vMerge w:val="restart"/>
                  <w:tcBorders>
                    <w:tl2br w:val="nil"/>
                    <w:tr2bl w:val="nil"/>
                  </w:tcBorders>
                  <w:noWrap w:val="0"/>
                  <w:vAlign w:val="center"/>
                </w:tcPr>
                <w:p w14:paraId="12A6FE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生活</w:t>
                  </w:r>
                  <w:r>
                    <w:rPr>
                      <w:rFonts w:hint="eastAsia" w:ascii="Times New Roman" w:hAnsi="Times New Roman" w:eastAsia="宋体" w:cs="Times New Roman"/>
                      <w:color w:val="auto"/>
                      <w:kern w:val="0"/>
                      <w:sz w:val="21"/>
                      <w:szCs w:val="20"/>
                      <w:highlight w:val="none"/>
                      <w:lang w:val="en-US" w:eastAsia="zh-CN" w:bidi="ar-SA"/>
                    </w:rPr>
                    <w:t>污水</w:t>
                  </w:r>
                  <w:r>
                    <w:rPr>
                      <w:rFonts w:hint="default" w:ascii="Times New Roman" w:hAnsi="Times New Roman" w:eastAsia="宋体" w:cs="Times New Roman"/>
                      <w:color w:val="auto"/>
                      <w:kern w:val="0"/>
                      <w:sz w:val="21"/>
                      <w:szCs w:val="20"/>
                      <w:highlight w:val="none"/>
                      <w:lang w:val="en-US" w:eastAsia="zh-CN" w:bidi="ar-SA"/>
                    </w:rPr>
                    <w:t>（</w:t>
                  </w:r>
                  <w:r>
                    <w:rPr>
                      <w:rFonts w:hint="eastAsia" w:cs="Times New Roman"/>
                      <w:color w:val="auto"/>
                      <w:kern w:val="0"/>
                      <w:sz w:val="21"/>
                      <w:szCs w:val="20"/>
                      <w:highlight w:val="none"/>
                      <w:lang w:val="en-US" w:eastAsia="zh-CN" w:bidi="ar-SA"/>
                    </w:rPr>
                    <w:t>2080</w:t>
                  </w:r>
                  <w:r>
                    <w:rPr>
                      <w:rFonts w:hint="default" w:ascii="Times New Roman" w:hAnsi="Times New Roman" w:eastAsia="宋体" w:cs="Times New Roman"/>
                      <w:color w:val="auto"/>
                      <w:kern w:val="0"/>
                      <w:sz w:val="21"/>
                      <w:szCs w:val="20"/>
                      <w:highlight w:val="none"/>
                      <w:lang w:val="en-US" w:eastAsia="zh-CN" w:bidi="ar-SA"/>
                    </w:rPr>
                    <w:t>t/a）</w:t>
                  </w:r>
                </w:p>
              </w:tc>
              <w:tc>
                <w:tcPr>
                  <w:tcW w:w="1243" w:type="pct"/>
                  <w:tcBorders>
                    <w:tl2br w:val="nil"/>
                    <w:tr2bl w:val="nil"/>
                  </w:tcBorders>
                  <w:noWrap w:val="0"/>
                  <w:vAlign w:val="center"/>
                </w:tcPr>
                <w:p w14:paraId="29C4E1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污染物产生浓度（mg/L）</w:t>
                  </w:r>
                </w:p>
              </w:tc>
              <w:tc>
                <w:tcPr>
                  <w:tcW w:w="739" w:type="pct"/>
                  <w:tcBorders>
                    <w:tl2br w:val="nil"/>
                    <w:tr2bl w:val="nil"/>
                  </w:tcBorders>
                  <w:noWrap w:val="0"/>
                  <w:vAlign w:val="center"/>
                </w:tcPr>
                <w:p w14:paraId="769A6A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400</w:t>
                  </w:r>
                </w:p>
              </w:tc>
              <w:tc>
                <w:tcPr>
                  <w:tcW w:w="785" w:type="pct"/>
                  <w:tcBorders>
                    <w:tl2br w:val="nil"/>
                    <w:tr2bl w:val="nil"/>
                  </w:tcBorders>
                  <w:noWrap w:val="0"/>
                  <w:vAlign w:val="center"/>
                </w:tcPr>
                <w:p w14:paraId="38042C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200</w:t>
                  </w:r>
                </w:p>
              </w:tc>
              <w:tc>
                <w:tcPr>
                  <w:tcW w:w="739" w:type="pct"/>
                  <w:tcBorders>
                    <w:tl2br w:val="nil"/>
                    <w:tr2bl w:val="nil"/>
                  </w:tcBorders>
                  <w:noWrap w:val="0"/>
                  <w:vAlign w:val="center"/>
                </w:tcPr>
                <w:p w14:paraId="125628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2</w:t>
                  </w:r>
                  <w:r>
                    <w:rPr>
                      <w:rFonts w:hint="eastAsia" w:ascii="Times New Roman" w:hAnsi="Times New Roman" w:eastAsia="宋体" w:cs="Times New Roman"/>
                      <w:color w:val="auto"/>
                      <w:kern w:val="0"/>
                      <w:sz w:val="21"/>
                      <w:szCs w:val="20"/>
                      <w:highlight w:val="none"/>
                      <w:lang w:val="en-US" w:eastAsia="zh-CN" w:bidi="ar-SA"/>
                    </w:rPr>
                    <w:t>2</w:t>
                  </w:r>
                  <w:r>
                    <w:rPr>
                      <w:rFonts w:hint="default" w:ascii="Times New Roman" w:hAnsi="Times New Roman" w:eastAsia="宋体" w:cs="Times New Roman"/>
                      <w:color w:val="auto"/>
                      <w:kern w:val="0"/>
                      <w:sz w:val="21"/>
                      <w:szCs w:val="20"/>
                      <w:highlight w:val="none"/>
                      <w:lang w:val="en-US" w:eastAsia="zh-CN" w:bidi="ar-SA"/>
                    </w:rPr>
                    <w:t>0</w:t>
                  </w:r>
                </w:p>
              </w:tc>
              <w:tc>
                <w:tcPr>
                  <w:tcW w:w="763" w:type="pct"/>
                  <w:tcBorders>
                    <w:tl2br w:val="nil"/>
                    <w:tr2bl w:val="nil"/>
                  </w:tcBorders>
                  <w:noWrap w:val="0"/>
                  <w:vAlign w:val="center"/>
                </w:tcPr>
                <w:p w14:paraId="26561C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35</w:t>
                  </w:r>
                </w:p>
              </w:tc>
            </w:tr>
            <w:tr w14:paraId="7421BC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8" w:type="pct"/>
                  <w:vMerge w:val="continue"/>
                  <w:tcBorders>
                    <w:tl2br w:val="nil"/>
                    <w:tr2bl w:val="nil"/>
                  </w:tcBorders>
                  <w:noWrap w:val="0"/>
                  <w:vAlign w:val="center"/>
                </w:tcPr>
                <w:p w14:paraId="3C7CE2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1243" w:type="pct"/>
                  <w:tcBorders>
                    <w:tl2br w:val="nil"/>
                    <w:tr2bl w:val="nil"/>
                  </w:tcBorders>
                  <w:noWrap w:val="0"/>
                  <w:vAlign w:val="center"/>
                </w:tcPr>
                <w:p w14:paraId="4CCE72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污染物产生量（t/a）</w:t>
                  </w:r>
                </w:p>
              </w:tc>
              <w:tc>
                <w:tcPr>
                  <w:tcW w:w="739" w:type="pct"/>
                  <w:tcBorders>
                    <w:tl2br w:val="nil"/>
                    <w:tr2bl w:val="nil"/>
                  </w:tcBorders>
                  <w:noWrap w:val="0"/>
                  <w:vAlign w:val="center"/>
                </w:tcPr>
                <w:p w14:paraId="532EB5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0.832</w:t>
                  </w:r>
                </w:p>
              </w:tc>
              <w:tc>
                <w:tcPr>
                  <w:tcW w:w="785" w:type="pct"/>
                  <w:tcBorders>
                    <w:tl2br w:val="nil"/>
                    <w:tr2bl w:val="nil"/>
                  </w:tcBorders>
                  <w:noWrap w:val="0"/>
                  <w:vAlign w:val="center"/>
                </w:tcPr>
                <w:p w14:paraId="45241E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0.416</w:t>
                  </w:r>
                </w:p>
              </w:tc>
              <w:tc>
                <w:tcPr>
                  <w:tcW w:w="739" w:type="pct"/>
                  <w:tcBorders>
                    <w:tl2br w:val="nil"/>
                    <w:tr2bl w:val="nil"/>
                  </w:tcBorders>
                  <w:noWrap w:val="0"/>
                  <w:vAlign w:val="center"/>
                </w:tcPr>
                <w:p w14:paraId="64A868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0.4576</w:t>
                  </w:r>
                </w:p>
              </w:tc>
              <w:tc>
                <w:tcPr>
                  <w:tcW w:w="763" w:type="pct"/>
                  <w:tcBorders>
                    <w:tl2br w:val="nil"/>
                    <w:tr2bl w:val="nil"/>
                  </w:tcBorders>
                  <w:noWrap w:val="0"/>
                  <w:vAlign w:val="center"/>
                </w:tcPr>
                <w:p w14:paraId="7DD0F5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0.0728</w:t>
                  </w:r>
                </w:p>
              </w:tc>
            </w:tr>
            <w:tr w14:paraId="30D702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8" w:type="pct"/>
                  <w:tcBorders>
                    <w:tl2br w:val="nil"/>
                    <w:tr2bl w:val="nil"/>
                  </w:tcBorders>
                  <w:noWrap w:val="0"/>
                  <w:vAlign w:val="center"/>
                </w:tcPr>
                <w:p w14:paraId="7AA685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处理措施</w:t>
                  </w:r>
                </w:p>
              </w:tc>
              <w:tc>
                <w:tcPr>
                  <w:tcW w:w="4271" w:type="pct"/>
                  <w:gridSpan w:val="5"/>
                  <w:tcBorders>
                    <w:tl2br w:val="nil"/>
                    <w:tr2bl w:val="nil"/>
                  </w:tcBorders>
                  <w:noWrap w:val="0"/>
                  <w:vAlign w:val="center"/>
                </w:tcPr>
                <w:p w14:paraId="5A49CB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生活污水</w:t>
                  </w:r>
                  <w:r>
                    <w:rPr>
                      <w:rFonts w:hint="eastAsia" w:ascii="Times New Roman" w:hAnsi="Times New Roman" w:eastAsia="宋体" w:cs="Times New Roman"/>
                      <w:color w:val="auto"/>
                      <w:kern w:val="0"/>
                      <w:sz w:val="21"/>
                      <w:szCs w:val="20"/>
                      <w:highlight w:val="none"/>
                      <w:lang w:val="en-US" w:eastAsia="zh-CN" w:bidi="ar-SA"/>
                    </w:rPr>
                    <w:t>通过</w:t>
                  </w:r>
                  <w:r>
                    <w:rPr>
                      <w:rFonts w:hint="default" w:ascii="Times New Roman" w:hAnsi="Times New Roman" w:eastAsia="宋体" w:cs="Times New Roman"/>
                      <w:color w:val="auto"/>
                      <w:kern w:val="0"/>
                      <w:sz w:val="21"/>
                      <w:szCs w:val="20"/>
                      <w:highlight w:val="none"/>
                      <w:lang w:val="en-US" w:eastAsia="zh-CN" w:bidi="ar-SA"/>
                    </w:rPr>
                    <w:t>化粪池处理达标后排入市政管网，纳</w:t>
                  </w:r>
                  <w:r>
                    <w:rPr>
                      <w:rFonts w:hint="eastAsia" w:ascii="Times New Roman" w:hAnsi="Times New Roman" w:eastAsia="宋体" w:cs="Times New Roman"/>
                      <w:color w:val="auto"/>
                      <w:kern w:val="0"/>
                      <w:sz w:val="21"/>
                      <w:szCs w:val="20"/>
                      <w:highlight w:val="none"/>
                      <w:lang w:val="en-US" w:eastAsia="zh-CN" w:bidi="ar-SA"/>
                    </w:rPr>
                    <w:t>大学城</w:t>
                  </w:r>
                  <w:r>
                    <w:rPr>
                      <w:rFonts w:hint="default" w:ascii="Times New Roman" w:hAnsi="Times New Roman" w:eastAsia="宋体" w:cs="Times New Roman"/>
                      <w:color w:val="auto"/>
                      <w:kern w:val="0"/>
                      <w:sz w:val="21"/>
                      <w:szCs w:val="20"/>
                      <w:highlight w:val="none"/>
                      <w:lang w:val="en-US" w:eastAsia="zh-CN" w:bidi="ar-SA"/>
                    </w:rPr>
                    <w:t>污水处理厂</w:t>
                  </w:r>
                </w:p>
              </w:tc>
            </w:tr>
            <w:tr w14:paraId="3E6B31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8" w:type="pct"/>
                  <w:tcBorders>
                    <w:tl2br w:val="nil"/>
                    <w:tr2bl w:val="nil"/>
                  </w:tcBorders>
                  <w:noWrap w:val="0"/>
                  <w:vAlign w:val="center"/>
                </w:tcPr>
                <w:p w14:paraId="6402F5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化粪池处理效率</w:t>
                  </w:r>
                </w:p>
              </w:tc>
              <w:tc>
                <w:tcPr>
                  <w:tcW w:w="1243" w:type="pct"/>
                  <w:tcBorders>
                    <w:tl2br w:val="nil"/>
                    <w:tr2bl w:val="nil"/>
                  </w:tcBorders>
                  <w:noWrap w:val="0"/>
                  <w:vAlign w:val="center"/>
                </w:tcPr>
                <w:p w14:paraId="7658DF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w:t>
                  </w:r>
                </w:p>
              </w:tc>
              <w:tc>
                <w:tcPr>
                  <w:tcW w:w="739" w:type="pct"/>
                  <w:tcBorders>
                    <w:tl2br w:val="nil"/>
                    <w:tr2bl w:val="nil"/>
                  </w:tcBorders>
                  <w:noWrap w:val="0"/>
                  <w:vAlign w:val="center"/>
                </w:tcPr>
                <w:p w14:paraId="5ADB86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20%</w:t>
                  </w:r>
                </w:p>
              </w:tc>
              <w:tc>
                <w:tcPr>
                  <w:tcW w:w="785" w:type="pct"/>
                  <w:tcBorders>
                    <w:tl2br w:val="nil"/>
                    <w:tr2bl w:val="nil"/>
                  </w:tcBorders>
                  <w:noWrap w:val="0"/>
                  <w:vAlign w:val="center"/>
                </w:tcPr>
                <w:p w14:paraId="526700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15%</w:t>
                  </w:r>
                </w:p>
              </w:tc>
              <w:tc>
                <w:tcPr>
                  <w:tcW w:w="739" w:type="pct"/>
                  <w:tcBorders>
                    <w:tl2br w:val="nil"/>
                    <w:tr2bl w:val="nil"/>
                  </w:tcBorders>
                  <w:noWrap w:val="0"/>
                  <w:vAlign w:val="center"/>
                </w:tcPr>
                <w:p w14:paraId="225F28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30%</w:t>
                  </w:r>
                </w:p>
              </w:tc>
              <w:tc>
                <w:tcPr>
                  <w:tcW w:w="763" w:type="pct"/>
                  <w:tcBorders>
                    <w:tl2br w:val="nil"/>
                    <w:tr2bl w:val="nil"/>
                  </w:tcBorders>
                  <w:noWrap w:val="0"/>
                  <w:vAlign w:val="center"/>
                </w:tcPr>
                <w:p w14:paraId="30F18A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0%</w:t>
                  </w:r>
                </w:p>
              </w:tc>
            </w:tr>
            <w:tr w14:paraId="6CE404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8" w:type="pct"/>
                  <w:vMerge w:val="restart"/>
                  <w:tcBorders>
                    <w:tl2br w:val="nil"/>
                    <w:tr2bl w:val="nil"/>
                  </w:tcBorders>
                  <w:noWrap w:val="0"/>
                  <w:vAlign w:val="center"/>
                </w:tcPr>
                <w:p w14:paraId="68D402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生活污水</w:t>
                  </w:r>
                  <w:r>
                    <w:rPr>
                      <w:rFonts w:hint="eastAsia" w:ascii="Times New Roman" w:hAnsi="Times New Roman" w:eastAsia="宋体" w:cs="Times New Roman"/>
                      <w:color w:val="auto"/>
                      <w:kern w:val="0"/>
                      <w:sz w:val="21"/>
                      <w:szCs w:val="20"/>
                      <w:lang w:val="en-US" w:eastAsia="zh-CN" w:bidi="ar-SA"/>
                    </w:rPr>
                    <w:t>+</w:t>
                  </w:r>
                  <w:r>
                    <w:rPr>
                      <w:rFonts w:hint="eastAsia" w:cs="Times New Roman"/>
                      <w:color w:val="auto"/>
                      <w:kern w:val="0"/>
                      <w:sz w:val="21"/>
                      <w:szCs w:val="20"/>
                      <w:lang w:val="en-US" w:eastAsia="zh-CN" w:bidi="ar-SA"/>
                    </w:rPr>
                    <w:t>非</w:t>
                  </w:r>
                  <w:r>
                    <w:rPr>
                      <w:rFonts w:hint="eastAsia" w:ascii="Times New Roman" w:hAnsi="Times New Roman" w:eastAsia="宋体" w:cs="Times New Roman"/>
                      <w:color w:val="auto"/>
                      <w:kern w:val="0"/>
                      <w:sz w:val="21"/>
                      <w:szCs w:val="20"/>
                      <w:lang w:val="en-US" w:eastAsia="zh-CN" w:bidi="ar-SA"/>
                    </w:rPr>
                    <w:t>纯净</w:t>
                  </w:r>
                  <w:r>
                    <w:rPr>
                      <w:rFonts w:hint="eastAsia" w:cs="Times New Roman"/>
                      <w:color w:val="auto"/>
                      <w:kern w:val="0"/>
                      <w:sz w:val="21"/>
                      <w:szCs w:val="20"/>
                      <w:lang w:val="en-US" w:eastAsia="zh-CN" w:bidi="ar-SA"/>
                    </w:rPr>
                    <w:t>水+纯净废水</w:t>
                  </w:r>
                  <w:r>
                    <w:rPr>
                      <w:rFonts w:hint="eastAsia" w:ascii="Times New Roman" w:hAnsi="Times New Roman" w:eastAsia="宋体" w:cs="Times New Roman"/>
                      <w:color w:val="auto"/>
                      <w:kern w:val="0"/>
                      <w:sz w:val="21"/>
                      <w:szCs w:val="20"/>
                      <w:highlight w:val="none"/>
                      <w:lang w:val="en-US" w:eastAsia="zh-CN" w:bidi="ar-SA"/>
                    </w:rPr>
                    <w:t>（</w:t>
                  </w:r>
                  <w:r>
                    <w:rPr>
                      <w:rFonts w:hint="eastAsia" w:cs="Times New Roman"/>
                      <w:color w:val="auto"/>
                      <w:kern w:val="0"/>
                      <w:sz w:val="21"/>
                      <w:szCs w:val="20"/>
                      <w:highlight w:val="none"/>
                      <w:lang w:val="en-US" w:eastAsia="zh-CN" w:bidi="ar-SA"/>
                    </w:rPr>
                    <w:t>4482</w:t>
                  </w:r>
                  <w:r>
                    <w:rPr>
                      <w:rFonts w:hint="eastAsia" w:ascii="Times New Roman" w:hAnsi="Times New Roman" w:eastAsia="宋体" w:cs="Times New Roman"/>
                      <w:color w:val="auto"/>
                      <w:kern w:val="0"/>
                      <w:sz w:val="21"/>
                      <w:szCs w:val="20"/>
                      <w:highlight w:val="none"/>
                      <w:lang w:val="en-US" w:eastAsia="zh-CN" w:bidi="ar-SA"/>
                    </w:rPr>
                    <w:t>t/a）</w:t>
                  </w:r>
                </w:p>
              </w:tc>
              <w:tc>
                <w:tcPr>
                  <w:tcW w:w="1243" w:type="pct"/>
                  <w:tcBorders>
                    <w:tl2br w:val="nil"/>
                    <w:tr2bl w:val="nil"/>
                  </w:tcBorders>
                  <w:noWrap w:val="0"/>
                  <w:vAlign w:val="center"/>
                </w:tcPr>
                <w:p w14:paraId="58FC6E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经化粪池处理后废水排放浓度（mg/L）</w:t>
                  </w:r>
                </w:p>
              </w:tc>
              <w:tc>
                <w:tcPr>
                  <w:tcW w:w="739" w:type="pct"/>
                  <w:tcBorders>
                    <w:tl2br w:val="nil"/>
                    <w:tr2bl w:val="nil"/>
                  </w:tcBorders>
                  <w:noWrap w:val="0"/>
                  <w:vAlign w:val="center"/>
                </w:tcPr>
                <w:p w14:paraId="55A4F7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320</w:t>
                  </w:r>
                </w:p>
              </w:tc>
              <w:tc>
                <w:tcPr>
                  <w:tcW w:w="785" w:type="pct"/>
                  <w:tcBorders>
                    <w:tl2br w:val="nil"/>
                    <w:tr2bl w:val="nil"/>
                  </w:tcBorders>
                  <w:noWrap w:val="0"/>
                  <w:vAlign w:val="center"/>
                </w:tcPr>
                <w:p w14:paraId="79B0B8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170</w:t>
                  </w:r>
                </w:p>
              </w:tc>
              <w:tc>
                <w:tcPr>
                  <w:tcW w:w="739" w:type="pct"/>
                  <w:tcBorders>
                    <w:tl2br w:val="nil"/>
                    <w:tr2bl w:val="nil"/>
                  </w:tcBorders>
                  <w:noWrap w:val="0"/>
                  <w:vAlign w:val="center"/>
                </w:tcPr>
                <w:p w14:paraId="56E38E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154</w:t>
                  </w:r>
                </w:p>
              </w:tc>
              <w:tc>
                <w:tcPr>
                  <w:tcW w:w="763" w:type="pct"/>
                  <w:tcBorders>
                    <w:tl2br w:val="nil"/>
                    <w:tr2bl w:val="nil"/>
                  </w:tcBorders>
                  <w:noWrap w:val="0"/>
                  <w:vAlign w:val="center"/>
                </w:tcPr>
                <w:p w14:paraId="3ECA5C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35</w:t>
                  </w:r>
                </w:p>
              </w:tc>
            </w:tr>
            <w:tr w14:paraId="52C2B7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8" w:type="pct"/>
                  <w:vMerge w:val="continue"/>
                  <w:tcBorders>
                    <w:tl2br w:val="nil"/>
                    <w:tr2bl w:val="nil"/>
                  </w:tcBorders>
                  <w:noWrap w:val="0"/>
                  <w:vAlign w:val="center"/>
                </w:tcPr>
                <w:p w14:paraId="777513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1243" w:type="pct"/>
                  <w:tcBorders>
                    <w:tl2br w:val="nil"/>
                    <w:tr2bl w:val="nil"/>
                  </w:tcBorders>
                  <w:noWrap w:val="0"/>
                  <w:vAlign w:val="center"/>
                </w:tcPr>
                <w:p w14:paraId="44FFF0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经化粪池处理后污染物产生量（t/a）</w:t>
                  </w:r>
                </w:p>
              </w:tc>
              <w:tc>
                <w:tcPr>
                  <w:tcW w:w="739" w:type="pct"/>
                  <w:tcBorders>
                    <w:tl2br w:val="nil"/>
                    <w:tr2bl w:val="nil"/>
                  </w:tcBorders>
                  <w:noWrap w:val="0"/>
                  <w:vAlign w:val="center"/>
                </w:tcPr>
                <w:p w14:paraId="6D5CBD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0.6656</w:t>
                  </w:r>
                </w:p>
              </w:tc>
              <w:tc>
                <w:tcPr>
                  <w:tcW w:w="785" w:type="pct"/>
                  <w:tcBorders>
                    <w:tl2br w:val="nil"/>
                    <w:tr2bl w:val="nil"/>
                  </w:tcBorders>
                  <w:noWrap w:val="0"/>
                  <w:vAlign w:val="center"/>
                </w:tcPr>
                <w:p w14:paraId="2D4AA3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0.3536</w:t>
                  </w:r>
                </w:p>
              </w:tc>
              <w:tc>
                <w:tcPr>
                  <w:tcW w:w="739" w:type="pct"/>
                  <w:tcBorders>
                    <w:tl2br w:val="nil"/>
                    <w:tr2bl w:val="nil"/>
                  </w:tcBorders>
                  <w:noWrap w:val="0"/>
                  <w:vAlign w:val="center"/>
                </w:tcPr>
                <w:p w14:paraId="1CD2DC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0.3203</w:t>
                  </w:r>
                </w:p>
              </w:tc>
              <w:tc>
                <w:tcPr>
                  <w:tcW w:w="763" w:type="pct"/>
                  <w:tcBorders>
                    <w:tl2br w:val="nil"/>
                    <w:tr2bl w:val="nil"/>
                  </w:tcBorders>
                  <w:noWrap w:val="0"/>
                  <w:vAlign w:val="center"/>
                </w:tcPr>
                <w:p w14:paraId="4799BE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0.0728</w:t>
                  </w:r>
                </w:p>
              </w:tc>
            </w:tr>
          </w:tbl>
          <w:p w14:paraId="3783273A">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highlight w:val="none"/>
                <w:lang w:val="en-US" w:eastAsia="zh-CN" w:bidi="ar-SA"/>
              </w:rPr>
            </w:pPr>
            <w:r>
              <w:rPr>
                <w:rFonts w:hint="eastAsia" w:ascii="Times New Roman" w:hAnsi="Times New Roman" w:eastAsia="宋体" w:cs="Times New Roman"/>
                <w:b/>
                <w:color w:val="auto"/>
                <w:kern w:val="0"/>
                <w:sz w:val="24"/>
                <w:szCs w:val="20"/>
                <w:highlight w:val="none"/>
                <w:lang w:val="en-US" w:eastAsia="zh-CN" w:bidi="ar-SA"/>
              </w:rPr>
              <w:t>表4.1-2运营期生产废水产生排放情况</w:t>
            </w:r>
          </w:p>
          <w:tbl>
            <w:tblPr>
              <w:tblStyle w:val="18"/>
              <w:tblW w:w="8172" w:type="dxa"/>
              <w:tblInd w:w="-2"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67"/>
              <w:gridCol w:w="1126"/>
              <w:gridCol w:w="1349"/>
              <w:gridCol w:w="1609"/>
              <w:gridCol w:w="1609"/>
              <w:gridCol w:w="1612"/>
            </w:tblGrid>
            <w:tr w14:paraId="320C89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530" w:type="pct"/>
                  <w:tcBorders>
                    <w:tl2br w:val="nil"/>
                    <w:tr2bl w:val="nil"/>
                  </w:tcBorders>
                  <w:noWrap w:val="0"/>
                  <w:vAlign w:val="center"/>
                </w:tcPr>
                <w:p w14:paraId="073254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废水量</w:t>
                  </w:r>
                </w:p>
              </w:tc>
              <w:tc>
                <w:tcPr>
                  <w:tcW w:w="688" w:type="pct"/>
                  <w:tcBorders>
                    <w:tl2br w:val="nil"/>
                    <w:tr2bl w:val="nil"/>
                  </w:tcBorders>
                  <w:noWrap w:val="0"/>
                  <w:vAlign w:val="center"/>
                </w:tcPr>
                <w:p w14:paraId="19112B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项目</w:t>
                  </w:r>
                </w:p>
              </w:tc>
              <w:tc>
                <w:tcPr>
                  <w:tcW w:w="825" w:type="pct"/>
                  <w:tcBorders>
                    <w:tl2br w:val="nil"/>
                    <w:tr2bl w:val="nil"/>
                  </w:tcBorders>
                  <w:noWrap w:val="0"/>
                  <w:vAlign w:val="center"/>
                </w:tcPr>
                <w:p w14:paraId="5E52A5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COD</w:t>
                  </w:r>
                  <w:r>
                    <w:rPr>
                      <w:rFonts w:hint="default" w:ascii="Times New Roman" w:hAnsi="Times New Roman" w:eastAsia="宋体" w:cs="Times New Roman"/>
                      <w:b/>
                      <w:bCs/>
                      <w:color w:val="auto"/>
                      <w:kern w:val="0"/>
                      <w:sz w:val="21"/>
                      <w:szCs w:val="20"/>
                      <w:highlight w:val="none"/>
                      <w:vertAlign w:val="subscript"/>
                      <w:lang w:val="en-US" w:eastAsia="zh-CN" w:bidi="ar-SA"/>
                    </w:rPr>
                    <w:t>cr</w:t>
                  </w:r>
                </w:p>
              </w:tc>
              <w:tc>
                <w:tcPr>
                  <w:tcW w:w="984" w:type="pct"/>
                  <w:tcBorders>
                    <w:tl2br w:val="nil"/>
                    <w:tr2bl w:val="nil"/>
                  </w:tcBorders>
                  <w:noWrap w:val="0"/>
                  <w:vAlign w:val="center"/>
                </w:tcPr>
                <w:p w14:paraId="14E65B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NH</w:t>
                  </w:r>
                  <w:r>
                    <w:rPr>
                      <w:rFonts w:hint="default" w:ascii="Times New Roman" w:hAnsi="Times New Roman" w:eastAsia="宋体" w:cs="Times New Roman"/>
                      <w:b/>
                      <w:bCs/>
                      <w:color w:val="auto"/>
                      <w:kern w:val="0"/>
                      <w:sz w:val="21"/>
                      <w:szCs w:val="20"/>
                      <w:highlight w:val="none"/>
                      <w:vertAlign w:val="subscript"/>
                      <w:lang w:val="en-US" w:eastAsia="zh-CN" w:bidi="ar-SA"/>
                    </w:rPr>
                    <w:t>3</w:t>
                  </w:r>
                  <w:r>
                    <w:rPr>
                      <w:rFonts w:hint="default" w:ascii="Times New Roman" w:hAnsi="Times New Roman" w:eastAsia="宋体" w:cs="Times New Roman"/>
                      <w:b/>
                      <w:bCs/>
                      <w:color w:val="auto"/>
                      <w:kern w:val="0"/>
                      <w:sz w:val="21"/>
                      <w:szCs w:val="20"/>
                      <w:highlight w:val="none"/>
                      <w:lang w:val="en-US" w:eastAsia="zh-CN" w:bidi="ar-SA"/>
                    </w:rPr>
                    <w:t>-N</w:t>
                  </w:r>
                </w:p>
              </w:tc>
              <w:tc>
                <w:tcPr>
                  <w:tcW w:w="984" w:type="pct"/>
                  <w:tcBorders>
                    <w:tl2br w:val="nil"/>
                    <w:tr2bl w:val="nil"/>
                  </w:tcBorders>
                  <w:noWrap w:val="0"/>
                  <w:vAlign w:val="center"/>
                </w:tcPr>
                <w:p w14:paraId="46B54F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eastAsia" w:cs="Times New Roman"/>
                      <w:b/>
                      <w:bCs/>
                      <w:color w:val="auto"/>
                      <w:kern w:val="0"/>
                      <w:sz w:val="21"/>
                      <w:szCs w:val="20"/>
                      <w:highlight w:val="none"/>
                      <w:lang w:val="en-US" w:eastAsia="zh-CN" w:bidi="ar-SA"/>
                    </w:rPr>
                    <w:t>SS</w:t>
                  </w:r>
                </w:p>
              </w:tc>
              <w:tc>
                <w:tcPr>
                  <w:tcW w:w="986" w:type="pct"/>
                  <w:tcBorders>
                    <w:tl2br w:val="nil"/>
                    <w:tr2bl w:val="nil"/>
                  </w:tcBorders>
                  <w:noWrap w:val="0"/>
                  <w:vAlign w:val="center"/>
                </w:tcPr>
                <w:p w14:paraId="062D4F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eastAsia"/>
                      <w:b/>
                      <w:bCs/>
                      <w:color w:val="auto"/>
                      <w:lang w:val="en-US" w:eastAsia="zh-CN"/>
                    </w:rPr>
                    <w:t>LAS</w:t>
                  </w:r>
                </w:p>
              </w:tc>
            </w:tr>
            <w:tr w14:paraId="2CEA56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530" w:type="pct"/>
                  <w:vMerge w:val="restart"/>
                  <w:tcBorders>
                    <w:tl2br w:val="nil"/>
                    <w:tr2bl w:val="nil"/>
                  </w:tcBorders>
                  <w:noWrap w:val="0"/>
                  <w:vAlign w:val="center"/>
                </w:tcPr>
                <w:p w14:paraId="18A8EE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生产废水</w:t>
                  </w:r>
                  <w:r>
                    <w:rPr>
                      <w:rFonts w:hint="eastAsia" w:cs="Times New Roman"/>
                      <w:color w:val="auto"/>
                      <w:kern w:val="0"/>
                      <w:sz w:val="21"/>
                      <w:szCs w:val="20"/>
                      <w:highlight w:val="none"/>
                      <w:lang w:val="en-US" w:eastAsia="zh-CN" w:bidi="ar-SA"/>
                    </w:rPr>
                    <w:t>1900</w:t>
                  </w:r>
                  <w:r>
                    <w:rPr>
                      <w:rFonts w:hint="eastAsia" w:ascii="Times New Roman" w:hAnsi="Times New Roman" w:eastAsia="宋体" w:cs="Times New Roman"/>
                      <w:color w:val="auto"/>
                      <w:kern w:val="0"/>
                      <w:sz w:val="21"/>
                      <w:szCs w:val="20"/>
                      <w:highlight w:val="none"/>
                      <w:lang w:val="en-US" w:eastAsia="zh-CN" w:bidi="ar-SA"/>
                    </w:rPr>
                    <w:t>t/a</w:t>
                  </w:r>
                </w:p>
              </w:tc>
              <w:tc>
                <w:tcPr>
                  <w:tcW w:w="688" w:type="pct"/>
                  <w:tcBorders>
                    <w:tl2br w:val="nil"/>
                    <w:tr2bl w:val="nil"/>
                  </w:tcBorders>
                  <w:noWrap w:val="0"/>
                  <w:vAlign w:val="center"/>
                </w:tcPr>
                <w:p w14:paraId="2B4B32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产生</w:t>
                  </w:r>
                  <w:r>
                    <w:rPr>
                      <w:rFonts w:hint="default" w:ascii="Times New Roman" w:hAnsi="Times New Roman" w:eastAsia="宋体" w:cs="Times New Roman"/>
                      <w:color w:val="auto"/>
                      <w:kern w:val="0"/>
                      <w:sz w:val="21"/>
                      <w:szCs w:val="20"/>
                      <w:highlight w:val="none"/>
                      <w:lang w:val="en-US" w:eastAsia="zh-CN" w:bidi="ar-SA"/>
                    </w:rPr>
                    <w:t>浓度（mg/L）</w:t>
                  </w:r>
                </w:p>
              </w:tc>
              <w:tc>
                <w:tcPr>
                  <w:tcW w:w="825" w:type="pct"/>
                  <w:tcBorders>
                    <w:tl2br w:val="nil"/>
                    <w:tr2bl w:val="nil"/>
                  </w:tcBorders>
                  <w:noWrap w:val="0"/>
                  <w:vAlign w:val="center"/>
                </w:tcPr>
                <w:p w14:paraId="5CCAC9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144.301</w:t>
                  </w:r>
                </w:p>
              </w:tc>
              <w:tc>
                <w:tcPr>
                  <w:tcW w:w="984" w:type="pct"/>
                  <w:tcBorders>
                    <w:tl2br w:val="nil"/>
                    <w:tr2bl w:val="nil"/>
                  </w:tcBorders>
                  <w:noWrap w:val="0"/>
                  <w:vAlign w:val="center"/>
                </w:tcPr>
                <w:p w14:paraId="0D1CA5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5.914</w:t>
                  </w:r>
                </w:p>
              </w:tc>
              <w:tc>
                <w:tcPr>
                  <w:tcW w:w="984" w:type="pct"/>
                  <w:tcBorders>
                    <w:tl2br w:val="nil"/>
                    <w:tr2bl w:val="nil"/>
                  </w:tcBorders>
                  <w:noWrap w:val="0"/>
                  <w:vAlign w:val="center"/>
                </w:tcPr>
                <w:p w14:paraId="17D993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138</w:t>
                  </w:r>
                </w:p>
              </w:tc>
              <w:tc>
                <w:tcPr>
                  <w:tcW w:w="986" w:type="pct"/>
                  <w:tcBorders>
                    <w:tl2br w:val="nil"/>
                    <w:tr2bl w:val="nil"/>
                  </w:tcBorders>
                  <w:noWrap w:val="0"/>
                  <w:vAlign w:val="center"/>
                </w:tcPr>
                <w:p w14:paraId="2C87A7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1.32</w:t>
                  </w:r>
                </w:p>
              </w:tc>
            </w:tr>
            <w:tr w14:paraId="2CF41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530" w:type="pct"/>
                  <w:vMerge w:val="continue"/>
                  <w:tcBorders>
                    <w:tl2br w:val="nil"/>
                    <w:tr2bl w:val="nil"/>
                  </w:tcBorders>
                  <w:noWrap w:val="0"/>
                  <w:vAlign w:val="center"/>
                </w:tcPr>
                <w:p w14:paraId="4BC7D0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688" w:type="pct"/>
                  <w:tcBorders>
                    <w:tl2br w:val="nil"/>
                    <w:tr2bl w:val="nil"/>
                  </w:tcBorders>
                  <w:noWrap w:val="0"/>
                  <w:vAlign w:val="center"/>
                </w:tcPr>
                <w:p w14:paraId="04D14E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产生</w:t>
                  </w:r>
                  <w:r>
                    <w:rPr>
                      <w:rFonts w:hint="default" w:ascii="Times New Roman" w:hAnsi="Times New Roman" w:eastAsia="宋体" w:cs="Times New Roman"/>
                      <w:color w:val="auto"/>
                      <w:kern w:val="0"/>
                      <w:sz w:val="21"/>
                      <w:szCs w:val="20"/>
                      <w:highlight w:val="none"/>
                      <w:lang w:val="en-US" w:eastAsia="zh-CN" w:bidi="ar-SA"/>
                    </w:rPr>
                    <w:t>量（t/a）</w:t>
                  </w:r>
                </w:p>
              </w:tc>
              <w:tc>
                <w:tcPr>
                  <w:tcW w:w="825" w:type="pct"/>
                  <w:tcBorders>
                    <w:tl2br w:val="nil"/>
                    <w:tr2bl w:val="nil"/>
                  </w:tcBorders>
                  <w:noWrap w:val="0"/>
                  <w:vAlign w:val="center"/>
                </w:tcPr>
                <w:p w14:paraId="5A27F9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0.2742</w:t>
                  </w:r>
                </w:p>
              </w:tc>
              <w:tc>
                <w:tcPr>
                  <w:tcW w:w="984" w:type="pct"/>
                  <w:tcBorders>
                    <w:tl2br w:val="nil"/>
                    <w:tr2bl w:val="nil"/>
                  </w:tcBorders>
                  <w:noWrap w:val="0"/>
                  <w:vAlign w:val="center"/>
                </w:tcPr>
                <w:p w14:paraId="208F82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0.0112</w:t>
                  </w:r>
                </w:p>
              </w:tc>
              <w:tc>
                <w:tcPr>
                  <w:tcW w:w="984" w:type="pct"/>
                  <w:tcBorders>
                    <w:tl2br w:val="nil"/>
                    <w:tr2bl w:val="nil"/>
                  </w:tcBorders>
                  <w:noWrap w:val="0"/>
                  <w:vAlign w:val="center"/>
                </w:tcPr>
                <w:p w14:paraId="770127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0.2622</w:t>
                  </w:r>
                </w:p>
              </w:tc>
              <w:tc>
                <w:tcPr>
                  <w:tcW w:w="986" w:type="pct"/>
                  <w:tcBorders>
                    <w:tl2br w:val="nil"/>
                    <w:tr2bl w:val="nil"/>
                  </w:tcBorders>
                  <w:noWrap w:val="0"/>
                  <w:vAlign w:val="center"/>
                </w:tcPr>
                <w:p w14:paraId="3A4BB0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0.0025</w:t>
                  </w:r>
                </w:p>
              </w:tc>
            </w:tr>
            <w:tr w14:paraId="264910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530" w:type="pct"/>
                  <w:tcBorders>
                    <w:tl2br w:val="nil"/>
                    <w:tr2bl w:val="nil"/>
                  </w:tcBorders>
                  <w:noWrap w:val="0"/>
                  <w:vAlign w:val="center"/>
                </w:tcPr>
                <w:p w14:paraId="191938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处理措施</w:t>
                  </w:r>
                </w:p>
              </w:tc>
              <w:tc>
                <w:tcPr>
                  <w:tcW w:w="4469" w:type="pct"/>
                  <w:gridSpan w:val="5"/>
                  <w:tcBorders>
                    <w:tl2br w:val="nil"/>
                    <w:tr2bl w:val="nil"/>
                  </w:tcBorders>
                  <w:noWrap w:val="0"/>
                  <w:vAlign w:val="center"/>
                </w:tcPr>
                <w:p w14:paraId="6338CFEF">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olor w:val="auto"/>
                      <w:sz w:val="21"/>
                      <w:szCs w:val="21"/>
                      <w:lang w:val="en-US" w:eastAsia="zh-CN"/>
                    </w:rPr>
                    <w:t>抛光</w:t>
                  </w:r>
                  <w:r>
                    <w:rPr>
                      <w:rFonts w:hint="eastAsia" w:ascii="Times New Roman" w:hAnsi="Times New Roman" w:eastAsia="宋体"/>
                      <w:color w:val="auto"/>
                      <w:sz w:val="21"/>
                      <w:szCs w:val="21"/>
                      <w:lang w:val="en-US" w:eastAsia="zh-CN"/>
                    </w:rPr>
                    <w:t>、</w:t>
                  </w:r>
                  <w:r>
                    <w:rPr>
                      <w:rFonts w:hint="eastAsia"/>
                      <w:color w:val="auto"/>
                      <w:sz w:val="21"/>
                      <w:szCs w:val="21"/>
                      <w:lang w:val="en-US" w:eastAsia="zh-CN"/>
                    </w:rPr>
                    <w:t>切割、粗磨</w:t>
                  </w:r>
                  <w:r>
                    <w:rPr>
                      <w:rFonts w:hint="default" w:ascii="Times New Roman" w:hAnsi="Times New Roman" w:eastAsia="宋体"/>
                      <w:color w:val="auto"/>
                      <w:sz w:val="21"/>
                      <w:szCs w:val="21"/>
                      <w:lang w:val="en-US" w:eastAsia="zh-CN"/>
                    </w:rPr>
                    <w:t>废水经过</w:t>
                  </w:r>
                  <w:r>
                    <w:rPr>
                      <w:rFonts w:hint="eastAsia" w:ascii="Times New Roman" w:hAnsi="Times New Roman" w:eastAsia="宋体"/>
                      <w:color w:val="auto"/>
                      <w:sz w:val="21"/>
                      <w:szCs w:val="21"/>
                      <w:lang w:val="en-US" w:eastAsia="zh-CN"/>
                    </w:rPr>
                    <w:t>三格</w:t>
                  </w:r>
                  <w:r>
                    <w:rPr>
                      <w:rFonts w:hint="default" w:ascii="Times New Roman" w:hAnsi="Times New Roman" w:eastAsia="宋体"/>
                      <w:color w:val="auto"/>
                      <w:sz w:val="21"/>
                      <w:szCs w:val="21"/>
                      <w:lang w:val="en-US" w:eastAsia="zh-CN"/>
                    </w:rPr>
                    <w:t>沉淀</w:t>
                  </w:r>
                  <w:r>
                    <w:rPr>
                      <w:rFonts w:hint="eastAsia" w:ascii="Times New Roman" w:hAnsi="Times New Roman" w:eastAsia="宋体"/>
                      <w:color w:val="auto"/>
                      <w:sz w:val="21"/>
                      <w:szCs w:val="21"/>
                      <w:lang w:val="en-US" w:eastAsia="zh-CN"/>
                    </w:rPr>
                    <w:t>处理</w:t>
                  </w:r>
                  <w:r>
                    <w:rPr>
                      <w:rFonts w:hint="default" w:ascii="Times New Roman" w:hAnsi="Times New Roman" w:eastAsia="宋体"/>
                      <w:color w:val="auto"/>
                      <w:sz w:val="21"/>
                      <w:szCs w:val="21"/>
                      <w:lang w:val="en-US" w:eastAsia="zh-CN"/>
                    </w:rPr>
                    <w:t>后进入调节池，再经过</w:t>
                  </w:r>
                  <w:r>
                    <w:rPr>
                      <w:rFonts w:hint="eastAsia" w:ascii="Times New Roman" w:hAnsi="Times New Roman" w:eastAsia="宋体"/>
                      <w:color w:val="auto"/>
                      <w:sz w:val="21"/>
                      <w:szCs w:val="21"/>
                      <w:lang w:val="en-US" w:eastAsia="zh-CN"/>
                    </w:rPr>
                    <w:t>混凝沉淀</w:t>
                  </w:r>
                  <w:r>
                    <w:rPr>
                      <w:rFonts w:hint="default" w:ascii="Times New Roman" w:hAnsi="Times New Roman" w:eastAsia="宋体"/>
                      <w:color w:val="auto"/>
                      <w:sz w:val="21"/>
                      <w:szCs w:val="21"/>
                      <w:lang w:val="en-US" w:eastAsia="zh-CN"/>
                    </w:rPr>
                    <w:t>废水处理设施处理达标后排入市政管网，纳入大学城污水处理厂；</w:t>
                  </w:r>
                  <w:r>
                    <w:rPr>
                      <w:rFonts w:hint="eastAsia" w:ascii="Times New Roman" w:hAnsi="Times New Roman" w:eastAsia="宋体" w:cs="Times New Roman"/>
                      <w:color w:val="auto"/>
                      <w:sz w:val="21"/>
                      <w:szCs w:val="21"/>
                      <w:lang w:val="en-US" w:eastAsia="zh-CN"/>
                    </w:rPr>
                    <w:t>清洗</w:t>
                  </w:r>
                  <w:r>
                    <w:rPr>
                      <w:rFonts w:hint="default" w:ascii="Times New Roman" w:hAnsi="Times New Roman" w:eastAsia="宋体" w:cs="Times New Roman"/>
                      <w:color w:val="auto"/>
                      <w:sz w:val="21"/>
                      <w:szCs w:val="21"/>
                      <w:lang w:val="en-US" w:eastAsia="zh-CN"/>
                    </w:rPr>
                    <w:t>废水进</w:t>
                  </w:r>
                  <w:r>
                    <w:rPr>
                      <w:rFonts w:hint="default" w:ascii="Times New Roman" w:hAnsi="Times New Roman" w:eastAsia="宋体"/>
                      <w:color w:val="auto"/>
                      <w:sz w:val="21"/>
                      <w:szCs w:val="21"/>
                      <w:lang w:val="en-US" w:eastAsia="zh-CN"/>
                    </w:rPr>
                    <w:t>入</w:t>
                  </w:r>
                  <w:r>
                    <w:rPr>
                      <w:rFonts w:hint="eastAsia" w:ascii="Times New Roman" w:hAnsi="Times New Roman" w:eastAsia="宋体"/>
                      <w:color w:val="auto"/>
                      <w:sz w:val="21"/>
                      <w:szCs w:val="21"/>
                      <w:lang w:val="en-US" w:eastAsia="zh-CN"/>
                    </w:rPr>
                    <w:t>集水</w:t>
                  </w:r>
                  <w:r>
                    <w:rPr>
                      <w:rFonts w:hint="default" w:ascii="Times New Roman" w:hAnsi="Times New Roman" w:eastAsia="宋体"/>
                      <w:color w:val="auto"/>
                      <w:sz w:val="21"/>
                      <w:szCs w:val="21"/>
                      <w:lang w:val="en-US" w:eastAsia="zh-CN"/>
                    </w:rPr>
                    <w:t>调节池，再经过</w:t>
                  </w:r>
                  <w:r>
                    <w:rPr>
                      <w:rFonts w:hint="eastAsia" w:ascii="Times New Roman" w:hAnsi="Times New Roman" w:eastAsia="宋体"/>
                      <w:color w:val="auto"/>
                      <w:sz w:val="21"/>
                      <w:szCs w:val="21"/>
                      <w:lang w:val="en-US" w:eastAsia="zh-CN"/>
                    </w:rPr>
                    <w:t>混凝沉淀</w:t>
                  </w:r>
                  <w:r>
                    <w:rPr>
                      <w:rFonts w:hint="default" w:ascii="Times New Roman" w:hAnsi="Times New Roman" w:eastAsia="宋体"/>
                      <w:color w:val="auto"/>
                      <w:sz w:val="21"/>
                      <w:szCs w:val="21"/>
                      <w:lang w:val="en-US" w:eastAsia="zh-CN"/>
                    </w:rPr>
                    <w:t>废水处理设施处理达标后排入市政管网，纳入大学城污水处理厂</w:t>
                  </w:r>
                </w:p>
              </w:tc>
            </w:tr>
            <w:tr w14:paraId="273741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530" w:type="pct"/>
                  <w:vMerge w:val="restart"/>
                  <w:tcBorders>
                    <w:tl2br w:val="nil"/>
                    <w:tr2bl w:val="nil"/>
                  </w:tcBorders>
                  <w:noWrap w:val="0"/>
                  <w:vAlign w:val="center"/>
                </w:tcPr>
                <w:p w14:paraId="575D05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生产废水</w:t>
                  </w:r>
                  <w:r>
                    <w:rPr>
                      <w:rFonts w:hint="eastAsia" w:cs="Times New Roman"/>
                      <w:color w:val="auto"/>
                      <w:kern w:val="0"/>
                      <w:sz w:val="21"/>
                      <w:szCs w:val="20"/>
                      <w:highlight w:val="none"/>
                      <w:lang w:val="en-US" w:eastAsia="zh-CN" w:bidi="ar-SA"/>
                    </w:rPr>
                    <w:t>1900</w:t>
                  </w:r>
                  <w:r>
                    <w:rPr>
                      <w:rFonts w:hint="eastAsia" w:ascii="Times New Roman" w:hAnsi="Times New Roman" w:eastAsia="宋体" w:cs="Times New Roman"/>
                      <w:color w:val="auto"/>
                      <w:kern w:val="0"/>
                      <w:sz w:val="21"/>
                      <w:szCs w:val="20"/>
                      <w:highlight w:val="none"/>
                      <w:lang w:val="en-US" w:eastAsia="zh-CN" w:bidi="ar-SA"/>
                    </w:rPr>
                    <w:t>t/a</w:t>
                  </w:r>
                </w:p>
              </w:tc>
              <w:tc>
                <w:tcPr>
                  <w:tcW w:w="688" w:type="pct"/>
                  <w:tcBorders>
                    <w:tl2br w:val="nil"/>
                    <w:tr2bl w:val="nil"/>
                  </w:tcBorders>
                  <w:noWrap w:val="0"/>
                  <w:vAlign w:val="center"/>
                </w:tcPr>
                <w:p w14:paraId="2B1F1F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排放</w:t>
                  </w:r>
                  <w:r>
                    <w:rPr>
                      <w:rFonts w:hint="default" w:ascii="Times New Roman" w:hAnsi="Times New Roman" w:eastAsia="宋体" w:cs="Times New Roman"/>
                      <w:color w:val="auto"/>
                      <w:kern w:val="0"/>
                      <w:sz w:val="21"/>
                      <w:szCs w:val="20"/>
                      <w:highlight w:val="none"/>
                      <w:lang w:val="en-US" w:eastAsia="zh-CN" w:bidi="ar-SA"/>
                    </w:rPr>
                    <w:t>浓度（mg/L）</w:t>
                  </w:r>
                </w:p>
              </w:tc>
              <w:tc>
                <w:tcPr>
                  <w:tcW w:w="825" w:type="pct"/>
                  <w:tcBorders>
                    <w:tl2br w:val="nil"/>
                    <w:tr2bl w:val="nil"/>
                  </w:tcBorders>
                  <w:noWrap w:val="0"/>
                  <w:vAlign w:val="center"/>
                </w:tcPr>
                <w:p w14:paraId="698498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93.796</w:t>
                  </w:r>
                </w:p>
              </w:tc>
              <w:tc>
                <w:tcPr>
                  <w:tcW w:w="984" w:type="pct"/>
                  <w:tcBorders>
                    <w:tl2br w:val="nil"/>
                    <w:tr2bl w:val="nil"/>
                  </w:tcBorders>
                  <w:noWrap w:val="0"/>
                  <w:vAlign w:val="center"/>
                </w:tcPr>
                <w:p w14:paraId="13FFE0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5.914</w:t>
                  </w:r>
                </w:p>
              </w:tc>
              <w:tc>
                <w:tcPr>
                  <w:tcW w:w="984" w:type="pct"/>
                  <w:tcBorders>
                    <w:tl2br w:val="nil"/>
                    <w:tr2bl w:val="nil"/>
                  </w:tcBorders>
                  <w:noWrap w:val="0"/>
                  <w:vAlign w:val="center"/>
                </w:tcPr>
                <w:p w14:paraId="5987C0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41.4</w:t>
                  </w:r>
                </w:p>
              </w:tc>
              <w:tc>
                <w:tcPr>
                  <w:tcW w:w="986" w:type="pct"/>
                  <w:tcBorders>
                    <w:tl2br w:val="nil"/>
                    <w:tr2bl w:val="nil"/>
                  </w:tcBorders>
                  <w:noWrap w:val="0"/>
                  <w:vAlign w:val="center"/>
                </w:tcPr>
                <w:p w14:paraId="65FFBF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1.32</w:t>
                  </w:r>
                </w:p>
              </w:tc>
            </w:tr>
            <w:tr w14:paraId="0F560A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530" w:type="pct"/>
                  <w:vMerge w:val="continue"/>
                  <w:tcBorders>
                    <w:tl2br w:val="nil"/>
                    <w:tr2bl w:val="nil"/>
                  </w:tcBorders>
                  <w:noWrap w:val="0"/>
                  <w:vAlign w:val="center"/>
                </w:tcPr>
                <w:p w14:paraId="5B9360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688" w:type="pct"/>
                  <w:tcBorders>
                    <w:tl2br w:val="nil"/>
                    <w:tr2bl w:val="nil"/>
                  </w:tcBorders>
                  <w:noWrap w:val="0"/>
                  <w:vAlign w:val="center"/>
                </w:tcPr>
                <w:p w14:paraId="0725C5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排放</w:t>
                  </w:r>
                  <w:r>
                    <w:rPr>
                      <w:rFonts w:hint="default" w:ascii="Times New Roman" w:hAnsi="Times New Roman" w:eastAsia="宋体" w:cs="Times New Roman"/>
                      <w:color w:val="auto"/>
                      <w:kern w:val="0"/>
                      <w:sz w:val="21"/>
                      <w:szCs w:val="20"/>
                      <w:highlight w:val="none"/>
                      <w:lang w:val="en-US" w:eastAsia="zh-CN" w:bidi="ar-SA"/>
                    </w:rPr>
                    <w:t>量（t/a）</w:t>
                  </w:r>
                </w:p>
              </w:tc>
              <w:tc>
                <w:tcPr>
                  <w:tcW w:w="825" w:type="pct"/>
                  <w:tcBorders>
                    <w:tl2br w:val="nil"/>
                    <w:tr2bl w:val="nil"/>
                  </w:tcBorders>
                  <w:noWrap w:val="0"/>
                  <w:vAlign w:val="center"/>
                </w:tcPr>
                <w:p w14:paraId="549E5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0.1782</w:t>
                  </w:r>
                </w:p>
              </w:tc>
              <w:tc>
                <w:tcPr>
                  <w:tcW w:w="984" w:type="pct"/>
                  <w:tcBorders>
                    <w:tl2br w:val="nil"/>
                    <w:tr2bl w:val="nil"/>
                  </w:tcBorders>
                  <w:noWrap w:val="0"/>
                  <w:vAlign w:val="center"/>
                </w:tcPr>
                <w:p w14:paraId="3730AF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0.0112</w:t>
                  </w:r>
                </w:p>
              </w:tc>
              <w:tc>
                <w:tcPr>
                  <w:tcW w:w="984" w:type="pct"/>
                  <w:tcBorders>
                    <w:tl2br w:val="nil"/>
                    <w:tr2bl w:val="nil"/>
                  </w:tcBorders>
                  <w:noWrap w:val="0"/>
                  <w:vAlign w:val="center"/>
                </w:tcPr>
                <w:p w14:paraId="3A1880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0.0787</w:t>
                  </w:r>
                </w:p>
              </w:tc>
              <w:tc>
                <w:tcPr>
                  <w:tcW w:w="986" w:type="pct"/>
                  <w:tcBorders>
                    <w:tl2br w:val="nil"/>
                    <w:tr2bl w:val="nil"/>
                  </w:tcBorders>
                  <w:noWrap w:val="0"/>
                  <w:vAlign w:val="center"/>
                </w:tcPr>
                <w:p w14:paraId="792A16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0.0025</w:t>
                  </w:r>
                </w:p>
              </w:tc>
            </w:tr>
          </w:tbl>
          <w:p w14:paraId="265D4657">
            <w:pPr>
              <w:pStyle w:val="27"/>
              <w:bidi w:val="0"/>
              <w:ind w:firstLine="482" w:firstLineChars="200"/>
              <w:rPr>
                <w:rFonts w:hint="default"/>
                <w:color w:val="auto"/>
                <w:highlight w:val="none"/>
                <w:vertAlign w:val="baseline"/>
                <w:lang w:val="en-US" w:eastAsia="zh-CN"/>
              </w:rPr>
            </w:pPr>
            <w:r>
              <w:rPr>
                <w:rFonts w:hint="eastAsia"/>
                <w:color w:val="auto"/>
                <w:highlight w:val="none"/>
                <w:lang w:val="en-US" w:eastAsia="zh-CN"/>
              </w:rPr>
              <w:t>表4.1-3综合废水排放情况</w:t>
            </w:r>
          </w:p>
          <w:tbl>
            <w:tblPr>
              <w:tblStyle w:val="19"/>
              <w:tblW w:w="816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303"/>
              <w:gridCol w:w="1166"/>
              <w:gridCol w:w="1166"/>
              <w:gridCol w:w="1167"/>
              <w:gridCol w:w="1167"/>
              <w:gridCol w:w="1167"/>
            </w:tblGrid>
            <w:tr w14:paraId="059CD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9" w:type="dxa"/>
                  <w:tcBorders>
                    <w:tl2br w:val="nil"/>
                    <w:tr2bl w:val="nil"/>
                  </w:tcBorders>
                  <w:noWrap w:val="0"/>
                  <w:vAlign w:val="center"/>
                </w:tcPr>
                <w:p w14:paraId="69E8729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b/>
                      <w:bCs/>
                      <w:color w:val="auto"/>
                      <w:highlight w:val="none"/>
                      <w:lang w:val="en-US" w:eastAsia="zh-CN"/>
                    </w:rPr>
                  </w:pPr>
                  <w:r>
                    <w:rPr>
                      <w:rFonts w:hint="eastAsia"/>
                      <w:b/>
                      <w:bCs/>
                      <w:color w:val="auto"/>
                      <w:highlight w:val="none"/>
                      <w:lang w:val="en-US" w:eastAsia="zh-CN"/>
                    </w:rPr>
                    <w:t>废水量</w:t>
                  </w:r>
                </w:p>
              </w:tc>
              <w:tc>
                <w:tcPr>
                  <w:tcW w:w="1303" w:type="dxa"/>
                  <w:tcBorders>
                    <w:tl2br w:val="nil"/>
                    <w:tr2bl w:val="nil"/>
                  </w:tcBorders>
                  <w:noWrap w:val="0"/>
                  <w:vAlign w:val="center"/>
                </w:tcPr>
                <w:p w14:paraId="46D3385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b/>
                      <w:bCs/>
                      <w:color w:val="auto"/>
                      <w:highlight w:val="none"/>
                      <w:lang w:val="en-US" w:eastAsia="zh-CN"/>
                    </w:rPr>
                  </w:pPr>
                  <w:r>
                    <w:rPr>
                      <w:rFonts w:hint="eastAsia"/>
                      <w:b/>
                      <w:bCs/>
                      <w:color w:val="auto"/>
                      <w:highlight w:val="none"/>
                      <w:lang w:val="en-US" w:eastAsia="zh-CN"/>
                    </w:rPr>
                    <w:t>项目</w:t>
                  </w:r>
                </w:p>
              </w:tc>
              <w:tc>
                <w:tcPr>
                  <w:tcW w:w="1166" w:type="dxa"/>
                  <w:tcBorders>
                    <w:tl2br w:val="nil"/>
                    <w:tr2bl w:val="nil"/>
                  </w:tcBorders>
                  <w:noWrap w:val="0"/>
                  <w:vAlign w:val="center"/>
                </w:tcPr>
                <w:p w14:paraId="157006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COD</w:t>
                  </w:r>
                  <w:r>
                    <w:rPr>
                      <w:rFonts w:hint="default" w:ascii="Times New Roman" w:hAnsi="Times New Roman" w:eastAsia="宋体" w:cs="Times New Roman"/>
                      <w:b/>
                      <w:bCs/>
                      <w:color w:val="auto"/>
                      <w:kern w:val="0"/>
                      <w:sz w:val="21"/>
                      <w:szCs w:val="20"/>
                      <w:highlight w:val="none"/>
                      <w:vertAlign w:val="subscript"/>
                      <w:lang w:val="en-US" w:eastAsia="zh-CN" w:bidi="ar-SA"/>
                    </w:rPr>
                    <w:t>cr</w:t>
                  </w:r>
                </w:p>
              </w:tc>
              <w:tc>
                <w:tcPr>
                  <w:tcW w:w="1166" w:type="dxa"/>
                  <w:tcBorders>
                    <w:tl2br w:val="nil"/>
                    <w:tr2bl w:val="nil"/>
                  </w:tcBorders>
                  <w:noWrap w:val="0"/>
                  <w:vAlign w:val="center"/>
                </w:tcPr>
                <w:p w14:paraId="36E591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BOD</w:t>
                  </w:r>
                  <w:r>
                    <w:rPr>
                      <w:rFonts w:hint="default" w:ascii="Times New Roman" w:hAnsi="Times New Roman" w:eastAsia="宋体" w:cs="Times New Roman"/>
                      <w:b/>
                      <w:bCs/>
                      <w:color w:val="auto"/>
                      <w:kern w:val="0"/>
                      <w:sz w:val="21"/>
                      <w:szCs w:val="20"/>
                      <w:highlight w:val="none"/>
                      <w:vertAlign w:val="subscript"/>
                      <w:lang w:val="en-US" w:eastAsia="zh-CN" w:bidi="ar-SA"/>
                    </w:rPr>
                    <w:t>5</w:t>
                  </w:r>
                </w:p>
              </w:tc>
              <w:tc>
                <w:tcPr>
                  <w:tcW w:w="1167" w:type="dxa"/>
                  <w:tcBorders>
                    <w:tl2br w:val="nil"/>
                    <w:tr2bl w:val="nil"/>
                  </w:tcBorders>
                  <w:noWrap w:val="0"/>
                  <w:vAlign w:val="center"/>
                </w:tcPr>
                <w:p w14:paraId="03D1C0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SS</w:t>
                  </w:r>
                </w:p>
              </w:tc>
              <w:tc>
                <w:tcPr>
                  <w:tcW w:w="1167" w:type="dxa"/>
                  <w:tcBorders>
                    <w:tl2br w:val="nil"/>
                    <w:tr2bl w:val="nil"/>
                  </w:tcBorders>
                  <w:noWrap w:val="0"/>
                  <w:vAlign w:val="center"/>
                </w:tcPr>
                <w:p w14:paraId="4325E5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NH</w:t>
                  </w:r>
                  <w:r>
                    <w:rPr>
                      <w:rFonts w:hint="default" w:ascii="Times New Roman" w:hAnsi="Times New Roman" w:eastAsia="宋体" w:cs="Times New Roman"/>
                      <w:b/>
                      <w:bCs/>
                      <w:color w:val="auto"/>
                      <w:kern w:val="0"/>
                      <w:sz w:val="21"/>
                      <w:szCs w:val="20"/>
                      <w:highlight w:val="none"/>
                      <w:vertAlign w:val="subscript"/>
                      <w:lang w:val="en-US" w:eastAsia="zh-CN" w:bidi="ar-SA"/>
                    </w:rPr>
                    <w:t>3</w:t>
                  </w:r>
                  <w:r>
                    <w:rPr>
                      <w:rFonts w:hint="default" w:ascii="Times New Roman" w:hAnsi="Times New Roman" w:eastAsia="宋体" w:cs="Times New Roman"/>
                      <w:b/>
                      <w:bCs/>
                      <w:color w:val="auto"/>
                      <w:kern w:val="0"/>
                      <w:sz w:val="21"/>
                      <w:szCs w:val="20"/>
                      <w:highlight w:val="none"/>
                      <w:lang w:val="en-US" w:eastAsia="zh-CN" w:bidi="ar-SA"/>
                    </w:rPr>
                    <w:t>-N</w:t>
                  </w:r>
                </w:p>
              </w:tc>
              <w:tc>
                <w:tcPr>
                  <w:tcW w:w="1167" w:type="dxa"/>
                  <w:tcBorders>
                    <w:tl2br w:val="nil"/>
                    <w:tr2bl w:val="nil"/>
                  </w:tcBorders>
                  <w:noWrap w:val="0"/>
                  <w:vAlign w:val="center"/>
                </w:tcPr>
                <w:p w14:paraId="1CB0F9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eastAsia" w:cs="Times New Roman"/>
                      <w:b/>
                      <w:bCs/>
                      <w:color w:val="auto"/>
                      <w:kern w:val="0"/>
                      <w:sz w:val="21"/>
                      <w:szCs w:val="20"/>
                      <w:highlight w:val="none"/>
                      <w:lang w:val="en-US" w:eastAsia="zh-CN" w:bidi="ar-SA"/>
                    </w:rPr>
                    <w:t>LAS</w:t>
                  </w:r>
                </w:p>
              </w:tc>
            </w:tr>
            <w:tr w14:paraId="2F30D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9" w:type="dxa"/>
                  <w:vMerge w:val="restart"/>
                  <w:tcBorders>
                    <w:tl2br w:val="nil"/>
                    <w:tr2bl w:val="nil"/>
                  </w:tcBorders>
                  <w:noWrap w:val="0"/>
                  <w:vAlign w:val="center"/>
                </w:tcPr>
                <w:p w14:paraId="0FECDE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6382t/a</w:t>
                  </w:r>
                </w:p>
              </w:tc>
              <w:tc>
                <w:tcPr>
                  <w:tcW w:w="1303" w:type="dxa"/>
                  <w:tcBorders>
                    <w:tl2br w:val="nil"/>
                    <w:tr2bl w:val="nil"/>
                  </w:tcBorders>
                  <w:noWrap w:val="0"/>
                  <w:vAlign w:val="center"/>
                </w:tcPr>
                <w:p w14:paraId="2EB1D7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污染物排放量（t/a）</w:t>
                  </w:r>
                </w:p>
              </w:tc>
              <w:tc>
                <w:tcPr>
                  <w:tcW w:w="1166" w:type="dxa"/>
                  <w:tcBorders>
                    <w:tl2br w:val="nil"/>
                    <w:tr2bl w:val="nil"/>
                  </w:tcBorders>
                  <w:shd w:val="clear" w:color="auto" w:fill="auto"/>
                  <w:noWrap w:val="0"/>
                  <w:vAlign w:val="center"/>
                </w:tcPr>
                <w:p w14:paraId="2BCAE1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0.8438</w:t>
                  </w:r>
                </w:p>
              </w:tc>
              <w:tc>
                <w:tcPr>
                  <w:tcW w:w="1166" w:type="dxa"/>
                  <w:tcBorders>
                    <w:tl2br w:val="nil"/>
                    <w:tr2bl w:val="nil"/>
                  </w:tcBorders>
                  <w:shd w:val="clear" w:color="auto" w:fill="auto"/>
                  <w:noWrap w:val="0"/>
                  <w:vAlign w:val="center"/>
                </w:tcPr>
                <w:p w14:paraId="016FC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0.3536</w:t>
                  </w:r>
                </w:p>
              </w:tc>
              <w:tc>
                <w:tcPr>
                  <w:tcW w:w="1167" w:type="dxa"/>
                  <w:tcBorders>
                    <w:tl2br w:val="nil"/>
                    <w:tr2bl w:val="nil"/>
                  </w:tcBorders>
                  <w:shd w:val="clear" w:color="auto" w:fill="auto"/>
                  <w:noWrap w:val="0"/>
                  <w:vAlign w:val="center"/>
                </w:tcPr>
                <w:p w14:paraId="4AA408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0.399</w:t>
                  </w:r>
                </w:p>
              </w:tc>
              <w:tc>
                <w:tcPr>
                  <w:tcW w:w="1167" w:type="dxa"/>
                  <w:tcBorders>
                    <w:tl2br w:val="nil"/>
                    <w:tr2bl w:val="nil"/>
                  </w:tcBorders>
                  <w:shd w:val="clear" w:color="auto" w:fill="auto"/>
                  <w:noWrap w:val="0"/>
                  <w:vAlign w:val="center"/>
                </w:tcPr>
                <w:p w14:paraId="437720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0.084</w:t>
                  </w:r>
                </w:p>
              </w:tc>
              <w:tc>
                <w:tcPr>
                  <w:tcW w:w="1167" w:type="dxa"/>
                  <w:tcBorders>
                    <w:tl2br w:val="nil"/>
                    <w:tr2bl w:val="nil"/>
                  </w:tcBorders>
                  <w:shd w:val="clear" w:color="auto" w:fill="auto"/>
                  <w:noWrap w:val="0"/>
                  <w:vAlign w:val="center"/>
                </w:tcPr>
                <w:p w14:paraId="763DFA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0.0025</w:t>
                  </w:r>
                </w:p>
              </w:tc>
            </w:tr>
            <w:tr w14:paraId="3CB67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9" w:type="dxa"/>
                  <w:vMerge w:val="continue"/>
                  <w:tcBorders>
                    <w:tl2br w:val="nil"/>
                    <w:tr2bl w:val="nil"/>
                  </w:tcBorders>
                  <w:noWrap w:val="0"/>
                  <w:vAlign w:val="center"/>
                </w:tcPr>
                <w:p w14:paraId="5D3F0892">
                  <w:pPr>
                    <w:pStyle w:val="30"/>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highlight w:val="none"/>
                      <w:lang w:val="en-US" w:eastAsia="zh-CN"/>
                    </w:rPr>
                  </w:pPr>
                </w:p>
              </w:tc>
              <w:tc>
                <w:tcPr>
                  <w:tcW w:w="1303" w:type="dxa"/>
                  <w:tcBorders>
                    <w:tl2br w:val="nil"/>
                    <w:tr2bl w:val="nil"/>
                  </w:tcBorders>
                  <w:noWrap w:val="0"/>
                  <w:vAlign w:val="center"/>
                </w:tcPr>
                <w:p w14:paraId="53E53F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污染物排放浓度（mg/L）</w:t>
                  </w:r>
                </w:p>
              </w:tc>
              <w:tc>
                <w:tcPr>
                  <w:tcW w:w="1166" w:type="dxa"/>
                  <w:tcBorders>
                    <w:tl2br w:val="nil"/>
                    <w:tr2bl w:val="nil"/>
                  </w:tcBorders>
                  <w:noWrap w:val="0"/>
                  <w:vAlign w:val="center"/>
                </w:tcPr>
                <w:p w14:paraId="02D6B3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132.22</w:t>
                  </w:r>
                </w:p>
              </w:tc>
              <w:tc>
                <w:tcPr>
                  <w:tcW w:w="1166" w:type="dxa"/>
                  <w:tcBorders>
                    <w:tl2br w:val="nil"/>
                    <w:tr2bl w:val="nil"/>
                  </w:tcBorders>
                  <w:noWrap w:val="0"/>
                  <w:vAlign w:val="center"/>
                </w:tcPr>
                <w:p w14:paraId="6D7D51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55.41</w:t>
                  </w:r>
                </w:p>
              </w:tc>
              <w:tc>
                <w:tcPr>
                  <w:tcW w:w="1167" w:type="dxa"/>
                  <w:tcBorders>
                    <w:tl2br w:val="nil"/>
                    <w:tr2bl w:val="nil"/>
                  </w:tcBorders>
                  <w:noWrap w:val="0"/>
                  <w:vAlign w:val="center"/>
                </w:tcPr>
                <w:p w14:paraId="1B666A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62.52</w:t>
                  </w:r>
                </w:p>
              </w:tc>
              <w:tc>
                <w:tcPr>
                  <w:tcW w:w="1167" w:type="dxa"/>
                  <w:tcBorders>
                    <w:tl2br w:val="nil"/>
                    <w:tr2bl w:val="nil"/>
                  </w:tcBorders>
                  <w:noWrap w:val="0"/>
                  <w:vAlign w:val="center"/>
                </w:tcPr>
                <w:p w14:paraId="7276DB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13.16</w:t>
                  </w:r>
                </w:p>
              </w:tc>
              <w:tc>
                <w:tcPr>
                  <w:tcW w:w="1167" w:type="dxa"/>
                  <w:tcBorders>
                    <w:tl2br w:val="nil"/>
                    <w:tr2bl w:val="nil"/>
                  </w:tcBorders>
                  <w:noWrap w:val="0"/>
                  <w:vAlign w:val="center"/>
                </w:tcPr>
                <w:p w14:paraId="3D6553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0.39</w:t>
                  </w:r>
                </w:p>
              </w:tc>
            </w:tr>
          </w:tbl>
          <w:p w14:paraId="0C2C8B09">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87" w:name="_Toc17956"/>
            <w:r>
              <w:rPr>
                <w:rFonts w:hint="eastAsia" w:ascii="Times New Roman" w:hAnsi="Times New Roman" w:eastAsia="宋体" w:cs="Times New Roman"/>
                <w:b/>
                <w:color w:val="auto"/>
                <w:kern w:val="2"/>
                <w:sz w:val="24"/>
                <w:szCs w:val="24"/>
                <w:lang w:val="en-US" w:eastAsia="zh-CN" w:bidi="ar-SA"/>
              </w:rPr>
              <w:t>4.1.2运营期水环境影响及污染防治措施可行性分析</w:t>
            </w:r>
            <w:bookmarkEnd w:id="87"/>
          </w:p>
          <w:p w14:paraId="0598299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（1）化粪池治理措施可行性分析</w:t>
            </w:r>
          </w:p>
          <w:p w14:paraId="24E29B2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三级化粪池是化粪池的一种，由一级池中部通过管道上弯转入下一级池中进行二次净化，再由二次净化后的粪水再</w:t>
            </w:r>
            <w:r>
              <w:rPr>
                <w:rFonts w:hint="eastAsia" w:cs="宋体"/>
                <w:color w:val="auto"/>
                <w:kern w:val="2"/>
                <w:sz w:val="24"/>
                <w:szCs w:val="24"/>
                <w:lang w:val="en-US" w:eastAsia="zh-CN" w:bidi="ar-SA"/>
              </w:rPr>
              <w:t>倒入</w:t>
            </w:r>
            <w:r>
              <w:rPr>
                <w:rFonts w:hint="default" w:ascii="Times New Roman" w:hAnsi="Times New Roman" w:eastAsia="宋体" w:cs="宋体"/>
                <w:color w:val="auto"/>
                <w:kern w:val="2"/>
                <w:sz w:val="24"/>
                <w:szCs w:val="24"/>
                <w:lang w:val="en-US" w:eastAsia="zh-CN" w:bidi="ar-SA"/>
              </w:rPr>
              <w:t>下一级再次净化，这样经过三次</w:t>
            </w:r>
            <w:r>
              <w:rPr>
                <w:rFonts w:hint="eastAsia" w:cs="宋体"/>
                <w:color w:val="auto"/>
                <w:kern w:val="2"/>
                <w:sz w:val="24"/>
                <w:szCs w:val="24"/>
                <w:lang w:val="en-US" w:eastAsia="zh-CN" w:bidi="ar-SA"/>
              </w:rPr>
              <w:t>净化</w:t>
            </w:r>
            <w:r>
              <w:rPr>
                <w:rFonts w:hint="default" w:ascii="Times New Roman" w:hAnsi="Times New Roman" w:eastAsia="宋体" w:cs="宋体"/>
                <w:color w:val="auto"/>
                <w:kern w:val="2"/>
                <w:sz w:val="24"/>
                <w:szCs w:val="24"/>
                <w:lang w:val="en-US" w:eastAsia="zh-CN" w:bidi="ar-SA"/>
              </w:rPr>
              <w:t>后就</w:t>
            </w:r>
            <w:r>
              <w:rPr>
                <w:rFonts w:hint="eastAsia" w:cs="宋体"/>
                <w:color w:val="auto"/>
                <w:kern w:val="2"/>
                <w:sz w:val="24"/>
                <w:szCs w:val="24"/>
                <w:lang w:val="en-US" w:eastAsia="zh-CN" w:bidi="ar-SA"/>
              </w:rPr>
              <w:t>已</w:t>
            </w:r>
            <w:r>
              <w:rPr>
                <w:rFonts w:hint="default" w:ascii="Times New Roman" w:hAnsi="Times New Roman" w:eastAsia="宋体" w:cs="宋体"/>
                <w:color w:val="auto"/>
                <w:kern w:val="2"/>
                <w:sz w:val="24"/>
                <w:szCs w:val="24"/>
                <w:lang w:val="en-US" w:eastAsia="zh-CN" w:bidi="ar-SA"/>
              </w:rPr>
              <w:t>全部化尽为水。</w:t>
            </w:r>
          </w:p>
          <w:p w14:paraId="01A675D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三级化粪池原理：新鲜粪便由进粪口进入第一池，池内粪便开始发酵分解、因比重不同粪液可自然分为三层，上层为糊状粪皮，下层为块状或颗状粪渣，中层为比较澄清的粪液。在上层粪皮和下层粪渣中含细菌和寄生虫卵最多，中层含虫卵最少，初步发酵的中层粪液经过粪管溢流至第二池，而将大部分未经充分发酵的粪皮和粪渣阻留在第一池内继续发酵。流入第二池的粪液进一步发酵分解，虫卵继续下沉，病原体逐渐死亡，粪液得到进一步无害化，产生的粪皮和粪厚度比第一池显著减少。流入第三池的粪液一般已经腐熟，其中病菌和寄生虫卵已基本杀灭。第三池功能主要起储存已基本无害化的粪液作用。</w:t>
            </w:r>
          </w:p>
          <w:p w14:paraId="2B67F6A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（2）废水处理设施可行性分析</w:t>
            </w:r>
          </w:p>
          <w:p w14:paraId="6A23C972">
            <w:pPr>
              <w:pStyle w:val="22"/>
              <w:bidi w:val="0"/>
              <w:ind w:firstLine="480" w:firstLineChars="200"/>
              <w:rPr>
                <w:rFonts w:hint="default"/>
                <w:color w:val="auto"/>
                <w:lang w:val="en-US" w:eastAsia="zh-CN"/>
              </w:rPr>
            </w:pPr>
            <w:r>
              <w:rPr>
                <w:rFonts w:hint="default"/>
                <w:color w:val="auto"/>
                <w:lang w:val="en-US" w:eastAsia="zh-CN"/>
              </w:rPr>
              <w:t>混凝沉淀原理：在混凝剂的作用下，使废水中的胶体和细微悬浮物凝聚成絮凝体，然后予以分离除去的水处理法。</w:t>
            </w:r>
          </w:p>
          <w:p w14:paraId="48D58770">
            <w:pPr>
              <w:pStyle w:val="22"/>
              <w:bidi w:val="0"/>
              <w:ind w:firstLine="480" w:firstLineChars="200"/>
              <w:rPr>
                <w:rFonts w:hint="default"/>
                <w:color w:val="auto"/>
                <w:lang w:val="en-US" w:eastAsia="zh-CN"/>
              </w:rPr>
            </w:pPr>
            <w:r>
              <w:rPr>
                <w:rFonts w:hint="default"/>
                <w:color w:val="auto"/>
                <w:lang w:val="en-US" w:eastAsia="zh-CN"/>
              </w:rPr>
              <w:t>混凝法的基本原理是在废水中投入混凝剂，因混凝剂为电解质，在废水里形成胶团，与废水中的胶体物质发生电中和，形成绒粒沉降。混凝沉淀不但可以去除废水中的粒径为10</w:t>
            </w:r>
            <w:r>
              <w:rPr>
                <w:rFonts w:hint="default"/>
                <w:color w:val="auto"/>
                <w:vertAlign w:val="superscript"/>
                <w:lang w:val="en-US" w:eastAsia="zh-CN"/>
              </w:rPr>
              <w:t>-3</w:t>
            </w:r>
            <w:r>
              <w:rPr>
                <w:rFonts w:hint="default"/>
                <w:color w:val="auto"/>
                <w:lang w:val="en-US" w:eastAsia="zh-CN"/>
              </w:rPr>
              <w:t>~10</w:t>
            </w:r>
            <w:r>
              <w:rPr>
                <w:rFonts w:hint="default"/>
                <w:color w:val="auto"/>
                <w:vertAlign w:val="superscript"/>
                <w:lang w:val="en-US" w:eastAsia="zh-CN"/>
              </w:rPr>
              <w:t>-6</w:t>
            </w:r>
            <w:r>
              <w:rPr>
                <w:rFonts w:hint="default"/>
                <w:color w:val="auto"/>
                <w:lang w:val="en-US" w:eastAsia="zh-CN"/>
              </w:rPr>
              <w:t xml:space="preserve"> mm的细小悬浮颗粒，而且还能够去除色度、油分、微生物、氮和磷等富营养物质、重金属以及有机物等。</w:t>
            </w:r>
          </w:p>
          <w:p w14:paraId="21E26AFD">
            <w:pPr>
              <w:pStyle w:val="22"/>
              <w:bidi w:val="0"/>
              <w:ind w:firstLine="480" w:firstLineChars="200"/>
              <w:rPr>
                <w:rFonts w:hint="default"/>
                <w:color w:val="auto"/>
                <w:lang w:val="en-US" w:eastAsia="zh-CN"/>
              </w:rPr>
            </w:pPr>
            <w:r>
              <w:rPr>
                <w:rFonts w:hint="default"/>
                <w:color w:val="auto"/>
                <w:lang w:val="en-US" w:eastAsia="zh-CN"/>
              </w:rPr>
              <w:t>废水在未加混凝剂之前，水中的胶体和细小悬浮颗粒的本身质量很轻，受水的分子热运动的碰撞而</w:t>
            </w:r>
            <w:r>
              <w:rPr>
                <w:rFonts w:hint="eastAsia"/>
                <w:color w:val="auto"/>
                <w:lang w:val="en-US" w:eastAsia="zh-CN"/>
              </w:rPr>
              <w:t>做</w:t>
            </w:r>
            <w:r>
              <w:rPr>
                <w:rFonts w:hint="default"/>
                <w:color w:val="auto"/>
                <w:lang w:val="en-US" w:eastAsia="zh-CN"/>
              </w:rPr>
              <w:t>无规则的布朗运动。颗粒都带有同性电荷，它们之间的静电斥力阻止微粒间彼此接近而聚合成较大的颗粒；其次，带电荷的胶粒和反离子都能与周围的水分子发生水化作用，形成一层水化壳，有阻碍各胶体的聚合。一种胶体的胶粒带电越多，其电位就越大；扩散层中反离子越多，水化作用也越大，水化层也越厚，因此扩散层也越厚，稳定性越强。</w:t>
            </w:r>
          </w:p>
          <w:p w14:paraId="26034B04">
            <w:pPr>
              <w:pStyle w:val="22"/>
              <w:bidi w:val="0"/>
              <w:ind w:firstLine="480" w:firstLineChars="200"/>
              <w:rPr>
                <w:rFonts w:hint="default"/>
                <w:color w:val="auto"/>
                <w:lang w:val="en-US" w:eastAsia="zh-CN"/>
              </w:rPr>
            </w:pPr>
            <w:r>
              <w:rPr>
                <w:rFonts w:hint="default"/>
                <w:color w:val="auto"/>
                <w:lang w:val="en-US" w:eastAsia="zh-CN"/>
              </w:rPr>
              <w:t>废水中投入混凝剂后，胶体因电位降低或消除，破坏了颗粒的稳定状态（称脱稳）。脱稳的颗粒相互聚集为较大颗粒的过程称为凝聚。未经脱稳的胶体也可形成大</w:t>
            </w:r>
            <w:r>
              <w:rPr>
                <w:rFonts w:hint="eastAsia"/>
                <w:color w:val="auto"/>
                <w:lang w:val="en-US" w:eastAsia="zh-CN"/>
              </w:rPr>
              <w:t>的</w:t>
            </w:r>
            <w:r>
              <w:rPr>
                <w:rFonts w:hint="default"/>
                <w:color w:val="auto"/>
                <w:lang w:val="en-US" w:eastAsia="zh-CN"/>
              </w:rPr>
              <w:t>颗粒，这种现象称为絮凝。不同的化学药剂能使胶体以不同的方式脱稳、凝聚或絮凝。按机理，混凝可分为压缩双电层、吸附电中和、吸附架桥、沉淀物网铺四种。</w:t>
            </w:r>
          </w:p>
          <w:p w14:paraId="6524F4AD">
            <w:pPr>
              <w:pStyle w:val="22"/>
              <w:bidi w:val="0"/>
              <w:ind w:firstLine="480" w:firstLineChars="200"/>
              <w:rPr>
                <w:rFonts w:hint="default"/>
                <w:color w:val="auto"/>
                <w:lang w:val="en-US" w:eastAsia="zh-CN"/>
              </w:rPr>
            </w:pPr>
            <w:r>
              <w:rPr>
                <w:rFonts w:hint="default"/>
                <w:color w:val="auto"/>
                <w:lang w:val="en-US" w:eastAsia="zh-CN"/>
              </w:rPr>
              <w:t>在废水的混凝沉淀处理过程中，影响混凝效果的因素比较多。其中有水样的影响：对不同水样，</w:t>
            </w:r>
            <w:r>
              <w:rPr>
                <w:rFonts w:hint="eastAsia"/>
                <w:color w:val="auto"/>
                <w:lang w:val="en-US" w:eastAsia="zh-CN"/>
              </w:rPr>
              <w:t>由于</w:t>
            </w:r>
            <w:r>
              <w:rPr>
                <w:rFonts w:hint="default"/>
                <w:color w:val="auto"/>
                <w:lang w:val="en-US" w:eastAsia="zh-CN"/>
              </w:rPr>
              <w:t>废水中的成分不同，同一种混凝剂的处理效果可能会相差很大。还有水温的影响，其影响主要表现在：a影响药剂在水中碱度起化学反应的速度，对金属盐类混凝影响很大，因其水解是吸热反应；b影响矾花地形成和质量。水温较低时，絮凝体</w:t>
            </w:r>
            <w:r>
              <w:rPr>
                <w:rFonts w:hint="eastAsia"/>
                <w:color w:val="auto"/>
                <w:lang w:val="en-US" w:eastAsia="zh-CN"/>
              </w:rPr>
              <w:t>形成</w:t>
            </w:r>
            <w:r>
              <w:rPr>
                <w:rFonts w:hint="default"/>
                <w:color w:val="auto"/>
                <w:lang w:val="en-US" w:eastAsia="zh-CN"/>
              </w:rPr>
              <w:t>缓慢，结构松散，颗粒细小；c水温低时水的</w:t>
            </w:r>
            <w:r>
              <w:rPr>
                <w:rFonts w:hint="eastAsia"/>
                <w:color w:val="auto"/>
                <w:lang w:val="en-US" w:eastAsia="zh-CN"/>
              </w:rPr>
              <w:t>黏度大</w:t>
            </w:r>
            <w:r>
              <w:rPr>
                <w:rFonts w:hint="default"/>
                <w:color w:val="auto"/>
                <w:lang w:val="en-US" w:eastAsia="zh-CN"/>
              </w:rPr>
              <w:t>，布朗运动强度减弱，不利于脱稳胶粒相互凝聚，水流剪力也增大，影响絮凝体的成长。该因素主要影响金属盐类的混凝，对高分子混凝剂影响较小。</w:t>
            </w:r>
          </w:p>
          <w:p w14:paraId="262E3592">
            <w:pPr>
              <w:pStyle w:val="22"/>
              <w:bidi w:val="0"/>
              <w:ind w:firstLine="480" w:firstLineChars="200"/>
              <w:rPr>
                <w:rFonts w:hint="default"/>
                <w:color w:val="auto"/>
                <w:lang w:val="en-US" w:eastAsia="zh-CN"/>
              </w:rPr>
            </w:pPr>
            <w:r>
              <w:rPr>
                <w:rFonts w:hint="default"/>
                <w:color w:val="auto"/>
                <w:lang w:val="en-US" w:eastAsia="zh-CN"/>
              </w:rPr>
              <w:t>混凝工艺混凝去除的对象</w:t>
            </w:r>
            <w:r>
              <w:rPr>
                <w:rFonts w:hint="eastAsia"/>
                <w:color w:val="auto"/>
                <w:lang w:val="en-US" w:eastAsia="zh-CN"/>
              </w:rPr>
              <w:t>：</w:t>
            </w:r>
          </w:p>
          <w:p w14:paraId="4DAF3209">
            <w:pPr>
              <w:pStyle w:val="22"/>
              <w:bidi w:val="0"/>
              <w:ind w:firstLine="480" w:firstLineChars="200"/>
              <w:rPr>
                <w:rFonts w:hint="default"/>
                <w:color w:val="auto"/>
                <w:lang w:val="en-US" w:eastAsia="zh-CN"/>
              </w:rPr>
            </w:pPr>
            <w:r>
              <w:rPr>
                <w:rFonts w:hint="default"/>
                <w:color w:val="auto"/>
                <w:lang w:val="en-US" w:eastAsia="zh-CN"/>
              </w:rPr>
              <w:t>以地表水为例，水中含有的无机颗粒一般有粘土、粉砂、细砂；有机物有腐殖酸、蛋白质等，生物体物质一般有细菌，病毒等。虽然性质各有不同，但从尺寸大小可分为悬浮物、胶体和溶解物。</w:t>
            </w:r>
          </w:p>
          <w:p w14:paraId="6B0F6E75">
            <w:pPr>
              <w:pStyle w:val="22"/>
              <w:bidi w:val="0"/>
              <w:ind w:firstLine="480" w:firstLineChars="200"/>
              <w:rPr>
                <w:rFonts w:hint="default"/>
                <w:color w:val="auto"/>
                <w:lang w:val="en-US" w:eastAsia="zh-CN"/>
              </w:rPr>
            </w:pPr>
            <w:r>
              <w:rPr>
                <w:rFonts w:hint="default"/>
                <w:color w:val="auto"/>
                <w:lang w:val="en-US" w:eastAsia="zh-CN"/>
              </w:rPr>
              <w:t>其中粒径大于100μm以上的颗粒，通过自然沉淀就可以从水中去除，但是一般不能通过沉淀去除胶体和悬浮物，这里就需要用到混凝工艺进行去除。</w:t>
            </w:r>
          </w:p>
          <w:p w14:paraId="4FB8961A">
            <w:pPr>
              <w:pStyle w:val="22"/>
              <w:bidi w:val="0"/>
              <w:ind w:firstLine="480" w:firstLineChars="200"/>
              <w:rPr>
                <w:rFonts w:hint="default"/>
                <w:color w:val="auto"/>
                <w:lang w:val="en-US" w:eastAsia="zh-CN"/>
              </w:rPr>
            </w:pPr>
            <w:r>
              <w:rPr>
                <w:rFonts w:hint="default"/>
                <w:color w:val="auto"/>
                <w:lang w:val="en-US" w:eastAsia="zh-CN"/>
              </w:rPr>
              <w:t>从而得出混凝的定义，混凝就是在水中投加混凝剂，使水中胶体粒子和微小悬浮物凝聚成具有可分离性的絮凝体（即矾花，英文Floc），以便在后续工艺（如沉淀）中能够被分离去除。</w:t>
            </w:r>
          </w:p>
          <w:p w14:paraId="73522B91">
            <w:pPr>
              <w:pStyle w:val="22"/>
              <w:bidi w:val="0"/>
              <w:ind w:firstLine="480" w:firstLineChars="200"/>
              <w:rPr>
                <w:rFonts w:hint="default"/>
                <w:color w:val="auto"/>
                <w:lang w:val="en-US" w:eastAsia="zh-CN"/>
              </w:rPr>
            </w:pPr>
            <w:r>
              <w:rPr>
                <w:rFonts w:hint="default"/>
                <w:color w:val="auto"/>
                <w:lang w:val="en-US" w:eastAsia="zh-CN"/>
              </w:rPr>
              <w:t>以上，混凝去除的主要对象是水中的胶体和部分细小悬浮物。</w:t>
            </w:r>
          </w:p>
          <w:p w14:paraId="6E077303">
            <w:pPr>
              <w:pStyle w:val="22"/>
              <w:bidi w:val="0"/>
              <w:ind w:firstLine="480" w:firstLineChars="200"/>
              <w:rPr>
                <w:rFonts w:hint="default"/>
                <w:color w:val="auto"/>
                <w:lang w:val="en-US" w:eastAsia="zh-CN"/>
              </w:rPr>
            </w:pPr>
            <w:r>
              <w:rPr>
                <w:rFonts w:hint="default"/>
                <w:color w:val="auto"/>
                <w:lang w:val="en-US" w:eastAsia="zh-CN"/>
              </w:rPr>
              <w:t>混凝沉淀工艺特点</w:t>
            </w:r>
            <w:r>
              <w:rPr>
                <w:rFonts w:hint="eastAsia"/>
                <w:color w:val="auto"/>
                <w:lang w:val="en-US" w:eastAsia="zh-CN"/>
              </w:rPr>
              <w:t>：</w:t>
            </w:r>
          </w:p>
          <w:p w14:paraId="07026E6D">
            <w:pPr>
              <w:pStyle w:val="22"/>
              <w:bidi w:val="0"/>
              <w:ind w:firstLine="480" w:firstLineChars="200"/>
              <w:rPr>
                <w:rFonts w:hint="default"/>
                <w:color w:val="auto"/>
                <w:lang w:val="en-US" w:eastAsia="zh-CN"/>
              </w:rPr>
            </w:pPr>
            <w:r>
              <w:rPr>
                <w:rFonts w:hint="eastAsia"/>
                <w:color w:val="auto"/>
                <w:lang w:val="en-US" w:eastAsia="zh-CN"/>
              </w:rPr>
              <w:t>①</w:t>
            </w:r>
            <w:r>
              <w:rPr>
                <w:rFonts w:hint="default"/>
                <w:color w:val="auto"/>
                <w:lang w:val="en-US" w:eastAsia="zh-CN"/>
              </w:rPr>
              <w:t>处理效率高、占地面积小、经济效益显著。</w:t>
            </w:r>
          </w:p>
          <w:p w14:paraId="1CE00626">
            <w:pPr>
              <w:pStyle w:val="22"/>
              <w:bidi w:val="0"/>
              <w:ind w:firstLine="480" w:firstLineChars="200"/>
              <w:rPr>
                <w:rFonts w:hint="default"/>
                <w:color w:val="auto"/>
                <w:lang w:val="en-US" w:eastAsia="zh-CN"/>
              </w:rPr>
            </w:pPr>
            <w:r>
              <w:rPr>
                <w:rFonts w:hint="default"/>
                <w:color w:val="auto"/>
                <w:lang w:val="en-US" w:eastAsia="zh-CN"/>
              </w:rPr>
              <w:t>混合迅速（3～30秒），反应时间短（5～10分钟），沉淀池上升流速度高（2.5～3.5mm/s），因此可大为缩短水在处理构筑物中的停留时间，大幅度提高处理效率，因而也就节省了构筑物的基建投资。工程实践证实：与传统工艺相比，采用新技术对旧</w:t>
            </w:r>
            <w:r>
              <w:rPr>
                <w:rFonts w:hint="eastAsia"/>
                <w:color w:val="auto"/>
                <w:lang w:val="en-US" w:eastAsia="zh-CN"/>
              </w:rPr>
              <w:t>废水处理设施</w:t>
            </w:r>
            <w:r>
              <w:rPr>
                <w:rFonts w:hint="default"/>
                <w:color w:val="auto"/>
                <w:lang w:val="en-US" w:eastAsia="zh-CN"/>
              </w:rPr>
              <w:t>挖潜改造，在构筑物容积不增加的情况下，可使处理水量净增75%，而改造投资仅相当于新建同等规模新</w:t>
            </w:r>
            <w:r>
              <w:rPr>
                <w:rFonts w:hint="eastAsia"/>
                <w:color w:val="auto"/>
                <w:lang w:val="en-US" w:eastAsia="zh-CN"/>
              </w:rPr>
              <w:t>废水处理设施</w:t>
            </w:r>
            <w:r>
              <w:rPr>
                <w:rFonts w:hint="default"/>
                <w:color w:val="auto"/>
                <w:lang w:val="en-US" w:eastAsia="zh-CN"/>
              </w:rPr>
              <w:t>投资的30%；用于新建</w:t>
            </w:r>
            <w:r>
              <w:rPr>
                <w:rFonts w:hint="eastAsia"/>
                <w:color w:val="auto"/>
                <w:lang w:val="en-US" w:eastAsia="zh-CN"/>
              </w:rPr>
              <w:t>废水处理设施</w:t>
            </w:r>
            <w:r>
              <w:rPr>
                <w:rFonts w:hint="default"/>
                <w:color w:val="auto"/>
                <w:lang w:val="en-US" w:eastAsia="zh-CN"/>
              </w:rPr>
              <w:t>，主体工艺构筑物可节省投资20%～30%，并可大幅度减少主体构筑物占地面积。与平流沉淀池比较可节省80%，比斜管沉淀池可节省40%。</w:t>
            </w:r>
          </w:p>
          <w:p w14:paraId="6147AE2E">
            <w:pPr>
              <w:pStyle w:val="22"/>
              <w:bidi w:val="0"/>
              <w:ind w:firstLine="480" w:firstLineChars="200"/>
              <w:rPr>
                <w:rFonts w:hint="default"/>
                <w:color w:val="auto"/>
                <w:lang w:val="en-US" w:eastAsia="zh-CN"/>
              </w:rPr>
            </w:pPr>
            <w:r>
              <w:rPr>
                <w:rFonts w:hint="eastAsia"/>
                <w:color w:val="auto"/>
                <w:lang w:val="en-US" w:eastAsia="zh-CN"/>
              </w:rPr>
              <w:t>②</w:t>
            </w:r>
            <w:r>
              <w:rPr>
                <w:rFonts w:hint="default"/>
                <w:color w:val="auto"/>
                <w:lang w:val="en-US" w:eastAsia="zh-CN"/>
              </w:rPr>
              <w:t>处理水质优，社会效益好，水质效益可观。</w:t>
            </w:r>
          </w:p>
          <w:p w14:paraId="38073D6C">
            <w:pPr>
              <w:pStyle w:val="22"/>
              <w:bidi w:val="0"/>
              <w:ind w:firstLine="480" w:firstLineChars="200"/>
              <w:rPr>
                <w:rFonts w:hint="default"/>
                <w:color w:val="auto"/>
                <w:lang w:val="en-US" w:eastAsia="zh-CN"/>
              </w:rPr>
            </w:pPr>
            <w:r>
              <w:rPr>
                <w:rFonts w:hint="default"/>
                <w:color w:val="auto"/>
                <w:lang w:val="en-US" w:eastAsia="zh-CN"/>
              </w:rPr>
              <w:t>几年运行实践证明，这项工艺可使沉后水浊度稳定在3NTU以下，滤后水接近0度，这就形成了水质效益。水质效益一方面</w:t>
            </w:r>
            <w:r>
              <w:rPr>
                <w:rFonts w:hint="eastAsia"/>
                <w:color w:val="auto"/>
                <w:lang w:val="en-US" w:eastAsia="zh-CN"/>
              </w:rPr>
              <w:t>是</w:t>
            </w:r>
            <w:r>
              <w:rPr>
                <w:rFonts w:hint="default"/>
                <w:color w:val="auto"/>
                <w:lang w:val="en-US" w:eastAsia="zh-CN"/>
              </w:rPr>
              <w:t>社会效益，另一方面是潜在的经济效益。随着我国生活饮用水标准</w:t>
            </w:r>
            <w:r>
              <w:rPr>
                <w:rFonts w:hint="eastAsia"/>
                <w:color w:val="auto"/>
                <w:lang w:val="en-US" w:eastAsia="zh-CN"/>
              </w:rPr>
              <w:t>的</w:t>
            </w:r>
            <w:r>
              <w:rPr>
                <w:rFonts w:hint="default"/>
                <w:color w:val="auto"/>
                <w:lang w:val="en-US" w:eastAsia="zh-CN"/>
              </w:rPr>
              <w:t>进一步提高，已逐渐要求出厂水达到1NTU，那么大部分城市现有处理设备和工艺是难以达到的，只有通过大幅度投资扩建新</w:t>
            </w:r>
            <w:r>
              <w:rPr>
                <w:rFonts w:hint="eastAsia"/>
                <w:color w:val="auto"/>
                <w:lang w:val="en-US" w:eastAsia="zh-CN"/>
              </w:rPr>
              <w:t>废水处理设施</w:t>
            </w:r>
            <w:r>
              <w:rPr>
                <w:rFonts w:hint="default"/>
                <w:color w:val="auto"/>
                <w:lang w:val="en-US" w:eastAsia="zh-CN"/>
              </w:rPr>
              <w:t>，才能解决水质和水量的矛盾。而采用此工艺可稳定保持出水浊度</w:t>
            </w:r>
            <w:r>
              <w:rPr>
                <w:rFonts w:hint="eastAsia"/>
                <w:color w:val="auto"/>
                <w:lang w:val="en-US" w:eastAsia="zh-CN"/>
              </w:rPr>
              <w:t>低于</w:t>
            </w:r>
            <w:r>
              <w:rPr>
                <w:rFonts w:hint="default"/>
                <w:color w:val="auto"/>
                <w:lang w:val="en-US" w:eastAsia="zh-CN"/>
              </w:rPr>
              <w:t>1NTU。由此可见，其水质效益是相当可观的。</w:t>
            </w:r>
          </w:p>
          <w:p w14:paraId="2A7D5328">
            <w:pPr>
              <w:pStyle w:val="22"/>
              <w:bidi w:val="0"/>
              <w:ind w:firstLine="480" w:firstLineChars="200"/>
              <w:rPr>
                <w:rFonts w:hint="default"/>
                <w:color w:val="auto"/>
                <w:lang w:val="en-US" w:eastAsia="zh-CN"/>
              </w:rPr>
            </w:pPr>
            <w:r>
              <w:rPr>
                <w:rFonts w:hint="eastAsia"/>
                <w:color w:val="auto"/>
                <w:lang w:val="en-US" w:eastAsia="zh-CN"/>
              </w:rPr>
              <w:t>③</w:t>
            </w:r>
            <w:r>
              <w:rPr>
                <w:rFonts w:hint="default"/>
                <w:color w:val="auto"/>
                <w:lang w:val="en-US" w:eastAsia="zh-CN"/>
              </w:rPr>
              <w:t>抗冲击能力强，适用水质广泛。</w:t>
            </w:r>
          </w:p>
          <w:p w14:paraId="3A26BCC9">
            <w:pPr>
              <w:pStyle w:val="22"/>
              <w:bidi w:val="0"/>
              <w:ind w:firstLine="480" w:firstLineChars="200"/>
              <w:rPr>
                <w:rFonts w:hint="default"/>
                <w:color w:val="auto"/>
                <w:lang w:val="en-US" w:eastAsia="zh-CN"/>
              </w:rPr>
            </w:pPr>
            <w:r>
              <w:rPr>
                <w:rFonts w:hint="default"/>
                <w:color w:val="auto"/>
                <w:lang w:val="en-US" w:eastAsia="zh-CN"/>
              </w:rPr>
              <w:t>实践证明，此项技术抗冲击能力较强，当原水浊度、进水流量、投加药量发生一些变化时，沉淀池出水浊度不</w:t>
            </w:r>
            <w:r>
              <w:rPr>
                <w:rFonts w:hint="eastAsia"/>
                <w:color w:val="auto"/>
                <w:lang w:val="en-US" w:eastAsia="zh-CN"/>
              </w:rPr>
              <w:t>像</w:t>
            </w:r>
            <w:r>
              <w:rPr>
                <w:rFonts w:hint="default"/>
                <w:color w:val="auto"/>
                <w:lang w:val="en-US" w:eastAsia="zh-CN"/>
              </w:rPr>
              <w:t>传统工艺那样敏感。其原因是，这项工艺的沉淀池上升流速按3.5mm/s设计时尚有很大潜力。运行实践表明，这项工艺对低温低浊、汛期高浊以及微污染等特殊原水水质的处理均非常有效。</w:t>
            </w:r>
          </w:p>
          <w:p w14:paraId="6568CC05">
            <w:pPr>
              <w:pStyle w:val="22"/>
              <w:bidi w:val="0"/>
              <w:ind w:firstLine="480" w:firstLineChars="200"/>
              <w:rPr>
                <w:rFonts w:hint="default"/>
                <w:color w:val="auto"/>
                <w:lang w:val="en-US" w:eastAsia="zh-CN"/>
              </w:rPr>
            </w:pPr>
            <w:r>
              <w:rPr>
                <w:rFonts w:hint="eastAsia"/>
                <w:color w:val="auto"/>
                <w:lang w:val="en-US" w:eastAsia="zh-CN"/>
              </w:rPr>
              <w:t>④</w:t>
            </w:r>
            <w:r>
              <w:rPr>
                <w:rFonts w:hint="default"/>
                <w:color w:val="auto"/>
                <w:lang w:val="en-US" w:eastAsia="zh-CN"/>
              </w:rPr>
              <w:t>制水成本降低。</w:t>
            </w:r>
          </w:p>
          <w:p w14:paraId="275A52A5">
            <w:pPr>
              <w:pStyle w:val="22"/>
              <w:bidi w:val="0"/>
              <w:ind w:firstLine="480" w:firstLineChars="200"/>
              <w:rPr>
                <w:rFonts w:hint="default"/>
                <w:color w:val="auto"/>
                <w:lang w:val="en-US" w:eastAsia="zh-CN"/>
              </w:rPr>
            </w:pPr>
            <w:r>
              <w:rPr>
                <w:rFonts w:hint="eastAsia"/>
                <w:color w:val="auto"/>
                <w:lang w:val="en-US" w:eastAsia="zh-CN"/>
              </w:rPr>
              <w:t>I</w:t>
            </w:r>
            <w:r>
              <w:rPr>
                <w:rFonts w:hint="default"/>
                <w:color w:val="auto"/>
                <w:lang w:val="en-US" w:eastAsia="zh-CN"/>
              </w:rPr>
              <w:t>．由于新技术采用的混合及反应设备，可节省投药量</w:t>
            </w:r>
          </w:p>
          <w:p w14:paraId="3368C570">
            <w:pPr>
              <w:pStyle w:val="22"/>
              <w:bidi w:val="0"/>
              <w:ind w:firstLine="480" w:firstLineChars="200"/>
              <w:rPr>
                <w:rFonts w:hint="default"/>
                <w:color w:val="auto"/>
                <w:lang w:val="en-US" w:eastAsia="zh-CN"/>
              </w:rPr>
            </w:pPr>
            <w:r>
              <w:rPr>
                <w:rFonts w:hint="eastAsia"/>
                <w:color w:val="auto"/>
                <w:lang w:val="en-US" w:eastAsia="zh-CN"/>
              </w:rPr>
              <w:t>Ⅱ。</w:t>
            </w:r>
            <w:r>
              <w:rPr>
                <w:rFonts w:hint="default"/>
                <w:color w:val="auto"/>
                <w:lang w:val="en-US" w:eastAsia="zh-CN"/>
              </w:rPr>
              <w:t>由于新技术沉后水浊度在3度以下，减轻了滤池负担，因此滤池反冲洗水可节省左右，并可延长滤料更换周期；</w:t>
            </w:r>
          </w:p>
          <w:p w14:paraId="43D96997">
            <w:pPr>
              <w:pStyle w:val="22"/>
              <w:bidi w:val="0"/>
              <w:ind w:firstLine="480" w:firstLineChars="200"/>
              <w:rPr>
                <w:rFonts w:hint="default"/>
                <w:color w:val="auto"/>
                <w:lang w:val="en-US" w:eastAsia="zh-CN"/>
              </w:rPr>
            </w:pPr>
            <w:r>
              <w:rPr>
                <w:rFonts w:hint="eastAsia"/>
                <w:color w:val="auto"/>
                <w:lang w:val="en-US" w:eastAsia="zh-CN"/>
              </w:rPr>
              <w:t>Ⅲ。</w:t>
            </w:r>
            <w:r>
              <w:rPr>
                <w:rFonts w:hint="default"/>
                <w:color w:val="auto"/>
                <w:lang w:val="en-US" w:eastAsia="zh-CN"/>
              </w:rPr>
              <w:t>对改造旧</w:t>
            </w:r>
            <w:r>
              <w:rPr>
                <w:rFonts w:hint="eastAsia"/>
                <w:color w:val="auto"/>
                <w:lang w:val="en-US" w:eastAsia="zh-CN"/>
              </w:rPr>
              <w:t>废水处理设施</w:t>
            </w:r>
            <w:r>
              <w:rPr>
                <w:rFonts w:hint="default"/>
                <w:color w:val="auto"/>
                <w:lang w:val="en-US" w:eastAsia="zh-CN"/>
              </w:rPr>
              <w:t>，水量增加而管理人员无需增加，运行管理费用大为降低；</w:t>
            </w:r>
          </w:p>
          <w:p w14:paraId="36CD9284">
            <w:pPr>
              <w:pStyle w:val="22"/>
              <w:bidi w:val="0"/>
              <w:ind w:firstLine="480" w:firstLineChars="200"/>
              <w:rPr>
                <w:rFonts w:hint="default"/>
                <w:color w:val="auto"/>
                <w:lang w:val="en-US" w:eastAsia="zh-CN"/>
              </w:rPr>
            </w:pPr>
            <w:r>
              <w:rPr>
                <w:rFonts w:hint="eastAsia"/>
                <w:color w:val="auto"/>
                <w:lang w:val="en-US" w:eastAsia="zh-CN"/>
              </w:rPr>
              <w:t>Ⅳ。</w:t>
            </w:r>
            <w:r>
              <w:rPr>
                <w:rFonts w:hint="default"/>
                <w:color w:val="auto"/>
                <w:lang w:val="en-US" w:eastAsia="zh-CN"/>
              </w:rPr>
              <w:t>基建费用的大幅度节省，可较大程度</w:t>
            </w:r>
            <w:r>
              <w:rPr>
                <w:rFonts w:hint="eastAsia"/>
                <w:color w:val="auto"/>
                <w:lang w:val="en-US" w:eastAsia="zh-CN"/>
              </w:rPr>
              <w:t>降低</w:t>
            </w:r>
            <w:r>
              <w:rPr>
                <w:rFonts w:hint="default"/>
                <w:color w:val="auto"/>
                <w:lang w:val="en-US" w:eastAsia="zh-CN"/>
              </w:rPr>
              <w:t>投资折旧率。</w:t>
            </w:r>
          </w:p>
          <w:p w14:paraId="4691D03D">
            <w:pPr>
              <w:pStyle w:val="22"/>
              <w:bidi w:val="0"/>
              <w:ind w:firstLine="480" w:firstLineChars="200"/>
              <w:rPr>
                <w:rFonts w:hint="default"/>
                <w:color w:val="auto"/>
                <w:lang w:val="en-US" w:eastAsia="zh-CN"/>
              </w:rPr>
            </w:pPr>
            <w:r>
              <w:rPr>
                <w:rFonts w:hint="default"/>
                <w:color w:val="auto"/>
                <w:lang w:val="en-US" w:eastAsia="zh-CN"/>
              </w:rPr>
              <w:t>从以上四个方面来看，新技术的使用可使制水成本显著降低。</w:t>
            </w:r>
          </w:p>
          <w:p w14:paraId="4CED0D2D">
            <w:pPr>
              <w:pStyle w:val="22"/>
              <w:bidi w:val="0"/>
              <w:ind w:firstLine="480" w:firstLineChars="200"/>
              <w:rPr>
                <w:rFonts w:hint="eastAsia"/>
                <w:color w:val="auto"/>
                <w:lang w:val="en-US" w:eastAsia="zh-CN"/>
              </w:rPr>
            </w:pPr>
            <w:r>
              <w:rPr>
                <w:rFonts w:hint="eastAsia"/>
                <w:color w:val="auto"/>
                <w:lang w:val="en-US" w:eastAsia="zh-CN"/>
              </w:rPr>
              <w:t>根据本项目废水污染物产生分析，本项目废水主要来源于切割铣磨废水、抛光废水等，抛光工序使用的抛光粉、玻璃表面抛光下来的废渣，以及切割铣磨的废渣会成为抛光废水中的沉淀物，采用混凝沉淀的处理工艺处理本项目的废水，对沉淀物的分离效果显著。</w:t>
            </w:r>
          </w:p>
          <w:p w14:paraId="5445A79B">
            <w:pPr>
              <w:pStyle w:val="22"/>
              <w:bidi w:val="0"/>
              <w:ind w:firstLine="480" w:firstLineChars="200"/>
              <w:rPr>
                <w:rFonts w:hint="default"/>
                <w:color w:val="auto"/>
                <w:lang w:val="en-US" w:eastAsia="zh-CN"/>
              </w:rPr>
            </w:pPr>
            <w:r>
              <w:rPr>
                <w:rFonts w:hint="eastAsia"/>
                <w:color w:val="auto"/>
                <w:lang w:val="en-US" w:eastAsia="zh-CN"/>
              </w:rPr>
              <w:t>综上所述，本项目采用混凝沉淀的处理工艺对本项目的生产废水的沉淀有处理针对性，处理效率高，经济效益显著，在厂内占地面积小，成本低，作为本项目的废水处理措施是可行的。</w:t>
            </w:r>
          </w:p>
          <w:p w14:paraId="26EEA4D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 xml:space="preserve">（3）项目废水经处理达标后排入市政污水管网，送往大学城污水处理厂集中处理，属于间接排放，根据《建设项目环境影响报告表编制技术指南（污染影响类）（试行）》（环办环评〔2020〕33号）要求，废水间接排放的建设项目应从处理能力、处理工艺、设计进出水水质等方面，分析依托集中污水处理厂的可行性。 </w:t>
            </w:r>
          </w:p>
          <w:p w14:paraId="26820478">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①大学城污水处理厂基本情况</w:t>
            </w:r>
          </w:p>
          <w:p w14:paraId="415894C5">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I</w:t>
            </w:r>
            <w:r>
              <w:rPr>
                <w:rFonts w:hint="eastAsia"/>
                <w:color w:val="auto"/>
                <w:lang w:val="en-US" w:eastAsia="zh-CN"/>
              </w:rPr>
              <w:t>.</w:t>
            </w:r>
            <w:r>
              <w:rPr>
                <w:rFonts w:hint="eastAsia" w:ascii="Times New Roman" w:hAnsi="Times New Roman"/>
                <w:color w:val="auto"/>
                <w:lang w:val="en-US" w:eastAsia="zh-CN"/>
              </w:rPr>
              <w:t>设计进出水水质</w:t>
            </w:r>
          </w:p>
          <w:p w14:paraId="19E177D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根据《福州市闽侯县大学城污水处理厂四期工程（厂内工程第一阶段）项目》可知，大学城污水处理厂进出水水质见表4.1-</w:t>
            </w:r>
            <w:r>
              <w:rPr>
                <w:rFonts w:hint="eastAsia" w:cs="宋体"/>
                <w:color w:val="auto"/>
                <w:kern w:val="2"/>
                <w:sz w:val="24"/>
                <w:szCs w:val="24"/>
                <w:lang w:val="en-US" w:eastAsia="zh-CN" w:bidi="ar-SA"/>
              </w:rPr>
              <w:t>4</w:t>
            </w:r>
            <w:r>
              <w:rPr>
                <w:rFonts w:hint="eastAsia" w:ascii="Times New Roman" w:hAnsi="Times New Roman" w:eastAsia="宋体" w:cs="宋体"/>
                <w:color w:val="auto"/>
                <w:kern w:val="2"/>
                <w:sz w:val="24"/>
                <w:szCs w:val="24"/>
                <w:lang w:val="en-US" w:eastAsia="zh-CN" w:bidi="ar-SA"/>
              </w:rPr>
              <w:t>。</w:t>
            </w:r>
          </w:p>
          <w:p w14:paraId="6A718A6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p>
          <w:p w14:paraId="08BD88FA">
            <w:pPr>
              <w:pStyle w:val="27"/>
              <w:bidi w:val="0"/>
              <w:ind w:firstLine="482" w:firstLineChars="200"/>
              <w:rPr>
                <w:rFonts w:hint="eastAsia" w:ascii="Times New Roman" w:hAnsi="Times New Roman"/>
                <w:color w:val="auto"/>
                <w:lang w:val="en-US" w:eastAsia="zh-CN"/>
              </w:rPr>
            </w:pPr>
            <w:r>
              <w:rPr>
                <w:rFonts w:hint="eastAsia" w:ascii="Times New Roman" w:hAnsi="Times New Roman"/>
                <w:color w:val="auto"/>
                <w:lang w:val="en-US" w:eastAsia="zh-CN"/>
              </w:rPr>
              <w:t>表4.1-</w:t>
            </w:r>
            <w:r>
              <w:rPr>
                <w:rFonts w:hint="eastAsia"/>
                <w:color w:val="auto"/>
                <w:lang w:val="en-US" w:eastAsia="zh-CN"/>
              </w:rPr>
              <w:t xml:space="preserve">4  </w:t>
            </w:r>
            <w:r>
              <w:rPr>
                <w:rFonts w:hint="eastAsia" w:ascii="Times New Roman" w:hAnsi="Times New Roman"/>
                <w:color w:val="auto"/>
                <w:lang w:val="en-US" w:eastAsia="zh-CN"/>
              </w:rPr>
              <w:t>大学城污水处理厂进水水质标准（单位：mg/L，pH值除外）</w:t>
            </w:r>
          </w:p>
          <w:tbl>
            <w:tblPr>
              <w:tblStyle w:val="18"/>
              <w:tblW w:w="8168"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20"/>
              <w:gridCol w:w="1003"/>
              <w:gridCol w:w="786"/>
              <w:gridCol w:w="965"/>
              <w:gridCol w:w="965"/>
              <w:gridCol w:w="881"/>
              <w:gridCol w:w="881"/>
              <w:gridCol w:w="934"/>
              <w:gridCol w:w="933"/>
            </w:tblGrid>
            <w:tr w14:paraId="18CDB4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02" w:type="pct"/>
                  <w:tcBorders>
                    <w:tl2br w:val="nil"/>
                    <w:tr2bl w:val="nil"/>
                  </w:tcBorders>
                  <w:noWrap w:val="0"/>
                  <w:vAlign w:val="center"/>
                </w:tcPr>
                <w:p w14:paraId="77EDFF03">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水质指标</w:t>
                  </w:r>
                </w:p>
              </w:tc>
              <w:tc>
                <w:tcPr>
                  <w:tcW w:w="614" w:type="pct"/>
                  <w:tcBorders>
                    <w:tl2br w:val="nil"/>
                    <w:tr2bl w:val="nil"/>
                  </w:tcBorders>
                  <w:noWrap w:val="0"/>
                  <w:vAlign w:val="center"/>
                </w:tcPr>
                <w:p w14:paraId="052CA42F">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pH</w:t>
                  </w:r>
                </w:p>
              </w:tc>
              <w:tc>
                <w:tcPr>
                  <w:tcW w:w="481" w:type="pct"/>
                  <w:tcBorders>
                    <w:tl2br w:val="nil"/>
                    <w:tr2bl w:val="nil"/>
                  </w:tcBorders>
                  <w:noWrap w:val="0"/>
                  <w:vAlign w:val="center"/>
                </w:tcPr>
                <w:p w14:paraId="45238DB2">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COD</w:t>
                  </w:r>
                </w:p>
              </w:tc>
              <w:tc>
                <w:tcPr>
                  <w:tcW w:w="591" w:type="pct"/>
                  <w:tcBorders>
                    <w:tl2br w:val="nil"/>
                    <w:tr2bl w:val="nil"/>
                  </w:tcBorders>
                  <w:noWrap w:val="0"/>
                  <w:vAlign w:val="center"/>
                </w:tcPr>
                <w:p w14:paraId="162149F2">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rPr>
                  </w:pPr>
                  <w:r>
                    <w:rPr>
                      <w:rFonts w:hint="default" w:ascii="Times New Roman" w:hAnsi="Times New Roman"/>
                      <w:b/>
                      <w:bCs/>
                      <w:color w:val="auto"/>
                      <w:lang w:val="en-US" w:eastAsia="zh-CN"/>
                    </w:rPr>
                    <w:t>BOD</w:t>
                  </w:r>
                  <w:r>
                    <w:rPr>
                      <w:rFonts w:hint="default" w:ascii="Times New Roman" w:hAnsi="Times New Roman"/>
                      <w:b/>
                      <w:bCs/>
                      <w:color w:val="auto"/>
                      <w:vertAlign w:val="subscript"/>
                      <w:lang w:val="en-US" w:eastAsia="zh-CN"/>
                    </w:rPr>
                    <w:t>5</w:t>
                  </w:r>
                </w:p>
              </w:tc>
              <w:tc>
                <w:tcPr>
                  <w:tcW w:w="591" w:type="pct"/>
                  <w:tcBorders>
                    <w:tl2br w:val="nil"/>
                    <w:tr2bl w:val="nil"/>
                  </w:tcBorders>
                  <w:noWrap w:val="0"/>
                  <w:vAlign w:val="center"/>
                </w:tcPr>
                <w:p w14:paraId="15DECC7A">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rPr>
                  </w:pPr>
                  <w:r>
                    <w:rPr>
                      <w:rFonts w:hint="default" w:ascii="Times New Roman" w:hAnsi="Times New Roman"/>
                      <w:b/>
                      <w:bCs/>
                      <w:color w:val="auto"/>
                      <w:lang w:val="en-US" w:eastAsia="zh-CN"/>
                    </w:rPr>
                    <w:t>SS</w:t>
                  </w:r>
                </w:p>
              </w:tc>
              <w:tc>
                <w:tcPr>
                  <w:tcW w:w="539" w:type="pct"/>
                  <w:tcBorders>
                    <w:tl2br w:val="nil"/>
                    <w:tr2bl w:val="nil"/>
                  </w:tcBorders>
                  <w:noWrap w:val="0"/>
                  <w:vAlign w:val="center"/>
                </w:tcPr>
                <w:p w14:paraId="4D3C1989">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rPr>
                  </w:pPr>
                  <w:r>
                    <w:rPr>
                      <w:rFonts w:hint="default" w:ascii="Times New Roman" w:hAnsi="Times New Roman"/>
                      <w:b/>
                      <w:bCs/>
                      <w:color w:val="auto"/>
                      <w:lang w:val="en-US" w:eastAsia="zh-CN"/>
                    </w:rPr>
                    <w:t>NH</w:t>
                  </w:r>
                  <w:r>
                    <w:rPr>
                      <w:rFonts w:hint="default" w:ascii="Times New Roman" w:hAnsi="Times New Roman"/>
                      <w:b/>
                      <w:bCs/>
                      <w:color w:val="auto"/>
                      <w:vertAlign w:val="subscript"/>
                      <w:lang w:val="en-US" w:eastAsia="zh-CN"/>
                    </w:rPr>
                    <w:t>3</w:t>
                  </w:r>
                  <w:r>
                    <w:rPr>
                      <w:rFonts w:hint="default" w:ascii="Times New Roman" w:hAnsi="Times New Roman"/>
                      <w:b/>
                      <w:bCs/>
                      <w:color w:val="auto"/>
                      <w:lang w:val="en-US" w:eastAsia="zh-CN"/>
                    </w:rPr>
                    <w:t>-N</w:t>
                  </w:r>
                </w:p>
              </w:tc>
              <w:tc>
                <w:tcPr>
                  <w:tcW w:w="539" w:type="pct"/>
                  <w:tcBorders>
                    <w:tl2br w:val="nil"/>
                    <w:tr2bl w:val="nil"/>
                  </w:tcBorders>
                  <w:noWrap w:val="0"/>
                  <w:vAlign w:val="center"/>
                </w:tcPr>
                <w:p w14:paraId="22C3E47F">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TN</w:t>
                  </w:r>
                </w:p>
              </w:tc>
              <w:tc>
                <w:tcPr>
                  <w:tcW w:w="572" w:type="pct"/>
                  <w:tcBorders>
                    <w:tl2br w:val="nil"/>
                    <w:tr2bl w:val="nil"/>
                  </w:tcBorders>
                  <w:noWrap w:val="0"/>
                  <w:vAlign w:val="center"/>
                </w:tcPr>
                <w:p w14:paraId="1020DE43">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TP</w:t>
                  </w:r>
                </w:p>
              </w:tc>
              <w:tc>
                <w:tcPr>
                  <w:tcW w:w="568" w:type="pct"/>
                  <w:tcBorders>
                    <w:tl2br w:val="nil"/>
                    <w:tr2bl w:val="nil"/>
                  </w:tcBorders>
                  <w:noWrap w:val="0"/>
                  <w:vAlign w:val="center"/>
                </w:tcPr>
                <w:p w14:paraId="3F12129F">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eastAsia"/>
                      <w:b/>
                      <w:bCs/>
                      <w:color w:val="auto"/>
                      <w:lang w:val="en-US" w:eastAsia="zh-CN"/>
                    </w:rPr>
                    <w:t>阴离子表面活性剂</w:t>
                  </w:r>
                </w:p>
              </w:tc>
            </w:tr>
            <w:tr w14:paraId="431345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02" w:type="pct"/>
                  <w:tcBorders>
                    <w:tl2br w:val="nil"/>
                    <w:tr2bl w:val="nil"/>
                  </w:tcBorders>
                  <w:noWrap w:val="0"/>
                  <w:vAlign w:val="center"/>
                </w:tcPr>
                <w:p w14:paraId="371B76BF">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进水水质</w:t>
                  </w:r>
                </w:p>
              </w:tc>
              <w:tc>
                <w:tcPr>
                  <w:tcW w:w="614" w:type="pct"/>
                  <w:tcBorders>
                    <w:tl2br w:val="nil"/>
                    <w:tr2bl w:val="nil"/>
                  </w:tcBorders>
                  <w:noWrap w:val="0"/>
                  <w:vAlign w:val="center"/>
                </w:tcPr>
                <w:p w14:paraId="2FFDC9F9">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6~9</w:t>
                  </w:r>
                  <w:r>
                    <w:rPr>
                      <w:rFonts w:hint="eastAsia" w:ascii="Times New Roman" w:hAnsi="Times New Roman"/>
                      <w:color w:val="auto"/>
                      <w:lang w:val="en-US" w:eastAsia="zh-CN"/>
                    </w:rPr>
                    <w:t>（</w:t>
                  </w:r>
                  <w:r>
                    <w:rPr>
                      <w:rFonts w:hint="default" w:ascii="Times New Roman" w:hAnsi="Times New Roman"/>
                      <w:color w:val="auto"/>
                      <w:lang w:val="en-US" w:eastAsia="zh-CN"/>
                    </w:rPr>
                    <w:t>无量纲</w:t>
                  </w:r>
                  <w:r>
                    <w:rPr>
                      <w:rFonts w:hint="eastAsia" w:ascii="Times New Roman" w:hAnsi="Times New Roman"/>
                      <w:color w:val="auto"/>
                      <w:lang w:val="en-US" w:eastAsia="zh-CN"/>
                    </w:rPr>
                    <w:t>）</w:t>
                  </w:r>
                </w:p>
              </w:tc>
              <w:tc>
                <w:tcPr>
                  <w:tcW w:w="481" w:type="pct"/>
                  <w:tcBorders>
                    <w:tl2br w:val="nil"/>
                    <w:tr2bl w:val="nil"/>
                  </w:tcBorders>
                  <w:noWrap w:val="0"/>
                  <w:vAlign w:val="center"/>
                </w:tcPr>
                <w:p w14:paraId="5EB445C3">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24</w:t>
                  </w:r>
                  <w:r>
                    <w:rPr>
                      <w:rFonts w:hint="default" w:ascii="Times New Roman" w:hAnsi="Times New Roman"/>
                      <w:color w:val="auto"/>
                      <w:lang w:val="en-US" w:eastAsia="zh-CN"/>
                    </w:rPr>
                    <w:t>0</w:t>
                  </w:r>
                </w:p>
              </w:tc>
              <w:tc>
                <w:tcPr>
                  <w:tcW w:w="591" w:type="pct"/>
                  <w:tcBorders>
                    <w:tl2br w:val="nil"/>
                    <w:tr2bl w:val="nil"/>
                  </w:tcBorders>
                  <w:noWrap w:val="0"/>
                  <w:vAlign w:val="center"/>
                </w:tcPr>
                <w:p w14:paraId="559D3BFA">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1</w:t>
                  </w:r>
                  <w:r>
                    <w:rPr>
                      <w:rFonts w:hint="eastAsia" w:ascii="Times New Roman" w:hAnsi="Times New Roman"/>
                      <w:color w:val="auto"/>
                      <w:lang w:val="en-US" w:eastAsia="zh-CN"/>
                    </w:rPr>
                    <w:t>2</w:t>
                  </w:r>
                  <w:r>
                    <w:rPr>
                      <w:rFonts w:hint="default" w:ascii="Times New Roman" w:hAnsi="Times New Roman"/>
                      <w:color w:val="auto"/>
                      <w:lang w:val="en-US" w:eastAsia="zh-CN"/>
                    </w:rPr>
                    <w:t>0</w:t>
                  </w:r>
                </w:p>
              </w:tc>
              <w:tc>
                <w:tcPr>
                  <w:tcW w:w="591" w:type="pct"/>
                  <w:tcBorders>
                    <w:tl2br w:val="nil"/>
                    <w:tr2bl w:val="nil"/>
                  </w:tcBorders>
                  <w:noWrap w:val="0"/>
                  <w:vAlign w:val="center"/>
                </w:tcPr>
                <w:p w14:paraId="71D911F6">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18</w:t>
                  </w:r>
                  <w:r>
                    <w:rPr>
                      <w:rFonts w:hint="default" w:ascii="Times New Roman" w:hAnsi="Times New Roman"/>
                      <w:color w:val="auto"/>
                      <w:lang w:val="en-US" w:eastAsia="zh-CN"/>
                    </w:rPr>
                    <w:t>0</w:t>
                  </w:r>
                </w:p>
              </w:tc>
              <w:tc>
                <w:tcPr>
                  <w:tcW w:w="539" w:type="pct"/>
                  <w:tcBorders>
                    <w:tl2br w:val="nil"/>
                    <w:tr2bl w:val="nil"/>
                  </w:tcBorders>
                  <w:noWrap w:val="0"/>
                  <w:vAlign w:val="center"/>
                </w:tcPr>
                <w:p w14:paraId="2A0E5F25">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30</w:t>
                  </w:r>
                </w:p>
              </w:tc>
              <w:tc>
                <w:tcPr>
                  <w:tcW w:w="539" w:type="pct"/>
                  <w:tcBorders>
                    <w:tl2br w:val="nil"/>
                    <w:tr2bl w:val="nil"/>
                  </w:tcBorders>
                  <w:noWrap w:val="0"/>
                  <w:vAlign w:val="center"/>
                </w:tcPr>
                <w:p w14:paraId="193E952D">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40</w:t>
                  </w:r>
                </w:p>
              </w:tc>
              <w:tc>
                <w:tcPr>
                  <w:tcW w:w="572" w:type="pct"/>
                  <w:tcBorders>
                    <w:tl2br w:val="nil"/>
                    <w:tr2bl w:val="nil"/>
                  </w:tcBorders>
                  <w:noWrap w:val="0"/>
                  <w:vAlign w:val="center"/>
                </w:tcPr>
                <w:p w14:paraId="72276884">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4</w:t>
                  </w:r>
                </w:p>
              </w:tc>
              <w:tc>
                <w:tcPr>
                  <w:tcW w:w="568" w:type="pct"/>
                  <w:tcBorders>
                    <w:tl2br w:val="nil"/>
                    <w:tr2bl w:val="nil"/>
                  </w:tcBorders>
                  <w:noWrap w:val="0"/>
                  <w:vAlign w:val="center"/>
                </w:tcPr>
                <w:p w14:paraId="660273CB">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color w:val="auto"/>
                      <w:lang w:val="en-US" w:eastAsia="zh-CN"/>
                    </w:rPr>
                    <w:t>-</w:t>
                  </w:r>
                </w:p>
              </w:tc>
            </w:tr>
            <w:tr w14:paraId="3F36C4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02" w:type="pct"/>
                  <w:tcBorders>
                    <w:tl2br w:val="nil"/>
                    <w:tr2bl w:val="nil"/>
                  </w:tcBorders>
                  <w:noWrap w:val="0"/>
                  <w:vAlign w:val="center"/>
                </w:tcPr>
                <w:p w14:paraId="431E5986">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出水标准</w:t>
                  </w:r>
                </w:p>
              </w:tc>
              <w:tc>
                <w:tcPr>
                  <w:tcW w:w="614" w:type="pct"/>
                  <w:tcBorders>
                    <w:tl2br w:val="nil"/>
                    <w:tr2bl w:val="nil"/>
                  </w:tcBorders>
                  <w:noWrap w:val="0"/>
                  <w:vAlign w:val="center"/>
                </w:tcPr>
                <w:p w14:paraId="7365B3A5">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6~9</w:t>
                  </w:r>
                  <w:r>
                    <w:rPr>
                      <w:rFonts w:hint="eastAsia" w:ascii="Times New Roman" w:hAnsi="Times New Roman"/>
                      <w:color w:val="auto"/>
                      <w:lang w:val="en-US" w:eastAsia="zh-CN"/>
                    </w:rPr>
                    <w:t>（</w:t>
                  </w:r>
                  <w:r>
                    <w:rPr>
                      <w:rFonts w:hint="default" w:ascii="Times New Roman" w:hAnsi="Times New Roman"/>
                      <w:color w:val="auto"/>
                      <w:lang w:val="en-US" w:eastAsia="zh-CN"/>
                    </w:rPr>
                    <w:t>无量纲</w:t>
                  </w:r>
                  <w:r>
                    <w:rPr>
                      <w:rFonts w:hint="eastAsia" w:ascii="Times New Roman" w:hAnsi="Times New Roman"/>
                      <w:color w:val="auto"/>
                      <w:lang w:val="en-US" w:eastAsia="zh-CN"/>
                    </w:rPr>
                    <w:t>）</w:t>
                  </w:r>
                </w:p>
              </w:tc>
              <w:tc>
                <w:tcPr>
                  <w:tcW w:w="481" w:type="pct"/>
                  <w:tcBorders>
                    <w:tl2br w:val="nil"/>
                    <w:tr2bl w:val="nil"/>
                  </w:tcBorders>
                  <w:noWrap w:val="0"/>
                  <w:vAlign w:val="center"/>
                </w:tcPr>
                <w:p w14:paraId="541F08DF">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5</w:t>
                  </w:r>
                  <w:r>
                    <w:rPr>
                      <w:rFonts w:hint="default" w:ascii="Times New Roman" w:hAnsi="Times New Roman"/>
                      <w:color w:val="auto"/>
                      <w:lang w:val="en-US" w:eastAsia="zh-CN"/>
                    </w:rPr>
                    <w:t>0</w:t>
                  </w:r>
                </w:p>
              </w:tc>
              <w:tc>
                <w:tcPr>
                  <w:tcW w:w="591" w:type="pct"/>
                  <w:tcBorders>
                    <w:tl2br w:val="nil"/>
                    <w:tr2bl w:val="nil"/>
                  </w:tcBorders>
                  <w:noWrap w:val="0"/>
                  <w:vAlign w:val="center"/>
                </w:tcPr>
                <w:p w14:paraId="23900488">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0</w:t>
                  </w:r>
                </w:p>
              </w:tc>
              <w:tc>
                <w:tcPr>
                  <w:tcW w:w="591" w:type="pct"/>
                  <w:tcBorders>
                    <w:tl2br w:val="nil"/>
                    <w:tr2bl w:val="nil"/>
                  </w:tcBorders>
                  <w:noWrap w:val="0"/>
                  <w:vAlign w:val="center"/>
                </w:tcPr>
                <w:p w14:paraId="29C45B1E">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0</w:t>
                  </w:r>
                </w:p>
              </w:tc>
              <w:tc>
                <w:tcPr>
                  <w:tcW w:w="539" w:type="pct"/>
                  <w:tcBorders>
                    <w:tl2br w:val="nil"/>
                    <w:tr2bl w:val="nil"/>
                  </w:tcBorders>
                  <w:noWrap w:val="0"/>
                  <w:vAlign w:val="center"/>
                </w:tcPr>
                <w:p w14:paraId="6F767D16">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5</w:t>
                  </w:r>
                  <w:r>
                    <w:rPr>
                      <w:rFonts w:hint="eastAsia"/>
                      <w:color w:val="auto"/>
                      <w:lang w:val="en-US" w:eastAsia="zh-CN"/>
                    </w:rPr>
                    <w:t>(</w:t>
                  </w:r>
                  <w:r>
                    <w:rPr>
                      <w:rFonts w:hint="eastAsia" w:ascii="Times New Roman" w:hAnsi="Times New Roman"/>
                      <w:color w:val="auto"/>
                      <w:lang w:val="en-US" w:eastAsia="zh-CN"/>
                    </w:rPr>
                    <w:t>8</w:t>
                  </w:r>
                  <w:r>
                    <w:rPr>
                      <w:rFonts w:hint="eastAsia"/>
                      <w:color w:val="auto"/>
                      <w:lang w:val="en-US" w:eastAsia="zh-CN"/>
                    </w:rPr>
                    <w:t>)</w:t>
                  </w:r>
                </w:p>
              </w:tc>
              <w:tc>
                <w:tcPr>
                  <w:tcW w:w="539" w:type="pct"/>
                  <w:tcBorders>
                    <w:tl2br w:val="nil"/>
                    <w:tr2bl w:val="nil"/>
                  </w:tcBorders>
                  <w:noWrap w:val="0"/>
                  <w:vAlign w:val="center"/>
                </w:tcPr>
                <w:p w14:paraId="227C9861">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15</w:t>
                  </w:r>
                </w:p>
              </w:tc>
              <w:tc>
                <w:tcPr>
                  <w:tcW w:w="572" w:type="pct"/>
                  <w:tcBorders>
                    <w:tl2br w:val="nil"/>
                    <w:tr2bl w:val="nil"/>
                  </w:tcBorders>
                  <w:noWrap w:val="0"/>
                  <w:vAlign w:val="center"/>
                </w:tcPr>
                <w:p w14:paraId="5B9B82CE">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0.5</w:t>
                  </w:r>
                </w:p>
              </w:tc>
              <w:tc>
                <w:tcPr>
                  <w:tcW w:w="568" w:type="pct"/>
                  <w:tcBorders>
                    <w:tl2br w:val="nil"/>
                    <w:tr2bl w:val="nil"/>
                  </w:tcBorders>
                  <w:noWrap w:val="0"/>
                  <w:vAlign w:val="center"/>
                </w:tcPr>
                <w:p w14:paraId="76101BB9">
                  <w:pPr>
                    <w:pStyle w:val="30"/>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color w:val="auto"/>
                      <w:lang w:val="en-US" w:eastAsia="zh-CN"/>
                    </w:rPr>
                    <w:t>0.5</w:t>
                  </w:r>
                </w:p>
              </w:tc>
            </w:tr>
            <w:tr w14:paraId="36448D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000" w:type="pct"/>
                  <w:gridSpan w:val="9"/>
                  <w:tcBorders>
                    <w:tl2br w:val="nil"/>
                    <w:tr2bl w:val="nil"/>
                  </w:tcBorders>
                  <w:noWrap w:val="0"/>
                  <w:vAlign w:val="center"/>
                </w:tcPr>
                <w:p w14:paraId="5BAA9701">
                  <w:pPr>
                    <w:keepNext w:val="0"/>
                    <w:keepLines w:val="0"/>
                    <w:pageBreakBefore w:val="0"/>
                    <w:widowControl/>
                    <w:suppressLineNumbers w:val="0"/>
                    <w:kinsoku/>
                    <w:wordWrap/>
                    <w:overflowPunct/>
                    <w:topLinePunct w:val="0"/>
                    <w:autoSpaceDE/>
                    <w:autoSpaceDN/>
                    <w:bidi w:val="0"/>
                    <w:jc w:val="center"/>
                    <w:textAlignment w:val="auto"/>
                    <w:rPr>
                      <w:rFonts w:hint="eastAsia" w:ascii="宋体" w:hAnsi="宋体" w:eastAsia="宋体" w:cs="宋体"/>
                      <w:color w:val="auto"/>
                      <w:kern w:val="0"/>
                      <w:sz w:val="19"/>
                      <w:szCs w:val="19"/>
                      <w:lang w:val="en-US" w:eastAsia="zh-CN" w:bidi="ar"/>
                    </w:rPr>
                  </w:pPr>
                  <w:r>
                    <w:rPr>
                      <w:rFonts w:hint="eastAsia" w:ascii="宋体" w:hAnsi="宋体" w:eastAsia="宋体" w:cs="宋体"/>
                      <w:color w:val="auto"/>
                      <w:kern w:val="0"/>
                      <w:sz w:val="18"/>
                      <w:szCs w:val="18"/>
                      <w:lang w:val="en-US" w:eastAsia="zh-CN" w:bidi="ar"/>
                    </w:rPr>
                    <w:t>注：括号外数值为水温＞</w:t>
                  </w:r>
                  <w:r>
                    <w:rPr>
                      <w:rFonts w:hint="default" w:ascii="Times New Roman" w:hAnsi="Times New Roman" w:eastAsia="宋体" w:cs="Times New Roman"/>
                      <w:color w:val="auto"/>
                      <w:kern w:val="0"/>
                      <w:sz w:val="18"/>
                      <w:szCs w:val="18"/>
                      <w:lang w:val="en-US" w:eastAsia="zh-CN" w:bidi="ar"/>
                    </w:rPr>
                    <w:t>12℃</w:t>
                  </w:r>
                  <w:r>
                    <w:rPr>
                      <w:rFonts w:hint="eastAsia" w:ascii="宋体" w:hAnsi="宋体" w:eastAsia="宋体" w:cs="宋体"/>
                      <w:color w:val="auto"/>
                      <w:kern w:val="0"/>
                      <w:sz w:val="18"/>
                      <w:szCs w:val="18"/>
                      <w:lang w:val="en-US" w:eastAsia="zh-CN" w:bidi="ar"/>
                    </w:rPr>
                    <w:t>时的控制指标，括号内数值为水温</w:t>
                  </w:r>
                  <w:r>
                    <w:rPr>
                      <w:rFonts w:hint="default" w:ascii="Times New Roman" w:hAnsi="Times New Roman" w:eastAsia="宋体" w:cs="Times New Roman"/>
                      <w:color w:val="auto"/>
                      <w:kern w:val="0"/>
                      <w:sz w:val="18"/>
                      <w:szCs w:val="18"/>
                      <w:lang w:val="en-US" w:eastAsia="zh-CN" w:bidi="ar"/>
                    </w:rPr>
                    <w:t>≤12℃</w:t>
                  </w:r>
                  <w:r>
                    <w:rPr>
                      <w:rFonts w:hint="eastAsia" w:ascii="宋体" w:hAnsi="宋体" w:eastAsia="宋体" w:cs="宋体"/>
                      <w:color w:val="auto"/>
                      <w:kern w:val="0"/>
                      <w:sz w:val="18"/>
                      <w:szCs w:val="18"/>
                      <w:lang w:val="en-US" w:eastAsia="zh-CN" w:bidi="ar"/>
                    </w:rPr>
                    <w:t>时的控制指标</w:t>
                  </w:r>
                </w:p>
              </w:tc>
            </w:tr>
          </w:tbl>
          <w:p w14:paraId="7DE16D20">
            <w:pPr>
              <w:pStyle w:val="22"/>
              <w:bidi w:val="0"/>
              <w:ind w:firstLine="480" w:firstLineChars="200"/>
              <w:rPr>
                <w:rFonts w:hint="eastAsia" w:ascii="Times New Roman" w:hAnsi="Times New Roman"/>
                <w:color w:val="auto"/>
                <w:lang w:val="en-US" w:eastAsia="zh-CN"/>
              </w:rPr>
            </w:pPr>
            <w:r>
              <w:rPr>
                <w:rFonts w:hint="eastAsia"/>
                <w:color w:val="auto"/>
                <w:lang w:val="en-US" w:eastAsia="zh-CN"/>
              </w:rPr>
              <w:t>Ⅱ</w:t>
            </w:r>
            <w:r>
              <w:rPr>
                <w:rFonts w:hint="eastAsia" w:ascii="Times New Roman" w:hAnsi="Times New Roman"/>
                <w:color w:val="auto"/>
                <w:lang w:val="en-US" w:eastAsia="zh-CN"/>
              </w:rPr>
              <w:t>、处理工艺</w:t>
            </w:r>
          </w:p>
          <w:p w14:paraId="3437DFE9">
            <w:pPr>
              <w:pStyle w:val="22"/>
              <w:bidi w:val="0"/>
              <w:ind w:firstLine="480" w:firstLineChars="200"/>
              <w:rPr>
                <w:rFonts w:hint="default" w:ascii="Times New Roman" w:hAnsi="Times New Roman"/>
                <w:color w:val="auto"/>
                <w:lang w:val="en-US" w:eastAsia="zh-CN"/>
              </w:rPr>
            </w:pPr>
            <w:r>
              <w:rPr>
                <w:rFonts w:hint="eastAsia" w:ascii="Times New Roman" w:hAnsi="Times New Roman"/>
                <w:color w:val="auto"/>
                <w:lang w:val="en-US" w:eastAsia="zh-CN"/>
              </w:rPr>
              <w:t>大学城污水处理厂废水处理工艺采用“污水→粗格栅→进水泵房→细格栅→旋流沉砂池→AAO生物反应池→二沉池→高效沉淀池→滤布滤池→</w:t>
            </w:r>
            <w:r>
              <w:rPr>
                <w:rFonts w:hint="eastAsia"/>
                <w:color w:val="auto"/>
                <w:lang w:val="en-US" w:eastAsia="zh-CN"/>
              </w:rPr>
              <w:t>紫外线</w:t>
            </w:r>
            <w:r>
              <w:rPr>
                <w:rFonts w:hint="eastAsia" w:ascii="Times New Roman" w:hAnsi="Times New Roman"/>
                <w:color w:val="auto"/>
                <w:lang w:val="en-US" w:eastAsia="zh-CN"/>
              </w:rPr>
              <w:t>消毒渠”，项目污水处理工艺流程图详见图4.1-1。</w:t>
            </w:r>
          </w:p>
          <w:p w14:paraId="206C3F1D">
            <w:pPr>
              <w:pStyle w:val="22"/>
              <w:bidi w:val="0"/>
              <w:spacing w:line="240" w:lineRule="auto"/>
              <w:ind w:left="0" w:leftChars="0" w:firstLine="0" w:firstLineChars="0"/>
              <w:rPr>
                <w:rFonts w:hint="default" w:ascii="Times New Roman" w:hAnsi="Times New Roman"/>
                <w:color w:val="auto"/>
                <w:lang w:val="en-US" w:eastAsia="zh-CN"/>
              </w:rPr>
            </w:pPr>
            <w:r>
              <w:rPr>
                <w:rFonts w:hint="default" w:ascii="Times New Roman" w:hAnsi="Times New Roman"/>
                <w:color w:val="auto"/>
                <w:lang w:val="en-US" w:eastAsia="zh-CN"/>
              </w:rPr>
              <w:drawing>
                <wp:inline distT="0" distB="0" distL="114300" distR="114300">
                  <wp:extent cx="5189855" cy="2268855"/>
                  <wp:effectExtent l="0" t="0" r="0" b="0"/>
                  <wp:docPr id="135" name="图片 1" descr="污水处理工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 descr="污水处理工艺"/>
                          <pic:cNvPicPr>
                            <a:picLocks noChangeAspect="1"/>
                          </pic:cNvPicPr>
                        </pic:nvPicPr>
                        <pic:blipFill>
                          <a:blip r:embed="rId17"/>
                          <a:stretch>
                            <a:fillRect/>
                          </a:stretch>
                        </pic:blipFill>
                        <pic:spPr>
                          <a:xfrm>
                            <a:off x="0" y="0"/>
                            <a:ext cx="5189855" cy="2268855"/>
                          </a:xfrm>
                          <a:prstGeom prst="rect">
                            <a:avLst/>
                          </a:prstGeom>
                          <a:noFill/>
                          <a:ln>
                            <a:noFill/>
                          </a:ln>
                        </pic:spPr>
                      </pic:pic>
                    </a:graphicData>
                  </a:graphic>
                </wp:inline>
              </w:drawing>
            </w:r>
          </w:p>
          <w:p w14:paraId="3A7C0509">
            <w:pPr>
              <w:pStyle w:val="27"/>
              <w:bidi w:val="0"/>
              <w:ind w:firstLine="482" w:firstLineChars="200"/>
              <w:rPr>
                <w:rFonts w:hint="eastAsia" w:ascii="Times New Roman" w:hAnsi="Times New Roman"/>
                <w:color w:val="auto"/>
                <w:lang w:val="en-US" w:eastAsia="zh-CN"/>
              </w:rPr>
            </w:pPr>
            <w:r>
              <w:rPr>
                <w:rFonts w:hint="eastAsia" w:ascii="Times New Roman" w:hAnsi="Times New Roman"/>
                <w:color w:val="auto"/>
                <w:lang w:val="en-US" w:eastAsia="zh-CN"/>
              </w:rPr>
              <w:t>图4.1-1</w:t>
            </w:r>
            <w:r>
              <w:rPr>
                <w:rFonts w:hint="eastAsia"/>
                <w:color w:val="auto"/>
                <w:lang w:val="en-US" w:eastAsia="zh-CN"/>
              </w:rPr>
              <w:t xml:space="preserve">  </w:t>
            </w:r>
            <w:r>
              <w:rPr>
                <w:rFonts w:hint="eastAsia" w:ascii="Times New Roman" w:hAnsi="Times New Roman"/>
                <w:color w:val="auto"/>
                <w:lang w:val="en-US" w:eastAsia="zh-CN"/>
              </w:rPr>
              <w:t>大学城污水处理厂废水处理工艺</w:t>
            </w:r>
          </w:p>
          <w:p w14:paraId="0D3B4496">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②依托可行性分析</w:t>
            </w:r>
          </w:p>
          <w:p w14:paraId="6F0FC214">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I</w:t>
            </w:r>
            <w:r>
              <w:rPr>
                <w:rFonts w:hint="eastAsia"/>
                <w:color w:val="auto"/>
                <w:lang w:val="en-US" w:eastAsia="zh-CN"/>
              </w:rPr>
              <w:t>.</w:t>
            </w:r>
            <w:r>
              <w:rPr>
                <w:rFonts w:hint="eastAsia" w:ascii="Times New Roman" w:hAnsi="Times New Roman"/>
                <w:color w:val="auto"/>
                <w:lang w:val="en-US" w:eastAsia="zh-CN"/>
              </w:rPr>
              <w:t>接管可行性</w:t>
            </w:r>
          </w:p>
          <w:p w14:paraId="5F0A6475">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根据《</w:t>
            </w:r>
            <w:r>
              <w:rPr>
                <w:rFonts w:hint="eastAsia"/>
                <w:color w:val="auto"/>
                <w:lang w:val="en-US" w:eastAsia="zh-CN"/>
              </w:rPr>
              <w:t>福州市闽侯县大学城污水处理厂四期工程（厂内工程第一阶段）项目</w:t>
            </w:r>
            <w:r>
              <w:rPr>
                <w:rFonts w:hint="default" w:ascii="Times New Roman" w:hAnsi="Times New Roman"/>
                <w:color w:val="auto"/>
                <w:lang w:val="en-US" w:eastAsia="zh-CN"/>
              </w:rPr>
              <w:t>》可知</w:t>
            </w:r>
            <w:r>
              <w:rPr>
                <w:rFonts w:hint="eastAsia" w:ascii="Times New Roman" w:hAnsi="Times New Roman"/>
                <w:color w:val="auto"/>
                <w:lang w:val="en-US" w:eastAsia="zh-CN"/>
              </w:rPr>
              <w:t>，大学城污水处理厂服务范围包括上街镇区、大学城和南屿片区等，总服务面积为88km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服务范围内人口预测为近期55万人、远期72万人。本项目位于南屿片区，在大学城污水处理厂的服务范围内，目前项目周边污水管网已经接到项目所在区域，污水汇集后通过厂区外敷设的污水干管进入污水处理厂处理。</w:t>
            </w:r>
          </w:p>
          <w:p w14:paraId="754A43E5">
            <w:pPr>
              <w:pStyle w:val="22"/>
              <w:bidi w:val="0"/>
              <w:ind w:firstLine="480" w:firstLineChars="200"/>
              <w:rPr>
                <w:rFonts w:hint="eastAsia" w:ascii="Times New Roman" w:hAnsi="Times New Roman"/>
                <w:color w:val="auto"/>
                <w:lang w:val="en-US" w:eastAsia="zh-CN"/>
              </w:rPr>
            </w:pPr>
            <w:r>
              <w:rPr>
                <w:rFonts w:hint="eastAsia"/>
                <w:color w:val="auto"/>
                <w:lang w:val="en-US" w:eastAsia="zh-CN"/>
              </w:rPr>
              <w:t>Ⅱ</w:t>
            </w:r>
            <w:r>
              <w:rPr>
                <w:rFonts w:hint="eastAsia" w:ascii="Times New Roman" w:hAnsi="Times New Roman"/>
                <w:color w:val="auto"/>
                <w:lang w:val="en-US" w:eastAsia="zh-CN"/>
              </w:rPr>
              <w:t>、水质负荷</w:t>
            </w:r>
          </w:p>
          <w:p w14:paraId="76501B6B">
            <w:pPr>
              <w:pStyle w:val="22"/>
              <w:bidi w:val="0"/>
              <w:ind w:firstLine="480" w:firstLineChars="200"/>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生活污水经化粪池处理达标后排入市政管网，纳入大学城污水处理厂；</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废水、抛光废水、</w:t>
            </w:r>
            <w:r>
              <w:rPr>
                <w:rFonts w:hint="eastAsia" w:cs="宋体"/>
                <w:color w:val="auto"/>
                <w:kern w:val="2"/>
                <w:sz w:val="24"/>
                <w:szCs w:val="24"/>
                <w:lang w:val="en-US" w:eastAsia="zh-CN" w:bidi="ar-SA"/>
              </w:rPr>
              <w:t>粗磨</w:t>
            </w:r>
            <w:r>
              <w:rPr>
                <w:rFonts w:hint="eastAsia" w:ascii="Times New Roman" w:hAnsi="Times New Roman" w:eastAsia="宋体" w:cs="宋体"/>
                <w:color w:val="auto"/>
                <w:kern w:val="2"/>
                <w:sz w:val="24"/>
                <w:szCs w:val="24"/>
                <w:lang w:val="en-US" w:eastAsia="zh-CN" w:bidi="ar-SA"/>
              </w:rPr>
              <w:t>废水、</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废水经过三级沉淀池沉淀处理达标后排入市政管网，纳入大学城污水处理厂；纯水槽的纯水与非纯净废水直接排入市政管网，纳入大学城污水处理。</w:t>
            </w:r>
            <w:r>
              <w:rPr>
                <w:rFonts w:hint="default" w:ascii="Times New Roman" w:hAnsi="Times New Roman" w:eastAsia="宋体" w:cs="宋体"/>
                <w:color w:val="auto"/>
                <w:kern w:val="2"/>
                <w:sz w:val="24"/>
                <w:szCs w:val="24"/>
                <w:lang w:val="en-US" w:eastAsia="zh-CN" w:bidi="ar-SA"/>
              </w:rPr>
              <w:t>根据</w:t>
            </w:r>
            <w:r>
              <w:rPr>
                <w:rFonts w:hint="eastAsia" w:ascii="Times New Roman" w:hAnsi="Times New Roman" w:eastAsia="宋体" w:cs="宋体"/>
                <w:color w:val="auto"/>
                <w:kern w:val="2"/>
                <w:sz w:val="24"/>
                <w:szCs w:val="24"/>
                <w:lang w:val="en-US" w:eastAsia="zh-CN" w:bidi="ar-SA"/>
              </w:rPr>
              <w:t>前文</w:t>
            </w:r>
            <w:r>
              <w:rPr>
                <w:rFonts w:hint="default" w:ascii="Times New Roman" w:hAnsi="Times New Roman" w:eastAsia="宋体" w:cs="宋体"/>
                <w:color w:val="auto"/>
                <w:kern w:val="2"/>
                <w:sz w:val="24"/>
                <w:szCs w:val="24"/>
                <w:lang w:val="en-US" w:eastAsia="zh-CN" w:bidi="ar-SA"/>
              </w:rPr>
              <w:t>工程分析预测可知，项目综合废水排入市政污水管网内污染物排放浓度情况表4.</w:t>
            </w:r>
            <w:r>
              <w:rPr>
                <w:rFonts w:hint="eastAsia" w:ascii="Times New Roman" w:hAnsi="Times New Roman" w:eastAsia="宋体" w:cs="宋体"/>
                <w:color w:val="auto"/>
                <w:kern w:val="2"/>
                <w:sz w:val="24"/>
                <w:szCs w:val="24"/>
                <w:lang w:val="en-US" w:eastAsia="zh-CN" w:bidi="ar-SA"/>
              </w:rPr>
              <w:t>1</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5</w:t>
            </w:r>
            <w:r>
              <w:rPr>
                <w:rFonts w:hint="default" w:ascii="Times New Roman" w:hAnsi="Times New Roman" w:eastAsia="宋体" w:cs="宋体"/>
                <w:color w:val="auto"/>
                <w:kern w:val="2"/>
                <w:sz w:val="24"/>
                <w:szCs w:val="24"/>
                <w:lang w:val="en-US" w:eastAsia="zh-CN" w:bidi="ar-SA"/>
              </w:rPr>
              <w:t>。</w:t>
            </w:r>
          </w:p>
          <w:p w14:paraId="131DDE56">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表4.1-</w:t>
            </w:r>
            <w:r>
              <w:rPr>
                <w:rFonts w:hint="eastAsia" w:cs="Times New Roman"/>
                <w:b/>
                <w:color w:val="auto"/>
                <w:kern w:val="0"/>
                <w:sz w:val="24"/>
                <w:szCs w:val="20"/>
                <w:lang w:val="en-US" w:eastAsia="zh-CN" w:bidi="ar-SA"/>
              </w:rPr>
              <w:t xml:space="preserve">5  </w:t>
            </w:r>
            <w:r>
              <w:rPr>
                <w:rFonts w:hint="eastAsia" w:ascii="Times New Roman" w:hAnsi="Times New Roman" w:eastAsia="宋体" w:cs="Times New Roman"/>
                <w:b/>
                <w:color w:val="auto"/>
                <w:kern w:val="0"/>
                <w:sz w:val="24"/>
                <w:szCs w:val="20"/>
                <w:lang w:val="en-US" w:eastAsia="zh-CN" w:bidi="ar-SA"/>
              </w:rPr>
              <w:t>本项目废水总排口排放情况一览表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1633"/>
              <w:gridCol w:w="1635"/>
              <w:gridCol w:w="1635"/>
              <w:gridCol w:w="1635"/>
            </w:tblGrid>
            <w:tr w14:paraId="30076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61974D4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污染物种类</w:t>
                  </w:r>
                </w:p>
              </w:tc>
              <w:tc>
                <w:tcPr>
                  <w:tcW w:w="999" w:type="pct"/>
                  <w:tcBorders>
                    <w:tl2br w:val="nil"/>
                    <w:tr2bl w:val="nil"/>
                  </w:tcBorders>
                  <w:noWrap w:val="0"/>
                  <w:vAlign w:val="center"/>
                </w:tcPr>
                <w:p w14:paraId="5887543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排放浓度</w:t>
                  </w:r>
                  <w:r>
                    <w:rPr>
                      <w:rFonts w:hint="eastAsia" w:cs="Times New Roman"/>
                      <w:b/>
                      <w:bCs/>
                      <w:color w:val="auto"/>
                      <w:kern w:val="0"/>
                      <w:sz w:val="21"/>
                      <w:szCs w:val="20"/>
                      <w:lang w:val="en-US" w:eastAsia="zh-CN" w:bidi="ar-SA"/>
                    </w:rPr>
                    <w:t>（</w:t>
                  </w:r>
                  <w:r>
                    <w:rPr>
                      <w:rFonts w:hint="default" w:ascii="Times New Roman" w:hAnsi="Times New Roman" w:eastAsia="宋体" w:cs="Times New Roman"/>
                      <w:b/>
                      <w:bCs/>
                      <w:color w:val="auto"/>
                      <w:kern w:val="0"/>
                      <w:sz w:val="21"/>
                      <w:szCs w:val="20"/>
                      <w:lang w:val="en-US" w:eastAsia="zh-CN" w:bidi="ar-SA"/>
                    </w:rPr>
                    <w:t>mg/L</w:t>
                  </w:r>
                  <w:r>
                    <w:rPr>
                      <w:rFonts w:hint="eastAsia" w:cs="Times New Roman"/>
                      <w:b/>
                      <w:bCs/>
                      <w:color w:val="auto"/>
                      <w:kern w:val="0"/>
                      <w:sz w:val="21"/>
                      <w:szCs w:val="20"/>
                      <w:lang w:val="en-US" w:eastAsia="zh-CN" w:bidi="ar-SA"/>
                    </w:rPr>
                    <w:t>）</w:t>
                  </w:r>
                </w:p>
              </w:tc>
              <w:tc>
                <w:tcPr>
                  <w:tcW w:w="1000" w:type="pct"/>
                  <w:tcBorders>
                    <w:tl2br w:val="nil"/>
                    <w:tr2bl w:val="nil"/>
                  </w:tcBorders>
                  <w:noWrap w:val="0"/>
                  <w:vAlign w:val="center"/>
                </w:tcPr>
                <w:p w14:paraId="7CD932C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允许排放标准</w:t>
                  </w:r>
                  <w:r>
                    <w:rPr>
                      <w:rFonts w:hint="eastAsia" w:cs="Times New Roman"/>
                      <w:b/>
                      <w:bCs/>
                      <w:color w:val="auto"/>
                      <w:kern w:val="0"/>
                      <w:sz w:val="21"/>
                      <w:szCs w:val="20"/>
                      <w:lang w:val="en-US" w:eastAsia="zh-CN" w:bidi="ar-SA"/>
                    </w:rPr>
                    <w:t>（</w:t>
                  </w:r>
                  <w:r>
                    <w:rPr>
                      <w:rFonts w:hint="default" w:ascii="Times New Roman" w:hAnsi="Times New Roman" w:eastAsia="宋体" w:cs="Times New Roman"/>
                      <w:b/>
                      <w:bCs/>
                      <w:color w:val="auto"/>
                      <w:kern w:val="0"/>
                      <w:sz w:val="21"/>
                      <w:szCs w:val="20"/>
                      <w:lang w:val="en-US" w:eastAsia="zh-CN" w:bidi="ar-SA"/>
                    </w:rPr>
                    <w:t>mg/L</w:t>
                  </w:r>
                  <w:r>
                    <w:rPr>
                      <w:rFonts w:hint="eastAsia" w:cs="Times New Roman"/>
                      <w:b/>
                      <w:bCs/>
                      <w:color w:val="auto"/>
                      <w:kern w:val="0"/>
                      <w:sz w:val="21"/>
                      <w:szCs w:val="20"/>
                      <w:lang w:val="en-US" w:eastAsia="zh-CN" w:bidi="ar-SA"/>
                    </w:rPr>
                    <w:t>）</w:t>
                  </w:r>
                </w:p>
              </w:tc>
              <w:tc>
                <w:tcPr>
                  <w:tcW w:w="1000" w:type="pct"/>
                  <w:tcBorders>
                    <w:tl2br w:val="nil"/>
                    <w:tr2bl w:val="nil"/>
                  </w:tcBorders>
                  <w:noWrap w:val="0"/>
                  <w:vAlign w:val="center"/>
                </w:tcPr>
                <w:p w14:paraId="4E5FE1E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cs="Times New Roman"/>
                      <w:b/>
                      <w:bCs/>
                      <w:color w:val="auto"/>
                      <w:kern w:val="0"/>
                      <w:sz w:val="21"/>
                      <w:szCs w:val="20"/>
                      <w:lang w:val="en-US" w:eastAsia="zh-CN" w:bidi="ar-SA"/>
                    </w:rPr>
                    <w:t>污水处理厂</w:t>
                  </w:r>
                  <w:r>
                    <w:rPr>
                      <w:rFonts w:hint="default" w:ascii="Times New Roman" w:hAnsi="Times New Roman" w:eastAsia="宋体" w:cs="Times New Roman"/>
                      <w:b/>
                      <w:bCs/>
                      <w:color w:val="auto"/>
                      <w:kern w:val="0"/>
                      <w:sz w:val="21"/>
                      <w:szCs w:val="20"/>
                      <w:lang w:val="en-US" w:eastAsia="zh-CN" w:bidi="ar-SA"/>
                    </w:rPr>
                    <w:t>进水水质</w:t>
                  </w:r>
                  <w:r>
                    <w:rPr>
                      <w:rFonts w:hint="eastAsia" w:cs="Times New Roman"/>
                      <w:b/>
                      <w:bCs/>
                      <w:color w:val="auto"/>
                      <w:kern w:val="0"/>
                      <w:sz w:val="21"/>
                      <w:szCs w:val="20"/>
                      <w:lang w:val="en-US" w:eastAsia="zh-CN" w:bidi="ar-SA"/>
                    </w:rPr>
                    <w:t>（</w:t>
                  </w:r>
                  <w:r>
                    <w:rPr>
                      <w:rFonts w:hint="default" w:ascii="Times New Roman" w:hAnsi="Times New Roman" w:eastAsia="宋体" w:cs="Times New Roman"/>
                      <w:b/>
                      <w:bCs/>
                      <w:color w:val="auto"/>
                      <w:kern w:val="0"/>
                      <w:sz w:val="21"/>
                      <w:szCs w:val="20"/>
                      <w:lang w:val="en-US" w:eastAsia="zh-CN" w:bidi="ar-SA"/>
                    </w:rPr>
                    <w:t>mg/L</w:t>
                  </w:r>
                  <w:r>
                    <w:rPr>
                      <w:rFonts w:hint="eastAsia" w:cs="Times New Roman"/>
                      <w:b/>
                      <w:bCs/>
                      <w:color w:val="auto"/>
                      <w:kern w:val="0"/>
                      <w:sz w:val="21"/>
                      <w:szCs w:val="20"/>
                      <w:lang w:val="en-US" w:eastAsia="zh-CN" w:bidi="ar-SA"/>
                    </w:rPr>
                    <w:t>）</w:t>
                  </w:r>
                </w:p>
              </w:tc>
              <w:tc>
                <w:tcPr>
                  <w:tcW w:w="1000" w:type="pct"/>
                  <w:tcBorders>
                    <w:tl2br w:val="nil"/>
                    <w:tr2bl w:val="nil"/>
                  </w:tcBorders>
                  <w:noWrap w:val="0"/>
                  <w:vAlign w:val="center"/>
                </w:tcPr>
                <w:p w14:paraId="0B9CD88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达标情况</w:t>
                  </w:r>
                </w:p>
              </w:tc>
            </w:tr>
            <w:tr w14:paraId="5C344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4CE8721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pH</w:t>
                  </w:r>
                </w:p>
              </w:tc>
              <w:tc>
                <w:tcPr>
                  <w:tcW w:w="999" w:type="pct"/>
                  <w:tcBorders>
                    <w:tl2br w:val="nil"/>
                    <w:tr2bl w:val="nil"/>
                  </w:tcBorders>
                  <w:noWrap w:val="0"/>
                  <w:vAlign w:val="center"/>
                </w:tcPr>
                <w:p w14:paraId="0F9A4FB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6-9</w:t>
                  </w:r>
                  <w:r>
                    <w:rPr>
                      <w:rFonts w:hint="eastAsia" w:cs="Times New Roman"/>
                      <w:color w:val="auto"/>
                      <w:kern w:val="0"/>
                      <w:sz w:val="21"/>
                      <w:szCs w:val="20"/>
                      <w:lang w:val="en-US" w:eastAsia="zh-CN" w:bidi="ar-SA"/>
                    </w:rPr>
                    <w:t>（无量纲）</w:t>
                  </w:r>
                </w:p>
              </w:tc>
              <w:tc>
                <w:tcPr>
                  <w:tcW w:w="1000" w:type="pct"/>
                  <w:tcBorders>
                    <w:tl2br w:val="nil"/>
                    <w:tr2bl w:val="nil"/>
                  </w:tcBorders>
                  <w:noWrap w:val="0"/>
                  <w:vAlign w:val="center"/>
                </w:tcPr>
                <w:p w14:paraId="47C77E8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6-9</w:t>
                  </w:r>
                  <w:r>
                    <w:rPr>
                      <w:rFonts w:hint="eastAsia" w:cs="Times New Roman"/>
                      <w:color w:val="auto"/>
                      <w:kern w:val="0"/>
                      <w:sz w:val="21"/>
                      <w:szCs w:val="20"/>
                      <w:lang w:val="en-US" w:eastAsia="zh-CN" w:bidi="ar-SA"/>
                    </w:rPr>
                    <w:t>（</w:t>
                  </w:r>
                  <w:r>
                    <w:rPr>
                      <w:rFonts w:hint="eastAsia" w:ascii="Times New Roman" w:hAnsi="Times New Roman" w:eastAsia="宋体" w:cs="宋体"/>
                      <w:color w:val="auto"/>
                      <w:kern w:val="0"/>
                      <w:sz w:val="21"/>
                      <w:szCs w:val="20"/>
                      <w:lang w:val="en-US" w:eastAsia="zh-CN" w:bidi="ar-SA"/>
                    </w:rPr>
                    <w:t>无量纲</w:t>
                  </w:r>
                  <w:r>
                    <w:rPr>
                      <w:rFonts w:hint="eastAsia" w:cs="宋体"/>
                      <w:color w:val="auto"/>
                      <w:kern w:val="0"/>
                      <w:sz w:val="21"/>
                      <w:szCs w:val="20"/>
                      <w:lang w:val="en-US" w:eastAsia="zh-CN" w:bidi="ar-SA"/>
                    </w:rPr>
                    <w:t>）</w:t>
                  </w:r>
                </w:p>
              </w:tc>
              <w:tc>
                <w:tcPr>
                  <w:tcW w:w="1000" w:type="pct"/>
                  <w:tcBorders>
                    <w:tl2br w:val="nil"/>
                    <w:tr2bl w:val="nil"/>
                  </w:tcBorders>
                  <w:noWrap w:val="0"/>
                  <w:vAlign w:val="center"/>
                </w:tcPr>
                <w:p w14:paraId="0CCDC79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6-9</w:t>
                  </w:r>
                  <w:r>
                    <w:rPr>
                      <w:rFonts w:hint="eastAsia" w:cs="Times New Roman"/>
                      <w:color w:val="auto"/>
                      <w:kern w:val="0"/>
                      <w:sz w:val="21"/>
                      <w:szCs w:val="20"/>
                      <w:lang w:val="en-US" w:eastAsia="zh-CN" w:bidi="ar-SA"/>
                    </w:rPr>
                    <w:t>（</w:t>
                  </w:r>
                  <w:r>
                    <w:rPr>
                      <w:rFonts w:hint="eastAsia" w:ascii="Times New Roman" w:hAnsi="Times New Roman" w:eastAsia="宋体" w:cs="宋体"/>
                      <w:color w:val="auto"/>
                      <w:kern w:val="0"/>
                      <w:sz w:val="21"/>
                      <w:szCs w:val="20"/>
                      <w:lang w:val="en-US" w:eastAsia="zh-CN" w:bidi="ar-SA"/>
                    </w:rPr>
                    <w:t>无量纲</w:t>
                  </w:r>
                  <w:r>
                    <w:rPr>
                      <w:rFonts w:hint="eastAsia" w:cs="宋体"/>
                      <w:color w:val="auto"/>
                      <w:kern w:val="0"/>
                      <w:sz w:val="21"/>
                      <w:szCs w:val="20"/>
                      <w:lang w:val="en-US" w:eastAsia="zh-CN" w:bidi="ar-SA"/>
                    </w:rPr>
                    <w:t>）</w:t>
                  </w:r>
                </w:p>
              </w:tc>
              <w:tc>
                <w:tcPr>
                  <w:tcW w:w="1000" w:type="pct"/>
                  <w:tcBorders>
                    <w:tl2br w:val="nil"/>
                    <w:tr2bl w:val="nil"/>
                  </w:tcBorders>
                  <w:noWrap w:val="0"/>
                  <w:vAlign w:val="center"/>
                </w:tcPr>
                <w:p w14:paraId="5F0D0F4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7C7F2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7B6CF6A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COD</w:t>
                  </w:r>
                  <w:r>
                    <w:rPr>
                      <w:rFonts w:hint="eastAsia" w:ascii="Times New Roman" w:hAnsi="Times New Roman" w:eastAsia="宋体" w:cs="Times New Roman"/>
                      <w:color w:val="auto"/>
                      <w:kern w:val="0"/>
                      <w:sz w:val="21"/>
                      <w:szCs w:val="20"/>
                      <w:vertAlign w:val="subscript"/>
                      <w:lang w:val="en-US" w:eastAsia="zh-CN" w:bidi="ar-SA"/>
                    </w:rPr>
                    <w:t>cr</w:t>
                  </w:r>
                </w:p>
              </w:tc>
              <w:tc>
                <w:tcPr>
                  <w:tcW w:w="999" w:type="pct"/>
                  <w:tcBorders>
                    <w:tl2br w:val="nil"/>
                    <w:tr2bl w:val="nil"/>
                  </w:tcBorders>
                  <w:noWrap w:val="0"/>
                  <w:vAlign w:val="center"/>
                </w:tcPr>
                <w:p w14:paraId="5214617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165.131</w:t>
                  </w:r>
                </w:p>
              </w:tc>
              <w:tc>
                <w:tcPr>
                  <w:tcW w:w="1000" w:type="pct"/>
                  <w:tcBorders>
                    <w:tl2br w:val="nil"/>
                    <w:tr2bl w:val="nil"/>
                  </w:tcBorders>
                  <w:noWrap w:val="0"/>
                  <w:vAlign w:val="center"/>
                </w:tcPr>
                <w:p w14:paraId="2B79BBD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500</w:t>
                  </w:r>
                </w:p>
              </w:tc>
              <w:tc>
                <w:tcPr>
                  <w:tcW w:w="1000" w:type="pct"/>
                  <w:tcBorders>
                    <w:tl2br w:val="nil"/>
                    <w:tr2bl w:val="nil"/>
                  </w:tcBorders>
                  <w:noWrap w:val="0"/>
                  <w:vAlign w:val="center"/>
                </w:tcPr>
                <w:p w14:paraId="695A0C3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240</w:t>
                  </w:r>
                </w:p>
              </w:tc>
              <w:tc>
                <w:tcPr>
                  <w:tcW w:w="1000" w:type="pct"/>
                  <w:tcBorders>
                    <w:tl2br w:val="nil"/>
                    <w:tr2bl w:val="nil"/>
                  </w:tcBorders>
                  <w:noWrap w:val="0"/>
                  <w:vAlign w:val="center"/>
                </w:tcPr>
                <w:p w14:paraId="1012BB9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6BDA6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6196A5F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BOD</w:t>
                  </w:r>
                  <w:r>
                    <w:rPr>
                      <w:rFonts w:hint="default" w:ascii="Times New Roman" w:hAnsi="Times New Roman" w:eastAsia="宋体" w:cs="Times New Roman"/>
                      <w:color w:val="auto"/>
                      <w:kern w:val="0"/>
                      <w:sz w:val="21"/>
                      <w:szCs w:val="20"/>
                      <w:vertAlign w:val="subscript"/>
                      <w:lang w:val="en-US" w:eastAsia="zh-CN" w:bidi="ar-SA"/>
                    </w:rPr>
                    <w:t>5</w:t>
                  </w:r>
                </w:p>
              </w:tc>
              <w:tc>
                <w:tcPr>
                  <w:tcW w:w="999" w:type="pct"/>
                  <w:tcBorders>
                    <w:tl2br w:val="nil"/>
                    <w:tr2bl w:val="nil"/>
                  </w:tcBorders>
                  <w:noWrap w:val="0"/>
                  <w:vAlign w:val="center"/>
                </w:tcPr>
                <w:p w14:paraId="4FB53BA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21.193</w:t>
                  </w:r>
                </w:p>
              </w:tc>
              <w:tc>
                <w:tcPr>
                  <w:tcW w:w="1000" w:type="pct"/>
                  <w:tcBorders>
                    <w:tl2br w:val="nil"/>
                    <w:tr2bl w:val="nil"/>
                  </w:tcBorders>
                  <w:noWrap w:val="0"/>
                  <w:vAlign w:val="center"/>
                </w:tcPr>
                <w:p w14:paraId="3BCDCF2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300</w:t>
                  </w:r>
                </w:p>
              </w:tc>
              <w:tc>
                <w:tcPr>
                  <w:tcW w:w="1000" w:type="pct"/>
                  <w:tcBorders>
                    <w:tl2br w:val="nil"/>
                    <w:tr2bl w:val="nil"/>
                  </w:tcBorders>
                  <w:noWrap w:val="0"/>
                  <w:vAlign w:val="center"/>
                </w:tcPr>
                <w:p w14:paraId="52D6464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120</w:t>
                  </w:r>
                </w:p>
              </w:tc>
              <w:tc>
                <w:tcPr>
                  <w:tcW w:w="1000" w:type="pct"/>
                  <w:tcBorders>
                    <w:tl2br w:val="nil"/>
                    <w:tr2bl w:val="nil"/>
                  </w:tcBorders>
                  <w:noWrap w:val="0"/>
                  <w:vAlign w:val="center"/>
                </w:tcPr>
                <w:p w14:paraId="38355C4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208B45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1B5C22B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SS</w:t>
                  </w:r>
                </w:p>
              </w:tc>
              <w:tc>
                <w:tcPr>
                  <w:tcW w:w="999" w:type="pct"/>
                  <w:tcBorders>
                    <w:tl2br w:val="nil"/>
                    <w:tr2bl w:val="nil"/>
                  </w:tcBorders>
                  <w:noWrap w:val="0"/>
                  <w:vAlign w:val="center"/>
                </w:tcPr>
                <w:p w14:paraId="040A846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19.202</w:t>
                  </w:r>
                </w:p>
              </w:tc>
              <w:tc>
                <w:tcPr>
                  <w:tcW w:w="1000" w:type="pct"/>
                  <w:tcBorders>
                    <w:tl2br w:val="nil"/>
                    <w:tr2bl w:val="nil"/>
                  </w:tcBorders>
                  <w:noWrap w:val="0"/>
                  <w:vAlign w:val="center"/>
                </w:tcPr>
                <w:p w14:paraId="5FC2436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400</w:t>
                  </w:r>
                </w:p>
              </w:tc>
              <w:tc>
                <w:tcPr>
                  <w:tcW w:w="1000" w:type="pct"/>
                  <w:tcBorders>
                    <w:tl2br w:val="nil"/>
                    <w:tr2bl w:val="nil"/>
                  </w:tcBorders>
                  <w:noWrap w:val="0"/>
                  <w:vAlign w:val="center"/>
                </w:tcPr>
                <w:p w14:paraId="1E96EF9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180</w:t>
                  </w:r>
                </w:p>
              </w:tc>
              <w:tc>
                <w:tcPr>
                  <w:tcW w:w="1000" w:type="pct"/>
                  <w:tcBorders>
                    <w:tl2br w:val="nil"/>
                    <w:tr2bl w:val="nil"/>
                  </w:tcBorders>
                  <w:noWrap w:val="0"/>
                  <w:vAlign w:val="center"/>
                </w:tcPr>
                <w:p w14:paraId="13AF574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3EBD6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98" w:type="pct"/>
                  <w:tcBorders>
                    <w:tl2br w:val="nil"/>
                    <w:tr2bl w:val="nil"/>
                  </w:tcBorders>
                  <w:noWrap w:val="0"/>
                  <w:vAlign w:val="center"/>
                </w:tcPr>
                <w:p w14:paraId="6E57B36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NH</w:t>
                  </w:r>
                  <w:r>
                    <w:rPr>
                      <w:rFonts w:hint="default" w:ascii="Times New Roman" w:hAnsi="Times New Roman" w:eastAsia="宋体" w:cs="Times New Roman"/>
                      <w:color w:val="auto"/>
                      <w:kern w:val="0"/>
                      <w:sz w:val="21"/>
                      <w:szCs w:val="20"/>
                      <w:vertAlign w:val="subscript"/>
                      <w:lang w:val="en-US" w:eastAsia="zh-CN" w:bidi="ar-SA"/>
                    </w:rPr>
                    <w:t>3</w:t>
                  </w:r>
                  <w:r>
                    <w:rPr>
                      <w:rFonts w:hint="default" w:ascii="Times New Roman" w:hAnsi="Times New Roman" w:eastAsia="宋体" w:cs="Times New Roman"/>
                      <w:color w:val="auto"/>
                      <w:kern w:val="0"/>
                      <w:sz w:val="21"/>
                      <w:szCs w:val="20"/>
                      <w:lang w:val="en-US" w:eastAsia="zh-CN" w:bidi="ar-SA"/>
                    </w:rPr>
                    <w:t>-N</w:t>
                  </w:r>
                </w:p>
              </w:tc>
              <w:tc>
                <w:tcPr>
                  <w:tcW w:w="999" w:type="pct"/>
                  <w:tcBorders>
                    <w:tl2br w:val="nil"/>
                    <w:tr2bl w:val="nil"/>
                  </w:tcBorders>
                  <w:noWrap w:val="0"/>
                  <w:vAlign w:val="center"/>
                </w:tcPr>
                <w:p w14:paraId="52D66DC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9.540</w:t>
                  </w:r>
                </w:p>
              </w:tc>
              <w:tc>
                <w:tcPr>
                  <w:tcW w:w="1000" w:type="pct"/>
                  <w:tcBorders>
                    <w:tl2br w:val="nil"/>
                    <w:tr2bl w:val="nil"/>
                  </w:tcBorders>
                  <w:noWrap w:val="0"/>
                  <w:vAlign w:val="center"/>
                </w:tcPr>
                <w:p w14:paraId="0A674F6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45</w:t>
                  </w:r>
                </w:p>
              </w:tc>
              <w:tc>
                <w:tcPr>
                  <w:tcW w:w="1000" w:type="pct"/>
                  <w:tcBorders>
                    <w:tl2br w:val="nil"/>
                    <w:tr2bl w:val="nil"/>
                  </w:tcBorders>
                  <w:noWrap w:val="0"/>
                  <w:vAlign w:val="center"/>
                </w:tcPr>
                <w:p w14:paraId="3730F8D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30</w:t>
                  </w:r>
                </w:p>
              </w:tc>
              <w:tc>
                <w:tcPr>
                  <w:tcW w:w="1000" w:type="pct"/>
                  <w:tcBorders>
                    <w:tl2br w:val="nil"/>
                    <w:tr2bl w:val="nil"/>
                  </w:tcBorders>
                  <w:noWrap w:val="0"/>
                  <w:vAlign w:val="center"/>
                </w:tcPr>
                <w:p w14:paraId="287CFDF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78DC15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617F08B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LAS</w:t>
                  </w:r>
                </w:p>
              </w:tc>
              <w:tc>
                <w:tcPr>
                  <w:tcW w:w="999" w:type="pct"/>
                  <w:tcBorders>
                    <w:tl2br w:val="nil"/>
                    <w:tr2bl w:val="nil"/>
                  </w:tcBorders>
                  <w:noWrap w:val="0"/>
                  <w:vAlign w:val="center"/>
                </w:tcPr>
                <w:p w14:paraId="4DA0B2A5">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1.16</w:t>
                  </w:r>
                </w:p>
              </w:tc>
              <w:tc>
                <w:tcPr>
                  <w:tcW w:w="1000" w:type="pct"/>
                  <w:tcBorders>
                    <w:tl2br w:val="nil"/>
                    <w:tr2bl w:val="nil"/>
                  </w:tcBorders>
                  <w:noWrap w:val="0"/>
                  <w:vAlign w:val="center"/>
                </w:tcPr>
                <w:p w14:paraId="6321ED0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w:t>
                  </w:r>
                </w:p>
              </w:tc>
              <w:tc>
                <w:tcPr>
                  <w:tcW w:w="1000" w:type="pct"/>
                  <w:tcBorders>
                    <w:tl2br w:val="nil"/>
                    <w:tr2bl w:val="nil"/>
                  </w:tcBorders>
                  <w:noWrap w:val="0"/>
                  <w:vAlign w:val="center"/>
                </w:tcPr>
                <w:p w14:paraId="22E0CEE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0.5</w:t>
                  </w:r>
                </w:p>
              </w:tc>
              <w:tc>
                <w:tcPr>
                  <w:tcW w:w="1000" w:type="pct"/>
                  <w:tcBorders>
                    <w:tl2br w:val="nil"/>
                    <w:tr2bl w:val="nil"/>
                  </w:tcBorders>
                  <w:noWrap w:val="0"/>
                  <w:vAlign w:val="center"/>
                </w:tcPr>
                <w:p w14:paraId="62FA754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bl>
          <w:p w14:paraId="109DD6D9">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根据上表所列数据，本项目生活污水主要污染物排放浓度均能满足《污水综合排放标准》</w:t>
            </w:r>
            <w:r>
              <w:rPr>
                <w:rFonts w:hint="eastAsia" w:ascii="Times New Roman" w:hAnsi="Times New Roman"/>
                <w:color w:val="auto"/>
                <w:lang w:val="en-US" w:eastAsia="zh-CN"/>
              </w:rPr>
              <w:t>（</w:t>
            </w:r>
            <w:r>
              <w:rPr>
                <w:rFonts w:hint="default" w:ascii="Times New Roman" w:hAnsi="Times New Roman"/>
                <w:color w:val="auto"/>
                <w:lang w:val="en-US" w:eastAsia="zh-CN"/>
              </w:rPr>
              <w:t>GB8978-1996</w:t>
            </w:r>
            <w:r>
              <w:rPr>
                <w:rFonts w:hint="eastAsia" w:ascii="Times New Roman" w:hAnsi="Times New Roman"/>
                <w:color w:val="auto"/>
                <w:lang w:val="en-US" w:eastAsia="zh-CN"/>
              </w:rPr>
              <w:t>）</w:t>
            </w:r>
            <w:r>
              <w:rPr>
                <w:rFonts w:hint="default" w:ascii="Times New Roman" w:hAnsi="Times New Roman"/>
                <w:color w:val="auto"/>
                <w:lang w:val="en-US" w:eastAsia="zh-CN"/>
              </w:rPr>
              <w:t>表4三级标准及《污水排入城镇下水道水质标准》</w:t>
            </w:r>
            <w:r>
              <w:rPr>
                <w:rFonts w:hint="eastAsia" w:ascii="Times New Roman" w:hAnsi="Times New Roman"/>
                <w:color w:val="auto"/>
                <w:lang w:val="en-US" w:eastAsia="zh-CN"/>
              </w:rPr>
              <w:t>（</w:t>
            </w:r>
            <w:r>
              <w:rPr>
                <w:rFonts w:hint="default" w:ascii="Times New Roman" w:hAnsi="Times New Roman"/>
                <w:color w:val="auto"/>
                <w:lang w:val="en-US" w:eastAsia="zh-CN"/>
              </w:rPr>
              <w:t>GB/T 31962-2015</w:t>
            </w:r>
            <w:r>
              <w:rPr>
                <w:rFonts w:hint="eastAsia" w:ascii="Times New Roman" w:hAnsi="Times New Roman"/>
                <w:color w:val="auto"/>
                <w:lang w:val="en-US" w:eastAsia="zh-CN"/>
              </w:rPr>
              <w:t>）</w:t>
            </w:r>
            <w:r>
              <w:rPr>
                <w:rFonts w:hint="default" w:ascii="Times New Roman" w:hAnsi="Times New Roman"/>
                <w:color w:val="auto"/>
                <w:lang w:val="en-US" w:eastAsia="zh-CN"/>
              </w:rPr>
              <w:t>表1中B级标准限值，也可以符合</w:t>
            </w:r>
            <w:r>
              <w:rPr>
                <w:rFonts w:hint="eastAsia"/>
                <w:color w:val="auto"/>
                <w:lang w:val="en-US" w:eastAsia="zh-CN"/>
              </w:rPr>
              <w:t>污水处理厂</w:t>
            </w:r>
            <w:r>
              <w:rPr>
                <w:rFonts w:hint="default" w:ascii="Times New Roman" w:hAnsi="Times New Roman"/>
                <w:color w:val="auto"/>
                <w:lang w:val="en-US" w:eastAsia="zh-CN"/>
              </w:rPr>
              <w:t>进水水质要求。</w:t>
            </w:r>
          </w:p>
          <w:p w14:paraId="173C150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项目生活污水不涉及有毒有害污染物，不涉及持久性、重金属，也不含有腐蚀成分，因此，从水质方面分析，</w:t>
            </w:r>
            <w:r>
              <w:rPr>
                <w:rFonts w:hint="eastAsia" w:ascii="Times New Roman" w:hAnsi="Times New Roman" w:eastAsia="宋体" w:cs="宋体"/>
                <w:color w:val="auto"/>
                <w:kern w:val="2"/>
                <w:sz w:val="24"/>
                <w:szCs w:val="24"/>
                <w:lang w:val="en-US" w:eastAsia="zh-CN" w:bidi="ar-SA"/>
              </w:rPr>
              <w:t>大学城</w:t>
            </w:r>
            <w:r>
              <w:rPr>
                <w:rFonts w:hint="default" w:ascii="Times New Roman" w:hAnsi="Times New Roman" w:eastAsia="宋体" w:cs="宋体"/>
                <w:color w:val="auto"/>
                <w:kern w:val="2"/>
                <w:sz w:val="24"/>
                <w:szCs w:val="24"/>
                <w:lang w:val="en-US" w:eastAsia="zh-CN" w:bidi="ar-SA"/>
              </w:rPr>
              <w:t>处理厂可接纳项目</w:t>
            </w:r>
            <w:r>
              <w:rPr>
                <w:rFonts w:hint="eastAsia" w:ascii="Times New Roman" w:hAnsi="Times New Roman" w:eastAsia="宋体" w:cs="宋体"/>
                <w:color w:val="auto"/>
                <w:kern w:val="2"/>
                <w:sz w:val="24"/>
                <w:szCs w:val="24"/>
                <w:lang w:val="en-US" w:eastAsia="zh-CN" w:bidi="ar-SA"/>
              </w:rPr>
              <w:t>废水</w:t>
            </w:r>
            <w:r>
              <w:rPr>
                <w:rFonts w:hint="default" w:ascii="Times New Roman" w:hAnsi="Times New Roman" w:eastAsia="宋体" w:cs="宋体"/>
                <w:color w:val="auto"/>
                <w:kern w:val="2"/>
                <w:sz w:val="24"/>
                <w:szCs w:val="24"/>
                <w:lang w:val="en-US" w:eastAsia="zh-CN" w:bidi="ar-SA"/>
              </w:rPr>
              <w:t>，不会对</w:t>
            </w:r>
            <w:r>
              <w:rPr>
                <w:rFonts w:hint="eastAsia" w:cs="宋体"/>
                <w:color w:val="auto"/>
                <w:kern w:val="2"/>
                <w:sz w:val="24"/>
                <w:szCs w:val="24"/>
                <w:lang w:val="en-US" w:eastAsia="zh-CN" w:bidi="ar-SA"/>
              </w:rPr>
              <w:t>污水处理厂</w:t>
            </w:r>
            <w:r>
              <w:rPr>
                <w:rFonts w:hint="default" w:ascii="Times New Roman" w:hAnsi="Times New Roman" w:eastAsia="宋体" w:cs="宋体"/>
                <w:color w:val="auto"/>
                <w:kern w:val="2"/>
                <w:sz w:val="24"/>
                <w:szCs w:val="24"/>
                <w:lang w:val="en-US" w:eastAsia="zh-CN" w:bidi="ar-SA"/>
              </w:rPr>
              <w:t>水质负荷造成冲击。</w:t>
            </w:r>
          </w:p>
          <w:p w14:paraId="4FEC017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cs="宋体"/>
                <w:color w:val="auto"/>
                <w:kern w:val="2"/>
                <w:sz w:val="24"/>
                <w:szCs w:val="24"/>
                <w:lang w:val="en-US" w:eastAsia="zh-CN" w:bidi="ar-SA"/>
              </w:rPr>
              <w:t>Ⅲ</w:t>
            </w:r>
            <w:r>
              <w:rPr>
                <w:rFonts w:hint="eastAsia" w:ascii="Times New Roman" w:hAnsi="Times New Roman" w:eastAsia="宋体" w:cs="宋体"/>
                <w:color w:val="auto"/>
                <w:kern w:val="2"/>
                <w:sz w:val="24"/>
                <w:szCs w:val="24"/>
                <w:lang w:val="en-US" w:eastAsia="zh-CN" w:bidi="ar-SA"/>
              </w:rPr>
              <w:t>、水量负荷</w:t>
            </w:r>
          </w:p>
          <w:p w14:paraId="0103AB9A">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根据《福州市闽侯县大学城污水处理厂四期工程（厂外工程）》可知，大学城污水处理厂设计总处理规模为14万m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/d，目前实际处理规模为12万m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/d</w:t>
            </w:r>
            <w:r>
              <w:rPr>
                <w:rFonts w:hint="eastAsia"/>
                <w:color w:val="auto"/>
                <w:lang w:val="en-US" w:eastAsia="zh-CN"/>
              </w:rPr>
              <w:t>，</w:t>
            </w:r>
            <w:r>
              <w:rPr>
                <w:rFonts w:hint="eastAsia" w:ascii="Times New Roman" w:hAnsi="Times New Roman"/>
                <w:color w:val="auto"/>
                <w:lang w:val="en-US" w:eastAsia="zh-CN"/>
              </w:rPr>
              <w:t>本项目废水排放量为</w:t>
            </w:r>
            <w:r>
              <w:rPr>
                <w:rFonts w:hint="eastAsia"/>
                <w:color w:val="auto"/>
                <w:lang w:val="en-US" w:eastAsia="zh-CN"/>
              </w:rPr>
              <w:t>6382</w:t>
            </w:r>
            <w:r>
              <w:rPr>
                <w:rFonts w:hint="eastAsia" w:ascii="Times New Roman" w:hAnsi="Times New Roman"/>
                <w:color w:val="auto"/>
                <w:lang w:val="en-US" w:eastAsia="zh-CN"/>
              </w:rPr>
              <w:t>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/a（</w:t>
            </w:r>
            <w:r>
              <w:rPr>
                <w:rFonts w:hint="eastAsia"/>
                <w:color w:val="auto"/>
                <w:lang w:val="en-US" w:eastAsia="zh-CN"/>
              </w:rPr>
              <w:t>24.54</w:t>
            </w:r>
            <w:r>
              <w:rPr>
                <w:rFonts w:hint="eastAsia" w:ascii="Times New Roman" w:hAnsi="Times New Roman"/>
                <w:color w:val="auto"/>
                <w:lang w:val="en-US" w:eastAsia="zh-CN"/>
              </w:rPr>
              <w:t>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/d），占污水处理厂剩余规模的0.</w:t>
            </w:r>
            <w:r>
              <w:rPr>
                <w:rFonts w:hint="eastAsia"/>
                <w:color w:val="auto"/>
                <w:lang w:val="en-US" w:eastAsia="zh-CN"/>
              </w:rPr>
              <w:t>12</w:t>
            </w:r>
            <w:r>
              <w:rPr>
                <w:rFonts w:hint="eastAsia" w:ascii="Times New Roman" w:hAnsi="Times New Roman"/>
                <w:color w:val="auto"/>
                <w:lang w:val="en-US" w:eastAsia="zh-CN"/>
              </w:rPr>
              <w:t>%，大学城污水处理厂采用“污水→粗格栅→进水泵房→细格栅→旋流沉砂池→AAO生物反应池→二沉池→高效沉淀池→滤布滤池→</w:t>
            </w:r>
            <w:r>
              <w:rPr>
                <w:rFonts w:hint="eastAsia"/>
                <w:color w:val="auto"/>
                <w:lang w:val="en-US" w:eastAsia="zh-CN"/>
              </w:rPr>
              <w:t>紫外线</w:t>
            </w:r>
            <w:r>
              <w:rPr>
                <w:rFonts w:hint="eastAsia" w:ascii="Times New Roman" w:hAnsi="Times New Roman"/>
                <w:color w:val="auto"/>
                <w:lang w:val="en-US" w:eastAsia="zh-CN"/>
              </w:rPr>
              <w:t>消毒渠”处理工艺，属于城镇污水处理厂通用工艺，因此，从处理能力及处理工艺分析，大学城污水处理厂可接纳项目废水排放量，不会对</w:t>
            </w:r>
            <w:r>
              <w:rPr>
                <w:rFonts w:hint="eastAsia"/>
                <w:color w:val="auto"/>
                <w:lang w:val="en-US" w:eastAsia="zh-CN"/>
              </w:rPr>
              <w:t>污水处理厂</w:t>
            </w:r>
            <w:r>
              <w:rPr>
                <w:rFonts w:hint="eastAsia" w:ascii="Times New Roman" w:hAnsi="Times New Roman"/>
                <w:color w:val="auto"/>
                <w:lang w:val="en-US" w:eastAsia="zh-CN"/>
              </w:rPr>
              <w:t>水量负荷造成冲击。</w:t>
            </w:r>
          </w:p>
          <w:p w14:paraId="0D359A1D">
            <w:pPr>
              <w:keepNext/>
              <w:keepLines/>
              <w:widowControl w:val="0"/>
              <w:bidi w:val="0"/>
              <w:spacing w:beforeLines="0" w:beforeAutospacing="0" w:afterLines="0" w:afterAutospacing="0" w:line="360" w:lineRule="auto"/>
              <w:ind w:firstLine="482" w:firstLineChars="200"/>
              <w:jc w:val="left"/>
              <w:outlineLvl w:val="2"/>
              <w:rPr>
                <w:rFonts w:hint="default" w:ascii="Times New Roman" w:hAnsi="Times New Roman" w:eastAsia="宋体" w:cs="Times New Roman"/>
                <w:b/>
                <w:color w:val="auto"/>
                <w:kern w:val="2"/>
                <w:sz w:val="24"/>
                <w:szCs w:val="24"/>
                <w:lang w:val="en-US" w:eastAsia="zh-CN" w:bidi="ar-SA"/>
              </w:rPr>
            </w:pPr>
            <w:bookmarkStart w:id="88" w:name="_Toc26294"/>
            <w:r>
              <w:rPr>
                <w:rFonts w:hint="eastAsia" w:ascii="Times New Roman" w:hAnsi="Times New Roman" w:eastAsia="宋体" w:cs="Times New Roman"/>
                <w:b/>
                <w:color w:val="auto"/>
                <w:kern w:val="2"/>
                <w:sz w:val="24"/>
                <w:szCs w:val="24"/>
                <w:lang w:val="en-US" w:eastAsia="zh-CN" w:bidi="ar-SA"/>
              </w:rPr>
              <w:t>4.1.3废水自行监测计划</w:t>
            </w:r>
            <w:bookmarkEnd w:id="88"/>
          </w:p>
          <w:p w14:paraId="5F77FD0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bookmarkStart w:id="89" w:name="_Toc11760"/>
            <w:r>
              <w:rPr>
                <w:rFonts w:hint="default" w:ascii="Times New Roman" w:hAnsi="Times New Roman" w:eastAsia="宋体" w:cs="宋体"/>
                <w:color w:val="auto"/>
                <w:kern w:val="2"/>
                <w:sz w:val="24"/>
                <w:szCs w:val="24"/>
                <w:lang w:val="en-US" w:eastAsia="zh-CN" w:bidi="ar-SA"/>
              </w:rPr>
              <w:t>根据《固定污染源排污许可分类管理名录（2019年版）》（生态环境部第11号）可知，</w:t>
            </w:r>
            <w:r>
              <w:rPr>
                <w:rFonts w:hint="eastAsia" w:ascii="Times New Roman" w:hAnsi="Times New Roman" w:eastAsia="宋体" w:cs="宋体"/>
                <w:color w:val="auto"/>
                <w:kern w:val="2"/>
                <w:sz w:val="24"/>
                <w:szCs w:val="24"/>
                <w:lang w:val="en-US" w:eastAsia="zh-CN" w:bidi="ar-SA"/>
              </w:rPr>
              <w:t>本项目属于</w:t>
            </w:r>
            <w:r>
              <w:rPr>
                <w:rFonts w:hint="eastAsia" w:cs="宋体"/>
                <w:color w:val="auto"/>
                <w:kern w:val="2"/>
                <w:sz w:val="24"/>
                <w:szCs w:val="24"/>
                <w:lang w:val="en-US" w:eastAsia="zh-CN" w:bidi="ar-SA"/>
              </w:rPr>
              <w:t>电子元件及电子专用材料制造</w:t>
            </w:r>
            <w:r>
              <w:rPr>
                <w:rFonts w:hint="eastAsia" w:ascii="Times New Roman" w:hAnsi="Times New Roman" w:eastAsia="宋体" w:cs="宋体"/>
                <w:color w:val="auto"/>
                <w:kern w:val="2"/>
                <w:sz w:val="24"/>
                <w:szCs w:val="24"/>
                <w:lang w:val="en-US" w:eastAsia="zh-CN" w:bidi="ar-SA"/>
              </w:rPr>
              <w:t>业，对应《固定污染源排污许可分类管理名录（2019年版）》中</w:t>
            </w:r>
            <w:r>
              <w:rPr>
                <w:rFonts w:hint="default" w:ascii="Times New Roman" w:hAnsi="Times New Roman" w:eastAsia="宋体" w:cs="Times New Roman"/>
                <w:color w:val="auto"/>
                <w:sz w:val="24"/>
                <w:szCs w:val="24"/>
                <w:lang w:val="en-US" w:eastAsia="zh-CN"/>
              </w:rPr>
              <w:t>三十四、计算机、通信和其他电子设备制造业 39</w:t>
            </w:r>
            <w:r>
              <w:rPr>
                <w:rFonts w:hint="eastAsia" w:ascii="Times New Roman" w:hAnsi="Times New Roman" w:eastAsia="宋体" w:cs="宋体"/>
                <w:color w:val="auto"/>
                <w:kern w:val="2"/>
                <w:sz w:val="24"/>
                <w:szCs w:val="24"/>
                <w:lang w:val="en-US" w:eastAsia="zh-CN" w:bidi="ar-SA"/>
              </w:rPr>
              <w:t>，见表4.1-</w:t>
            </w:r>
            <w:r>
              <w:rPr>
                <w:rFonts w:hint="eastAsia"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，不涉及通用工序简化管理的。本项目应当进行登记管理，登记管理无自行监测要求。</w:t>
            </w:r>
          </w:p>
          <w:p w14:paraId="10075825">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bookmarkStart w:id="90" w:name="_Toc10833"/>
            <w:r>
              <w:rPr>
                <w:rFonts w:hint="eastAsia" w:ascii="Times New Roman" w:hAnsi="Times New Roman" w:eastAsia="宋体" w:cs="Times New Roman"/>
                <w:b/>
                <w:color w:val="auto"/>
                <w:kern w:val="0"/>
                <w:sz w:val="24"/>
                <w:szCs w:val="20"/>
                <w:lang w:val="en-US" w:eastAsia="zh-CN" w:bidi="ar-SA"/>
              </w:rPr>
              <w:t>表4.1-</w:t>
            </w:r>
            <w:r>
              <w:rPr>
                <w:rFonts w:hint="eastAsia" w:cs="Times New Roman"/>
                <w:b/>
                <w:color w:val="auto"/>
                <w:kern w:val="0"/>
                <w:sz w:val="24"/>
                <w:szCs w:val="20"/>
                <w:lang w:val="en-US" w:eastAsia="zh-CN" w:bidi="ar-SA"/>
              </w:rPr>
              <w:t xml:space="preserve">6  </w:t>
            </w:r>
            <w:r>
              <w:rPr>
                <w:rFonts w:hint="eastAsia" w:ascii="Times New Roman" w:hAnsi="Times New Roman" w:eastAsia="宋体" w:cs="Times New Roman"/>
                <w:b/>
                <w:color w:val="auto"/>
                <w:kern w:val="0"/>
                <w:sz w:val="24"/>
                <w:szCs w:val="20"/>
                <w:lang w:val="en-US" w:eastAsia="zh-CN" w:bidi="ar-SA"/>
              </w:rPr>
              <w:t>固定污染源排污许可分类管理名录（摘录）</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83"/>
              <w:gridCol w:w="3332"/>
              <w:gridCol w:w="1016"/>
              <w:gridCol w:w="2297"/>
              <w:gridCol w:w="942"/>
            </w:tblGrid>
            <w:tr w14:paraId="73F2E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356" w:type="pct"/>
                  <w:tcBorders>
                    <w:tl2br w:val="nil"/>
                    <w:tr2bl w:val="nil"/>
                  </w:tcBorders>
                  <w:shd w:val="clear" w:color="auto" w:fill="auto"/>
                  <w:noWrap w:val="0"/>
                  <w:vAlign w:val="center"/>
                </w:tcPr>
                <w:p w14:paraId="6D078ED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序号</w:t>
                  </w:r>
                </w:p>
              </w:tc>
              <w:tc>
                <w:tcPr>
                  <w:tcW w:w="2039" w:type="pct"/>
                  <w:tcBorders>
                    <w:tl2br w:val="nil"/>
                    <w:tr2bl w:val="nil"/>
                  </w:tcBorders>
                  <w:shd w:val="clear" w:color="auto" w:fill="auto"/>
                  <w:noWrap w:val="0"/>
                  <w:vAlign w:val="center"/>
                </w:tcPr>
                <w:p w14:paraId="1735C07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行业类别</w:t>
                  </w:r>
                </w:p>
              </w:tc>
              <w:tc>
                <w:tcPr>
                  <w:tcW w:w="621" w:type="pct"/>
                  <w:tcBorders>
                    <w:tl2br w:val="nil"/>
                    <w:tr2bl w:val="nil"/>
                  </w:tcBorders>
                  <w:shd w:val="clear" w:color="auto" w:fill="auto"/>
                  <w:noWrap w:val="0"/>
                  <w:vAlign w:val="center"/>
                </w:tcPr>
                <w:p w14:paraId="2112955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重点管理</w:t>
                  </w:r>
                </w:p>
              </w:tc>
              <w:tc>
                <w:tcPr>
                  <w:tcW w:w="1405" w:type="pct"/>
                  <w:tcBorders>
                    <w:tl2br w:val="nil"/>
                    <w:tr2bl w:val="nil"/>
                  </w:tcBorders>
                  <w:shd w:val="clear" w:color="auto" w:fill="auto"/>
                  <w:noWrap w:val="0"/>
                  <w:vAlign w:val="center"/>
                </w:tcPr>
                <w:p w14:paraId="64C6011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简化管理</w:t>
                  </w:r>
                </w:p>
              </w:tc>
              <w:tc>
                <w:tcPr>
                  <w:tcW w:w="576" w:type="pct"/>
                  <w:tcBorders>
                    <w:tl2br w:val="nil"/>
                    <w:tr2bl w:val="nil"/>
                  </w:tcBorders>
                  <w:shd w:val="clear" w:color="D7D7D7" w:fill="A4A4A4"/>
                  <w:noWrap w:val="0"/>
                  <w:vAlign w:val="center"/>
                </w:tcPr>
                <w:p w14:paraId="5051164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登记管理</w:t>
                  </w:r>
                </w:p>
              </w:tc>
            </w:tr>
            <w:tr w14:paraId="777D20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000" w:type="pct"/>
                  <w:gridSpan w:val="5"/>
                  <w:tcBorders>
                    <w:tl2br w:val="nil"/>
                    <w:tr2bl w:val="nil"/>
                  </w:tcBorders>
                  <w:shd w:val="clear" w:color="D7D7D7" w:fill="A4A4A4"/>
                  <w:noWrap w:val="0"/>
                  <w:vAlign w:val="center"/>
                </w:tcPr>
                <w:p w14:paraId="1F766533">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三十四、计算机、通信和其他电子设备制造业 39</w:t>
                  </w:r>
                </w:p>
              </w:tc>
            </w:tr>
            <w:tr w14:paraId="11ACC4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56" w:type="pct"/>
                  <w:tcBorders>
                    <w:tl2br w:val="nil"/>
                    <w:tr2bl w:val="nil"/>
                  </w:tcBorders>
                  <w:shd w:val="clear" w:color="auto" w:fill="auto"/>
                  <w:noWrap w:val="0"/>
                  <w:vAlign w:val="center"/>
                </w:tcPr>
                <w:p w14:paraId="6CEE9098">
                  <w:pPr>
                    <w:pStyle w:val="55"/>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89</w:t>
                  </w:r>
                </w:p>
              </w:tc>
              <w:tc>
                <w:tcPr>
                  <w:tcW w:w="2039" w:type="pct"/>
                  <w:tcBorders>
                    <w:tl2br w:val="nil"/>
                    <w:tr2bl w:val="nil"/>
                  </w:tcBorders>
                  <w:shd w:val="clear" w:color="auto" w:fill="auto"/>
                  <w:noWrap w:val="0"/>
                  <w:vAlign w:val="center"/>
                </w:tcPr>
                <w:p w14:paraId="45FD8DC1">
                  <w:pPr>
                    <w:pStyle w:val="55"/>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计算机制造391，电子器件制造397，电子元件及电子专用材料制造 398，其他电子设备制造 399</w:t>
                  </w:r>
                </w:p>
              </w:tc>
              <w:tc>
                <w:tcPr>
                  <w:tcW w:w="621" w:type="pct"/>
                  <w:tcBorders>
                    <w:tl2br w:val="nil"/>
                    <w:tr2bl w:val="nil"/>
                  </w:tcBorders>
                  <w:shd w:val="clear" w:color="auto" w:fill="auto"/>
                  <w:noWrap w:val="0"/>
                  <w:vAlign w:val="center"/>
                </w:tcPr>
                <w:p w14:paraId="7E2CA5C3">
                  <w:pPr>
                    <w:pStyle w:val="55"/>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纳入重点排污单位名录的</w:t>
                  </w:r>
                </w:p>
              </w:tc>
              <w:tc>
                <w:tcPr>
                  <w:tcW w:w="1405" w:type="pct"/>
                  <w:tcBorders>
                    <w:tl2br w:val="nil"/>
                    <w:tr2bl w:val="nil"/>
                  </w:tcBorders>
                  <w:shd w:val="clear" w:color="auto" w:fill="auto"/>
                  <w:noWrap w:val="0"/>
                  <w:vAlign w:val="center"/>
                </w:tcPr>
                <w:p w14:paraId="343E665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涉及通用工序</w:t>
                  </w:r>
                  <w:r>
                    <w:rPr>
                      <w:rFonts w:hint="eastAsia" w:ascii="Times New Roman" w:hAnsi="Times New Roman" w:eastAsia="宋体" w:cs="Times New Roman"/>
                      <w:color w:val="auto"/>
                      <w:kern w:val="0"/>
                      <w:sz w:val="21"/>
                      <w:szCs w:val="20"/>
                      <w:lang w:val="en-US" w:eastAsia="zh-CN" w:bidi="ar-SA"/>
                    </w:rPr>
                    <w:t>简化</w:t>
                  </w:r>
                  <w:r>
                    <w:rPr>
                      <w:rFonts w:hint="default" w:ascii="Times New Roman" w:hAnsi="Times New Roman" w:eastAsia="宋体" w:cs="Times New Roman"/>
                      <w:color w:val="auto"/>
                      <w:kern w:val="0"/>
                      <w:sz w:val="21"/>
                      <w:szCs w:val="20"/>
                      <w:lang w:val="en-US" w:eastAsia="zh-CN" w:bidi="ar-SA"/>
                    </w:rPr>
                    <w:t>管理的</w:t>
                  </w:r>
                </w:p>
              </w:tc>
              <w:tc>
                <w:tcPr>
                  <w:tcW w:w="576" w:type="pct"/>
                  <w:tcBorders>
                    <w:tl2br w:val="nil"/>
                    <w:tr2bl w:val="nil"/>
                  </w:tcBorders>
                  <w:shd w:val="clear" w:color="D7D7D7" w:fill="A4A4A4"/>
                  <w:noWrap w:val="0"/>
                  <w:vAlign w:val="center"/>
                </w:tcPr>
                <w:p w14:paraId="60F95E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其他</w:t>
                  </w:r>
                </w:p>
              </w:tc>
            </w:tr>
          </w:tbl>
          <w:p w14:paraId="1B41EACF">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r>
              <w:rPr>
                <w:rFonts w:hint="eastAsia" w:ascii="Times New Roman" w:hAnsi="Times New Roman" w:eastAsia="宋体" w:cs="Times New Roman"/>
                <w:b/>
                <w:color w:val="auto"/>
                <w:kern w:val="2"/>
                <w:sz w:val="28"/>
                <w:szCs w:val="24"/>
                <w:lang w:val="en-US" w:eastAsia="zh-CN" w:bidi="ar-SA"/>
              </w:rPr>
              <w:t>4.2运营期大气环境影响分析和污染防控措施</w:t>
            </w:r>
            <w:bookmarkEnd w:id="89"/>
            <w:bookmarkEnd w:id="90"/>
          </w:p>
          <w:p w14:paraId="5F13E574">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91" w:name="_Toc28281"/>
            <w:r>
              <w:rPr>
                <w:rFonts w:hint="eastAsia" w:ascii="Times New Roman" w:hAnsi="Times New Roman" w:eastAsia="宋体" w:cs="Times New Roman"/>
                <w:b/>
                <w:color w:val="auto"/>
                <w:kern w:val="2"/>
                <w:sz w:val="24"/>
                <w:szCs w:val="24"/>
                <w:lang w:val="en-US" w:eastAsia="zh-CN" w:bidi="ar-SA"/>
              </w:rPr>
              <w:t>4.2.1运营期废气源强核算</w:t>
            </w:r>
            <w:bookmarkEnd w:id="91"/>
          </w:p>
          <w:p w14:paraId="307E38A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项目产生的废气包括</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废气、擦拭废气、</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、粗磨抛光产生的投料废气</w:t>
            </w:r>
            <w:r>
              <w:rPr>
                <w:rFonts w:hint="eastAsia" w:ascii="Times New Roman" w:hAnsi="Times New Roman" w:eastAsia="宋体" w:cs="宋体"/>
                <w:color w:val="auto"/>
                <w:kern w:val="2"/>
                <w:sz w:val="24"/>
                <w:szCs w:val="24"/>
                <w:lang w:val="en-US" w:eastAsia="zh-CN" w:bidi="ar-SA"/>
              </w:rPr>
              <w:t>。</w:t>
            </w:r>
          </w:p>
          <w:p w14:paraId="5AE9C075">
            <w:pPr>
              <w:widowControl w:val="0"/>
              <w:bidi w:val="0"/>
              <w:spacing w:line="360" w:lineRule="auto"/>
              <w:ind w:firstLine="480" w:firstLineChars="200"/>
              <w:jc w:val="both"/>
              <w:rPr>
                <w:color w:val="auto"/>
                <w:spacing w:val="7"/>
                <w:sz w:val="24"/>
                <w:szCs w:val="24"/>
              </w:rPr>
            </w:pPr>
            <w:r>
              <w:rPr>
                <w:rFonts w:hint="eastAsia" w:cs="宋体"/>
                <w:color w:val="auto"/>
                <w:kern w:val="2"/>
                <w:sz w:val="24"/>
                <w:szCs w:val="24"/>
                <w:lang w:val="en-US" w:eastAsia="zh-CN" w:bidi="ar-SA"/>
              </w:rPr>
              <w:t>（1）粗磨抛光产生的投料废气</w:t>
            </w:r>
          </w:p>
          <w:p w14:paraId="79B25C90">
            <w:pPr>
              <w:widowControl w:val="0"/>
              <w:bidi w:val="0"/>
              <w:spacing w:line="360" w:lineRule="auto"/>
              <w:ind w:firstLine="508" w:firstLineChars="200"/>
              <w:jc w:val="both"/>
              <w:rPr>
                <w:color w:val="auto"/>
                <w:sz w:val="24"/>
                <w:szCs w:val="24"/>
              </w:rPr>
            </w:pPr>
            <w:r>
              <w:rPr>
                <w:rFonts w:hint="eastAsia"/>
                <w:color w:val="auto"/>
                <w:spacing w:val="7"/>
                <w:sz w:val="24"/>
                <w:szCs w:val="24"/>
                <w:lang w:val="en-US" w:eastAsia="zh-CN"/>
              </w:rPr>
              <w:t>粗磨、抛光工序中涉及需要加入钻石粉、抛光粉、绿碳化硅，为人工投料，绿碳化硅用量为4t/a，抛光粉用</w:t>
            </w:r>
            <w:r>
              <w:rPr>
                <w:color w:val="auto"/>
                <w:spacing w:val="-5"/>
                <w:sz w:val="24"/>
                <w:szCs w:val="24"/>
              </w:rPr>
              <w:t>量为</w:t>
            </w:r>
            <w:r>
              <w:rPr>
                <w:rFonts w:ascii="Times New Roman" w:hAnsi="Times New Roman" w:eastAsia="Times New Roman" w:cs="Times New Roman"/>
                <w:color w:val="auto"/>
                <w:spacing w:val="-5"/>
                <w:sz w:val="24"/>
                <w:szCs w:val="24"/>
              </w:rPr>
              <w:t>0.</w:t>
            </w:r>
            <w:r>
              <w:rPr>
                <w:rFonts w:hint="eastAsia" w:cs="Times New Roman"/>
                <w:color w:val="auto"/>
                <w:spacing w:val="-5"/>
                <w:sz w:val="24"/>
                <w:szCs w:val="24"/>
                <w:lang w:val="en-US" w:eastAsia="zh-CN"/>
              </w:rPr>
              <w:t>1</w:t>
            </w:r>
            <w:r>
              <w:rPr>
                <w:rFonts w:ascii="Times New Roman" w:hAnsi="Times New Roman" w:eastAsia="Times New Roman" w:cs="Times New Roman"/>
                <w:color w:val="auto"/>
                <w:spacing w:val="-5"/>
                <w:sz w:val="24"/>
                <w:szCs w:val="24"/>
              </w:rPr>
              <w:t>t/a</w:t>
            </w:r>
            <w:r>
              <w:rPr>
                <w:color w:val="auto"/>
                <w:spacing w:val="-6"/>
                <w:sz w:val="24"/>
                <w:szCs w:val="24"/>
              </w:rPr>
              <w:t>，</w:t>
            </w:r>
            <w:r>
              <w:rPr>
                <w:rFonts w:hint="eastAsia"/>
                <w:color w:val="auto"/>
                <w:spacing w:val="-6"/>
                <w:sz w:val="24"/>
                <w:szCs w:val="24"/>
                <w:lang w:val="en-US" w:eastAsia="zh-CN"/>
              </w:rPr>
              <w:t>钻石粉用量为</w:t>
            </w:r>
            <w:r>
              <w:rPr>
                <w:rFonts w:ascii="Times New Roman" w:hAnsi="Times New Roman" w:eastAsia="Times New Roman" w:cs="Times New Roman"/>
                <w:color w:val="auto"/>
                <w:spacing w:val="-5"/>
                <w:sz w:val="24"/>
                <w:szCs w:val="24"/>
              </w:rPr>
              <w:t>0.</w:t>
            </w:r>
            <w:r>
              <w:rPr>
                <w:rFonts w:hint="eastAsia" w:eastAsia="宋体" w:cs="Times New Roman"/>
                <w:color w:val="auto"/>
                <w:spacing w:val="-5"/>
                <w:sz w:val="24"/>
                <w:szCs w:val="24"/>
                <w:lang w:val="en-US" w:eastAsia="zh-CN"/>
              </w:rPr>
              <w:t>1</w:t>
            </w:r>
            <w:r>
              <w:rPr>
                <w:rFonts w:hint="eastAsia" w:ascii="Times New Roman" w:hAnsi="Times New Roman" w:eastAsia="Times New Roman" w:cs="Times New Roman"/>
                <w:color w:val="auto"/>
                <w:spacing w:val="-5"/>
                <w:sz w:val="24"/>
                <w:szCs w:val="24"/>
                <w:lang w:val="en-US" w:eastAsia="zh-CN"/>
              </w:rPr>
              <w:t>t/a</w:t>
            </w:r>
            <w:r>
              <w:rPr>
                <w:rFonts w:hint="eastAsia" w:eastAsia="Times New Roman" w:cs="Times New Roman"/>
                <w:color w:val="auto"/>
                <w:spacing w:val="-5"/>
                <w:sz w:val="24"/>
                <w:szCs w:val="24"/>
                <w:lang w:val="en-US" w:eastAsia="zh-CN"/>
              </w:rPr>
              <w:t>，</w:t>
            </w:r>
            <w:r>
              <w:rPr>
                <w:color w:val="auto"/>
                <w:spacing w:val="-6"/>
                <w:sz w:val="24"/>
                <w:szCs w:val="24"/>
              </w:rPr>
              <w:t>由于《排放源统计调查产排污核算方法和系数手册》</w:t>
            </w:r>
            <w:r>
              <w:rPr>
                <w:color w:val="auto"/>
                <w:spacing w:val="-4"/>
                <w:sz w:val="24"/>
                <w:szCs w:val="24"/>
              </w:rPr>
              <w:t>中没有相关工序产污系数，按照经验系数取值</w:t>
            </w:r>
            <w:r>
              <w:rPr>
                <w:rFonts w:ascii="Times New Roman" w:hAnsi="Times New Roman" w:eastAsia="Times New Roman" w:cs="Times New Roman"/>
                <w:color w:val="auto"/>
                <w:spacing w:val="-4"/>
                <w:sz w:val="24"/>
                <w:szCs w:val="24"/>
              </w:rPr>
              <w:t>0.1kg/t</w:t>
            </w:r>
            <w:r>
              <w:rPr>
                <w:color w:val="auto"/>
                <w:spacing w:val="-3"/>
                <w:sz w:val="24"/>
                <w:szCs w:val="24"/>
              </w:rPr>
              <w:t>原料计算，则投料过程颗粒物产生量四舍五入后为</w:t>
            </w:r>
            <w:r>
              <w:rPr>
                <w:rFonts w:hint="eastAsia" w:eastAsia="宋体" w:cs="Times New Roman"/>
                <w:color w:val="auto"/>
                <w:spacing w:val="-3"/>
                <w:sz w:val="24"/>
                <w:szCs w:val="24"/>
                <w:lang w:val="en-US" w:eastAsia="zh-CN"/>
              </w:rPr>
              <w:t>0.42</w:t>
            </w:r>
            <w:r>
              <w:rPr>
                <w:rFonts w:ascii="Times New Roman" w:hAnsi="Times New Roman" w:eastAsia="Times New Roman" w:cs="Times New Roman"/>
                <w:color w:val="auto"/>
                <w:spacing w:val="-3"/>
                <w:sz w:val="24"/>
                <w:szCs w:val="24"/>
              </w:rPr>
              <w:t>kg/a</w:t>
            </w:r>
            <w:r>
              <w:rPr>
                <w:color w:val="auto"/>
                <w:spacing w:val="-3"/>
                <w:sz w:val="24"/>
                <w:szCs w:val="24"/>
              </w:rPr>
              <w:t>，其产生量很小，密度</w:t>
            </w:r>
            <w:r>
              <w:rPr>
                <w:color w:val="auto"/>
                <w:sz w:val="24"/>
                <w:szCs w:val="24"/>
              </w:rPr>
              <w:t>较大，且投料过程在室内，环境空气稳定流速慢，</w:t>
            </w:r>
            <w:r>
              <w:rPr>
                <w:color w:val="auto"/>
                <w:spacing w:val="-1"/>
                <w:sz w:val="24"/>
                <w:szCs w:val="24"/>
              </w:rPr>
              <w:t>大多数直接落入</w:t>
            </w:r>
            <w:r>
              <w:rPr>
                <w:rFonts w:hint="eastAsia"/>
                <w:color w:val="auto"/>
                <w:spacing w:val="-1"/>
                <w:sz w:val="24"/>
                <w:szCs w:val="24"/>
                <w:lang w:val="en-US" w:eastAsia="zh-CN"/>
              </w:rPr>
              <w:t>车间</w:t>
            </w:r>
            <w:r>
              <w:rPr>
                <w:color w:val="auto"/>
                <w:spacing w:val="-1"/>
                <w:sz w:val="24"/>
                <w:szCs w:val="24"/>
              </w:rPr>
              <w:t>，因此</w:t>
            </w:r>
            <w:r>
              <w:rPr>
                <w:rFonts w:hint="eastAsia"/>
                <w:color w:val="auto"/>
                <w:spacing w:val="-1"/>
                <w:sz w:val="24"/>
                <w:szCs w:val="24"/>
                <w:lang w:val="en-US" w:eastAsia="zh-CN"/>
              </w:rPr>
              <w:t>采用车间/厂房密闭</w:t>
            </w:r>
            <w:r>
              <w:rPr>
                <w:color w:val="auto"/>
                <w:spacing w:val="-1"/>
                <w:sz w:val="24"/>
                <w:szCs w:val="24"/>
              </w:rPr>
              <w:t>，少量无组织排放。</w:t>
            </w:r>
          </w:p>
          <w:p w14:paraId="44C8165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w:t>
            </w:r>
          </w:p>
          <w:p w14:paraId="773D3A66">
            <w:pPr>
              <w:widowControl w:val="0"/>
              <w:bidi w:val="0"/>
              <w:spacing w:line="360" w:lineRule="auto"/>
              <w:ind w:firstLine="480" w:firstLineChars="200"/>
              <w:jc w:val="both"/>
              <w:rPr>
                <w:rFonts w:hint="eastAsia"/>
                <w:color w:val="auto"/>
                <w:spacing w:val="7"/>
                <w:sz w:val="24"/>
                <w:szCs w:val="24"/>
                <w:lang w:val="en-US" w:eastAsia="zh-CN"/>
              </w:rPr>
            </w:pPr>
            <w:r>
              <w:rPr>
                <w:rFonts w:hint="eastAsia" w:ascii="Times New Roman" w:hAnsi="Times New Roman" w:eastAsia="宋体" w:cs="宋体"/>
                <w:color w:val="auto"/>
                <w:kern w:val="2"/>
                <w:sz w:val="24"/>
                <w:szCs w:val="24"/>
                <w:lang w:val="en-US" w:eastAsia="zh-CN" w:bidi="ar-SA"/>
              </w:rPr>
              <w:t>本项目生产过程中使用磨削液进行降温、润滑，由于采用湿法加工，</w:t>
            </w:r>
            <w:r>
              <w:rPr>
                <w:rFonts w:hint="eastAsia"/>
                <w:color w:val="auto"/>
                <w:spacing w:val="7"/>
                <w:sz w:val="24"/>
                <w:szCs w:val="24"/>
                <w:lang w:val="en-US" w:eastAsia="zh-CN"/>
              </w:rPr>
              <w:t>可在粉尘生成瞬间高效捕获全部微细颗粒物，粉尘进入废水，无悬浮粉尘形成气相污染物，故本项目原料、倒边、抛光湿式加工通过引入水或冷却液，能‌从源头抑制粉尘飞扬‌，空气中悬浮粉尘浓度通常可降低‌90%以上‌，基本消除可吸入颗粒物（PM10/PM2.5）的产生，大部分颗粒物随废水带走，极少部分无组织排放的颗粒物在厂房内自然沉降，基本不排放粉尘或含尘废气。</w:t>
            </w:r>
          </w:p>
          <w:p w14:paraId="5FED25F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cs="宋体"/>
                <w:color w:val="auto"/>
                <w:kern w:val="2"/>
                <w:sz w:val="24"/>
                <w:szCs w:val="24"/>
                <w:lang w:val="en-US" w:eastAsia="zh-CN" w:bidi="ar-SA"/>
              </w:rPr>
              <w:t>磨削液</w:t>
            </w:r>
            <w:r>
              <w:rPr>
                <w:rFonts w:hint="eastAsia" w:ascii="Times New Roman" w:hAnsi="Times New Roman" w:eastAsia="宋体" w:cs="宋体"/>
                <w:color w:val="auto"/>
                <w:kern w:val="2"/>
                <w:sz w:val="24"/>
                <w:szCs w:val="24"/>
                <w:lang w:val="en-US" w:eastAsia="zh-CN" w:bidi="ar-SA"/>
              </w:rPr>
              <w:t>受热产生少量的有机废气（以非甲烷总烃计），磨削液使用量为</w:t>
            </w:r>
            <w:r>
              <w:rPr>
                <w:rFonts w:hint="eastAsia" w:cs="宋体"/>
                <w:color w:val="auto"/>
                <w:kern w:val="2"/>
                <w:sz w:val="24"/>
                <w:szCs w:val="24"/>
                <w:lang w:val="en-US" w:eastAsia="zh-CN" w:bidi="ar-SA"/>
              </w:rPr>
              <w:t>0.3</w:t>
            </w:r>
            <w:r>
              <w:rPr>
                <w:rFonts w:hint="eastAsia" w:ascii="Times New Roman" w:hAnsi="Times New Roman" w:eastAsia="宋体" w:cs="宋体"/>
                <w:color w:val="auto"/>
                <w:kern w:val="2"/>
                <w:sz w:val="24"/>
                <w:szCs w:val="24"/>
                <w:lang w:val="en-US" w:eastAsia="zh-CN" w:bidi="ar-SA"/>
              </w:rPr>
              <w:t>t/a，参考《排放源统计产排污核算方法和系数手册》</w:t>
            </w:r>
            <w:r>
              <w:rPr>
                <w:rFonts w:hint="eastAsia" w:cs="宋体"/>
                <w:color w:val="auto"/>
                <w:kern w:val="2"/>
                <w:sz w:val="24"/>
                <w:szCs w:val="24"/>
                <w:lang w:val="en-US" w:eastAsia="zh-CN" w:bidi="ar-SA"/>
              </w:rPr>
              <w:t>机械加工行业</w:t>
            </w:r>
            <w:r>
              <w:rPr>
                <w:rFonts w:hint="eastAsia" w:ascii="Times New Roman" w:hAnsi="Times New Roman" w:eastAsia="宋体" w:cs="宋体"/>
                <w:color w:val="auto"/>
                <w:kern w:val="2"/>
                <w:sz w:val="24"/>
                <w:szCs w:val="24"/>
                <w:lang w:val="en-US" w:eastAsia="zh-CN" w:bidi="ar-SA"/>
              </w:rPr>
              <w:t>，原料为磨削液，VOCs产污系数为5.64千克/吨-原料，磨削液使用量为</w:t>
            </w:r>
            <w:r>
              <w:rPr>
                <w:rFonts w:hint="eastAsia" w:cs="宋体"/>
                <w:color w:val="auto"/>
                <w:kern w:val="2"/>
                <w:sz w:val="24"/>
                <w:szCs w:val="24"/>
                <w:lang w:val="en-US" w:eastAsia="zh-CN" w:bidi="ar-SA"/>
              </w:rPr>
              <w:t>0.3</w:t>
            </w:r>
            <w:r>
              <w:rPr>
                <w:rFonts w:hint="eastAsia" w:ascii="Times New Roman" w:hAnsi="Times New Roman" w:eastAsia="宋体" w:cs="宋体"/>
                <w:color w:val="auto"/>
                <w:kern w:val="2"/>
                <w:sz w:val="24"/>
                <w:szCs w:val="24"/>
                <w:lang w:val="en-US" w:eastAsia="zh-CN" w:bidi="ar-SA"/>
              </w:rPr>
              <w:t>t/a，则项目有机废气（以非甲烷总烃计）产生量约为</w:t>
            </w:r>
            <w:r>
              <w:rPr>
                <w:rFonts w:hint="eastAsia" w:cs="宋体"/>
                <w:color w:val="auto"/>
                <w:kern w:val="2"/>
                <w:sz w:val="24"/>
                <w:szCs w:val="24"/>
                <w:lang w:val="en-US" w:eastAsia="zh-CN" w:bidi="ar-SA"/>
              </w:rPr>
              <w:t>0.0017</w:t>
            </w:r>
            <w:r>
              <w:rPr>
                <w:rFonts w:hint="eastAsia" w:ascii="Times New Roman" w:hAnsi="Times New Roman" w:eastAsia="宋体" w:cs="宋体"/>
                <w:color w:val="auto"/>
                <w:kern w:val="2"/>
                <w:sz w:val="24"/>
                <w:szCs w:val="24"/>
                <w:lang w:val="en-US" w:eastAsia="zh-CN" w:bidi="ar-SA"/>
              </w:rPr>
              <w:t>t/a，产生速率为</w:t>
            </w:r>
            <w:r>
              <w:rPr>
                <w:rFonts w:hint="eastAsia" w:cs="宋体"/>
                <w:color w:val="auto"/>
                <w:kern w:val="2"/>
                <w:sz w:val="24"/>
                <w:szCs w:val="24"/>
                <w:lang w:val="en-US" w:eastAsia="zh-CN" w:bidi="ar-SA"/>
              </w:rPr>
              <w:t>0.0008</w:t>
            </w:r>
            <w:r>
              <w:rPr>
                <w:rFonts w:hint="eastAsia" w:ascii="Times New Roman" w:hAnsi="Times New Roman" w:eastAsia="宋体" w:cs="宋体"/>
                <w:color w:val="auto"/>
                <w:kern w:val="2"/>
                <w:sz w:val="24"/>
                <w:szCs w:val="24"/>
                <w:lang w:val="en-US" w:eastAsia="zh-CN" w:bidi="ar-SA"/>
              </w:rPr>
              <w:t>kg/h。用于</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的设备将玻璃材料置于密闭空间内工作，并有密闭管道收集有机废气，收集的有机废气经过</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活性炭吸附装置处理达标后，由2</w:t>
            </w:r>
            <w:r>
              <w:rPr>
                <w:rFonts w:hint="eastAsia" w:cs="宋体"/>
                <w:color w:val="auto"/>
                <w:kern w:val="2"/>
                <w:sz w:val="24"/>
                <w:szCs w:val="24"/>
                <w:lang w:val="en-US" w:eastAsia="zh-CN" w:bidi="ar-SA"/>
              </w:rPr>
              <w:t>0</w:t>
            </w:r>
            <w:r>
              <w:rPr>
                <w:rFonts w:hint="eastAsia" w:ascii="Times New Roman" w:hAnsi="Times New Roman" w:eastAsia="宋体" w:cs="宋体"/>
                <w:color w:val="auto"/>
                <w:kern w:val="2"/>
                <w:sz w:val="24"/>
                <w:szCs w:val="24"/>
                <w:lang w:val="en-US" w:eastAsia="zh-CN" w:bidi="ar-SA"/>
              </w:rPr>
              <w:t>m高的DA00</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排气筒排放。有机废气收集效率取90%，</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活性炭吸附装置处理效率取</w:t>
            </w:r>
            <w:r>
              <w:rPr>
                <w:rFonts w:hint="eastAsia" w:cs="宋体"/>
                <w:color w:val="auto"/>
                <w:kern w:val="2"/>
                <w:sz w:val="24"/>
                <w:szCs w:val="24"/>
                <w:lang w:val="en-US" w:eastAsia="zh-CN" w:bidi="ar-SA"/>
              </w:rPr>
              <w:t>80</w:t>
            </w:r>
            <w:r>
              <w:rPr>
                <w:rFonts w:hint="eastAsia" w:ascii="Times New Roman" w:hAnsi="Times New Roman" w:eastAsia="宋体" w:cs="宋体"/>
                <w:color w:val="auto"/>
                <w:kern w:val="2"/>
                <w:sz w:val="24"/>
                <w:szCs w:val="24"/>
                <w:lang w:val="en-US" w:eastAsia="zh-CN" w:bidi="ar-SA"/>
              </w:rPr>
              <w:t>%。则</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无组织排放量为</w:t>
            </w:r>
            <w:r>
              <w:rPr>
                <w:rFonts w:hint="eastAsia" w:cs="宋体"/>
                <w:color w:val="auto"/>
                <w:kern w:val="2"/>
                <w:sz w:val="24"/>
                <w:szCs w:val="24"/>
                <w:lang w:val="en-US" w:eastAsia="zh-CN" w:bidi="ar-SA"/>
              </w:rPr>
              <w:t>0.0002</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0.0001</w:t>
            </w:r>
            <w:r>
              <w:rPr>
                <w:rFonts w:hint="eastAsia" w:ascii="Times New Roman" w:hAnsi="Times New Roman" w:eastAsia="宋体" w:cs="宋体"/>
                <w:color w:val="auto"/>
                <w:kern w:val="2"/>
                <w:sz w:val="24"/>
                <w:szCs w:val="24"/>
                <w:lang w:val="en-US" w:eastAsia="zh-CN" w:bidi="ar-SA"/>
              </w:rPr>
              <w:t>kg/h。则</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有组织排放量为</w:t>
            </w:r>
            <w:r>
              <w:rPr>
                <w:rFonts w:hint="eastAsia" w:cs="宋体"/>
                <w:color w:val="auto"/>
                <w:kern w:val="2"/>
                <w:sz w:val="24"/>
                <w:szCs w:val="24"/>
                <w:lang w:val="en-US" w:eastAsia="zh-CN" w:bidi="ar-SA"/>
              </w:rPr>
              <w:t>0.0003</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0.0001</w:t>
            </w:r>
            <w:r>
              <w:rPr>
                <w:rFonts w:hint="eastAsia" w:ascii="Times New Roman" w:hAnsi="Times New Roman" w:eastAsia="宋体" w:cs="宋体"/>
                <w:color w:val="auto"/>
                <w:kern w:val="2"/>
                <w:sz w:val="24"/>
                <w:szCs w:val="24"/>
                <w:lang w:val="en-US" w:eastAsia="zh-CN" w:bidi="ar-SA"/>
              </w:rPr>
              <w:t>kg/h，配备10000m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/h的风机，排放浓度为</w:t>
            </w:r>
            <w:r>
              <w:rPr>
                <w:rFonts w:hint="eastAsia" w:cs="宋体"/>
                <w:color w:val="auto"/>
                <w:kern w:val="2"/>
                <w:sz w:val="24"/>
                <w:szCs w:val="24"/>
                <w:lang w:val="en-US" w:eastAsia="zh-CN" w:bidi="ar-SA"/>
              </w:rPr>
              <w:t>0.015</w:t>
            </w:r>
            <w:r>
              <w:rPr>
                <w:rFonts w:hint="eastAsia" w:ascii="Times New Roman" w:hAnsi="Times New Roman" w:eastAsia="宋体" w:cs="宋体"/>
                <w:color w:val="auto"/>
                <w:kern w:val="2"/>
                <w:sz w:val="24"/>
                <w:szCs w:val="24"/>
                <w:lang w:val="en-US" w:eastAsia="zh-CN" w:bidi="ar-SA"/>
              </w:rPr>
              <w:t>mg/m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w:t>
            </w:r>
          </w:p>
          <w:p w14:paraId="48C83D5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）擦拭废气</w:t>
            </w:r>
          </w:p>
          <w:p w14:paraId="6837AE81">
            <w:pPr>
              <w:widowControl w:val="0"/>
              <w:bidi w:val="0"/>
              <w:spacing w:line="360" w:lineRule="auto"/>
              <w:ind w:firstLine="480" w:firstLineChars="200"/>
              <w:jc w:val="both"/>
              <w:rPr>
                <w:rFonts w:hint="eastAsia" w:ascii="Times New Roman" w:hAnsi="Times New Roman" w:eastAsia="宋体" w:cs="宋体"/>
                <w:color w:val="auto"/>
                <w:kern w:val="2"/>
                <w:sz w:val="24"/>
                <w:szCs w:val="24"/>
                <w:vertAlign w:val="baseline"/>
                <w:lang w:val="en-US" w:eastAsia="zh-CN" w:bidi="ar-SA"/>
              </w:rPr>
            </w:pPr>
            <w:r>
              <w:rPr>
                <w:rFonts w:hint="eastAsia" w:ascii="Times New Roman" w:hAnsi="Times New Roman" w:eastAsia="宋体" w:cs="宋体"/>
                <w:color w:val="auto"/>
                <w:kern w:val="2"/>
                <w:sz w:val="24"/>
                <w:szCs w:val="24"/>
                <w:lang w:val="en-US" w:eastAsia="zh-CN" w:bidi="ar-SA"/>
              </w:rPr>
              <w:t>项目用于擦拭检测的有机溶剂包括0.9t/a无水乙醚、0.6t/a无水乙醇、0.8t/a丙酮，本次评价有机溶剂以100%挥发计，产生VOCs、乙醇、乙醚、丙酮（以非甲烷总烃计），则项目有机废气（以非甲烷总烃计）产生量约为2.3t/a，产生速率为1.1058kg/h。擦拭车间为密闭无尘负压车间，考虑到有职工人员进出时开关门，有机废气（以非甲烷总烃计）以无组织形式排放系数为10%，有组织废气收集效率为90%，则擦拭废气VOCs、乙醇、乙醚、丙</w:t>
            </w:r>
            <w:r>
              <w:rPr>
                <w:rFonts w:hint="eastAsia" w:cs="宋体"/>
                <w:color w:val="auto"/>
                <w:kern w:val="2"/>
                <w:sz w:val="24"/>
                <w:szCs w:val="24"/>
                <w:lang w:val="en-US" w:eastAsia="zh-CN" w:bidi="ar-SA"/>
              </w:rPr>
              <w:t>酮（以非甲烷总烃计）</w:t>
            </w:r>
            <w:r>
              <w:rPr>
                <w:rFonts w:hint="eastAsia" w:ascii="Times New Roman" w:hAnsi="Times New Roman" w:eastAsia="宋体" w:cs="宋体"/>
                <w:color w:val="auto"/>
                <w:kern w:val="2"/>
                <w:sz w:val="24"/>
                <w:szCs w:val="24"/>
                <w:lang w:val="en-US" w:eastAsia="zh-CN" w:bidi="ar-SA"/>
              </w:rPr>
              <w:t>无组织排放量为</w:t>
            </w:r>
            <w:r>
              <w:rPr>
                <w:rFonts w:hint="eastAsia" w:cs="宋体"/>
                <w:color w:val="auto"/>
                <w:kern w:val="2"/>
                <w:sz w:val="24"/>
                <w:szCs w:val="24"/>
                <w:lang w:val="en-US" w:eastAsia="zh-CN" w:bidi="ar-SA"/>
              </w:rPr>
              <w:t>0.23</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0.1106</w:t>
            </w:r>
            <w:r>
              <w:rPr>
                <w:rFonts w:hint="eastAsia" w:ascii="Times New Roman" w:hAnsi="Times New Roman" w:eastAsia="宋体" w:cs="宋体"/>
                <w:color w:val="auto"/>
                <w:kern w:val="2"/>
                <w:sz w:val="24"/>
                <w:szCs w:val="24"/>
                <w:lang w:val="en-US" w:eastAsia="zh-CN" w:bidi="ar-SA"/>
              </w:rPr>
              <w:t>kg/h。项目拟建一台风量为</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0000m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/h的风机和</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活性炭吸附装置作为末端治理设施，</w:t>
            </w:r>
            <w:r>
              <w:rPr>
                <w:rFonts w:hint="eastAsia" w:cs="宋体"/>
                <w:color w:val="auto"/>
                <w:kern w:val="2"/>
                <w:sz w:val="24"/>
                <w:szCs w:val="24"/>
                <w:lang w:val="en-US" w:eastAsia="zh-CN" w:bidi="ar-SA"/>
              </w:rPr>
              <w:t>处理达标后</w:t>
            </w:r>
            <w:r>
              <w:rPr>
                <w:rFonts w:hint="eastAsia" w:ascii="Times New Roman" w:hAnsi="Times New Roman" w:eastAsia="宋体" w:cs="宋体"/>
                <w:color w:val="auto"/>
                <w:kern w:val="2"/>
                <w:sz w:val="24"/>
                <w:szCs w:val="24"/>
                <w:lang w:val="en-US" w:eastAsia="zh-CN" w:bidi="ar-SA"/>
              </w:rPr>
              <w:t>由2</w:t>
            </w:r>
            <w:r>
              <w:rPr>
                <w:rFonts w:hint="eastAsia" w:cs="宋体"/>
                <w:color w:val="auto"/>
                <w:kern w:val="2"/>
                <w:sz w:val="24"/>
                <w:szCs w:val="24"/>
                <w:lang w:val="en-US" w:eastAsia="zh-CN" w:bidi="ar-SA"/>
              </w:rPr>
              <w:t>0</w:t>
            </w:r>
            <w:r>
              <w:rPr>
                <w:rFonts w:hint="eastAsia" w:ascii="Times New Roman" w:hAnsi="Times New Roman" w:eastAsia="宋体" w:cs="宋体"/>
                <w:color w:val="auto"/>
                <w:kern w:val="2"/>
                <w:sz w:val="24"/>
                <w:szCs w:val="24"/>
                <w:lang w:val="en-US" w:eastAsia="zh-CN" w:bidi="ar-SA"/>
              </w:rPr>
              <w:t>m高的DA00</w:t>
            </w:r>
            <w:r>
              <w:rPr>
                <w:rFonts w:hint="eastAsia"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排气筒排放</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治理效率为8</w:t>
            </w:r>
            <w:r>
              <w:rPr>
                <w:rFonts w:hint="eastAsia" w:cs="宋体"/>
                <w:color w:val="auto"/>
                <w:kern w:val="2"/>
                <w:sz w:val="24"/>
                <w:szCs w:val="24"/>
                <w:lang w:val="en-US" w:eastAsia="zh-CN" w:bidi="ar-SA"/>
              </w:rPr>
              <w:t>0</w:t>
            </w:r>
            <w:r>
              <w:rPr>
                <w:rFonts w:hint="eastAsia" w:ascii="Times New Roman" w:hAnsi="Times New Roman" w:eastAsia="宋体" w:cs="宋体"/>
                <w:color w:val="auto"/>
                <w:kern w:val="2"/>
                <w:sz w:val="24"/>
                <w:szCs w:val="24"/>
                <w:lang w:val="en-US" w:eastAsia="zh-CN" w:bidi="ar-SA"/>
              </w:rPr>
              <w:t>%，则擦拭废气</w:t>
            </w:r>
            <w:r>
              <w:rPr>
                <w:rFonts w:hint="eastAsia" w:cs="宋体"/>
                <w:color w:val="auto"/>
                <w:kern w:val="2"/>
                <w:sz w:val="24"/>
                <w:szCs w:val="24"/>
                <w:lang w:val="en-US" w:eastAsia="zh-CN" w:bidi="ar-SA"/>
              </w:rPr>
              <w:t>VOCs、乙醇、乙醚、丙酮（以非甲烷总烃计）</w:t>
            </w:r>
            <w:r>
              <w:rPr>
                <w:rFonts w:hint="eastAsia" w:ascii="Times New Roman" w:hAnsi="Times New Roman" w:eastAsia="宋体" w:cs="宋体"/>
                <w:color w:val="auto"/>
                <w:kern w:val="2"/>
                <w:sz w:val="24"/>
                <w:szCs w:val="24"/>
                <w:lang w:val="en-US" w:eastAsia="zh-CN" w:bidi="ar-SA"/>
              </w:rPr>
              <w:t>有组织排放量为</w:t>
            </w:r>
            <w:r>
              <w:rPr>
                <w:rFonts w:hint="eastAsia" w:cs="宋体"/>
                <w:color w:val="auto"/>
                <w:kern w:val="2"/>
                <w:sz w:val="24"/>
                <w:szCs w:val="24"/>
                <w:lang w:val="en-US" w:eastAsia="zh-CN" w:bidi="ar-SA"/>
              </w:rPr>
              <w:t>0.414</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0.1990</w:t>
            </w:r>
            <w:r>
              <w:rPr>
                <w:rFonts w:hint="eastAsia" w:ascii="Times New Roman" w:hAnsi="Times New Roman" w:eastAsia="宋体" w:cs="宋体"/>
                <w:color w:val="auto"/>
                <w:kern w:val="2"/>
                <w:sz w:val="24"/>
                <w:szCs w:val="24"/>
                <w:lang w:val="en-US" w:eastAsia="zh-CN" w:bidi="ar-SA"/>
              </w:rPr>
              <w:t>kg/h，排放浓度为</w:t>
            </w:r>
            <w:r>
              <w:rPr>
                <w:rFonts w:hint="eastAsia" w:cs="宋体"/>
                <w:color w:val="auto"/>
                <w:kern w:val="2"/>
                <w:sz w:val="24"/>
                <w:szCs w:val="24"/>
                <w:lang w:val="en-US" w:eastAsia="zh-CN" w:bidi="ar-SA"/>
              </w:rPr>
              <w:t>9.952</w:t>
            </w:r>
            <w:r>
              <w:rPr>
                <w:rFonts w:hint="eastAsia" w:ascii="Times New Roman" w:hAnsi="Times New Roman" w:eastAsia="宋体" w:cs="宋体"/>
                <w:color w:val="auto"/>
                <w:kern w:val="2"/>
                <w:sz w:val="24"/>
                <w:szCs w:val="24"/>
                <w:lang w:val="en-US" w:eastAsia="zh-CN" w:bidi="ar-SA"/>
              </w:rPr>
              <w:t>mg/m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vertAlign w:val="baseline"/>
                <w:lang w:val="en-US" w:eastAsia="zh-CN" w:bidi="ar-SA"/>
              </w:rPr>
              <w:t>。</w:t>
            </w:r>
          </w:p>
          <w:p w14:paraId="2762C4EE">
            <w:pPr>
              <w:widowControl w:val="0"/>
              <w:bidi w:val="0"/>
              <w:spacing w:line="360" w:lineRule="auto"/>
              <w:ind w:firstLine="480" w:firstLineChars="200"/>
              <w:jc w:val="both"/>
              <w:rPr>
                <w:rFonts w:hint="eastAsia" w:ascii="Times New Roman" w:hAnsi="Times New Roman" w:eastAsia="宋体" w:cs="宋体"/>
                <w:color w:val="auto"/>
                <w:kern w:val="2"/>
                <w:sz w:val="24"/>
                <w:szCs w:val="24"/>
                <w:vertAlign w:val="baseline"/>
                <w:lang w:val="en-US" w:eastAsia="zh-CN" w:bidi="ar-SA"/>
              </w:rPr>
            </w:pPr>
            <w:r>
              <w:rPr>
                <w:rFonts w:hint="eastAsia" w:ascii="Times New Roman" w:hAnsi="Times New Roman" w:eastAsia="宋体" w:cs="宋体"/>
                <w:color w:val="auto"/>
                <w:kern w:val="2"/>
                <w:sz w:val="24"/>
                <w:szCs w:val="24"/>
                <w:vertAlign w:val="baseline"/>
                <w:lang w:val="en-US" w:eastAsia="zh-CN" w:bidi="ar-SA"/>
              </w:rPr>
              <w:t>（</w:t>
            </w:r>
            <w:r>
              <w:rPr>
                <w:rFonts w:hint="eastAsia" w:cs="宋体"/>
                <w:color w:val="auto"/>
                <w:kern w:val="2"/>
                <w:sz w:val="24"/>
                <w:szCs w:val="24"/>
                <w:vertAlign w:val="baseline"/>
                <w:lang w:val="en-US" w:eastAsia="zh-CN" w:bidi="ar-SA"/>
              </w:rPr>
              <w:t>4</w:t>
            </w:r>
            <w:r>
              <w:rPr>
                <w:rFonts w:hint="eastAsia" w:ascii="Times New Roman" w:hAnsi="Times New Roman" w:eastAsia="宋体" w:cs="宋体"/>
                <w:color w:val="auto"/>
                <w:kern w:val="2"/>
                <w:sz w:val="24"/>
                <w:szCs w:val="24"/>
                <w:vertAlign w:val="baseline"/>
                <w:lang w:val="en-US" w:eastAsia="zh-CN" w:bidi="ar-SA"/>
              </w:rPr>
              <w:t>）</w:t>
            </w:r>
            <w:r>
              <w:rPr>
                <w:rFonts w:hint="eastAsia" w:cs="宋体"/>
                <w:color w:val="auto"/>
                <w:kern w:val="2"/>
                <w:sz w:val="24"/>
                <w:szCs w:val="24"/>
                <w:vertAlign w:val="baseline"/>
                <w:lang w:val="en-US" w:eastAsia="zh-CN" w:bidi="ar-SA"/>
              </w:rPr>
              <w:t>清洗</w:t>
            </w:r>
            <w:r>
              <w:rPr>
                <w:rFonts w:hint="eastAsia" w:ascii="Times New Roman" w:hAnsi="Times New Roman" w:eastAsia="宋体" w:cs="宋体"/>
                <w:color w:val="auto"/>
                <w:kern w:val="2"/>
                <w:sz w:val="24"/>
                <w:szCs w:val="24"/>
                <w:vertAlign w:val="baseline"/>
                <w:lang w:val="en-US" w:eastAsia="zh-CN" w:bidi="ar-SA"/>
              </w:rPr>
              <w:t>废气</w:t>
            </w:r>
          </w:p>
          <w:p w14:paraId="0607F7C5">
            <w:pPr>
              <w:widowControl w:val="0"/>
              <w:bidi w:val="0"/>
              <w:spacing w:line="360" w:lineRule="auto"/>
              <w:ind w:firstLine="480" w:firstLineChars="200"/>
              <w:jc w:val="both"/>
              <w:rPr>
                <w:rFonts w:hint="eastAsia" w:ascii="Times New Roman" w:hAnsi="Times New Roman" w:eastAsia="宋体" w:cs="宋体"/>
                <w:color w:val="auto"/>
                <w:kern w:val="2"/>
                <w:sz w:val="24"/>
                <w:szCs w:val="24"/>
                <w:vertAlign w:val="baseline"/>
                <w:lang w:val="en-US" w:eastAsia="zh-CN" w:bidi="ar-SA"/>
              </w:rPr>
            </w:pPr>
            <w:r>
              <w:rPr>
                <w:rFonts w:hint="eastAsia" w:ascii="Times New Roman" w:hAnsi="Times New Roman" w:eastAsia="宋体" w:cs="宋体"/>
                <w:color w:val="auto"/>
                <w:kern w:val="2"/>
                <w:sz w:val="24"/>
                <w:szCs w:val="24"/>
                <w:lang w:val="en-US" w:eastAsia="zh-CN" w:bidi="ar-SA"/>
              </w:rPr>
              <w:t>项目在超声波清洗工序加入清洗剂对产品进行清洗，根据建设单位提供资料，清洗剂使用量为</w:t>
            </w:r>
            <w:r>
              <w:rPr>
                <w:rFonts w:hint="eastAsia" w:cs="宋体"/>
                <w:color w:val="auto"/>
                <w:kern w:val="2"/>
                <w:sz w:val="24"/>
                <w:szCs w:val="24"/>
                <w:lang w:val="en-US" w:eastAsia="zh-CN" w:bidi="ar-SA"/>
              </w:rPr>
              <w:t>5</w:t>
            </w:r>
            <w:r>
              <w:rPr>
                <w:rFonts w:hint="eastAsia" w:ascii="Times New Roman" w:hAnsi="Times New Roman" w:eastAsia="宋体" w:cs="宋体"/>
                <w:color w:val="auto"/>
                <w:kern w:val="2"/>
                <w:sz w:val="24"/>
                <w:szCs w:val="24"/>
                <w:lang w:val="en-US" w:eastAsia="zh-CN" w:bidi="ar-SA"/>
              </w:rPr>
              <w:t>t/a，</w:t>
            </w:r>
            <w:r>
              <w:rPr>
                <w:rFonts w:hint="eastAsia" w:ascii="Times New Roman" w:hAnsi="Times New Roman" w:eastAsia="宋体" w:cs="宋体"/>
                <w:color w:val="auto"/>
                <w:kern w:val="2"/>
                <w:sz w:val="24"/>
                <w:szCs w:val="24"/>
                <w:highlight w:val="none"/>
                <w:lang w:val="en-US" w:eastAsia="zh-CN" w:bidi="ar-SA"/>
              </w:rPr>
              <w:t>参考根据《第二次全国污染源普查产排污核算系数手册》及相关行业标准</w:t>
            </w:r>
            <w:r>
              <w:rPr>
                <w:rFonts w:hint="eastAsia" w:ascii="Times New Roman" w:hAnsi="Times New Roman" w:eastAsia="宋体" w:cs="宋体"/>
                <w:color w:val="auto"/>
                <w:kern w:val="2"/>
                <w:sz w:val="24"/>
                <w:szCs w:val="24"/>
                <w:lang w:val="en-US" w:eastAsia="zh-CN" w:bidi="ar-SA"/>
              </w:rPr>
              <w:t>，清洗产生的污染物因子为挥发性有机物</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，产污系数为121.866克/千克-清洗剂。则</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废气产生量为</w:t>
            </w:r>
            <w:r>
              <w:rPr>
                <w:rFonts w:hint="eastAsia" w:cs="宋体"/>
                <w:color w:val="auto"/>
                <w:kern w:val="2"/>
                <w:sz w:val="24"/>
                <w:szCs w:val="24"/>
                <w:lang w:val="en-US" w:eastAsia="zh-CN" w:bidi="ar-SA"/>
              </w:rPr>
              <w:t>0.6093t</w:t>
            </w:r>
            <w:r>
              <w:rPr>
                <w:rFonts w:hint="eastAsia" w:ascii="Times New Roman" w:hAnsi="Times New Roman" w:eastAsia="宋体" w:cs="宋体"/>
                <w:color w:val="auto"/>
                <w:kern w:val="2"/>
                <w:sz w:val="24"/>
                <w:szCs w:val="24"/>
                <w:lang w:val="en-US" w:eastAsia="zh-CN" w:bidi="ar-SA"/>
              </w:rPr>
              <w:t>/a，产生速率为</w:t>
            </w:r>
            <w:r>
              <w:rPr>
                <w:rFonts w:hint="eastAsia" w:cs="宋体"/>
                <w:color w:val="auto"/>
                <w:kern w:val="2"/>
                <w:sz w:val="24"/>
                <w:szCs w:val="24"/>
                <w:lang w:val="en-US" w:eastAsia="zh-CN" w:bidi="ar-SA"/>
              </w:rPr>
              <w:t>0.2929</w:t>
            </w:r>
            <w:r>
              <w:rPr>
                <w:rFonts w:hint="eastAsia" w:ascii="Times New Roman" w:hAnsi="Times New Roman" w:eastAsia="宋体" w:cs="宋体"/>
                <w:color w:val="auto"/>
                <w:kern w:val="2"/>
                <w:sz w:val="24"/>
                <w:szCs w:val="24"/>
                <w:lang w:val="en-US" w:eastAsia="zh-CN" w:bidi="ar-SA"/>
              </w:rPr>
              <w:t>kg/h。</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车间为密闭无尘负压车间，考虑到有职工人员进出时开关门，有机废气（以非甲烷总烃计）以无组织形式排放系数为10%，有组织废气收集效率为90%，则</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无组织排放量为</w:t>
            </w:r>
            <w:r>
              <w:rPr>
                <w:rFonts w:hint="eastAsia" w:cs="宋体"/>
                <w:color w:val="auto"/>
                <w:kern w:val="2"/>
                <w:sz w:val="24"/>
                <w:szCs w:val="24"/>
                <w:lang w:val="en-US" w:eastAsia="zh-CN" w:bidi="ar-SA"/>
              </w:rPr>
              <w:t>0.0609</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0.0293</w:t>
            </w:r>
            <w:r>
              <w:rPr>
                <w:rFonts w:hint="eastAsia" w:ascii="Times New Roman" w:hAnsi="Times New Roman" w:eastAsia="宋体" w:cs="宋体"/>
                <w:color w:val="auto"/>
                <w:kern w:val="2"/>
                <w:sz w:val="24"/>
                <w:szCs w:val="24"/>
                <w:lang w:val="en-US" w:eastAsia="zh-CN" w:bidi="ar-SA"/>
              </w:rPr>
              <w:t>kg/h。项目拟建一台风量为</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0000m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/h的风机和</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活性炭吸附装置作为末端治理设施，处理达标后由20m高的DA001排气筒排放，治理效率为</w:t>
            </w:r>
            <w:r>
              <w:rPr>
                <w:rFonts w:hint="eastAsia" w:cs="宋体"/>
                <w:color w:val="auto"/>
                <w:kern w:val="2"/>
                <w:sz w:val="24"/>
                <w:szCs w:val="24"/>
                <w:lang w:val="en-US" w:eastAsia="zh-CN" w:bidi="ar-SA"/>
              </w:rPr>
              <w:t>80</w:t>
            </w:r>
            <w:r>
              <w:rPr>
                <w:rFonts w:hint="eastAsia" w:ascii="Times New Roman" w:hAnsi="Times New Roman" w:eastAsia="宋体" w:cs="宋体"/>
                <w:color w:val="auto"/>
                <w:kern w:val="2"/>
                <w:sz w:val="24"/>
                <w:szCs w:val="24"/>
                <w:lang w:val="en-US" w:eastAsia="zh-CN" w:bidi="ar-SA"/>
              </w:rPr>
              <w:t>%，则</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有组织排放量为</w:t>
            </w:r>
            <w:r>
              <w:rPr>
                <w:rFonts w:hint="eastAsia" w:cs="宋体"/>
                <w:color w:val="auto"/>
                <w:kern w:val="2"/>
                <w:sz w:val="24"/>
                <w:szCs w:val="24"/>
                <w:lang w:val="en-US" w:eastAsia="zh-CN" w:bidi="ar-SA"/>
              </w:rPr>
              <w:t>0.1097</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0.0527</w:t>
            </w:r>
            <w:r>
              <w:rPr>
                <w:rFonts w:hint="eastAsia" w:ascii="Times New Roman" w:hAnsi="Times New Roman" w:eastAsia="宋体" w:cs="宋体"/>
                <w:color w:val="auto"/>
                <w:kern w:val="2"/>
                <w:sz w:val="24"/>
                <w:szCs w:val="24"/>
                <w:lang w:val="en-US" w:eastAsia="zh-CN" w:bidi="ar-SA"/>
              </w:rPr>
              <w:t>kg/h，排放浓度为</w:t>
            </w:r>
            <w:r>
              <w:rPr>
                <w:rFonts w:hint="eastAsia" w:cs="宋体"/>
                <w:color w:val="auto"/>
                <w:kern w:val="2"/>
                <w:sz w:val="24"/>
                <w:szCs w:val="24"/>
                <w:lang w:val="en-US" w:eastAsia="zh-CN" w:bidi="ar-SA"/>
              </w:rPr>
              <w:t xml:space="preserve">2.632 </w:t>
            </w:r>
            <w:r>
              <w:rPr>
                <w:rFonts w:hint="eastAsia" w:ascii="Times New Roman" w:hAnsi="Times New Roman" w:eastAsia="宋体" w:cs="宋体"/>
                <w:color w:val="auto"/>
                <w:kern w:val="2"/>
                <w:sz w:val="24"/>
                <w:szCs w:val="24"/>
                <w:lang w:val="en-US" w:eastAsia="zh-CN" w:bidi="ar-SA"/>
              </w:rPr>
              <w:t>mg/m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vertAlign w:val="baseline"/>
                <w:lang w:val="en-US" w:eastAsia="zh-CN" w:bidi="ar-SA"/>
              </w:rPr>
              <w:t>。</w:t>
            </w:r>
          </w:p>
          <w:p w14:paraId="7D299D33">
            <w:pPr>
              <w:pStyle w:val="23"/>
              <w:spacing w:line="360" w:lineRule="auto"/>
              <w:ind w:firstLine="482" w:firstLineChars="20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（4）废气收集效率</w:t>
            </w:r>
          </w:p>
          <w:p w14:paraId="5AF76640">
            <w:pPr>
              <w:pStyle w:val="23"/>
              <w:spacing w:line="360" w:lineRule="auto"/>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项目擦拭废气和清洗工序产生的废气通过密闭车间负压收集经二级活性炭吸附装置（TA001）处理达标后通过2</w:t>
            </w:r>
            <w:r>
              <w:rPr>
                <w:rFonts w:hint="eastAsia" w:ascii="Times New Roman" w:hAnsi="Times New Roman" w:cs="Times New Roman"/>
                <w:color w:val="auto"/>
                <w:highlight w:val="none"/>
                <w:lang w:val="en-US" w:eastAsia="zh-CN"/>
              </w:rPr>
              <w:t>0</w:t>
            </w:r>
            <w:r>
              <w:rPr>
                <w:rFonts w:hint="default" w:ascii="Times New Roman" w:hAnsi="Times New Roman" w:cs="Times New Roman"/>
                <w:color w:val="auto"/>
                <w:highlight w:val="none"/>
                <w:lang w:val="en-US" w:eastAsia="zh-CN"/>
              </w:rPr>
              <w:t>m高的排气筒（</w:t>
            </w:r>
            <w:r>
              <w:rPr>
                <w:rFonts w:hint="default" w:ascii="Times New Roman" w:hAnsi="Times New Roman" w:eastAsia="宋体" w:cs="Times New Roman"/>
                <w:color w:val="auto"/>
                <w:kern w:val="2"/>
                <w:sz w:val="24"/>
                <w:szCs w:val="24"/>
                <w:lang w:val="en-US" w:eastAsia="zh-CN" w:bidi="ar-SA"/>
              </w:rPr>
              <w:t>DA00</w:t>
            </w:r>
            <w:r>
              <w:rPr>
                <w:rFonts w:hint="default" w:ascii="Times New Roman" w:hAnsi="Times New Roman" w:cs="Times New Roman"/>
                <w:color w:val="auto"/>
                <w:kern w:val="2"/>
                <w:sz w:val="24"/>
                <w:szCs w:val="24"/>
                <w:lang w:val="en-US" w:eastAsia="zh-CN" w:bidi="ar-SA"/>
              </w:rPr>
              <w:t>1</w:t>
            </w:r>
            <w:r>
              <w:rPr>
                <w:rFonts w:hint="default" w:ascii="Times New Roman" w:hAnsi="Times New Roman" w:cs="Times New Roman"/>
                <w:color w:val="auto"/>
                <w:highlight w:val="none"/>
                <w:lang w:val="en-US" w:eastAsia="zh-CN"/>
              </w:rPr>
              <w:t>）排放；</w:t>
            </w:r>
            <w:r>
              <w:rPr>
                <w:rFonts w:hint="eastAsia" w:cs="宋体"/>
                <w:color w:val="auto"/>
                <w:kern w:val="2"/>
                <w:sz w:val="24"/>
                <w:szCs w:val="24"/>
                <w:lang w:val="en-US" w:eastAsia="zh-CN" w:bidi="ar-SA"/>
              </w:rPr>
              <w:t>切割</w:t>
            </w:r>
            <w:r>
              <w:rPr>
                <w:rFonts w:hint="default" w:ascii="Times New Roman" w:hAnsi="Times New Roman" w:cs="Times New Roman"/>
                <w:color w:val="auto"/>
                <w:highlight w:val="none"/>
                <w:lang w:val="en-US" w:eastAsia="zh-CN"/>
              </w:rPr>
              <w:t>废气通过密闭车间负压收集经二级活性炭吸附装置（TA002）处理达标后通过2</w:t>
            </w:r>
            <w:r>
              <w:rPr>
                <w:rFonts w:hint="eastAsia" w:ascii="Times New Roman" w:hAnsi="Times New Roman" w:cs="Times New Roman"/>
                <w:color w:val="auto"/>
                <w:highlight w:val="none"/>
                <w:lang w:val="en-US" w:eastAsia="zh-CN"/>
              </w:rPr>
              <w:t>0</w:t>
            </w:r>
            <w:r>
              <w:rPr>
                <w:rFonts w:hint="default" w:ascii="Times New Roman" w:hAnsi="Times New Roman" w:cs="Times New Roman"/>
                <w:color w:val="auto"/>
                <w:highlight w:val="none"/>
                <w:lang w:val="en-US" w:eastAsia="zh-CN"/>
              </w:rPr>
              <w:t>m高的排气筒（</w:t>
            </w:r>
            <w:r>
              <w:rPr>
                <w:rFonts w:hint="default" w:ascii="Times New Roman" w:hAnsi="Times New Roman" w:eastAsia="宋体" w:cs="Times New Roman"/>
                <w:color w:val="auto"/>
                <w:kern w:val="2"/>
                <w:sz w:val="24"/>
                <w:szCs w:val="24"/>
                <w:lang w:val="en-US" w:eastAsia="zh-CN" w:bidi="ar-SA"/>
              </w:rPr>
              <w:t>DA00</w:t>
            </w:r>
            <w:r>
              <w:rPr>
                <w:rFonts w:hint="default" w:ascii="Times New Roman" w:hAnsi="Times New Roman" w:cs="Times New Roman"/>
                <w:color w:val="auto"/>
                <w:kern w:val="2"/>
                <w:sz w:val="24"/>
                <w:szCs w:val="24"/>
                <w:lang w:val="en-US" w:eastAsia="zh-CN" w:bidi="ar-SA"/>
              </w:rPr>
              <w:t>2</w:t>
            </w:r>
            <w:r>
              <w:rPr>
                <w:rFonts w:hint="default" w:ascii="Times New Roman" w:hAnsi="Times New Roman" w:cs="Times New Roman"/>
                <w:color w:val="auto"/>
                <w:highlight w:val="none"/>
                <w:lang w:val="en-US" w:eastAsia="zh-CN"/>
              </w:rPr>
              <w:t>）排放；少量未经收集的直接以无组织形式排放。</w:t>
            </w:r>
          </w:p>
          <w:p w14:paraId="28F307D1">
            <w:pPr>
              <w:pStyle w:val="22"/>
              <w:bidi w:val="0"/>
              <w:ind w:firstLine="480" w:firstLineChars="200"/>
              <w:rPr>
                <w:rFonts w:hint="default" w:ascii="Times New Roman" w:hAnsi="Times New Roman"/>
                <w:color w:val="auto"/>
                <w:lang w:val="en-US" w:eastAsia="zh-CN"/>
              </w:rPr>
            </w:pPr>
            <w:r>
              <w:rPr>
                <w:rFonts w:hint="eastAsia" w:ascii="Times New Roman" w:hAnsi="Times New Roman"/>
                <w:color w:val="auto"/>
                <w:highlight w:val="none"/>
                <w:lang w:val="en-US" w:eastAsia="zh-CN"/>
              </w:rPr>
              <w:t>项目</w:t>
            </w:r>
            <w:r>
              <w:rPr>
                <w:rFonts w:hint="eastAsia" w:cs="宋体"/>
                <w:color w:val="auto"/>
                <w:kern w:val="2"/>
                <w:sz w:val="24"/>
                <w:szCs w:val="24"/>
                <w:lang w:val="en-US" w:eastAsia="zh-CN" w:bidi="ar-SA"/>
              </w:rPr>
              <w:t>切割</w:t>
            </w:r>
            <w:r>
              <w:rPr>
                <w:rFonts w:hint="eastAsia" w:ascii="Times New Roman" w:hAnsi="Times New Roman"/>
                <w:color w:val="auto"/>
                <w:highlight w:val="none"/>
                <w:lang w:val="en-US" w:eastAsia="zh-CN"/>
              </w:rPr>
              <w:t>车间废气收集体积约为</w:t>
            </w:r>
            <w:r>
              <w:rPr>
                <w:rFonts w:hint="eastAsia"/>
                <w:color w:val="auto"/>
                <w:highlight w:val="none"/>
                <w:lang w:val="en-US" w:eastAsia="zh-CN"/>
              </w:rPr>
              <w:t>900</w:t>
            </w:r>
            <w:r>
              <w:rPr>
                <w:rFonts w:hint="eastAsia" w:ascii="Times New Roman" w:hAnsi="Times New Roman"/>
                <w:color w:val="auto"/>
                <w:highlight w:val="none"/>
                <w:lang w:val="en-US" w:eastAsia="zh-CN"/>
              </w:rPr>
              <w:t>m</w:t>
            </w:r>
            <w:r>
              <w:rPr>
                <w:rFonts w:hint="eastAsia" w:ascii="Times New Roman" w:hAnsi="Times New Roman"/>
                <w:color w:val="auto"/>
                <w:highlight w:val="none"/>
                <w:vertAlign w:val="superscript"/>
                <w:lang w:val="en-US" w:eastAsia="zh-CN"/>
              </w:rPr>
              <w:t>3</w:t>
            </w:r>
            <w:r>
              <w:rPr>
                <w:rFonts w:hint="eastAsia"/>
                <w:color w:val="auto"/>
                <w:highlight w:val="none"/>
                <w:lang w:val="en-US" w:eastAsia="zh-CN"/>
              </w:rPr>
              <w:t>、</w:t>
            </w:r>
            <w:r>
              <w:rPr>
                <w:rFonts w:hint="eastAsia" w:ascii="Times New Roman" w:hAnsi="Times New Roman"/>
                <w:color w:val="auto"/>
                <w:highlight w:val="none"/>
                <w:lang w:val="en-US" w:eastAsia="zh-CN"/>
              </w:rPr>
              <w:t>擦拭和清洗有机废气车间废气总收集体积约为</w:t>
            </w:r>
            <w:r>
              <w:rPr>
                <w:rFonts w:hint="eastAsia"/>
                <w:color w:val="auto"/>
                <w:highlight w:val="none"/>
                <w:lang w:val="en-US" w:eastAsia="zh-CN"/>
              </w:rPr>
              <w:t>2000</w:t>
            </w:r>
            <w:r>
              <w:rPr>
                <w:rFonts w:hint="eastAsia" w:ascii="Times New Roman" w:hAnsi="Times New Roman"/>
                <w:color w:val="auto"/>
                <w:highlight w:val="none"/>
                <w:lang w:val="en-US" w:eastAsia="zh-CN"/>
              </w:rPr>
              <w:t>m</w:t>
            </w:r>
            <w:r>
              <w:rPr>
                <w:rFonts w:hint="eastAsia" w:ascii="Times New Roman" w:hAnsi="Times New Roman"/>
                <w:color w:val="auto"/>
                <w:highlight w:val="none"/>
                <w:vertAlign w:val="superscript"/>
                <w:lang w:val="en-US" w:eastAsia="zh-CN"/>
              </w:rPr>
              <w:t>3</w:t>
            </w:r>
            <w:r>
              <w:rPr>
                <w:rFonts w:hint="eastAsia" w:ascii="Times New Roman" w:hAnsi="Times New Roman"/>
                <w:color w:val="auto"/>
                <w:highlight w:val="none"/>
                <w:lang w:val="en-US" w:eastAsia="zh-CN"/>
              </w:rPr>
              <w:t>，参照《废气处理工业技术手册》（化学工业出版社）中净化系统要求“工厂中一般作业室换气次数为6次”</w:t>
            </w:r>
            <w:r>
              <w:rPr>
                <w:rFonts w:hint="eastAsia"/>
                <w:color w:val="auto"/>
                <w:highlight w:val="none"/>
                <w:lang w:val="en-US" w:eastAsia="zh-CN"/>
              </w:rPr>
              <w:t>。</w:t>
            </w:r>
            <w:r>
              <w:rPr>
                <w:rFonts w:hint="eastAsia" w:cs="宋体"/>
                <w:color w:val="auto"/>
                <w:kern w:val="2"/>
                <w:sz w:val="24"/>
                <w:szCs w:val="24"/>
                <w:lang w:val="en-US" w:eastAsia="zh-CN" w:bidi="ar-SA"/>
              </w:rPr>
              <w:t>切割</w:t>
            </w:r>
            <w:r>
              <w:rPr>
                <w:rFonts w:hint="eastAsia" w:ascii="Times New Roman" w:hAnsi="Times New Roman"/>
                <w:color w:val="auto"/>
                <w:highlight w:val="none"/>
                <w:lang w:val="en-US" w:eastAsia="zh-CN"/>
              </w:rPr>
              <w:t>车间废气量=</w:t>
            </w:r>
            <w:r>
              <w:rPr>
                <w:rFonts w:hint="eastAsia"/>
                <w:color w:val="auto"/>
                <w:highlight w:val="none"/>
                <w:lang w:val="en-US" w:eastAsia="zh-CN"/>
              </w:rPr>
              <w:t>900</w:t>
            </w:r>
            <w:r>
              <w:rPr>
                <w:rFonts w:hint="eastAsia" w:ascii="Times New Roman" w:hAnsi="Times New Roman"/>
                <w:color w:val="auto"/>
                <w:highlight w:val="none"/>
                <w:lang w:val="en-US" w:eastAsia="zh-CN"/>
              </w:rPr>
              <w:t>×6=</w:t>
            </w:r>
            <w:r>
              <w:rPr>
                <w:rFonts w:hint="eastAsia"/>
                <w:color w:val="auto"/>
                <w:highlight w:val="none"/>
                <w:lang w:val="en-US" w:eastAsia="zh-CN"/>
              </w:rPr>
              <w:t>5400</w:t>
            </w:r>
            <w:r>
              <w:rPr>
                <w:rFonts w:hint="eastAsia" w:ascii="Times New Roman" w:hAnsi="Times New Roman"/>
                <w:color w:val="auto"/>
                <w:highlight w:val="none"/>
                <w:lang w:val="en-US" w:eastAsia="zh-CN"/>
              </w:rPr>
              <w:t>m</w:t>
            </w:r>
            <w:r>
              <w:rPr>
                <w:rFonts w:hint="eastAsia" w:ascii="Times New Roman" w:hAnsi="Times New Roman"/>
                <w:color w:val="auto"/>
                <w:highlight w:val="none"/>
                <w:vertAlign w:val="superscript"/>
                <w:lang w:val="en-US" w:eastAsia="zh-CN"/>
              </w:rPr>
              <w:t>3</w:t>
            </w:r>
            <w:r>
              <w:rPr>
                <w:rFonts w:hint="eastAsia"/>
                <w:color w:val="auto"/>
                <w:highlight w:val="none"/>
                <w:vertAlign w:val="baseline"/>
                <w:lang w:val="en-US" w:eastAsia="zh-CN"/>
              </w:rPr>
              <w:t>，擦拭、清洗车间废气量=2000×6=12000m</w:t>
            </w:r>
            <w:r>
              <w:rPr>
                <w:rFonts w:hint="eastAsia"/>
                <w:color w:val="auto"/>
                <w:highlight w:val="none"/>
                <w:vertAlign w:val="superscript"/>
                <w:lang w:val="en-US" w:eastAsia="zh-CN"/>
              </w:rPr>
              <w:t>3</w:t>
            </w:r>
            <w:r>
              <w:rPr>
                <w:rFonts w:hint="eastAsia" w:ascii="Times New Roman" w:hAnsi="Times New Roman"/>
                <w:color w:val="auto"/>
                <w:highlight w:val="none"/>
                <w:lang w:val="en-US" w:eastAsia="zh-CN"/>
              </w:rPr>
              <w:t>，考虑实际建设过程中风阻损耗等问题，实际风量仅为标定风机风量的80%，则本项目</w:t>
            </w:r>
            <w:r>
              <w:rPr>
                <w:rFonts w:hint="eastAsia" w:cs="宋体"/>
                <w:color w:val="auto"/>
                <w:kern w:val="2"/>
                <w:sz w:val="24"/>
                <w:szCs w:val="24"/>
                <w:lang w:val="en-US" w:eastAsia="zh-CN" w:bidi="ar-SA"/>
              </w:rPr>
              <w:t>切割</w:t>
            </w:r>
            <w:r>
              <w:rPr>
                <w:rFonts w:hint="eastAsia"/>
                <w:color w:val="auto"/>
                <w:highlight w:val="none"/>
                <w:lang w:val="en-US" w:eastAsia="zh-CN"/>
              </w:rPr>
              <w:t>车间</w:t>
            </w:r>
            <w:r>
              <w:rPr>
                <w:rFonts w:hint="eastAsia" w:ascii="Times New Roman" w:hAnsi="Times New Roman"/>
                <w:color w:val="auto"/>
                <w:highlight w:val="none"/>
                <w:lang w:val="en-US" w:eastAsia="zh-CN"/>
              </w:rPr>
              <w:t>所需风机风量为</w:t>
            </w:r>
            <w:r>
              <w:rPr>
                <w:rFonts w:hint="eastAsia"/>
                <w:color w:val="auto"/>
                <w:highlight w:val="none"/>
                <w:lang w:val="en-US" w:eastAsia="zh-CN"/>
              </w:rPr>
              <w:t>5400</w:t>
            </w:r>
            <w:r>
              <w:rPr>
                <w:rFonts w:hint="eastAsia" w:ascii="Times New Roman" w:hAnsi="Times New Roman"/>
                <w:color w:val="auto"/>
                <w:highlight w:val="none"/>
                <w:lang w:val="en-US" w:eastAsia="zh-CN"/>
              </w:rPr>
              <w:t>÷80%=</w:t>
            </w:r>
            <w:r>
              <w:rPr>
                <w:rFonts w:hint="eastAsia"/>
                <w:color w:val="auto"/>
                <w:highlight w:val="none"/>
                <w:lang w:val="en-US" w:eastAsia="zh-CN"/>
              </w:rPr>
              <w:t>6750</w:t>
            </w:r>
            <w:r>
              <w:rPr>
                <w:rFonts w:hint="eastAsia" w:ascii="Times New Roman" w:hAnsi="Times New Roman"/>
                <w:color w:val="auto"/>
                <w:highlight w:val="none"/>
                <w:lang w:val="en-US" w:eastAsia="zh-CN"/>
              </w:rPr>
              <w:t>m</w:t>
            </w:r>
            <w:r>
              <w:rPr>
                <w:rFonts w:hint="eastAsia" w:ascii="Times New Roman" w:hAnsi="Times New Roman"/>
                <w:color w:val="auto"/>
                <w:highlight w:val="none"/>
                <w:vertAlign w:val="superscript"/>
                <w:lang w:val="en-US" w:eastAsia="zh-CN"/>
              </w:rPr>
              <w:t>3</w:t>
            </w:r>
            <w:r>
              <w:rPr>
                <w:rFonts w:hint="eastAsia" w:ascii="Times New Roman" w:hAnsi="Times New Roman"/>
                <w:color w:val="auto"/>
                <w:highlight w:val="none"/>
                <w:vertAlign w:val="baseline"/>
                <w:lang w:val="en-US" w:eastAsia="zh-CN"/>
              </w:rPr>
              <w:t>＜10000</w:t>
            </w:r>
            <w:r>
              <w:rPr>
                <w:rFonts w:hint="eastAsia" w:ascii="Times New Roman" w:hAnsi="Times New Roman"/>
                <w:color w:val="auto"/>
                <w:highlight w:val="none"/>
                <w:lang w:val="en-US" w:eastAsia="zh-CN"/>
              </w:rPr>
              <w:t>m</w:t>
            </w:r>
            <w:r>
              <w:rPr>
                <w:rFonts w:hint="eastAsia" w:ascii="Times New Roman" w:hAnsi="Times New Roman"/>
                <w:color w:val="auto"/>
                <w:highlight w:val="none"/>
                <w:vertAlign w:val="superscript"/>
                <w:lang w:val="en-US" w:eastAsia="zh-CN"/>
              </w:rPr>
              <w:t>3</w:t>
            </w:r>
            <w:r>
              <w:rPr>
                <w:rFonts w:hint="eastAsia"/>
                <w:color w:val="auto"/>
                <w:highlight w:val="none"/>
                <w:vertAlign w:val="baseline"/>
                <w:lang w:val="en-US" w:eastAsia="zh-CN"/>
              </w:rPr>
              <w:t>，擦拭清洗车间所需风机风量为12000÷80%=15000m</w:t>
            </w:r>
            <w:r>
              <w:rPr>
                <w:rFonts w:hint="eastAsia"/>
                <w:color w:val="auto"/>
                <w:highlight w:val="none"/>
                <w:vertAlign w:val="superscript"/>
                <w:lang w:val="en-US" w:eastAsia="zh-CN"/>
              </w:rPr>
              <w:t>3</w:t>
            </w:r>
            <w:r>
              <w:rPr>
                <w:rFonts w:hint="eastAsia"/>
                <w:color w:val="auto"/>
                <w:highlight w:val="none"/>
                <w:vertAlign w:val="baseline"/>
                <w:lang w:val="en-US" w:eastAsia="zh-CN"/>
              </w:rPr>
              <w:t>＜20000m</w:t>
            </w:r>
            <w:r>
              <w:rPr>
                <w:rFonts w:hint="eastAsia"/>
                <w:color w:val="auto"/>
                <w:highlight w:val="none"/>
                <w:vertAlign w:val="superscript"/>
                <w:lang w:val="en-US" w:eastAsia="zh-CN"/>
              </w:rPr>
              <w:t>3</w:t>
            </w:r>
            <w:r>
              <w:rPr>
                <w:rFonts w:hint="eastAsia" w:ascii="Times New Roman" w:hAnsi="Times New Roman"/>
                <w:color w:val="auto"/>
                <w:highlight w:val="none"/>
                <w:lang w:val="en-US" w:eastAsia="zh-CN"/>
              </w:rPr>
              <w:t>，本评价建议采用</w:t>
            </w:r>
            <w:r>
              <w:rPr>
                <w:rFonts w:hint="eastAsia" w:cs="宋体"/>
                <w:color w:val="auto"/>
                <w:kern w:val="2"/>
                <w:sz w:val="24"/>
                <w:szCs w:val="24"/>
                <w:lang w:val="en-US" w:eastAsia="zh-CN" w:bidi="ar-SA"/>
              </w:rPr>
              <w:t>切割</w:t>
            </w:r>
            <w:r>
              <w:rPr>
                <w:rFonts w:hint="eastAsia"/>
                <w:color w:val="auto"/>
                <w:lang w:val="en-US" w:eastAsia="zh-CN"/>
              </w:rPr>
              <w:t>车间使用一台风机</w:t>
            </w:r>
            <w:r>
              <w:rPr>
                <w:rFonts w:hint="eastAsia" w:ascii="Times New Roman" w:hAnsi="Times New Roman"/>
                <w:color w:val="auto"/>
                <w:highlight w:val="none"/>
                <w:lang w:val="en-US" w:eastAsia="zh-CN"/>
              </w:rPr>
              <w:t>风量为10000m</w:t>
            </w:r>
            <w:r>
              <w:rPr>
                <w:rFonts w:hint="eastAsia" w:ascii="Times New Roman" w:hAnsi="Times New Roman"/>
                <w:color w:val="auto"/>
                <w:highlight w:val="none"/>
                <w:vertAlign w:val="superscript"/>
                <w:lang w:val="en-US" w:eastAsia="zh-CN"/>
              </w:rPr>
              <w:t>3</w:t>
            </w:r>
            <w:r>
              <w:rPr>
                <w:rFonts w:hint="eastAsia" w:ascii="Times New Roman" w:hAnsi="Times New Roman"/>
                <w:color w:val="auto"/>
                <w:highlight w:val="none"/>
                <w:lang w:val="en-US" w:eastAsia="zh-CN"/>
              </w:rPr>
              <w:t>/h</w:t>
            </w:r>
            <w:r>
              <w:rPr>
                <w:rFonts w:hint="eastAsia"/>
                <w:color w:val="auto"/>
                <w:highlight w:val="none"/>
                <w:lang w:val="en-US" w:eastAsia="zh-CN"/>
              </w:rPr>
              <w:t>的风机，擦拭、清洗车间共用一台风机风量为20000m</w:t>
            </w:r>
            <w:r>
              <w:rPr>
                <w:rFonts w:hint="eastAsia"/>
                <w:color w:val="auto"/>
                <w:highlight w:val="none"/>
                <w:vertAlign w:val="superscript"/>
                <w:lang w:val="en-US" w:eastAsia="zh-CN"/>
              </w:rPr>
              <w:t>3</w:t>
            </w:r>
            <w:r>
              <w:rPr>
                <w:rFonts w:hint="eastAsia"/>
                <w:color w:val="auto"/>
                <w:highlight w:val="none"/>
                <w:lang w:val="en-US" w:eastAsia="zh-CN"/>
              </w:rPr>
              <w:t>/h的风机</w:t>
            </w:r>
            <w:r>
              <w:rPr>
                <w:rFonts w:hint="eastAsia" w:ascii="Times New Roman" w:hAnsi="Times New Roman"/>
                <w:color w:val="auto"/>
                <w:highlight w:val="none"/>
                <w:lang w:val="en-US" w:eastAsia="zh-CN"/>
              </w:rPr>
              <w:t>。</w:t>
            </w:r>
          </w:p>
        </w:tc>
      </w:tr>
    </w:tbl>
    <w:p w14:paraId="6BB6EFD1">
      <w:pPr>
        <w:pStyle w:val="5"/>
        <w:bidi w:val="0"/>
        <w:jc w:val="both"/>
        <w:rPr>
          <w:rFonts w:hint="eastAsia" w:ascii="Times New Roman" w:hAnsi="Times New Roman"/>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18"/>
        <w:tblW w:w="152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666"/>
      </w:tblGrid>
      <w:tr w14:paraId="19E95B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10" w:hRule="atLeast"/>
          <w:jc w:val="center"/>
        </w:trPr>
        <w:tc>
          <w:tcPr>
            <w:tcW w:w="534" w:type="dxa"/>
            <w:noWrap w:val="0"/>
            <w:tcMar>
              <w:left w:w="28" w:type="dxa"/>
              <w:right w:w="28" w:type="dxa"/>
            </w:tcMar>
            <w:vAlign w:val="center"/>
          </w:tcPr>
          <w:p w14:paraId="03A29517">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运营</w:t>
            </w:r>
          </w:p>
          <w:p w14:paraId="1BACCAF9">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期环</w:t>
            </w:r>
          </w:p>
          <w:p w14:paraId="4964C62D">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境影</w:t>
            </w:r>
          </w:p>
          <w:p w14:paraId="5BFFA208">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响和</w:t>
            </w:r>
          </w:p>
          <w:p w14:paraId="2A5B0E61">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保护</w:t>
            </w:r>
          </w:p>
          <w:p w14:paraId="61E680E7">
            <w:pPr>
              <w:adjustRightInd w:val="0"/>
              <w:snapToGrid w:val="0"/>
              <w:jc w:val="both"/>
              <w:rPr>
                <w:rFonts w:ascii="Times New Roman" w:hAnsi="Times New Roman" w:eastAsia="宋体" w:cs="宋体"/>
                <w:bCs/>
                <w:color w:val="auto"/>
                <w:szCs w:val="21"/>
              </w:rPr>
            </w:pPr>
            <w:r>
              <w:rPr>
                <w:rFonts w:hint="eastAsia" w:ascii="Times New Roman" w:hAnsi="Times New Roman" w:cs="宋体"/>
                <w:color w:val="auto"/>
                <w:sz w:val="24"/>
                <w:szCs w:val="24"/>
              </w:rPr>
              <w:t>措施</w:t>
            </w:r>
          </w:p>
        </w:tc>
        <w:tc>
          <w:tcPr>
            <w:tcW w:w="14666" w:type="dxa"/>
            <w:noWrap w:val="0"/>
            <w:vAlign w:val="top"/>
          </w:tcPr>
          <w:p w14:paraId="4D39E960">
            <w:pPr>
              <w:pStyle w:val="27"/>
              <w:bidi w:val="0"/>
              <w:ind w:firstLine="482" w:firstLineChars="200"/>
              <w:rPr>
                <w:rFonts w:hint="eastAsia" w:ascii="Times New Roman" w:hAnsi="Times New Roman"/>
                <w:color w:val="auto"/>
                <w:lang w:val="en-US" w:eastAsia="zh-CN"/>
              </w:rPr>
            </w:pPr>
            <w:r>
              <w:rPr>
                <w:rFonts w:hint="eastAsia" w:ascii="Times New Roman" w:hAnsi="Times New Roman"/>
                <w:color w:val="auto"/>
                <w:lang w:val="en-US" w:eastAsia="zh-CN"/>
              </w:rPr>
              <w:t>表4.2-1</w:t>
            </w:r>
            <w:r>
              <w:rPr>
                <w:rFonts w:hint="eastAsia"/>
                <w:color w:val="auto"/>
                <w:lang w:val="en-US" w:eastAsia="zh-CN"/>
              </w:rPr>
              <w:t xml:space="preserve">  </w:t>
            </w:r>
            <w:r>
              <w:rPr>
                <w:rFonts w:hint="eastAsia" w:ascii="Times New Roman" w:hAnsi="Times New Roman"/>
                <w:color w:val="auto"/>
                <w:lang w:val="en-US" w:eastAsia="zh-CN"/>
              </w:rPr>
              <w:t>本项目废气产排情况一览表</w:t>
            </w:r>
          </w:p>
          <w:tbl>
            <w:tblPr>
              <w:tblStyle w:val="18"/>
              <w:tblW w:w="14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98"/>
              <w:gridCol w:w="915"/>
              <w:gridCol w:w="870"/>
              <w:gridCol w:w="870"/>
              <w:gridCol w:w="870"/>
              <w:gridCol w:w="585"/>
              <w:gridCol w:w="885"/>
              <w:gridCol w:w="630"/>
              <w:gridCol w:w="690"/>
              <w:gridCol w:w="897"/>
              <w:gridCol w:w="865"/>
              <w:gridCol w:w="879"/>
              <w:gridCol w:w="721"/>
              <w:gridCol w:w="867"/>
              <w:gridCol w:w="692"/>
              <w:gridCol w:w="848"/>
              <w:gridCol w:w="6"/>
              <w:gridCol w:w="495"/>
              <w:gridCol w:w="3"/>
              <w:gridCol w:w="548"/>
              <w:gridCol w:w="4"/>
              <w:gridCol w:w="575"/>
            </w:tblGrid>
            <w:tr w14:paraId="34C29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87" w:hRule="atLeast"/>
                <w:jc w:val="center"/>
              </w:trPr>
              <w:tc>
                <w:tcPr>
                  <w:tcW w:w="898" w:type="dxa"/>
                  <w:vMerge w:val="restart"/>
                  <w:tcBorders>
                    <w:tl2br w:val="nil"/>
                    <w:tr2bl w:val="nil"/>
                  </w:tcBorders>
                  <w:noWrap w:val="0"/>
                  <w:vAlign w:val="center"/>
                </w:tcPr>
                <w:p w14:paraId="676C90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产污环节</w:t>
                  </w:r>
                </w:p>
              </w:tc>
              <w:tc>
                <w:tcPr>
                  <w:tcW w:w="915" w:type="dxa"/>
                  <w:vMerge w:val="restart"/>
                  <w:tcBorders>
                    <w:tl2br w:val="nil"/>
                    <w:tr2bl w:val="nil"/>
                  </w:tcBorders>
                  <w:noWrap w:val="0"/>
                  <w:vAlign w:val="center"/>
                </w:tcPr>
                <w:p w14:paraId="33FE8D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污染物</w:t>
                  </w:r>
                </w:p>
              </w:tc>
              <w:tc>
                <w:tcPr>
                  <w:tcW w:w="1740" w:type="dxa"/>
                  <w:gridSpan w:val="2"/>
                  <w:tcBorders>
                    <w:tl2br w:val="nil"/>
                    <w:tr2bl w:val="nil"/>
                  </w:tcBorders>
                  <w:noWrap w:val="0"/>
                  <w:vAlign w:val="center"/>
                </w:tcPr>
                <w:p w14:paraId="1CBC7F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产生源强</w:t>
                  </w:r>
                </w:p>
              </w:tc>
              <w:tc>
                <w:tcPr>
                  <w:tcW w:w="870" w:type="dxa"/>
                  <w:vMerge w:val="restart"/>
                  <w:tcBorders>
                    <w:tl2br w:val="nil"/>
                    <w:tr2bl w:val="nil"/>
                  </w:tcBorders>
                  <w:noWrap w:val="0"/>
                  <w:tcMar>
                    <w:top w:w="0" w:type="dxa"/>
                    <w:left w:w="28" w:type="dxa"/>
                    <w:bottom w:w="0" w:type="dxa"/>
                    <w:right w:w="28" w:type="dxa"/>
                  </w:tcMar>
                  <w:vAlign w:val="center"/>
                </w:tcPr>
                <w:p w14:paraId="0B0DA0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收集措施</w:t>
                  </w:r>
                </w:p>
              </w:tc>
              <w:tc>
                <w:tcPr>
                  <w:tcW w:w="585" w:type="dxa"/>
                  <w:vMerge w:val="restart"/>
                  <w:tcBorders>
                    <w:tl2br w:val="nil"/>
                    <w:tr2bl w:val="nil"/>
                  </w:tcBorders>
                  <w:noWrap w:val="0"/>
                  <w:tcMar>
                    <w:top w:w="0" w:type="dxa"/>
                    <w:left w:w="28" w:type="dxa"/>
                    <w:bottom w:w="0" w:type="dxa"/>
                    <w:right w:w="28" w:type="dxa"/>
                  </w:tcMar>
                  <w:vAlign w:val="center"/>
                </w:tcPr>
                <w:p w14:paraId="370E8F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收集效率%</w:t>
                  </w:r>
                </w:p>
              </w:tc>
              <w:tc>
                <w:tcPr>
                  <w:tcW w:w="885" w:type="dxa"/>
                  <w:vMerge w:val="restart"/>
                  <w:tcBorders>
                    <w:tl2br w:val="nil"/>
                    <w:tr2bl w:val="nil"/>
                  </w:tcBorders>
                  <w:noWrap w:val="0"/>
                  <w:tcMar>
                    <w:top w:w="0" w:type="dxa"/>
                    <w:left w:w="28" w:type="dxa"/>
                    <w:bottom w:w="0" w:type="dxa"/>
                    <w:right w:w="28" w:type="dxa"/>
                  </w:tcMar>
                  <w:vAlign w:val="center"/>
                </w:tcPr>
                <w:p w14:paraId="2DC38E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治理措施</w:t>
                  </w:r>
                </w:p>
              </w:tc>
              <w:tc>
                <w:tcPr>
                  <w:tcW w:w="630" w:type="dxa"/>
                  <w:vMerge w:val="restart"/>
                  <w:tcBorders>
                    <w:tl2br w:val="nil"/>
                    <w:tr2bl w:val="nil"/>
                  </w:tcBorders>
                  <w:noWrap w:val="0"/>
                  <w:tcMar>
                    <w:top w:w="0" w:type="dxa"/>
                    <w:left w:w="28" w:type="dxa"/>
                    <w:bottom w:w="0" w:type="dxa"/>
                    <w:right w:w="28" w:type="dxa"/>
                  </w:tcMar>
                  <w:vAlign w:val="center"/>
                </w:tcPr>
                <w:p w14:paraId="722DBE07">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处理效率</w:t>
                  </w:r>
                </w:p>
                <w:p w14:paraId="4513690C">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w:t>
                  </w:r>
                </w:p>
              </w:tc>
              <w:tc>
                <w:tcPr>
                  <w:tcW w:w="690" w:type="dxa"/>
                  <w:vMerge w:val="restart"/>
                  <w:tcBorders>
                    <w:tl2br w:val="nil"/>
                    <w:tr2bl w:val="nil"/>
                  </w:tcBorders>
                  <w:noWrap w:val="0"/>
                  <w:vAlign w:val="center"/>
                </w:tcPr>
                <w:p w14:paraId="3DF9F6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措施技术是否可行</w:t>
                  </w:r>
                </w:p>
              </w:tc>
              <w:tc>
                <w:tcPr>
                  <w:tcW w:w="897" w:type="dxa"/>
                  <w:vMerge w:val="restart"/>
                  <w:tcBorders>
                    <w:tl2br w:val="nil"/>
                    <w:tr2bl w:val="nil"/>
                  </w:tcBorders>
                  <w:noWrap w:val="0"/>
                  <w:tcMar>
                    <w:top w:w="0" w:type="dxa"/>
                    <w:left w:w="28" w:type="dxa"/>
                    <w:bottom w:w="0" w:type="dxa"/>
                    <w:right w:w="28" w:type="dxa"/>
                  </w:tcMar>
                  <w:vAlign w:val="center"/>
                </w:tcPr>
                <w:p w14:paraId="6A9D57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排放形式</w:t>
                  </w:r>
                </w:p>
              </w:tc>
              <w:tc>
                <w:tcPr>
                  <w:tcW w:w="3332" w:type="dxa"/>
                  <w:gridSpan w:val="4"/>
                  <w:tcBorders>
                    <w:tl2br w:val="nil"/>
                    <w:tr2bl w:val="nil"/>
                  </w:tcBorders>
                  <w:noWrap w:val="0"/>
                  <w:tcMar>
                    <w:top w:w="0" w:type="dxa"/>
                    <w:left w:w="28" w:type="dxa"/>
                    <w:bottom w:w="0" w:type="dxa"/>
                    <w:right w:w="28" w:type="dxa"/>
                  </w:tcMar>
                  <w:vAlign w:val="center"/>
                </w:tcPr>
                <w:p w14:paraId="419A01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排放源强</w:t>
                  </w:r>
                </w:p>
              </w:tc>
              <w:tc>
                <w:tcPr>
                  <w:tcW w:w="692" w:type="dxa"/>
                  <w:vMerge w:val="restart"/>
                  <w:tcBorders>
                    <w:tl2br w:val="nil"/>
                    <w:tr2bl w:val="nil"/>
                  </w:tcBorders>
                  <w:noWrap w:val="0"/>
                  <w:vAlign w:val="center"/>
                </w:tcPr>
                <w:p w14:paraId="1589C4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年排放时间</w:t>
                  </w:r>
                  <w:r>
                    <w:rPr>
                      <w:rFonts w:ascii="Times New Roman" w:hAnsi="Times New Roman" w:eastAsia="宋体" w:cs="Times New Roman"/>
                      <w:b/>
                      <w:bCs/>
                      <w:color w:val="auto"/>
                      <w:kern w:val="0"/>
                      <w:sz w:val="21"/>
                      <w:szCs w:val="20"/>
                      <w:lang w:val="en-US" w:eastAsia="zh-CN" w:bidi="ar-SA"/>
                    </w:rPr>
                    <w:t>h/a</w:t>
                  </w:r>
                </w:p>
              </w:tc>
              <w:tc>
                <w:tcPr>
                  <w:tcW w:w="2479" w:type="dxa"/>
                  <w:gridSpan w:val="7"/>
                  <w:tcBorders>
                    <w:tl2br w:val="nil"/>
                    <w:tr2bl w:val="nil"/>
                  </w:tcBorders>
                  <w:noWrap w:val="0"/>
                  <w:vAlign w:val="center"/>
                </w:tcPr>
                <w:p w14:paraId="62FA0F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排气筒概况</w:t>
                  </w:r>
                </w:p>
              </w:tc>
            </w:tr>
            <w:tr w14:paraId="38F0E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898" w:type="dxa"/>
                  <w:vMerge w:val="continue"/>
                  <w:tcBorders>
                    <w:tl2br w:val="nil"/>
                    <w:tr2bl w:val="nil"/>
                  </w:tcBorders>
                  <w:noWrap w:val="0"/>
                  <w:vAlign w:val="center"/>
                </w:tcPr>
                <w:p w14:paraId="3CF644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915" w:type="dxa"/>
                  <w:vMerge w:val="continue"/>
                  <w:tcBorders>
                    <w:tl2br w:val="nil"/>
                    <w:tr2bl w:val="nil"/>
                  </w:tcBorders>
                  <w:noWrap w:val="0"/>
                  <w:vAlign w:val="center"/>
                </w:tcPr>
                <w:p w14:paraId="309D45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870" w:type="dxa"/>
                  <w:tcBorders>
                    <w:tl2br w:val="nil"/>
                    <w:tr2bl w:val="nil"/>
                  </w:tcBorders>
                  <w:noWrap w:val="0"/>
                  <w:vAlign w:val="center"/>
                </w:tcPr>
                <w:p w14:paraId="66618E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主要污染物产生量</w:t>
                  </w:r>
                  <w:r>
                    <w:rPr>
                      <w:rFonts w:ascii="Times New Roman" w:hAnsi="Times New Roman" w:eastAsia="宋体" w:cs="Times New Roman"/>
                      <w:b/>
                      <w:bCs/>
                      <w:color w:val="auto"/>
                      <w:kern w:val="0"/>
                      <w:sz w:val="21"/>
                      <w:szCs w:val="20"/>
                      <w:lang w:val="en-US" w:eastAsia="zh-CN" w:bidi="ar-SA"/>
                    </w:rPr>
                    <w:t>t/a</w:t>
                  </w:r>
                </w:p>
              </w:tc>
              <w:tc>
                <w:tcPr>
                  <w:tcW w:w="870" w:type="dxa"/>
                  <w:tcBorders>
                    <w:tl2br w:val="nil"/>
                    <w:tr2bl w:val="nil"/>
                  </w:tcBorders>
                  <w:noWrap w:val="0"/>
                  <w:vAlign w:val="center"/>
                </w:tcPr>
                <w:p w14:paraId="16E6CB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主要污染物产生速率</w:t>
                  </w:r>
                  <w:r>
                    <w:rPr>
                      <w:rFonts w:ascii="Times New Roman" w:hAnsi="Times New Roman" w:eastAsia="宋体" w:cs="Times New Roman"/>
                      <w:b/>
                      <w:bCs/>
                      <w:color w:val="auto"/>
                      <w:kern w:val="0"/>
                      <w:sz w:val="21"/>
                      <w:szCs w:val="20"/>
                      <w:lang w:val="en-US" w:eastAsia="zh-CN" w:bidi="ar-SA"/>
                    </w:rPr>
                    <w:t>kg/h</w:t>
                  </w:r>
                </w:p>
              </w:tc>
              <w:tc>
                <w:tcPr>
                  <w:tcW w:w="870" w:type="dxa"/>
                  <w:vMerge w:val="continue"/>
                  <w:tcBorders>
                    <w:tl2br w:val="nil"/>
                    <w:tr2bl w:val="nil"/>
                  </w:tcBorders>
                  <w:noWrap w:val="0"/>
                  <w:vAlign w:val="center"/>
                </w:tcPr>
                <w:p w14:paraId="72C00C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p>
              </w:tc>
              <w:tc>
                <w:tcPr>
                  <w:tcW w:w="585" w:type="dxa"/>
                  <w:vMerge w:val="continue"/>
                  <w:tcBorders>
                    <w:tl2br w:val="nil"/>
                    <w:tr2bl w:val="nil"/>
                  </w:tcBorders>
                  <w:noWrap w:val="0"/>
                  <w:vAlign w:val="center"/>
                </w:tcPr>
                <w:p w14:paraId="2027FF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p>
              </w:tc>
              <w:tc>
                <w:tcPr>
                  <w:tcW w:w="885" w:type="dxa"/>
                  <w:vMerge w:val="continue"/>
                  <w:tcBorders>
                    <w:tl2br w:val="nil"/>
                    <w:tr2bl w:val="nil"/>
                  </w:tcBorders>
                  <w:noWrap w:val="0"/>
                  <w:vAlign w:val="center"/>
                </w:tcPr>
                <w:p w14:paraId="199ABE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p>
              </w:tc>
              <w:tc>
                <w:tcPr>
                  <w:tcW w:w="630" w:type="dxa"/>
                  <w:vMerge w:val="continue"/>
                  <w:tcBorders>
                    <w:tl2br w:val="nil"/>
                    <w:tr2bl w:val="nil"/>
                  </w:tcBorders>
                  <w:noWrap w:val="0"/>
                  <w:vAlign w:val="center"/>
                </w:tcPr>
                <w:p w14:paraId="30B8DD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p>
              </w:tc>
              <w:tc>
                <w:tcPr>
                  <w:tcW w:w="690" w:type="dxa"/>
                  <w:vMerge w:val="continue"/>
                  <w:tcBorders>
                    <w:tl2br w:val="nil"/>
                    <w:tr2bl w:val="nil"/>
                  </w:tcBorders>
                  <w:noWrap w:val="0"/>
                  <w:vAlign w:val="center"/>
                </w:tcPr>
                <w:p w14:paraId="33BF21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p>
              </w:tc>
              <w:tc>
                <w:tcPr>
                  <w:tcW w:w="897" w:type="dxa"/>
                  <w:vMerge w:val="continue"/>
                  <w:tcBorders>
                    <w:tl2br w:val="nil"/>
                    <w:tr2bl w:val="nil"/>
                  </w:tcBorders>
                  <w:noWrap w:val="0"/>
                  <w:vAlign w:val="center"/>
                </w:tcPr>
                <w:p w14:paraId="69A1A3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p>
              </w:tc>
              <w:tc>
                <w:tcPr>
                  <w:tcW w:w="865" w:type="dxa"/>
                  <w:tcBorders>
                    <w:tl2br w:val="nil"/>
                    <w:tr2bl w:val="nil"/>
                  </w:tcBorders>
                  <w:noWrap w:val="0"/>
                  <w:vAlign w:val="center"/>
                </w:tcPr>
                <w:p w14:paraId="764E37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主要污染物排放量t/a</w:t>
                  </w:r>
                </w:p>
              </w:tc>
              <w:tc>
                <w:tcPr>
                  <w:tcW w:w="879" w:type="dxa"/>
                  <w:tcBorders>
                    <w:tl2br w:val="nil"/>
                    <w:tr2bl w:val="nil"/>
                  </w:tcBorders>
                  <w:noWrap w:val="0"/>
                  <w:tcMar>
                    <w:top w:w="0" w:type="dxa"/>
                    <w:left w:w="28" w:type="dxa"/>
                    <w:bottom w:w="0" w:type="dxa"/>
                    <w:right w:w="28" w:type="dxa"/>
                  </w:tcMar>
                  <w:vAlign w:val="center"/>
                </w:tcPr>
                <w:p w14:paraId="07DE42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污染物排放速率kg/h</w:t>
                  </w:r>
                </w:p>
              </w:tc>
              <w:tc>
                <w:tcPr>
                  <w:tcW w:w="721" w:type="dxa"/>
                  <w:tcBorders>
                    <w:tl2br w:val="nil"/>
                    <w:tr2bl w:val="nil"/>
                  </w:tcBorders>
                  <w:noWrap w:val="0"/>
                  <w:tcMar>
                    <w:top w:w="0" w:type="dxa"/>
                    <w:left w:w="28" w:type="dxa"/>
                    <w:bottom w:w="0" w:type="dxa"/>
                    <w:right w:w="28" w:type="dxa"/>
                  </w:tcMar>
                  <w:vAlign w:val="center"/>
                </w:tcPr>
                <w:p w14:paraId="49B87C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排气量m</w:t>
                  </w:r>
                  <w:r>
                    <w:rPr>
                      <w:rFonts w:hint="eastAsia" w:ascii="Times New Roman" w:hAnsi="Times New Roman" w:eastAsia="宋体" w:cs="Times New Roman"/>
                      <w:b/>
                      <w:bCs/>
                      <w:color w:val="auto"/>
                      <w:kern w:val="0"/>
                      <w:sz w:val="21"/>
                      <w:szCs w:val="20"/>
                      <w:vertAlign w:val="superscript"/>
                      <w:lang w:val="en-US" w:eastAsia="zh-CN" w:bidi="ar-SA"/>
                    </w:rPr>
                    <w:t>3</w:t>
                  </w:r>
                  <w:r>
                    <w:rPr>
                      <w:rFonts w:hint="eastAsia" w:ascii="Times New Roman" w:hAnsi="Times New Roman" w:eastAsia="宋体" w:cs="Times New Roman"/>
                      <w:b/>
                      <w:bCs/>
                      <w:color w:val="auto"/>
                      <w:kern w:val="0"/>
                      <w:sz w:val="21"/>
                      <w:szCs w:val="20"/>
                      <w:lang w:val="en-US" w:eastAsia="zh-CN" w:bidi="ar-SA"/>
                    </w:rPr>
                    <w:t>/h</w:t>
                  </w:r>
                </w:p>
              </w:tc>
              <w:tc>
                <w:tcPr>
                  <w:tcW w:w="867" w:type="dxa"/>
                  <w:tcBorders>
                    <w:tl2br w:val="nil"/>
                    <w:tr2bl w:val="nil"/>
                  </w:tcBorders>
                  <w:noWrap w:val="0"/>
                  <w:tcMar>
                    <w:top w:w="0" w:type="dxa"/>
                    <w:left w:w="28" w:type="dxa"/>
                    <w:bottom w:w="0" w:type="dxa"/>
                    <w:right w:w="28" w:type="dxa"/>
                  </w:tcMar>
                  <w:vAlign w:val="center"/>
                </w:tcPr>
                <w:p w14:paraId="072019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污染物排放浓度</w:t>
                  </w:r>
                  <w:r>
                    <w:rPr>
                      <w:rFonts w:ascii="Times New Roman" w:hAnsi="Times New Roman" w:eastAsia="宋体" w:cs="Times New Roman"/>
                      <w:b/>
                      <w:bCs/>
                      <w:color w:val="auto"/>
                      <w:kern w:val="0"/>
                      <w:sz w:val="21"/>
                      <w:szCs w:val="20"/>
                      <w:lang w:val="en-US" w:eastAsia="zh-CN" w:bidi="ar-SA"/>
                    </w:rPr>
                    <w:t>mg/m</w:t>
                  </w:r>
                  <w:r>
                    <w:rPr>
                      <w:rFonts w:ascii="Times New Roman" w:hAnsi="Times New Roman" w:eastAsia="宋体" w:cs="Times New Roman"/>
                      <w:b/>
                      <w:bCs/>
                      <w:color w:val="auto"/>
                      <w:kern w:val="0"/>
                      <w:sz w:val="21"/>
                      <w:szCs w:val="20"/>
                      <w:vertAlign w:val="superscript"/>
                      <w:lang w:val="en-US" w:eastAsia="zh-CN" w:bidi="ar-SA"/>
                    </w:rPr>
                    <w:t>3</w:t>
                  </w:r>
                </w:p>
              </w:tc>
              <w:tc>
                <w:tcPr>
                  <w:tcW w:w="692" w:type="dxa"/>
                  <w:vMerge w:val="continue"/>
                  <w:tcBorders>
                    <w:tl2br w:val="nil"/>
                    <w:tr2bl w:val="nil"/>
                  </w:tcBorders>
                  <w:noWrap w:val="0"/>
                  <w:tcMar>
                    <w:top w:w="0" w:type="dxa"/>
                    <w:left w:w="28" w:type="dxa"/>
                    <w:bottom w:w="0" w:type="dxa"/>
                    <w:right w:w="28" w:type="dxa"/>
                  </w:tcMar>
                  <w:vAlign w:val="center"/>
                </w:tcPr>
                <w:p w14:paraId="08827D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848" w:type="dxa"/>
                  <w:tcBorders>
                    <w:tl2br w:val="nil"/>
                    <w:tr2bl w:val="nil"/>
                  </w:tcBorders>
                  <w:noWrap w:val="0"/>
                  <w:tcMar>
                    <w:top w:w="0" w:type="dxa"/>
                    <w:left w:w="28" w:type="dxa"/>
                    <w:bottom w:w="0" w:type="dxa"/>
                    <w:right w:w="28" w:type="dxa"/>
                  </w:tcMar>
                  <w:vAlign w:val="center"/>
                </w:tcPr>
                <w:p w14:paraId="279289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编号及名称</w:t>
                  </w:r>
                </w:p>
              </w:tc>
              <w:tc>
                <w:tcPr>
                  <w:tcW w:w="504" w:type="dxa"/>
                  <w:gridSpan w:val="3"/>
                  <w:tcBorders>
                    <w:tl2br w:val="nil"/>
                    <w:tr2bl w:val="nil"/>
                  </w:tcBorders>
                  <w:noWrap w:val="0"/>
                  <w:tcMar>
                    <w:top w:w="0" w:type="dxa"/>
                    <w:left w:w="28" w:type="dxa"/>
                    <w:bottom w:w="0" w:type="dxa"/>
                    <w:right w:w="28" w:type="dxa"/>
                  </w:tcMar>
                  <w:vAlign w:val="center"/>
                </w:tcPr>
                <w:p w14:paraId="690325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高度</w:t>
                  </w:r>
                  <w:r>
                    <w:rPr>
                      <w:rFonts w:ascii="Times New Roman" w:hAnsi="Times New Roman" w:eastAsia="宋体" w:cs="Times New Roman"/>
                      <w:b/>
                      <w:bCs/>
                      <w:color w:val="auto"/>
                      <w:kern w:val="0"/>
                      <w:sz w:val="21"/>
                      <w:szCs w:val="20"/>
                      <w:lang w:val="en-US" w:eastAsia="zh-CN" w:bidi="ar-SA"/>
                    </w:rPr>
                    <w:t>m</w:t>
                  </w:r>
                </w:p>
              </w:tc>
              <w:tc>
                <w:tcPr>
                  <w:tcW w:w="548" w:type="dxa"/>
                  <w:tcBorders>
                    <w:tl2br w:val="nil"/>
                    <w:tr2bl w:val="nil"/>
                  </w:tcBorders>
                  <w:noWrap w:val="0"/>
                  <w:tcMar>
                    <w:top w:w="0" w:type="dxa"/>
                    <w:left w:w="28" w:type="dxa"/>
                    <w:bottom w:w="0" w:type="dxa"/>
                    <w:right w:w="28" w:type="dxa"/>
                  </w:tcMar>
                  <w:vAlign w:val="center"/>
                </w:tcPr>
                <w:p w14:paraId="7BDA94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内径</w:t>
                  </w:r>
                  <w:r>
                    <w:rPr>
                      <w:rFonts w:ascii="Times New Roman" w:hAnsi="Times New Roman" w:eastAsia="宋体" w:cs="Times New Roman"/>
                      <w:b/>
                      <w:bCs/>
                      <w:color w:val="auto"/>
                      <w:kern w:val="0"/>
                      <w:sz w:val="21"/>
                      <w:szCs w:val="20"/>
                      <w:lang w:val="en-US" w:eastAsia="zh-CN" w:bidi="ar-SA"/>
                    </w:rPr>
                    <w:t>m</w:t>
                  </w:r>
                </w:p>
              </w:tc>
              <w:tc>
                <w:tcPr>
                  <w:tcW w:w="579" w:type="dxa"/>
                  <w:gridSpan w:val="2"/>
                  <w:tcBorders>
                    <w:tl2br w:val="nil"/>
                    <w:tr2bl w:val="nil"/>
                  </w:tcBorders>
                  <w:noWrap w:val="0"/>
                  <w:tcMar>
                    <w:top w:w="0" w:type="dxa"/>
                    <w:left w:w="28" w:type="dxa"/>
                    <w:bottom w:w="0" w:type="dxa"/>
                    <w:right w:w="28" w:type="dxa"/>
                  </w:tcMar>
                  <w:vAlign w:val="center"/>
                </w:tcPr>
                <w:p w14:paraId="05B5B8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温度</w:t>
                  </w:r>
                  <w:r>
                    <w:rPr>
                      <w:rFonts w:hint="default" w:ascii="Times New Roman" w:hAnsi="Times New Roman" w:eastAsia="宋体" w:cs="Times New Roman"/>
                      <w:b/>
                      <w:bCs/>
                      <w:color w:val="auto"/>
                      <w:kern w:val="0"/>
                      <w:sz w:val="21"/>
                      <w:szCs w:val="20"/>
                      <w:lang w:val="en-US" w:eastAsia="zh-CN" w:bidi="ar-SA"/>
                    </w:rPr>
                    <w:t>℃</w:t>
                  </w:r>
                </w:p>
              </w:tc>
            </w:tr>
            <w:tr w14:paraId="00DD4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restart"/>
                  <w:tcBorders>
                    <w:tl2br w:val="nil"/>
                    <w:tr2bl w:val="nil"/>
                  </w:tcBorders>
                  <w:shd w:val="clear" w:color="auto" w:fill="auto"/>
                  <w:noWrap w:val="0"/>
                  <w:vAlign w:val="center"/>
                </w:tcPr>
                <w:p w14:paraId="106650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擦拭检测</w:t>
                  </w:r>
                </w:p>
              </w:tc>
              <w:tc>
                <w:tcPr>
                  <w:tcW w:w="915" w:type="dxa"/>
                  <w:vMerge w:val="restart"/>
                  <w:tcBorders>
                    <w:tl2br w:val="nil"/>
                    <w:tr2bl w:val="nil"/>
                  </w:tcBorders>
                  <w:shd w:val="clear" w:color="auto" w:fill="auto"/>
                  <w:noWrap w:val="0"/>
                  <w:vAlign w:val="center"/>
                </w:tcPr>
                <w:p w14:paraId="03495D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VOCs、乙醇、乙醚、丙酮（以非甲烷总烃计）</w:t>
                  </w:r>
                </w:p>
              </w:tc>
              <w:tc>
                <w:tcPr>
                  <w:tcW w:w="870" w:type="dxa"/>
                  <w:vMerge w:val="restart"/>
                  <w:tcBorders>
                    <w:tl2br w:val="nil"/>
                    <w:tr2bl w:val="nil"/>
                  </w:tcBorders>
                  <w:shd w:val="clear" w:color="auto" w:fill="auto"/>
                  <w:noWrap w:val="0"/>
                  <w:vAlign w:val="center"/>
                </w:tcPr>
                <w:p w14:paraId="2F16F1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2.3</w:t>
                  </w:r>
                </w:p>
              </w:tc>
              <w:tc>
                <w:tcPr>
                  <w:tcW w:w="870" w:type="dxa"/>
                  <w:vMerge w:val="restart"/>
                  <w:tcBorders>
                    <w:tl2br w:val="nil"/>
                    <w:tr2bl w:val="nil"/>
                  </w:tcBorders>
                  <w:shd w:val="clear" w:color="auto" w:fill="auto"/>
                  <w:noWrap w:val="0"/>
                  <w:vAlign w:val="center"/>
                </w:tcPr>
                <w:p w14:paraId="29F9A8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1.1058</w:t>
                  </w:r>
                </w:p>
              </w:tc>
              <w:tc>
                <w:tcPr>
                  <w:tcW w:w="870" w:type="dxa"/>
                  <w:vMerge w:val="restart"/>
                  <w:tcBorders>
                    <w:tl2br w:val="nil"/>
                    <w:tr2bl w:val="nil"/>
                  </w:tcBorders>
                  <w:shd w:val="clear" w:color="auto" w:fill="auto"/>
                  <w:noWrap w:val="0"/>
                  <w:vAlign w:val="center"/>
                </w:tcPr>
                <w:p w14:paraId="0634422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车间密闭无尘，负压收集</w:t>
                  </w:r>
                </w:p>
                <w:p w14:paraId="493D1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585" w:type="dxa"/>
                  <w:vMerge w:val="restart"/>
                  <w:tcBorders>
                    <w:tl2br w:val="nil"/>
                    <w:tr2bl w:val="nil"/>
                  </w:tcBorders>
                  <w:shd w:val="clear" w:color="auto" w:fill="auto"/>
                  <w:noWrap w:val="0"/>
                  <w:vAlign w:val="center"/>
                </w:tcPr>
                <w:p w14:paraId="4C393BB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90</w:t>
                  </w:r>
                </w:p>
                <w:p w14:paraId="27D834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885" w:type="dxa"/>
                  <w:vMerge w:val="restart"/>
                  <w:tcBorders>
                    <w:tl2br w:val="nil"/>
                    <w:tr2bl w:val="nil"/>
                  </w:tcBorders>
                  <w:shd w:val="clear" w:color="auto" w:fill="auto"/>
                  <w:noWrap w:val="0"/>
                  <w:vAlign w:val="center"/>
                </w:tcPr>
                <w:p w14:paraId="42759D7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二级活性炭吸附装置</w:t>
                  </w:r>
                </w:p>
                <w:p w14:paraId="76AD91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630" w:type="dxa"/>
                  <w:vMerge w:val="restart"/>
                  <w:tcBorders>
                    <w:tl2br w:val="nil"/>
                    <w:tr2bl w:val="nil"/>
                  </w:tcBorders>
                  <w:shd w:val="clear" w:color="auto" w:fill="auto"/>
                  <w:noWrap w:val="0"/>
                  <w:vAlign w:val="center"/>
                </w:tcPr>
                <w:p w14:paraId="25B42A7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80</w:t>
                  </w:r>
                </w:p>
                <w:p w14:paraId="77D74D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690" w:type="dxa"/>
                  <w:vMerge w:val="restart"/>
                  <w:tcBorders>
                    <w:tl2br w:val="nil"/>
                    <w:tr2bl w:val="nil"/>
                  </w:tcBorders>
                  <w:shd w:val="clear" w:color="auto" w:fill="auto"/>
                  <w:noWrap w:val="0"/>
                  <w:vAlign w:val="center"/>
                </w:tcPr>
                <w:p w14:paraId="71F741C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是</w:t>
                  </w:r>
                </w:p>
                <w:p w14:paraId="25CC7F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217898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有组织</w:t>
                  </w:r>
                </w:p>
              </w:tc>
              <w:tc>
                <w:tcPr>
                  <w:tcW w:w="865" w:type="dxa"/>
                  <w:tcBorders>
                    <w:tl2br w:val="nil"/>
                    <w:tr2bl w:val="nil"/>
                  </w:tcBorders>
                  <w:shd w:val="clear" w:color="auto" w:fill="auto"/>
                  <w:noWrap w:val="0"/>
                  <w:vAlign w:val="center"/>
                </w:tcPr>
                <w:p w14:paraId="70A343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0.414</w:t>
                  </w:r>
                </w:p>
              </w:tc>
              <w:tc>
                <w:tcPr>
                  <w:tcW w:w="879" w:type="dxa"/>
                  <w:tcBorders>
                    <w:tl2br w:val="nil"/>
                    <w:tr2bl w:val="nil"/>
                  </w:tcBorders>
                  <w:shd w:val="clear" w:color="auto" w:fill="auto"/>
                  <w:noWrap w:val="0"/>
                  <w:tcMar>
                    <w:top w:w="0" w:type="dxa"/>
                    <w:left w:w="28" w:type="dxa"/>
                    <w:bottom w:w="0" w:type="dxa"/>
                    <w:right w:w="28" w:type="dxa"/>
                  </w:tcMar>
                  <w:vAlign w:val="center"/>
                </w:tcPr>
                <w:p w14:paraId="1E5803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0.1990</w:t>
                  </w:r>
                </w:p>
              </w:tc>
              <w:tc>
                <w:tcPr>
                  <w:tcW w:w="721" w:type="dxa"/>
                  <w:tcBorders>
                    <w:tl2br w:val="nil"/>
                    <w:tr2bl w:val="nil"/>
                  </w:tcBorders>
                  <w:shd w:val="clear" w:color="auto" w:fill="auto"/>
                  <w:noWrap w:val="0"/>
                  <w:tcMar>
                    <w:top w:w="0" w:type="dxa"/>
                    <w:left w:w="28" w:type="dxa"/>
                    <w:bottom w:w="0" w:type="dxa"/>
                    <w:right w:w="28" w:type="dxa"/>
                  </w:tcMar>
                  <w:vAlign w:val="center"/>
                </w:tcPr>
                <w:p w14:paraId="3DCEBA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20000</w:t>
                  </w:r>
                </w:p>
              </w:tc>
              <w:tc>
                <w:tcPr>
                  <w:tcW w:w="867" w:type="dxa"/>
                  <w:tcBorders>
                    <w:tl2br w:val="nil"/>
                    <w:tr2bl w:val="nil"/>
                  </w:tcBorders>
                  <w:shd w:val="clear" w:color="auto" w:fill="auto"/>
                  <w:noWrap w:val="0"/>
                  <w:tcMar>
                    <w:top w:w="0" w:type="dxa"/>
                    <w:left w:w="28" w:type="dxa"/>
                    <w:bottom w:w="0" w:type="dxa"/>
                    <w:right w:w="28" w:type="dxa"/>
                  </w:tcMar>
                  <w:vAlign w:val="center"/>
                </w:tcPr>
                <w:p w14:paraId="5693F9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9.952</w:t>
                  </w:r>
                </w:p>
              </w:tc>
              <w:tc>
                <w:tcPr>
                  <w:tcW w:w="692" w:type="dxa"/>
                  <w:vMerge w:val="restart"/>
                  <w:tcBorders>
                    <w:tl2br w:val="nil"/>
                    <w:tr2bl w:val="nil"/>
                  </w:tcBorders>
                  <w:shd w:val="clear" w:color="auto" w:fill="auto"/>
                  <w:noWrap w:val="0"/>
                  <w:tcMar>
                    <w:top w:w="0" w:type="dxa"/>
                    <w:left w:w="28" w:type="dxa"/>
                    <w:bottom w:w="0" w:type="dxa"/>
                    <w:right w:w="28" w:type="dxa"/>
                  </w:tcMar>
                  <w:vAlign w:val="center"/>
                </w:tcPr>
                <w:p w14:paraId="542742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848" w:type="dxa"/>
                  <w:tcBorders>
                    <w:tl2br w:val="nil"/>
                    <w:tr2bl w:val="nil"/>
                  </w:tcBorders>
                  <w:shd w:val="clear" w:color="auto" w:fill="auto"/>
                  <w:noWrap w:val="0"/>
                  <w:tcMar>
                    <w:top w:w="0" w:type="dxa"/>
                    <w:left w:w="28" w:type="dxa"/>
                    <w:bottom w:w="0" w:type="dxa"/>
                    <w:right w:w="28" w:type="dxa"/>
                  </w:tcMar>
                  <w:vAlign w:val="center"/>
                </w:tcPr>
                <w:p w14:paraId="256DE6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DA001</w:t>
                  </w:r>
                </w:p>
              </w:tc>
              <w:tc>
                <w:tcPr>
                  <w:tcW w:w="504" w:type="dxa"/>
                  <w:gridSpan w:val="3"/>
                  <w:tcBorders>
                    <w:tl2br w:val="nil"/>
                    <w:tr2bl w:val="nil"/>
                  </w:tcBorders>
                  <w:shd w:val="clear" w:color="auto" w:fill="auto"/>
                  <w:noWrap w:val="0"/>
                  <w:tcMar>
                    <w:top w:w="0" w:type="dxa"/>
                    <w:left w:w="28" w:type="dxa"/>
                    <w:bottom w:w="0" w:type="dxa"/>
                    <w:right w:w="28" w:type="dxa"/>
                  </w:tcMar>
                  <w:vAlign w:val="center"/>
                </w:tcPr>
                <w:p w14:paraId="083EC6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w:t>
                  </w:r>
                </w:p>
              </w:tc>
              <w:tc>
                <w:tcPr>
                  <w:tcW w:w="548" w:type="dxa"/>
                  <w:tcBorders>
                    <w:tl2br w:val="nil"/>
                    <w:tr2bl w:val="nil"/>
                  </w:tcBorders>
                  <w:shd w:val="clear" w:color="auto" w:fill="auto"/>
                  <w:noWrap w:val="0"/>
                  <w:tcMar>
                    <w:top w:w="0" w:type="dxa"/>
                    <w:left w:w="28" w:type="dxa"/>
                    <w:bottom w:w="0" w:type="dxa"/>
                    <w:right w:w="28" w:type="dxa"/>
                  </w:tcMar>
                  <w:vAlign w:val="center"/>
                </w:tcPr>
                <w:p w14:paraId="79ED31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0.5</w:t>
                  </w:r>
                </w:p>
              </w:tc>
              <w:tc>
                <w:tcPr>
                  <w:tcW w:w="579" w:type="dxa"/>
                  <w:gridSpan w:val="2"/>
                  <w:tcBorders>
                    <w:tl2br w:val="nil"/>
                    <w:tr2bl w:val="nil"/>
                  </w:tcBorders>
                  <w:shd w:val="clear" w:color="auto" w:fill="auto"/>
                  <w:noWrap w:val="0"/>
                  <w:tcMar>
                    <w:top w:w="0" w:type="dxa"/>
                    <w:left w:w="28" w:type="dxa"/>
                    <w:bottom w:w="0" w:type="dxa"/>
                    <w:right w:w="28" w:type="dxa"/>
                  </w:tcMar>
                  <w:vAlign w:val="center"/>
                </w:tcPr>
                <w:p w14:paraId="782E16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25</w:t>
                  </w:r>
                </w:p>
              </w:tc>
            </w:tr>
            <w:tr w14:paraId="60D1C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continue"/>
                  <w:tcBorders>
                    <w:tl2br w:val="nil"/>
                    <w:tr2bl w:val="nil"/>
                  </w:tcBorders>
                  <w:noWrap w:val="0"/>
                  <w:vAlign w:val="center"/>
                </w:tcPr>
                <w:p w14:paraId="0F7976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23ED4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06DCB4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6B4442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3FB07F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0A6BAA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74B0B6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2C49DC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5A92C4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5DCBD4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无组织</w:t>
                  </w:r>
                </w:p>
              </w:tc>
              <w:tc>
                <w:tcPr>
                  <w:tcW w:w="865" w:type="dxa"/>
                  <w:tcBorders>
                    <w:tl2br w:val="nil"/>
                    <w:tr2bl w:val="nil"/>
                  </w:tcBorders>
                  <w:shd w:val="clear" w:color="auto" w:fill="auto"/>
                  <w:noWrap w:val="0"/>
                  <w:vAlign w:val="center"/>
                </w:tcPr>
                <w:p w14:paraId="034F87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0.23</w:t>
                  </w:r>
                </w:p>
              </w:tc>
              <w:tc>
                <w:tcPr>
                  <w:tcW w:w="879" w:type="dxa"/>
                  <w:tcBorders>
                    <w:tl2br w:val="nil"/>
                    <w:tr2bl w:val="nil"/>
                  </w:tcBorders>
                  <w:shd w:val="clear" w:color="auto" w:fill="auto"/>
                  <w:noWrap w:val="0"/>
                  <w:tcMar>
                    <w:top w:w="0" w:type="dxa"/>
                    <w:left w:w="28" w:type="dxa"/>
                    <w:bottom w:w="0" w:type="dxa"/>
                    <w:right w:w="28" w:type="dxa"/>
                  </w:tcMar>
                  <w:vAlign w:val="center"/>
                </w:tcPr>
                <w:p w14:paraId="239E56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0.1106</w:t>
                  </w:r>
                </w:p>
              </w:tc>
              <w:tc>
                <w:tcPr>
                  <w:tcW w:w="721" w:type="dxa"/>
                  <w:tcBorders>
                    <w:tl2br w:val="nil"/>
                    <w:tr2bl w:val="nil"/>
                  </w:tcBorders>
                  <w:shd w:val="clear" w:color="auto" w:fill="auto"/>
                  <w:noWrap w:val="0"/>
                  <w:tcMar>
                    <w:top w:w="0" w:type="dxa"/>
                    <w:left w:w="28" w:type="dxa"/>
                    <w:bottom w:w="0" w:type="dxa"/>
                    <w:right w:w="28" w:type="dxa"/>
                  </w:tcMar>
                  <w:vAlign w:val="center"/>
                </w:tcPr>
                <w:p w14:paraId="166F8C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shd w:val="clear" w:color="auto" w:fill="auto"/>
                  <w:noWrap w:val="0"/>
                  <w:tcMar>
                    <w:top w:w="0" w:type="dxa"/>
                    <w:left w:w="28" w:type="dxa"/>
                    <w:bottom w:w="0" w:type="dxa"/>
                    <w:right w:w="28" w:type="dxa"/>
                  </w:tcMar>
                  <w:vAlign w:val="center"/>
                </w:tcPr>
                <w:p w14:paraId="36B0C9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continue"/>
                  <w:tcBorders>
                    <w:tl2br w:val="nil"/>
                    <w:tr2bl w:val="nil"/>
                  </w:tcBorders>
                  <w:noWrap w:val="0"/>
                  <w:tcMar>
                    <w:top w:w="0" w:type="dxa"/>
                    <w:left w:w="28" w:type="dxa"/>
                    <w:bottom w:w="0" w:type="dxa"/>
                    <w:right w:w="28" w:type="dxa"/>
                  </w:tcMar>
                  <w:vAlign w:val="center"/>
                </w:tcPr>
                <w:p w14:paraId="735378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2479" w:type="dxa"/>
                  <w:gridSpan w:val="7"/>
                  <w:tcBorders>
                    <w:tl2br w:val="nil"/>
                    <w:tr2bl w:val="nil"/>
                  </w:tcBorders>
                  <w:shd w:val="clear" w:color="auto" w:fill="auto"/>
                  <w:noWrap w:val="0"/>
                  <w:tcMar>
                    <w:top w:w="0" w:type="dxa"/>
                    <w:left w:w="28" w:type="dxa"/>
                    <w:bottom w:w="0" w:type="dxa"/>
                    <w:right w:w="28" w:type="dxa"/>
                  </w:tcMar>
                  <w:vAlign w:val="center"/>
                </w:tcPr>
                <w:p w14:paraId="191E37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r>
            <w:tr w14:paraId="619F6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restart"/>
                  <w:tcBorders>
                    <w:tl2br w:val="nil"/>
                    <w:tr2bl w:val="nil"/>
                  </w:tcBorders>
                  <w:shd w:val="clear" w:color="auto" w:fill="auto"/>
                  <w:noWrap w:val="0"/>
                  <w:vAlign w:val="center"/>
                </w:tcPr>
                <w:p w14:paraId="093B79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超声波清洗</w:t>
                  </w:r>
                </w:p>
              </w:tc>
              <w:tc>
                <w:tcPr>
                  <w:tcW w:w="915" w:type="dxa"/>
                  <w:vMerge w:val="restart"/>
                  <w:tcBorders>
                    <w:tl2br w:val="nil"/>
                    <w:tr2bl w:val="nil"/>
                  </w:tcBorders>
                  <w:shd w:val="clear" w:color="auto" w:fill="auto"/>
                  <w:noWrap w:val="0"/>
                  <w:vAlign w:val="center"/>
                </w:tcPr>
                <w:p w14:paraId="3ED2E2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VOCs（非甲烷总烃）</w:t>
                  </w:r>
                </w:p>
              </w:tc>
              <w:tc>
                <w:tcPr>
                  <w:tcW w:w="870" w:type="dxa"/>
                  <w:vMerge w:val="restart"/>
                  <w:tcBorders>
                    <w:tl2br w:val="nil"/>
                    <w:tr2bl w:val="nil"/>
                  </w:tcBorders>
                  <w:shd w:val="clear" w:color="auto" w:fill="auto"/>
                  <w:noWrap w:val="0"/>
                  <w:vAlign w:val="center"/>
                </w:tcPr>
                <w:p w14:paraId="341067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0.6093</w:t>
                  </w:r>
                </w:p>
              </w:tc>
              <w:tc>
                <w:tcPr>
                  <w:tcW w:w="870" w:type="dxa"/>
                  <w:vMerge w:val="restart"/>
                  <w:tcBorders>
                    <w:tl2br w:val="nil"/>
                    <w:tr2bl w:val="nil"/>
                  </w:tcBorders>
                  <w:shd w:val="clear" w:color="auto" w:fill="auto"/>
                  <w:noWrap w:val="0"/>
                  <w:vAlign w:val="center"/>
                </w:tcPr>
                <w:p w14:paraId="2AA5AA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0.2929</w:t>
                  </w:r>
                </w:p>
              </w:tc>
              <w:tc>
                <w:tcPr>
                  <w:tcW w:w="870" w:type="dxa"/>
                  <w:vMerge w:val="restart"/>
                  <w:tcBorders>
                    <w:tl2br w:val="nil"/>
                    <w:tr2bl w:val="nil"/>
                  </w:tcBorders>
                  <w:shd w:val="clear" w:color="auto" w:fill="auto"/>
                  <w:noWrap w:val="0"/>
                  <w:vAlign w:val="center"/>
                </w:tcPr>
                <w:p w14:paraId="74D9BD3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车间密闭无尘，负压收集</w:t>
                  </w:r>
                </w:p>
                <w:p w14:paraId="5B6D06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585" w:type="dxa"/>
                  <w:vMerge w:val="restart"/>
                  <w:tcBorders>
                    <w:tl2br w:val="nil"/>
                    <w:tr2bl w:val="nil"/>
                  </w:tcBorders>
                  <w:shd w:val="clear" w:color="auto" w:fill="auto"/>
                  <w:noWrap w:val="0"/>
                  <w:vAlign w:val="center"/>
                </w:tcPr>
                <w:p w14:paraId="5F615059">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90</w:t>
                  </w:r>
                </w:p>
                <w:p w14:paraId="5D9146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885" w:type="dxa"/>
                  <w:vMerge w:val="restart"/>
                  <w:tcBorders>
                    <w:tl2br w:val="nil"/>
                    <w:tr2bl w:val="nil"/>
                  </w:tcBorders>
                  <w:shd w:val="clear" w:color="auto" w:fill="auto"/>
                  <w:noWrap w:val="0"/>
                  <w:vAlign w:val="center"/>
                </w:tcPr>
                <w:p w14:paraId="763C2A6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二级活性炭吸附装置</w:t>
                  </w:r>
                </w:p>
                <w:p w14:paraId="75CD7A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630" w:type="dxa"/>
                  <w:vMerge w:val="restart"/>
                  <w:tcBorders>
                    <w:tl2br w:val="nil"/>
                    <w:tr2bl w:val="nil"/>
                  </w:tcBorders>
                  <w:shd w:val="clear" w:color="auto" w:fill="auto"/>
                  <w:noWrap w:val="0"/>
                  <w:vAlign w:val="center"/>
                </w:tcPr>
                <w:p w14:paraId="7472E7E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80</w:t>
                  </w:r>
                </w:p>
                <w:p w14:paraId="513FF5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690" w:type="dxa"/>
                  <w:vMerge w:val="restart"/>
                  <w:tcBorders>
                    <w:tl2br w:val="nil"/>
                    <w:tr2bl w:val="nil"/>
                  </w:tcBorders>
                  <w:shd w:val="clear" w:color="auto" w:fill="auto"/>
                  <w:noWrap w:val="0"/>
                  <w:vAlign w:val="center"/>
                </w:tcPr>
                <w:p w14:paraId="2A5DD6D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是</w:t>
                  </w:r>
                </w:p>
                <w:p w14:paraId="6DE0D0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539401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有组织</w:t>
                  </w:r>
                </w:p>
              </w:tc>
              <w:tc>
                <w:tcPr>
                  <w:tcW w:w="865" w:type="dxa"/>
                  <w:tcBorders>
                    <w:tl2br w:val="nil"/>
                    <w:tr2bl w:val="nil"/>
                  </w:tcBorders>
                  <w:shd w:val="clear" w:color="auto" w:fill="auto"/>
                  <w:noWrap w:val="0"/>
                  <w:vAlign w:val="center"/>
                </w:tcPr>
                <w:p w14:paraId="75BF10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0.1097</w:t>
                  </w:r>
                </w:p>
              </w:tc>
              <w:tc>
                <w:tcPr>
                  <w:tcW w:w="879" w:type="dxa"/>
                  <w:tcBorders>
                    <w:tl2br w:val="nil"/>
                    <w:tr2bl w:val="nil"/>
                  </w:tcBorders>
                  <w:shd w:val="clear" w:color="auto" w:fill="auto"/>
                  <w:noWrap w:val="0"/>
                  <w:tcMar>
                    <w:top w:w="0" w:type="dxa"/>
                    <w:left w:w="28" w:type="dxa"/>
                    <w:bottom w:w="0" w:type="dxa"/>
                    <w:right w:w="28" w:type="dxa"/>
                  </w:tcMar>
                  <w:vAlign w:val="center"/>
                </w:tcPr>
                <w:p w14:paraId="5ABA1D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0.0527</w:t>
                  </w:r>
                </w:p>
              </w:tc>
              <w:tc>
                <w:tcPr>
                  <w:tcW w:w="721" w:type="dxa"/>
                  <w:tcBorders>
                    <w:tl2br w:val="nil"/>
                    <w:tr2bl w:val="nil"/>
                  </w:tcBorders>
                  <w:shd w:val="clear" w:color="auto" w:fill="auto"/>
                  <w:noWrap w:val="0"/>
                  <w:tcMar>
                    <w:top w:w="0" w:type="dxa"/>
                    <w:left w:w="28" w:type="dxa"/>
                    <w:bottom w:w="0" w:type="dxa"/>
                    <w:right w:w="28" w:type="dxa"/>
                  </w:tcMar>
                  <w:vAlign w:val="center"/>
                </w:tcPr>
                <w:p w14:paraId="3BC95C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20000</w:t>
                  </w:r>
                </w:p>
              </w:tc>
              <w:tc>
                <w:tcPr>
                  <w:tcW w:w="867" w:type="dxa"/>
                  <w:tcBorders>
                    <w:tl2br w:val="nil"/>
                    <w:tr2bl w:val="nil"/>
                  </w:tcBorders>
                  <w:shd w:val="clear" w:color="auto" w:fill="auto"/>
                  <w:noWrap w:val="0"/>
                  <w:tcMar>
                    <w:top w:w="0" w:type="dxa"/>
                    <w:left w:w="28" w:type="dxa"/>
                    <w:bottom w:w="0" w:type="dxa"/>
                    <w:right w:w="28" w:type="dxa"/>
                  </w:tcMar>
                  <w:vAlign w:val="center"/>
                </w:tcPr>
                <w:p w14:paraId="57080B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2.632</w:t>
                  </w:r>
                </w:p>
              </w:tc>
              <w:tc>
                <w:tcPr>
                  <w:tcW w:w="692" w:type="dxa"/>
                  <w:vMerge w:val="restart"/>
                  <w:tcBorders>
                    <w:tl2br w:val="nil"/>
                    <w:tr2bl w:val="nil"/>
                  </w:tcBorders>
                  <w:shd w:val="clear" w:color="auto" w:fill="auto"/>
                  <w:noWrap w:val="0"/>
                  <w:tcMar>
                    <w:top w:w="0" w:type="dxa"/>
                    <w:left w:w="28" w:type="dxa"/>
                    <w:bottom w:w="0" w:type="dxa"/>
                    <w:right w:w="28" w:type="dxa"/>
                  </w:tcMar>
                  <w:vAlign w:val="center"/>
                </w:tcPr>
                <w:p w14:paraId="27D742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854" w:type="dxa"/>
                  <w:gridSpan w:val="2"/>
                  <w:tcBorders>
                    <w:tl2br w:val="nil"/>
                    <w:tr2bl w:val="nil"/>
                  </w:tcBorders>
                  <w:shd w:val="clear" w:color="auto" w:fill="auto"/>
                  <w:noWrap w:val="0"/>
                  <w:tcMar>
                    <w:top w:w="0" w:type="dxa"/>
                    <w:left w:w="28" w:type="dxa"/>
                    <w:bottom w:w="0" w:type="dxa"/>
                    <w:right w:w="28" w:type="dxa"/>
                  </w:tcMar>
                  <w:vAlign w:val="center"/>
                </w:tcPr>
                <w:p w14:paraId="2CFBF9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DA001</w:t>
                  </w:r>
                </w:p>
              </w:tc>
              <w:tc>
                <w:tcPr>
                  <w:tcW w:w="495" w:type="dxa"/>
                  <w:tcBorders>
                    <w:tl2br w:val="nil"/>
                    <w:tr2bl w:val="nil"/>
                  </w:tcBorders>
                  <w:shd w:val="clear" w:color="auto" w:fill="auto"/>
                  <w:noWrap w:val="0"/>
                  <w:tcMar>
                    <w:top w:w="0" w:type="dxa"/>
                    <w:left w:w="28" w:type="dxa"/>
                    <w:bottom w:w="0" w:type="dxa"/>
                    <w:right w:w="28" w:type="dxa"/>
                  </w:tcMar>
                  <w:vAlign w:val="center"/>
                </w:tcPr>
                <w:p w14:paraId="12A0B0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w:t>
                  </w:r>
                </w:p>
              </w:tc>
              <w:tc>
                <w:tcPr>
                  <w:tcW w:w="555" w:type="dxa"/>
                  <w:gridSpan w:val="3"/>
                  <w:tcBorders>
                    <w:tl2br w:val="nil"/>
                    <w:tr2bl w:val="nil"/>
                  </w:tcBorders>
                  <w:shd w:val="clear" w:color="auto" w:fill="auto"/>
                  <w:noWrap w:val="0"/>
                  <w:tcMar>
                    <w:top w:w="0" w:type="dxa"/>
                    <w:left w:w="28" w:type="dxa"/>
                    <w:bottom w:w="0" w:type="dxa"/>
                    <w:right w:w="28" w:type="dxa"/>
                  </w:tcMar>
                  <w:vAlign w:val="center"/>
                </w:tcPr>
                <w:p w14:paraId="0DC7A2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0.5</w:t>
                  </w:r>
                </w:p>
              </w:tc>
              <w:tc>
                <w:tcPr>
                  <w:tcW w:w="575" w:type="dxa"/>
                  <w:tcBorders>
                    <w:tl2br w:val="nil"/>
                    <w:tr2bl w:val="nil"/>
                  </w:tcBorders>
                  <w:shd w:val="clear" w:color="auto" w:fill="auto"/>
                  <w:noWrap w:val="0"/>
                  <w:tcMar>
                    <w:top w:w="0" w:type="dxa"/>
                    <w:left w:w="28" w:type="dxa"/>
                    <w:bottom w:w="0" w:type="dxa"/>
                    <w:right w:w="28" w:type="dxa"/>
                  </w:tcMar>
                  <w:vAlign w:val="center"/>
                </w:tcPr>
                <w:p w14:paraId="04BDE3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25</w:t>
                  </w:r>
                </w:p>
              </w:tc>
            </w:tr>
            <w:tr w14:paraId="4AA461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continue"/>
                  <w:tcBorders>
                    <w:tl2br w:val="nil"/>
                    <w:tr2bl w:val="nil"/>
                  </w:tcBorders>
                  <w:noWrap w:val="0"/>
                  <w:vAlign w:val="center"/>
                </w:tcPr>
                <w:p w14:paraId="4DD63D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287BF1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72B245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4E45E8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2A7830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2588E1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15F8E8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78C82D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7ACB30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5BB02B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无组织</w:t>
                  </w:r>
                </w:p>
              </w:tc>
              <w:tc>
                <w:tcPr>
                  <w:tcW w:w="865" w:type="dxa"/>
                  <w:tcBorders>
                    <w:tl2br w:val="nil"/>
                    <w:tr2bl w:val="nil"/>
                  </w:tcBorders>
                  <w:shd w:val="clear" w:color="auto" w:fill="auto"/>
                  <w:noWrap w:val="0"/>
                  <w:vAlign w:val="center"/>
                </w:tcPr>
                <w:p w14:paraId="27B8EB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0.0609</w:t>
                  </w:r>
                </w:p>
              </w:tc>
              <w:tc>
                <w:tcPr>
                  <w:tcW w:w="879" w:type="dxa"/>
                  <w:tcBorders>
                    <w:tl2br w:val="nil"/>
                    <w:tr2bl w:val="nil"/>
                  </w:tcBorders>
                  <w:shd w:val="clear" w:color="auto" w:fill="auto"/>
                  <w:noWrap w:val="0"/>
                  <w:tcMar>
                    <w:top w:w="0" w:type="dxa"/>
                    <w:left w:w="28" w:type="dxa"/>
                    <w:bottom w:w="0" w:type="dxa"/>
                    <w:right w:w="28" w:type="dxa"/>
                  </w:tcMar>
                  <w:vAlign w:val="center"/>
                </w:tcPr>
                <w:p w14:paraId="01AC0A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0.0293</w:t>
                  </w:r>
                </w:p>
              </w:tc>
              <w:tc>
                <w:tcPr>
                  <w:tcW w:w="721" w:type="dxa"/>
                  <w:tcBorders>
                    <w:tl2br w:val="nil"/>
                    <w:tr2bl w:val="nil"/>
                  </w:tcBorders>
                  <w:shd w:val="clear" w:color="auto" w:fill="auto"/>
                  <w:noWrap w:val="0"/>
                  <w:tcMar>
                    <w:top w:w="0" w:type="dxa"/>
                    <w:left w:w="28" w:type="dxa"/>
                    <w:bottom w:w="0" w:type="dxa"/>
                    <w:right w:w="28" w:type="dxa"/>
                  </w:tcMar>
                  <w:vAlign w:val="center"/>
                </w:tcPr>
                <w:p w14:paraId="6ED8D8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shd w:val="clear" w:color="auto" w:fill="auto"/>
                  <w:noWrap w:val="0"/>
                  <w:tcMar>
                    <w:top w:w="0" w:type="dxa"/>
                    <w:left w:w="28" w:type="dxa"/>
                    <w:bottom w:w="0" w:type="dxa"/>
                    <w:right w:w="28" w:type="dxa"/>
                  </w:tcMar>
                  <w:vAlign w:val="center"/>
                </w:tcPr>
                <w:p w14:paraId="491E8E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continue"/>
                  <w:tcBorders>
                    <w:tl2br w:val="nil"/>
                    <w:tr2bl w:val="nil"/>
                  </w:tcBorders>
                  <w:noWrap w:val="0"/>
                  <w:tcMar>
                    <w:top w:w="0" w:type="dxa"/>
                    <w:left w:w="28" w:type="dxa"/>
                    <w:bottom w:w="0" w:type="dxa"/>
                    <w:right w:w="28" w:type="dxa"/>
                  </w:tcMar>
                  <w:vAlign w:val="center"/>
                </w:tcPr>
                <w:p w14:paraId="302137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2479" w:type="dxa"/>
                  <w:gridSpan w:val="7"/>
                  <w:tcBorders>
                    <w:tl2br w:val="nil"/>
                    <w:tr2bl w:val="nil"/>
                  </w:tcBorders>
                  <w:shd w:val="clear" w:color="auto" w:fill="auto"/>
                  <w:noWrap w:val="0"/>
                  <w:tcMar>
                    <w:top w:w="0" w:type="dxa"/>
                    <w:left w:w="28" w:type="dxa"/>
                    <w:bottom w:w="0" w:type="dxa"/>
                    <w:right w:w="28" w:type="dxa"/>
                  </w:tcMar>
                  <w:vAlign w:val="center"/>
                </w:tcPr>
                <w:p w14:paraId="673D8D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r>
            <w:tr w14:paraId="2E96A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restart"/>
                  <w:tcBorders>
                    <w:tl2br w:val="nil"/>
                    <w:tr2bl w:val="nil"/>
                  </w:tcBorders>
                  <w:shd w:val="clear" w:color="auto" w:fill="auto"/>
                  <w:noWrap w:val="0"/>
                  <w:vAlign w:val="center"/>
                </w:tcPr>
                <w:p w14:paraId="7ECC33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切割</w:t>
                  </w:r>
                </w:p>
              </w:tc>
              <w:tc>
                <w:tcPr>
                  <w:tcW w:w="915" w:type="dxa"/>
                  <w:vMerge w:val="restart"/>
                  <w:tcBorders>
                    <w:tl2br w:val="nil"/>
                    <w:tr2bl w:val="nil"/>
                  </w:tcBorders>
                  <w:shd w:val="clear" w:color="auto" w:fill="auto"/>
                  <w:noWrap w:val="0"/>
                  <w:vAlign w:val="center"/>
                </w:tcPr>
                <w:p w14:paraId="4325C1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VOCs（非甲烷总烃）</w:t>
                  </w:r>
                </w:p>
              </w:tc>
              <w:tc>
                <w:tcPr>
                  <w:tcW w:w="870" w:type="dxa"/>
                  <w:vMerge w:val="restart"/>
                  <w:tcBorders>
                    <w:tl2br w:val="nil"/>
                    <w:tr2bl w:val="nil"/>
                  </w:tcBorders>
                  <w:shd w:val="clear" w:color="auto" w:fill="auto"/>
                  <w:noWrap w:val="0"/>
                  <w:vAlign w:val="center"/>
                </w:tcPr>
                <w:p w14:paraId="427B44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0.0017</w:t>
                  </w:r>
                </w:p>
              </w:tc>
              <w:tc>
                <w:tcPr>
                  <w:tcW w:w="870" w:type="dxa"/>
                  <w:vMerge w:val="restart"/>
                  <w:tcBorders>
                    <w:tl2br w:val="nil"/>
                    <w:tr2bl w:val="nil"/>
                  </w:tcBorders>
                  <w:shd w:val="clear" w:color="auto" w:fill="auto"/>
                  <w:noWrap w:val="0"/>
                  <w:vAlign w:val="center"/>
                </w:tcPr>
                <w:p w14:paraId="2B6FD7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0.0008</w:t>
                  </w:r>
                </w:p>
              </w:tc>
              <w:tc>
                <w:tcPr>
                  <w:tcW w:w="870" w:type="dxa"/>
                  <w:vMerge w:val="restart"/>
                  <w:tcBorders>
                    <w:tl2br w:val="nil"/>
                    <w:tr2bl w:val="nil"/>
                  </w:tcBorders>
                  <w:shd w:val="clear" w:color="auto" w:fill="auto"/>
                  <w:noWrap w:val="0"/>
                  <w:vAlign w:val="center"/>
                </w:tcPr>
                <w:p w14:paraId="758A18B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设备密闭管道收集</w:t>
                  </w:r>
                </w:p>
                <w:p w14:paraId="4A4895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585" w:type="dxa"/>
                  <w:vMerge w:val="restart"/>
                  <w:tcBorders>
                    <w:tl2br w:val="nil"/>
                    <w:tr2bl w:val="nil"/>
                  </w:tcBorders>
                  <w:shd w:val="clear" w:color="auto" w:fill="auto"/>
                  <w:noWrap w:val="0"/>
                  <w:vAlign w:val="center"/>
                </w:tcPr>
                <w:p w14:paraId="13B8732B">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90</w:t>
                  </w:r>
                </w:p>
                <w:p w14:paraId="670DA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885" w:type="dxa"/>
                  <w:vMerge w:val="restart"/>
                  <w:tcBorders>
                    <w:tl2br w:val="nil"/>
                    <w:tr2bl w:val="nil"/>
                  </w:tcBorders>
                  <w:shd w:val="clear" w:color="auto" w:fill="auto"/>
                  <w:noWrap w:val="0"/>
                  <w:vAlign w:val="center"/>
                </w:tcPr>
                <w:p w14:paraId="3DB5CD8B">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二级活性炭吸附装置</w:t>
                  </w:r>
                </w:p>
                <w:p w14:paraId="1A7618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630" w:type="dxa"/>
                  <w:vMerge w:val="restart"/>
                  <w:tcBorders>
                    <w:tl2br w:val="nil"/>
                    <w:tr2bl w:val="nil"/>
                  </w:tcBorders>
                  <w:shd w:val="clear" w:color="auto" w:fill="auto"/>
                  <w:noWrap w:val="0"/>
                  <w:vAlign w:val="center"/>
                </w:tcPr>
                <w:p w14:paraId="27C7C93A">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80</w:t>
                  </w:r>
                </w:p>
                <w:p w14:paraId="441386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690" w:type="dxa"/>
                  <w:vMerge w:val="restart"/>
                  <w:tcBorders>
                    <w:tl2br w:val="nil"/>
                    <w:tr2bl w:val="nil"/>
                  </w:tcBorders>
                  <w:shd w:val="clear" w:color="auto" w:fill="auto"/>
                  <w:noWrap w:val="0"/>
                  <w:vAlign w:val="center"/>
                </w:tcPr>
                <w:p w14:paraId="39F54FB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是</w:t>
                  </w:r>
                </w:p>
                <w:p w14:paraId="7D5F3E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775C7D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有组织</w:t>
                  </w:r>
                </w:p>
              </w:tc>
              <w:tc>
                <w:tcPr>
                  <w:tcW w:w="865" w:type="dxa"/>
                  <w:tcBorders>
                    <w:tl2br w:val="nil"/>
                    <w:tr2bl w:val="nil"/>
                  </w:tcBorders>
                  <w:shd w:val="clear" w:color="auto" w:fill="auto"/>
                  <w:noWrap w:val="0"/>
                  <w:vAlign w:val="center"/>
                </w:tcPr>
                <w:p w14:paraId="59D29D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0.0003</w:t>
                  </w:r>
                </w:p>
              </w:tc>
              <w:tc>
                <w:tcPr>
                  <w:tcW w:w="879" w:type="dxa"/>
                  <w:tcBorders>
                    <w:tl2br w:val="nil"/>
                    <w:tr2bl w:val="nil"/>
                  </w:tcBorders>
                  <w:shd w:val="clear" w:color="auto" w:fill="auto"/>
                  <w:noWrap w:val="0"/>
                  <w:tcMar>
                    <w:top w:w="0" w:type="dxa"/>
                    <w:left w:w="28" w:type="dxa"/>
                    <w:bottom w:w="0" w:type="dxa"/>
                    <w:right w:w="28" w:type="dxa"/>
                  </w:tcMar>
                  <w:vAlign w:val="center"/>
                </w:tcPr>
                <w:p w14:paraId="0D4EB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0.0001</w:t>
                  </w:r>
                </w:p>
              </w:tc>
              <w:tc>
                <w:tcPr>
                  <w:tcW w:w="721" w:type="dxa"/>
                  <w:tcBorders>
                    <w:tl2br w:val="nil"/>
                    <w:tr2bl w:val="nil"/>
                  </w:tcBorders>
                  <w:shd w:val="clear" w:color="auto" w:fill="auto"/>
                  <w:noWrap w:val="0"/>
                  <w:tcMar>
                    <w:top w:w="0" w:type="dxa"/>
                    <w:left w:w="28" w:type="dxa"/>
                    <w:bottom w:w="0" w:type="dxa"/>
                    <w:right w:w="28" w:type="dxa"/>
                  </w:tcMar>
                  <w:vAlign w:val="center"/>
                </w:tcPr>
                <w:p w14:paraId="16E8AB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10000</w:t>
                  </w:r>
                </w:p>
              </w:tc>
              <w:tc>
                <w:tcPr>
                  <w:tcW w:w="867" w:type="dxa"/>
                  <w:tcBorders>
                    <w:tl2br w:val="nil"/>
                    <w:tr2bl w:val="nil"/>
                  </w:tcBorders>
                  <w:shd w:val="clear" w:color="auto" w:fill="auto"/>
                  <w:noWrap w:val="0"/>
                  <w:tcMar>
                    <w:top w:w="0" w:type="dxa"/>
                    <w:left w:w="28" w:type="dxa"/>
                    <w:bottom w:w="0" w:type="dxa"/>
                    <w:right w:w="28" w:type="dxa"/>
                  </w:tcMar>
                  <w:vAlign w:val="center"/>
                </w:tcPr>
                <w:p w14:paraId="1EDDE7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0.015</w:t>
                  </w:r>
                </w:p>
              </w:tc>
              <w:tc>
                <w:tcPr>
                  <w:tcW w:w="692" w:type="dxa"/>
                  <w:vMerge w:val="restart"/>
                  <w:tcBorders>
                    <w:tl2br w:val="nil"/>
                    <w:tr2bl w:val="nil"/>
                  </w:tcBorders>
                  <w:shd w:val="clear" w:color="auto" w:fill="auto"/>
                  <w:noWrap w:val="0"/>
                  <w:tcMar>
                    <w:top w:w="0" w:type="dxa"/>
                    <w:left w:w="28" w:type="dxa"/>
                    <w:bottom w:w="0" w:type="dxa"/>
                    <w:right w:w="28" w:type="dxa"/>
                  </w:tcMar>
                  <w:vAlign w:val="center"/>
                </w:tcPr>
                <w:p w14:paraId="7EAC97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854" w:type="dxa"/>
                  <w:gridSpan w:val="2"/>
                  <w:tcBorders>
                    <w:tl2br w:val="nil"/>
                    <w:tr2bl w:val="nil"/>
                  </w:tcBorders>
                  <w:shd w:val="clear" w:color="auto" w:fill="auto"/>
                  <w:noWrap w:val="0"/>
                  <w:tcMar>
                    <w:top w:w="0" w:type="dxa"/>
                    <w:left w:w="28" w:type="dxa"/>
                    <w:bottom w:w="0" w:type="dxa"/>
                    <w:right w:w="28" w:type="dxa"/>
                  </w:tcMar>
                  <w:vAlign w:val="center"/>
                </w:tcPr>
                <w:p w14:paraId="558583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DA002</w:t>
                  </w:r>
                </w:p>
              </w:tc>
              <w:tc>
                <w:tcPr>
                  <w:tcW w:w="495" w:type="dxa"/>
                  <w:tcBorders>
                    <w:tl2br w:val="nil"/>
                    <w:tr2bl w:val="nil"/>
                  </w:tcBorders>
                  <w:shd w:val="clear" w:color="auto" w:fill="auto"/>
                  <w:noWrap w:val="0"/>
                  <w:tcMar>
                    <w:top w:w="0" w:type="dxa"/>
                    <w:left w:w="28" w:type="dxa"/>
                    <w:bottom w:w="0" w:type="dxa"/>
                    <w:right w:w="28" w:type="dxa"/>
                  </w:tcMar>
                  <w:vAlign w:val="center"/>
                </w:tcPr>
                <w:p w14:paraId="2A832A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20</w:t>
                  </w:r>
                </w:p>
              </w:tc>
              <w:tc>
                <w:tcPr>
                  <w:tcW w:w="555" w:type="dxa"/>
                  <w:gridSpan w:val="3"/>
                  <w:tcBorders>
                    <w:tl2br w:val="nil"/>
                    <w:tr2bl w:val="nil"/>
                  </w:tcBorders>
                  <w:shd w:val="clear" w:color="auto" w:fill="auto"/>
                  <w:noWrap w:val="0"/>
                  <w:tcMar>
                    <w:top w:w="0" w:type="dxa"/>
                    <w:left w:w="28" w:type="dxa"/>
                    <w:bottom w:w="0" w:type="dxa"/>
                    <w:right w:w="28" w:type="dxa"/>
                  </w:tcMar>
                  <w:vAlign w:val="center"/>
                </w:tcPr>
                <w:p w14:paraId="29C230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0.5</w:t>
                  </w:r>
                </w:p>
              </w:tc>
              <w:tc>
                <w:tcPr>
                  <w:tcW w:w="575" w:type="dxa"/>
                  <w:tcBorders>
                    <w:tl2br w:val="nil"/>
                    <w:tr2bl w:val="nil"/>
                  </w:tcBorders>
                  <w:shd w:val="clear" w:color="auto" w:fill="auto"/>
                  <w:noWrap w:val="0"/>
                  <w:tcMar>
                    <w:top w:w="0" w:type="dxa"/>
                    <w:left w:w="28" w:type="dxa"/>
                    <w:bottom w:w="0" w:type="dxa"/>
                    <w:right w:w="28" w:type="dxa"/>
                  </w:tcMar>
                  <w:vAlign w:val="center"/>
                </w:tcPr>
                <w:p w14:paraId="4C3628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25</w:t>
                  </w:r>
                </w:p>
              </w:tc>
            </w:tr>
            <w:tr w14:paraId="45D581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continue"/>
                  <w:tcBorders>
                    <w:tl2br w:val="nil"/>
                    <w:tr2bl w:val="nil"/>
                  </w:tcBorders>
                  <w:noWrap w:val="0"/>
                  <w:vAlign w:val="center"/>
                </w:tcPr>
                <w:p w14:paraId="07ED3234">
                  <w:pPr>
                    <w:adjustRightInd w:val="0"/>
                    <w:snapToGrid w:val="0"/>
                    <w:jc w:val="center"/>
                    <w:rPr>
                      <w:rFonts w:hint="eastAsia" w:ascii="Times New Roman" w:hAnsi="Times New Roman" w:cs="宋体"/>
                      <w:color w:val="auto"/>
                      <w:sz w:val="24"/>
                      <w:szCs w:val="24"/>
                      <w:lang w:val="en-US" w:eastAsia="zh-CN"/>
                    </w:rPr>
                  </w:pPr>
                </w:p>
              </w:tc>
              <w:tc>
                <w:tcPr>
                  <w:tcW w:w="915" w:type="dxa"/>
                  <w:vMerge w:val="continue"/>
                  <w:tcBorders>
                    <w:tl2br w:val="nil"/>
                    <w:tr2bl w:val="nil"/>
                  </w:tcBorders>
                  <w:noWrap w:val="0"/>
                  <w:vAlign w:val="center"/>
                </w:tcPr>
                <w:p w14:paraId="6F38D6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7238EC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06EAC0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66285D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1567C5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79EA8B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3EDB22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260E36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7174E5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无组织</w:t>
                  </w:r>
                </w:p>
              </w:tc>
              <w:tc>
                <w:tcPr>
                  <w:tcW w:w="865" w:type="dxa"/>
                  <w:tcBorders>
                    <w:tl2br w:val="nil"/>
                    <w:tr2bl w:val="nil"/>
                  </w:tcBorders>
                  <w:shd w:val="clear" w:color="auto" w:fill="auto"/>
                  <w:noWrap w:val="0"/>
                  <w:vAlign w:val="center"/>
                </w:tcPr>
                <w:p w14:paraId="730542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0.0002</w:t>
                  </w:r>
                </w:p>
              </w:tc>
              <w:tc>
                <w:tcPr>
                  <w:tcW w:w="879" w:type="dxa"/>
                  <w:tcBorders>
                    <w:tl2br w:val="nil"/>
                    <w:tr2bl w:val="nil"/>
                  </w:tcBorders>
                  <w:shd w:val="clear" w:color="auto" w:fill="auto"/>
                  <w:noWrap w:val="0"/>
                  <w:tcMar>
                    <w:top w:w="0" w:type="dxa"/>
                    <w:left w:w="28" w:type="dxa"/>
                    <w:bottom w:w="0" w:type="dxa"/>
                    <w:right w:w="28" w:type="dxa"/>
                  </w:tcMar>
                  <w:vAlign w:val="center"/>
                </w:tcPr>
                <w:p w14:paraId="133C8A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0.0001</w:t>
                  </w:r>
                </w:p>
              </w:tc>
              <w:tc>
                <w:tcPr>
                  <w:tcW w:w="721" w:type="dxa"/>
                  <w:tcBorders>
                    <w:tl2br w:val="nil"/>
                    <w:tr2bl w:val="nil"/>
                  </w:tcBorders>
                  <w:shd w:val="clear" w:color="auto" w:fill="auto"/>
                  <w:noWrap w:val="0"/>
                  <w:tcMar>
                    <w:top w:w="0" w:type="dxa"/>
                    <w:left w:w="28" w:type="dxa"/>
                    <w:bottom w:w="0" w:type="dxa"/>
                    <w:right w:w="28" w:type="dxa"/>
                  </w:tcMar>
                  <w:vAlign w:val="center"/>
                </w:tcPr>
                <w:p w14:paraId="6464E7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shd w:val="clear" w:color="auto" w:fill="auto"/>
                  <w:noWrap w:val="0"/>
                  <w:tcMar>
                    <w:top w:w="0" w:type="dxa"/>
                    <w:left w:w="28" w:type="dxa"/>
                    <w:bottom w:w="0" w:type="dxa"/>
                    <w:right w:w="28" w:type="dxa"/>
                  </w:tcMar>
                  <w:vAlign w:val="center"/>
                </w:tcPr>
                <w:p w14:paraId="0AFE72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continue"/>
                  <w:tcBorders>
                    <w:tl2br w:val="nil"/>
                    <w:tr2bl w:val="nil"/>
                  </w:tcBorders>
                  <w:noWrap w:val="0"/>
                  <w:tcMar>
                    <w:top w:w="0" w:type="dxa"/>
                    <w:left w:w="28" w:type="dxa"/>
                    <w:bottom w:w="0" w:type="dxa"/>
                    <w:right w:w="28" w:type="dxa"/>
                  </w:tcMar>
                  <w:vAlign w:val="center"/>
                </w:tcPr>
                <w:p w14:paraId="6A6EBB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p>
              </w:tc>
              <w:tc>
                <w:tcPr>
                  <w:tcW w:w="2479" w:type="dxa"/>
                  <w:gridSpan w:val="7"/>
                  <w:tcBorders>
                    <w:tl2br w:val="nil"/>
                    <w:tr2bl w:val="nil"/>
                  </w:tcBorders>
                  <w:shd w:val="clear" w:color="auto" w:fill="auto"/>
                  <w:noWrap w:val="0"/>
                  <w:tcMar>
                    <w:top w:w="0" w:type="dxa"/>
                    <w:left w:w="28" w:type="dxa"/>
                    <w:bottom w:w="0" w:type="dxa"/>
                    <w:right w:w="28" w:type="dxa"/>
                  </w:tcMar>
                  <w:vAlign w:val="center"/>
                </w:tcPr>
                <w:p w14:paraId="422DA7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r>
            <w:tr w14:paraId="5514DC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10" w:hRule="atLeast"/>
                <w:jc w:val="center"/>
              </w:trPr>
              <w:tc>
                <w:tcPr>
                  <w:tcW w:w="898" w:type="dxa"/>
                  <w:vMerge w:val="restart"/>
                  <w:tcBorders>
                    <w:tl2br w:val="nil"/>
                    <w:tr2bl w:val="nil"/>
                  </w:tcBorders>
                  <w:noWrap w:val="0"/>
                  <w:vAlign w:val="center"/>
                </w:tcPr>
                <w:p w14:paraId="2EDD16F0">
                  <w:pPr>
                    <w:adjustRightInd w:val="0"/>
                    <w:snapToGrid w:val="0"/>
                    <w:jc w:val="center"/>
                    <w:rPr>
                      <w:rFonts w:hint="default"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w:t>
                  </w:r>
                </w:p>
              </w:tc>
              <w:tc>
                <w:tcPr>
                  <w:tcW w:w="915" w:type="dxa"/>
                  <w:vMerge w:val="restart"/>
                  <w:tcBorders>
                    <w:tl2br w:val="nil"/>
                    <w:tr2bl w:val="nil"/>
                  </w:tcBorders>
                  <w:noWrap w:val="0"/>
                  <w:vAlign w:val="center"/>
                </w:tcPr>
                <w:p w14:paraId="25D5F4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VOCs、乙醇、乙醚、丙酮（以非甲烷总烃计）</w:t>
                  </w:r>
                </w:p>
              </w:tc>
              <w:tc>
                <w:tcPr>
                  <w:tcW w:w="870" w:type="dxa"/>
                  <w:vMerge w:val="restart"/>
                  <w:tcBorders>
                    <w:tl2br w:val="nil"/>
                    <w:tr2bl w:val="nil"/>
                  </w:tcBorders>
                  <w:noWrap w:val="0"/>
                  <w:vAlign w:val="center"/>
                </w:tcPr>
                <w:p w14:paraId="1AF4EA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870" w:type="dxa"/>
                  <w:vMerge w:val="restart"/>
                  <w:tcBorders>
                    <w:tl2br w:val="nil"/>
                    <w:tr2bl w:val="nil"/>
                  </w:tcBorders>
                  <w:noWrap w:val="0"/>
                  <w:vAlign w:val="center"/>
                </w:tcPr>
                <w:p w14:paraId="63E994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70" w:type="dxa"/>
                  <w:vMerge w:val="restart"/>
                  <w:tcBorders>
                    <w:tl2br w:val="nil"/>
                    <w:tr2bl w:val="nil"/>
                  </w:tcBorders>
                  <w:noWrap w:val="0"/>
                  <w:vAlign w:val="center"/>
                </w:tcPr>
                <w:p w14:paraId="1952BF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585" w:type="dxa"/>
                  <w:vMerge w:val="restart"/>
                  <w:tcBorders>
                    <w:tl2br w:val="nil"/>
                    <w:tr2bl w:val="nil"/>
                  </w:tcBorders>
                  <w:noWrap w:val="0"/>
                  <w:vAlign w:val="center"/>
                </w:tcPr>
                <w:p w14:paraId="513EE0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85" w:type="dxa"/>
                  <w:vMerge w:val="restart"/>
                  <w:tcBorders>
                    <w:tl2br w:val="nil"/>
                    <w:tr2bl w:val="nil"/>
                  </w:tcBorders>
                  <w:noWrap w:val="0"/>
                  <w:vAlign w:val="center"/>
                </w:tcPr>
                <w:p w14:paraId="32727C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30" w:type="dxa"/>
                  <w:vMerge w:val="restart"/>
                  <w:tcBorders>
                    <w:tl2br w:val="nil"/>
                    <w:tr2bl w:val="nil"/>
                  </w:tcBorders>
                  <w:noWrap w:val="0"/>
                  <w:vAlign w:val="center"/>
                </w:tcPr>
                <w:p w14:paraId="731DB6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0" w:type="dxa"/>
                  <w:vMerge w:val="restart"/>
                  <w:tcBorders>
                    <w:tl2br w:val="nil"/>
                    <w:tr2bl w:val="nil"/>
                  </w:tcBorders>
                  <w:noWrap w:val="0"/>
                  <w:vAlign w:val="center"/>
                </w:tcPr>
                <w:p w14:paraId="5A40E1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97" w:type="dxa"/>
                  <w:tcBorders>
                    <w:tl2br w:val="nil"/>
                    <w:tr2bl w:val="nil"/>
                  </w:tcBorders>
                  <w:noWrap w:val="0"/>
                  <w:vAlign w:val="center"/>
                </w:tcPr>
                <w:p w14:paraId="129056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有组织</w:t>
                  </w:r>
                </w:p>
              </w:tc>
              <w:tc>
                <w:tcPr>
                  <w:tcW w:w="865" w:type="dxa"/>
                  <w:tcBorders>
                    <w:tl2br w:val="nil"/>
                    <w:tr2bl w:val="nil"/>
                  </w:tcBorders>
                  <w:noWrap w:val="0"/>
                  <w:vAlign w:val="center"/>
                </w:tcPr>
                <w:p w14:paraId="2D55A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0.524</w:t>
                  </w:r>
                </w:p>
              </w:tc>
              <w:tc>
                <w:tcPr>
                  <w:tcW w:w="879" w:type="dxa"/>
                  <w:vMerge w:val="restart"/>
                  <w:tcBorders>
                    <w:tl2br w:val="nil"/>
                    <w:tr2bl w:val="nil"/>
                  </w:tcBorders>
                  <w:noWrap w:val="0"/>
                  <w:tcMar>
                    <w:top w:w="0" w:type="dxa"/>
                    <w:left w:w="28" w:type="dxa"/>
                    <w:bottom w:w="0" w:type="dxa"/>
                    <w:right w:w="28" w:type="dxa"/>
                  </w:tcMar>
                  <w:vAlign w:val="center"/>
                </w:tcPr>
                <w:p w14:paraId="59827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721" w:type="dxa"/>
                  <w:vMerge w:val="restart"/>
                  <w:tcBorders>
                    <w:tl2br w:val="nil"/>
                    <w:tr2bl w:val="nil"/>
                  </w:tcBorders>
                  <w:noWrap w:val="0"/>
                  <w:tcMar>
                    <w:top w:w="0" w:type="dxa"/>
                    <w:left w:w="28" w:type="dxa"/>
                    <w:bottom w:w="0" w:type="dxa"/>
                    <w:right w:w="28" w:type="dxa"/>
                  </w:tcMar>
                  <w:vAlign w:val="center"/>
                </w:tcPr>
                <w:p w14:paraId="6FE399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vMerge w:val="restart"/>
                  <w:tcBorders>
                    <w:tl2br w:val="nil"/>
                    <w:tr2bl w:val="nil"/>
                  </w:tcBorders>
                  <w:noWrap w:val="0"/>
                  <w:tcMar>
                    <w:top w:w="0" w:type="dxa"/>
                    <w:left w:w="28" w:type="dxa"/>
                    <w:bottom w:w="0" w:type="dxa"/>
                    <w:right w:w="28" w:type="dxa"/>
                  </w:tcMar>
                  <w:vAlign w:val="center"/>
                </w:tcPr>
                <w:p w14:paraId="5E8812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restart"/>
                  <w:tcBorders>
                    <w:tl2br w:val="nil"/>
                    <w:tr2bl w:val="nil"/>
                  </w:tcBorders>
                  <w:noWrap w:val="0"/>
                  <w:tcMar>
                    <w:top w:w="0" w:type="dxa"/>
                    <w:left w:w="28" w:type="dxa"/>
                    <w:bottom w:w="0" w:type="dxa"/>
                    <w:right w:w="28" w:type="dxa"/>
                  </w:tcMar>
                  <w:vAlign w:val="center"/>
                </w:tcPr>
                <w:p w14:paraId="5BA9A3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2479" w:type="dxa"/>
                  <w:gridSpan w:val="7"/>
                  <w:vMerge w:val="restart"/>
                  <w:tcBorders>
                    <w:tl2br w:val="nil"/>
                    <w:tr2bl w:val="nil"/>
                  </w:tcBorders>
                  <w:noWrap w:val="0"/>
                  <w:tcMar>
                    <w:top w:w="0" w:type="dxa"/>
                    <w:left w:w="28" w:type="dxa"/>
                    <w:bottom w:w="0" w:type="dxa"/>
                    <w:right w:w="28" w:type="dxa"/>
                  </w:tcMar>
                  <w:vAlign w:val="center"/>
                </w:tcPr>
                <w:p w14:paraId="776B8B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r>
            <w:tr w14:paraId="6A528D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04" w:hRule="atLeast"/>
                <w:jc w:val="center"/>
              </w:trPr>
              <w:tc>
                <w:tcPr>
                  <w:tcW w:w="898" w:type="dxa"/>
                  <w:vMerge w:val="continue"/>
                  <w:tcBorders>
                    <w:tl2br w:val="nil"/>
                    <w:tr2bl w:val="nil"/>
                  </w:tcBorders>
                  <w:noWrap w:val="0"/>
                  <w:vAlign w:val="center"/>
                </w:tcPr>
                <w:p w14:paraId="59572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296D68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342ED2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5A63B2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3F2ECA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1BA965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281AE6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5B5211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74F46D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97" w:type="dxa"/>
                  <w:tcBorders>
                    <w:tl2br w:val="nil"/>
                    <w:tr2bl w:val="nil"/>
                  </w:tcBorders>
                  <w:noWrap w:val="0"/>
                  <w:vAlign w:val="center"/>
                </w:tcPr>
                <w:p w14:paraId="0C45FA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无组织</w:t>
                  </w:r>
                </w:p>
              </w:tc>
              <w:tc>
                <w:tcPr>
                  <w:tcW w:w="865" w:type="dxa"/>
                  <w:tcBorders>
                    <w:tl2br w:val="nil"/>
                    <w:tr2bl w:val="nil"/>
                  </w:tcBorders>
                  <w:noWrap w:val="0"/>
                  <w:vAlign w:val="center"/>
                </w:tcPr>
                <w:p w14:paraId="1B786D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0.2911</w:t>
                  </w:r>
                </w:p>
              </w:tc>
              <w:tc>
                <w:tcPr>
                  <w:tcW w:w="879" w:type="dxa"/>
                  <w:vMerge w:val="continue"/>
                  <w:tcBorders>
                    <w:tl2br w:val="nil"/>
                    <w:tr2bl w:val="nil"/>
                  </w:tcBorders>
                  <w:noWrap w:val="0"/>
                  <w:tcMar>
                    <w:top w:w="0" w:type="dxa"/>
                    <w:left w:w="28" w:type="dxa"/>
                    <w:bottom w:w="0" w:type="dxa"/>
                    <w:right w:w="28" w:type="dxa"/>
                  </w:tcMar>
                  <w:vAlign w:val="center"/>
                </w:tcPr>
                <w:p w14:paraId="18E531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721" w:type="dxa"/>
                  <w:vMerge w:val="continue"/>
                  <w:tcBorders>
                    <w:tl2br w:val="nil"/>
                    <w:tr2bl w:val="nil"/>
                  </w:tcBorders>
                  <w:noWrap w:val="0"/>
                  <w:tcMar>
                    <w:top w:w="0" w:type="dxa"/>
                    <w:left w:w="28" w:type="dxa"/>
                    <w:bottom w:w="0" w:type="dxa"/>
                    <w:right w:w="28" w:type="dxa"/>
                  </w:tcMar>
                  <w:vAlign w:val="center"/>
                </w:tcPr>
                <w:p w14:paraId="2EB4EB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67" w:type="dxa"/>
                  <w:vMerge w:val="continue"/>
                  <w:tcBorders>
                    <w:tl2br w:val="nil"/>
                    <w:tr2bl w:val="nil"/>
                  </w:tcBorders>
                  <w:noWrap w:val="0"/>
                  <w:tcMar>
                    <w:top w:w="0" w:type="dxa"/>
                    <w:left w:w="28" w:type="dxa"/>
                    <w:bottom w:w="0" w:type="dxa"/>
                    <w:right w:w="28" w:type="dxa"/>
                  </w:tcMar>
                  <w:vAlign w:val="center"/>
                </w:tcPr>
                <w:p w14:paraId="6D7325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92" w:type="dxa"/>
                  <w:vMerge w:val="continue"/>
                  <w:tcBorders>
                    <w:tl2br w:val="nil"/>
                    <w:tr2bl w:val="nil"/>
                  </w:tcBorders>
                  <w:noWrap w:val="0"/>
                  <w:tcMar>
                    <w:top w:w="0" w:type="dxa"/>
                    <w:left w:w="28" w:type="dxa"/>
                    <w:bottom w:w="0" w:type="dxa"/>
                    <w:right w:w="28" w:type="dxa"/>
                  </w:tcMar>
                  <w:vAlign w:val="center"/>
                </w:tcPr>
                <w:p w14:paraId="79BFA5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2479" w:type="dxa"/>
                  <w:gridSpan w:val="7"/>
                  <w:vMerge w:val="continue"/>
                  <w:tcBorders>
                    <w:tl2br w:val="nil"/>
                    <w:tr2bl w:val="nil"/>
                  </w:tcBorders>
                  <w:noWrap w:val="0"/>
                  <w:tcMar>
                    <w:top w:w="0" w:type="dxa"/>
                    <w:left w:w="28" w:type="dxa"/>
                    <w:bottom w:w="0" w:type="dxa"/>
                    <w:right w:w="28" w:type="dxa"/>
                  </w:tcMar>
                  <w:vAlign w:val="center"/>
                </w:tcPr>
                <w:p w14:paraId="3FFB6E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r>
            <w:tr w14:paraId="523BB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898" w:type="dxa"/>
                  <w:vMerge w:val="continue"/>
                  <w:tcBorders>
                    <w:tl2br w:val="nil"/>
                    <w:tr2bl w:val="nil"/>
                  </w:tcBorders>
                  <w:noWrap w:val="0"/>
                  <w:vAlign w:val="center"/>
                </w:tcPr>
                <w:p w14:paraId="3D1395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44906C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67DE48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178A0E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4C312B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7BE37D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4284AE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692A94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7499B0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97" w:type="dxa"/>
                  <w:tcBorders>
                    <w:tl2br w:val="nil"/>
                    <w:tr2bl w:val="nil"/>
                  </w:tcBorders>
                  <w:noWrap w:val="0"/>
                  <w:vAlign w:val="center"/>
                </w:tcPr>
                <w:p w14:paraId="05CC70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合计</w:t>
                  </w:r>
                </w:p>
              </w:tc>
              <w:tc>
                <w:tcPr>
                  <w:tcW w:w="865" w:type="dxa"/>
                  <w:tcBorders>
                    <w:tl2br w:val="nil"/>
                    <w:tr2bl w:val="nil"/>
                  </w:tcBorders>
                  <w:noWrap w:val="0"/>
                  <w:vAlign w:val="center"/>
                </w:tcPr>
                <w:p w14:paraId="315159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0.8151</w:t>
                  </w:r>
                </w:p>
              </w:tc>
              <w:tc>
                <w:tcPr>
                  <w:tcW w:w="879" w:type="dxa"/>
                  <w:vMerge w:val="continue"/>
                  <w:tcBorders>
                    <w:tl2br w:val="nil"/>
                    <w:tr2bl w:val="nil"/>
                  </w:tcBorders>
                  <w:noWrap w:val="0"/>
                  <w:tcMar>
                    <w:top w:w="0" w:type="dxa"/>
                    <w:left w:w="28" w:type="dxa"/>
                    <w:bottom w:w="0" w:type="dxa"/>
                    <w:right w:w="28" w:type="dxa"/>
                  </w:tcMar>
                  <w:vAlign w:val="center"/>
                </w:tcPr>
                <w:p w14:paraId="7EEF1E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721" w:type="dxa"/>
                  <w:vMerge w:val="continue"/>
                  <w:tcBorders>
                    <w:tl2br w:val="nil"/>
                    <w:tr2bl w:val="nil"/>
                  </w:tcBorders>
                  <w:noWrap w:val="0"/>
                  <w:tcMar>
                    <w:top w:w="0" w:type="dxa"/>
                    <w:left w:w="28" w:type="dxa"/>
                    <w:bottom w:w="0" w:type="dxa"/>
                    <w:right w:w="28" w:type="dxa"/>
                  </w:tcMar>
                  <w:vAlign w:val="center"/>
                </w:tcPr>
                <w:p w14:paraId="5B4AE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67" w:type="dxa"/>
                  <w:vMerge w:val="continue"/>
                  <w:tcBorders>
                    <w:tl2br w:val="nil"/>
                    <w:tr2bl w:val="nil"/>
                  </w:tcBorders>
                  <w:noWrap w:val="0"/>
                  <w:tcMar>
                    <w:top w:w="0" w:type="dxa"/>
                    <w:left w:w="28" w:type="dxa"/>
                    <w:bottom w:w="0" w:type="dxa"/>
                    <w:right w:w="28" w:type="dxa"/>
                  </w:tcMar>
                  <w:vAlign w:val="center"/>
                </w:tcPr>
                <w:p w14:paraId="5039C0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92" w:type="dxa"/>
                  <w:vMerge w:val="continue"/>
                  <w:tcBorders>
                    <w:tl2br w:val="nil"/>
                    <w:tr2bl w:val="nil"/>
                  </w:tcBorders>
                  <w:noWrap w:val="0"/>
                  <w:tcMar>
                    <w:top w:w="0" w:type="dxa"/>
                    <w:left w:w="28" w:type="dxa"/>
                    <w:bottom w:w="0" w:type="dxa"/>
                    <w:right w:w="28" w:type="dxa"/>
                  </w:tcMar>
                  <w:vAlign w:val="center"/>
                </w:tcPr>
                <w:p w14:paraId="11F4C4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2479" w:type="dxa"/>
                  <w:gridSpan w:val="7"/>
                  <w:vMerge w:val="continue"/>
                  <w:tcBorders>
                    <w:tl2br w:val="nil"/>
                    <w:tr2bl w:val="nil"/>
                  </w:tcBorders>
                  <w:noWrap w:val="0"/>
                  <w:tcMar>
                    <w:top w:w="0" w:type="dxa"/>
                    <w:left w:w="28" w:type="dxa"/>
                    <w:bottom w:w="0" w:type="dxa"/>
                    <w:right w:w="28" w:type="dxa"/>
                  </w:tcMar>
                  <w:vAlign w:val="center"/>
                </w:tcPr>
                <w:p w14:paraId="5FAEAB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r>
            <w:tr w14:paraId="4E7744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898" w:type="dxa"/>
                  <w:tcBorders>
                    <w:tl2br w:val="nil"/>
                    <w:tr2bl w:val="nil"/>
                  </w:tcBorders>
                  <w:noWrap w:val="0"/>
                  <w:vAlign w:val="center"/>
                </w:tcPr>
                <w:p w14:paraId="2EC0F8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粗磨、抛光投料废气</w:t>
                  </w:r>
                </w:p>
              </w:tc>
              <w:tc>
                <w:tcPr>
                  <w:tcW w:w="915" w:type="dxa"/>
                  <w:tcBorders>
                    <w:tl2br w:val="nil"/>
                    <w:tr2bl w:val="nil"/>
                  </w:tcBorders>
                  <w:noWrap w:val="0"/>
                  <w:vAlign w:val="center"/>
                </w:tcPr>
                <w:p w14:paraId="00CA24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颗粒物</w:t>
                  </w:r>
                </w:p>
              </w:tc>
              <w:tc>
                <w:tcPr>
                  <w:tcW w:w="870" w:type="dxa"/>
                  <w:tcBorders>
                    <w:tl2br w:val="nil"/>
                    <w:tr2bl w:val="nil"/>
                  </w:tcBorders>
                  <w:noWrap w:val="0"/>
                  <w:vAlign w:val="center"/>
                </w:tcPr>
                <w:p w14:paraId="530E05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0.00042</w:t>
                  </w:r>
                </w:p>
              </w:tc>
              <w:tc>
                <w:tcPr>
                  <w:tcW w:w="870" w:type="dxa"/>
                  <w:tcBorders>
                    <w:tl2br w:val="nil"/>
                    <w:tr2bl w:val="nil"/>
                  </w:tcBorders>
                  <w:noWrap w:val="0"/>
                  <w:vAlign w:val="center"/>
                </w:tcPr>
                <w:p w14:paraId="553CDF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70" w:type="dxa"/>
                  <w:tcBorders>
                    <w:tl2br w:val="nil"/>
                    <w:tr2bl w:val="nil"/>
                  </w:tcBorders>
                  <w:noWrap w:val="0"/>
                  <w:vAlign w:val="center"/>
                </w:tcPr>
                <w:p w14:paraId="74B52D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车间密闭</w:t>
                  </w:r>
                </w:p>
              </w:tc>
              <w:tc>
                <w:tcPr>
                  <w:tcW w:w="585" w:type="dxa"/>
                  <w:tcBorders>
                    <w:tl2br w:val="nil"/>
                    <w:tr2bl w:val="nil"/>
                  </w:tcBorders>
                  <w:noWrap w:val="0"/>
                  <w:vAlign w:val="center"/>
                </w:tcPr>
                <w:p w14:paraId="6B4B9E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85" w:type="dxa"/>
                  <w:tcBorders>
                    <w:tl2br w:val="nil"/>
                    <w:tr2bl w:val="nil"/>
                  </w:tcBorders>
                  <w:noWrap w:val="0"/>
                  <w:vAlign w:val="center"/>
                </w:tcPr>
                <w:p w14:paraId="244A2C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30" w:type="dxa"/>
                  <w:tcBorders>
                    <w:tl2br w:val="nil"/>
                    <w:tr2bl w:val="nil"/>
                  </w:tcBorders>
                  <w:noWrap w:val="0"/>
                  <w:vAlign w:val="center"/>
                </w:tcPr>
                <w:p w14:paraId="1A5977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0" w:type="dxa"/>
                  <w:tcBorders>
                    <w:tl2br w:val="nil"/>
                    <w:tr2bl w:val="nil"/>
                  </w:tcBorders>
                  <w:noWrap w:val="0"/>
                  <w:vAlign w:val="center"/>
                </w:tcPr>
                <w:p w14:paraId="6981B2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97" w:type="dxa"/>
                  <w:tcBorders>
                    <w:tl2br w:val="nil"/>
                    <w:tr2bl w:val="nil"/>
                  </w:tcBorders>
                  <w:noWrap w:val="0"/>
                  <w:vAlign w:val="center"/>
                </w:tcPr>
                <w:p w14:paraId="0FEA63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无组织</w:t>
                  </w:r>
                </w:p>
              </w:tc>
              <w:tc>
                <w:tcPr>
                  <w:tcW w:w="865" w:type="dxa"/>
                  <w:tcBorders>
                    <w:tl2br w:val="nil"/>
                    <w:tr2bl w:val="nil"/>
                  </w:tcBorders>
                  <w:noWrap w:val="0"/>
                  <w:vAlign w:val="center"/>
                </w:tcPr>
                <w:p w14:paraId="29C0ED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0.00042</w:t>
                  </w:r>
                </w:p>
              </w:tc>
              <w:tc>
                <w:tcPr>
                  <w:tcW w:w="879" w:type="dxa"/>
                  <w:tcBorders>
                    <w:tl2br w:val="nil"/>
                    <w:tr2bl w:val="nil"/>
                  </w:tcBorders>
                  <w:noWrap w:val="0"/>
                  <w:tcMar>
                    <w:top w:w="0" w:type="dxa"/>
                    <w:left w:w="28" w:type="dxa"/>
                    <w:bottom w:w="0" w:type="dxa"/>
                    <w:right w:w="28" w:type="dxa"/>
                  </w:tcMar>
                  <w:vAlign w:val="center"/>
                </w:tcPr>
                <w:p w14:paraId="1A57CC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721" w:type="dxa"/>
                  <w:tcBorders>
                    <w:tl2br w:val="nil"/>
                    <w:tr2bl w:val="nil"/>
                  </w:tcBorders>
                  <w:noWrap w:val="0"/>
                  <w:tcMar>
                    <w:top w:w="0" w:type="dxa"/>
                    <w:left w:w="28" w:type="dxa"/>
                    <w:bottom w:w="0" w:type="dxa"/>
                    <w:right w:w="28" w:type="dxa"/>
                  </w:tcMar>
                  <w:vAlign w:val="center"/>
                </w:tcPr>
                <w:p w14:paraId="06B1CA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noWrap w:val="0"/>
                  <w:tcMar>
                    <w:top w:w="0" w:type="dxa"/>
                    <w:left w:w="28" w:type="dxa"/>
                    <w:bottom w:w="0" w:type="dxa"/>
                    <w:right w:w="28" w:type="dxa"/>
                  </w:tcMar>
                  <w:vAlign w:val="center"/>
                </w:tcPr>
                <w:p w14:paraId="05F3E0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tcBorders>
                    <w:tl2br w:val="nil"/>
                    <w:tr2bl w:val="nil"/>
                  </w:tcBorders>
                  <w:noWrap w:val="0"/>
                  <w:tcMar>
                    <w:top w:w="0" w:type="dxa"/>
                    <w:left w:w="28" w:type="dxa"/>
                    <w:bottom w:w="0" w:type="dxa"/>
                    <w:right w:w="28" w:type="dxa"/>
                  </w:tcMar>
                  <w:vAlign w:val="center"/>
                </w:tcPr>
                <w:p w14:paraId="012EDB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2479" w:type="dxa"/>
                  <w:gridSpan w:val="7"/>
                  <w:tcBorders>
                    <w:tl2br w:val="nil"/>
                    <w:tr2bl w:val="nil"/>
                  </w:tcBorders>
                  <w:noWrap w:val="0"/>
                  <w:tcMar>
                    <w:top w:w="0" w:type="dxa"/>
                    <w:left w:w="28" w:type="dxa"/>
                    <w:bottom w:w="0" w:type="dxa"/>
                    <w:right w:w="28" w:type="dxa"/>
                  </w:tcMar>
                  <w:vAlign w:val="center"/>
                </w:tcPr>
                <w:p w14:paraId="0DDC8D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r>
            <w:tr w14:paraId="1A732A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14613" w:type="dxa"/>
                  <w:gridSpan w:val="22"/>
                  <w:tcBorders>
                    <w:tl2br w:val="nil"/>
                    <w:tr2bl w:val="nil"/>
                  </w:tcBorders>
                  <w:noWrap w:val="0"/>
                  <w:vAlign w:val="center"/>
                </w:tcPr>
                <w:p w14:paraId="025A628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cs="Times New Roman"/>
                      <w:color w:val="auto"/>
                      <w:kern w:val="0"/>
                      <w:sz w:val="21"/>
                      <w:szCs w:val="20"/>
                      <w:lang w:val="en-US" w:eastAsia="zh-CN" w:bidi="ar-SA"/>
                    </w:rPr>
                  </w:pPr>
                  <w:r>
                    <w:rPr>
                      <w:rFonts w:hint="eastAsia"/>
                      <w:b w:val="0"/>
                      <w:bCs/>
                      <w:color w:val="auto"/>
                      <w:spacing w:val="-3"/>
                      <w:sz w:val="18"/>
                      <w:szCs w:val="21"/>
                      <w:lang w:val="en-US" w:eastAsia="zh-CN"/>
                    </w:rPr>
                    <w:t>注：</w:t>
                  </w:r>
                  <w:r>
                    <w:rPr>
                      <w:b w:val="0"/>
                      <w:bCs/>
                      <w:color w:val="auto"/>
                      <w:spacing w:val="-3"/>
                      <w:sz w:val="18"/>
                      <w:szCs w:val="21"/>
                    </w:rPr>
                    <w:t>涉及的原辅料产生的废气</w:t>
                  </w:r>
                  <w:r>
                    <w:rPr>
                      <w:rFonts w:hint="eastAsia"/>
                      <w:b w:val="0"/>
                      <w:bCs/>
                      <w:color w:val="auto"/>
                      <w:spacing w:val="-3"/>
                      <w:sz w:val="18"/>
                      <w:szCs w:val="21"/>
                      <w:lang w:val="en-US" w:eastAsia="zh-CN"/>
                    </w:rPr>
                    <w:t>VOC</w:t>
                  </w:r>
                  <w:r>
                    <w:rPr>
                      <w:rFonts w:hint="eastAsia"/>
                      <w:b w:val="0"/>
                      <w:bCs/>
                      <w:color w:val="auto"/>
                      <w:spacing w:val="-3"/>
                      <w:sz w:val="18"/>
                      <w:szCs w:val="21"/>
                      <w:vertAlign w:val="subscript"/>
                      <w:lang w:val="en-US" w:eastAsia="zh-CN"/>
                    </w:rPr>
                    <w:t>S</w:t>
                  </w:r>
                  <w:r>
                    <w:rPr>
                      <w:b w:val="0"/>
                      <w:bCs/>
                      <w:color w:val="auto"/>
                      <w:spacing w:val="-3"/>
                      <w:sz w:val="18"/>
                      <w:szCs w:val="21"/>
                    </w:rPr>
                    <w:t>，乙醇、乙醚、丙酮计</w:t>
                  </w:r>
                  <w:r>
                    <w:rPr>
                      <w:b w:val="0"/>
                      <w:bCs/>
                      <w:color w:val="auto"/>
                      <w:spacing w:val="-9"/>
                      <w:w w:val="95"/>
                      <w:sz w:val="18"/>
                      <w:szCs w:val="21"/>
                    </w:rPr>
                    <w:t>入非甲烷总烃，统一以非甲烷总烃计，丙酮</w:t>
                  </w:r>
                  <w:r>
                    <w:rPr>
                      <w:rFonts w:hint="eastAsia"/>
                      <w:b w:val="0"/>
                      <w:bCs/>
                      <w:color w:val="auto"/>
                      <w:spacing w:val="-9"/>
                      <w:w w:val="95"/>
                      <w:sz w:val="18"/>
                      <w:szCs w:val="21"/>
                      <w:lang w:eastAsia="zh-CN"/>
                    </w:rPr>
                    <w:t>、</w:t>
                  </w:r>
                  <w:r>
                    <w:rPr>
                      <w:b w:val="0"/>
                      <w:bCs/>
                      <w:color w:val="auto"/>
                      <w:spacing w:val="-9"/>
                      <w:w w:val="95"/>
                      <w:sz w:val="18"/>
                      <w:szCs w:val="21"/>
                    </w:rPr>
                    <w:t>乙醇、乙醚因</w:t>
                  </w:r>
                  <w:r>
                    <w:rPr>
                      <w:rFonts w:hint="eastAsia"/>
                      <w:b w:val="0"/>
                      <w:bCs/>
                      <w:color w:val="auto"/>
                      <w:spacing w:val="-9"/>
                      <w:w w:val="95"/>
                      <w:sz w:val="18"/>
                      <w:szCs w:val="21"/>
                      <w:lang w:val="en-US" w:eastAsia="zh-CN"/>
                    </w:rPr>
                    <w:t>无</w:t>
                  </w:r>
                  <w:r>
                    <w:rPr>
                      <w:b w:val="0"/>
                      <w:bCs/>
                      <w:color w:val="auto"/>
                      <w:spacing w:val="-9"/>
                      <w:w w:val="95"/>
                      <w:sz w:val="18"/>
                      <w:szCs w:val="21"/>
                    </w:rPr>
                    <w:t>单独的排放标准、检测及分析方法，</w:t>
                  </w:r>
                  <w:r>
                    <w:rPr>
                      <w:b w:val="0"/>
                      <w:bCs/>
                      <w:color w:val="auto"/>
                      <w:spacing w:val="-9"/>
                      <w:sz w:val="18"/>
                      <w:szCs w:val="21"/>
                    </w:rPr>
                    <w:t>故产排情况</w:t>
                  </w:r>
                  <w:r>
                    <w:rPr>
                      <w:rFonts w:hint="eastAsia"/>
                      <w:b w:val="0"/>
                      <w:bCs/>
                      <w:color w:val="auto"/>
                      <w:spacing w:val="-9"/>
                      <w:sz w:val="18"/>
                      <w:szCs w:val="21"/>
                      <w:lang w:eastAsia="zh-CN"/>
                    </w:rPr>
                    <w:t>不</w:t>
                  </w:r>
                  <w:r>
                    <w:rPr>
                      <w:b w:val="0"/>
                      <w:bCs/>
                      <w:color w:val="auto"/>
                      <w:spacing w:val="-9"/>
                      <w:sz w:val="18"/>
                      <w:szCs w:val="21"/>
                    </w:rPr>
                    <w:t>单独列出。</w:t>
                  </w:r>
                </w:p>
              </w:tc>
            </w:tr>
          </w:tbl>
          <w:p w14:paraId="7C1E9478">
            <w:pPr>
              <w:bidi w:val="0"/>
              <w:jc w:val="both"/>
              <w:rPr>
                <w:rFonts w:hint="default" w:ascii="Times New Roman" w:hAnsi="Times New Roman" w:eastAsia="宋体" w:cs="Times New Roman"/>
                <w:color w:val="auto"/>
                <w:lang w:val="en-US" w:eastAsia="zh-CN"/>
              </w:rPr>
            </w:pPr>
          </w:p>
        </w:tc>
      </w:tr>
    </w:tbl>
    <w:p w14:paraId="4992DBF4">
      <w:pPr>
        <w:rPr>
          <w:rFonts w:hint="eastAsia" w:ascii="Times New Roman" w:hAnsi="Times New Roman"/>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5"/>
        <w:gridCol w:w="8685"/>
      </w:tblGrid>
      <w:tr w14:paraId="4C2470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88" w:hRule="atLeast"/>
          <w:jc w:val="center"/>
        </w:trPr>
        <w:tc>
          <w:tcPr>
            <w:tcW w:w="746" w:type="dxa"/>
            <w:noWrap w:val="0"/>
            <w:tcMar>
              <w:left w:w="28" w:type="dxa"/>
              <w:right w:w="28" w:type="dxa"/>
            </w:tcMar>
            <w:vAlign w:val="center"/>
          </w:tcPr>
          <w:p w14:paraId="529E8076">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运营</w:t>
            </w:r>
          </w:p>
          <w:p w14:paraId="14086499">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期环</w:t>
            </w:r>
          </w:p>
          <w:p w14:paraId="14B601BD">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境影</w:t>
            </w:r>
          </w:p>
          <w:p w14:paraId="44FF43AE">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响和</w:t>
            </w:r>
          </w:p>
          <w:p w14:paraId="2B42B53D">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保护</w:t>
            </w:r>
          </w:p>
          <w:p w14:paraId="7721189C">
            <w:pPr>
              <w:adjustRightInd w:val="0"/>
              <w:snapToGrid w:val="0"/>
              <w:jc w:val="both"/>
              <w:rPr>
                <w:rFonts w:ascii="Times New Roman" w:hAnsi="Times New Roman" w:eastAsia="宋体" w:cs="宋体"/>
                <w:bCs/>
                <w:color w:val="auto"/>
                <w:szCs w:val="21"/>
              </w:rPr>
            </w:pPr>
            <w:r>
              <w:rPr>
                <w:rFonts w:hint="eastAsia" w:ascii="Times New Roman" w:hAnsi="Times New Roman" w:cs="宋体"/>
                <w:color w:val="auto"/>
                <w:sz w:val="24"/>
                <w:szCs w:val="24"/>
              </w:rPr>
              <w:t>措施</w:t>
            </w:r>
          </w:p>
        </w:tc>
        <w:tc>
          <w:tcPr>
            <w:tcW w:w="8162" w:type="dxa"/>
            <w:noWrap w:val="0"/>
            <w:vAlign w:val="center"/>
          </w:tcPr>
          <w:p w14:paraId="6099C576">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92" w:name="_Toc14412"/>
            <w:r>
              <w:rPr>
                <w:rFonts w:hint="eastAsia" w:ascii="Times New Roman" w:hAnsi="Times New Roman" w:eastAsia="宋体" w:cs="Times New Roman"/>
                <w:b/>
                <w:color w:val="auto"/>
                <w:kern w:val="2"/>
                <w:sz w:val="24"/>
                <w:szCs w:val="24"/>
                <w:lang w:val="en-US" w:eastAsia="zh-CN" w:bidi="ar-SA"/>
              </w:rPr>
              <w:t>4.2.2运营期废气治理措施及达标分析</w:t>
            </w:r>
            <w:bookmarkEnd w:id="92"/>
          </w:p>
          <w:p w14:paraId="7456089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本项目运营期产生的废气的污染物因子均为</w:t>
            </w:r>
            <w:r>
              <w:rPr>
                <w:rFonts w:hint="eastAsia" w:cs="宋体"/>
                <w:color w:val="auto"/>
                <w:kern w:val="2"/>
                <w:sz w:val="24"/>
                <w:szCs w:val="24"/>
                <w:lang w:val="en-US" w:eastAsia="zh-CN" w:bidi="ar-SA"/>
              </w:rPr>
              <w:t>VOCs、乙醇、乙醚、丙酮（以非甲烷总烃计）</w:t>
            </w:r>
            <w:r>
              <w:rPr>
                <w:rFonts w:hint="eastAsia" w:ascii="Times New Roman" w:hAnsi="Times New Roman" w:eastAsia="宋体" w:cs="宋体"/>
                <w:color w:val="auto"/>
                <w:kern w:val="2"/>
                <w:sz w:val="24"/>
                <w:szCs w:val="24"/>
                <w:lang w:val="en-US" w:eastAsia="zh-CN" w:bidi="ar-SA"/>
              </w:rPr>
              <w:t>。</w:t>
            </w:r>
          </w:p>
          <w:p w14:paraId="7CCD10A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w:t>
            </w:r>
            <w:r>
              <w:rPr>
                <w:rFonts w:hint="eastAsia" w:cs="宋体"/>
                <w:color w:val="auto"/>
                <w:kern w:val="2"/>
                <w:sz w:val="24"/>
                <w:szCs w:val="24"/>
                <w:lang w:val="en-US" w:eastAsia="zh-CN" w:bidi="ar-SA"/>
              </w:rPr>
              <w:t>VOCs、乙醇、乙醚、丙酮（以非甲烷总烃计）</w:t>
            </w:r>
            <w:r>
              <w:rPr>
                <w:rFonts w:hint="eastAsia" w:ascii="Times New Roman" w:hAnsi="Times New Roman" w:eastAsia="宋体" w:cs="宋体"/>
                <w:color w:val="auto"/>
                <w:kern w:val="2"/>
                <w:sz w:val="24"/>
                <w:szCs w:val="24"/>
                <w:lang w:val="en-US" w:eastAsia="zh-CN" w:bidi="ar-SA"/>
              </w:rPr>
              <w:t>治理措施可行性分析</w:t>
            </w:r>
          </w:p>
          <w:p w14:paraId="34310DB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目前对有机废气的去除方法可分为燃烧法、溶剂吸收法和活性炭吸收法等。目前常用有机废气处理方法的优缺点比较见表4.</w:t>
            </w:r>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w:t>
            </w:r>
          </w:p>
          <w:p w14:paraId="659C73B9">
            <w:pPr>
              <w:widowControl w:val="0"/>
              <w:bidi w:val="0"/>
              <w:adjustRightInd w:val="0"/>
              <w:snapToGrid w:val="0"/>
              <w:spacing w:before="10" w:beforeLines="10" w:after="10" w:afterLines="10"/>
              <w:ind w:firstLine="482" w:firstLineChars="20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表4.2-</w:t>
            </w:r>
            <w:r>
              <w:rPr>
                <w:rFonts w:hint="eastAsia" w:cs="Times New Roman"/>
                <w:b/>
                <w:color w:val="auto"/>
                <w:kern w:val="0"/>
                <w:sz w:val="24"/>
                <w:szCs w:val="20"/>
                <w:lang w:val="en-US" w:eastAsia="zh-CN" w:bidi="ar-SA"/>
              </w:rPr>
              <w:t xml:space="preserve">2  </w:t>
            </w:r>
            <w:r>
              <w:rPr>
                <w:rFonts w:hint="eastAsia" w:ascii="Times New Roman" w:hAnsi="Times New Roman" w:eastAsia="宋体" w:cs="Times New Roman"/>
                <w:b/>
                <w:color w:val="auto"/>
                <w:kern w:val="0"/>
                <w:sz w:val="24"/>
                <w:szCs w:val="20"/>
                <w:lang w:val="en-US" w:eastAsia="zh-CN" w:bidi="ar-SA"/>
              </w:rPr>
              <w:t>常见有机废气处理方法比较</w:t>
            </w:r>
          </w:p>
          <w:tbl>
            <w:tblPr>
              <w:tblStyle w:val="19"/>
              <w:tblW w:w="843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1687"/>
              <w:gridCol w:w="1687"/>
              <w:gridCol w:w="1687"/>
              <w:gridCol w:w="1690"/>
            </w:tblGrid>
            <w:tr w14:paraId="40298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87" w:type="dxa"/>
                  <w:tcBorders>
                    <w:tl2br w:val="nil"/>
                    <w:tr2bl w:val="nil"/>
                  </w:tcBorders>
                  <w:noWrap w:val="0"/>
                  <w:vAlign w:val="center"/>
                </w:tcPr>
                <w:p w14:paraId="08631A7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项目</w:t>
                  </w:r>
                </w:p>
              </w:tc>
              <w:tc>
                <w:tcPr>
                  <w:tcW w:w="1687" w:type="dxa"/>
                  <w:tcBorders>
                    <w:tl2br w:val="nil"/>
                    <w:tr2bl w:val="nil"/>
                  </w:tcBorders>
                  <w:noWrap w:val="0"/>
                  <w:vAlign w:val="center"/>
                </w:tcPr>
                <w:p w14:paraId="6F10EF5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催化燃烧法</w:t>
                  </w:r>
                </w:p>
              </w:tc>
              <w:tc>
                <w:tcPr>
                  <w:tcW w:w="1687" w:type="dxa"/>
                  <w:tcBorders>
                    <w:tl2br w:val="nil"/>
                    <w:tr2bl w:val="nil"/>
                  </w:tcBorders>
                  <w:noWrap w:val="0"/>
                  <w:vAlign w:val="center"/>
                </w:tcPr>
                <w:p w14:paraId="7193446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活性炭吸附法</w:t>
                  </w:r>
                </w:p>
              </w:tc>
              <w:tc>
                <w:tcPr>
                  <w:tcW w:w="1687" w:type="dxa"/>
                  <w:tcBorders>
                    <w:tl2br w:val="nil"/>
                    <w:tr2bl w:val="nil"/>
                  </w:tcBorders>
                  <w:noWrap w:val="0"/>
                  <w:vAlign w:val="center"/>
                </w:tcPr>
                <w:p w14:paraId="7720C9A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溶剂吸收法</w:t>
                  </w:r>
                </w:p>
              </w:tc>
              <w:tc>
                <w:tcPr>
                  <w:tcW w:w="1690" w:type="dxa"/>
                  <w:tcBorders>
                    <w:tl2br w:val="nil"/>
                    <w:tr2bl w:val="nil"/>
                  </w:tcBorders>
                  <w:noWrap w:val="0"/>
                  <w:vAlign w:val="center"/>
                </w:tcPr>
                <w:p w14:paraId="7013A28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直接燃烧法</w:t>
                  </w:r>
                </w:p>
              </w:tc>
            </w:tr>
            <w:tr w14:paraId="088C57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87" w:type="dxa"/>
                  <w:tcBorders>
                    <w:tl2br w:val="nil"/>
                    <w:tr2bl w:val="nil"/>
                  </w:tcBorders>
                  <w:noWrap w:val="0"/>
                  <w:vAlign w:val="center"/>
                </w:tcPr>
                <w:p w14:paraId="25D2EB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适用范围</w:t>
                  </w:r>
                </w:p>
              </w:tc>
              <w:tc>
                <w:tcPr>
                  <w:tcW w:w="1687" w:type="dxa"/>
                  <w:tcBorders>
                    <w:tl2br w:val="nil"/>
                    <w:tr2bl w:val="nil"/>
                  </w:tcBorders>
                  <w:noWrap w:val="0"/>
                  <w:vAlign w:val="center"/>
                </w:tcPr>
                <w:p w14:paraId="412312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连续生产的高浓度有机废气</w:t>
                  </w:r>
                </w:p>
              </w:tc>
              <w:tc>
                <w:tcPr>
                  <w:tcW w:w="1687" w:type="dxa"/>
                  <w:tcBorders>
                    <w:tl2br w:val="nil"/>
                    <w:tr2bl w:val="nil"/>
                  </w:tcBorders>
                  <w:noWrap w:val="0"/>
                  <w:vAlign w:val="center"/>
                </w:tcPr>
                <w:p w14:paraId="31F44A4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间歇式生产低浓度有机废气</w:t>
                  </w:r>
                </w:p>
                <w:p w14:paraId="1CF0AC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1687" w:type="dxa"/>
                  <w:tcBorders>
                    <w:tl2br w:val="nil"/>
                    <w:tr2bl w:val="nil"/>
                  </w:tcBorders>
                  <w:noWrap w:val="0"/>
                  <w:vAlign w:val="center"/>
                </w:tcPr>
                <w:p w14:paraId="174CB78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低浓度有机废气</w:t>
                  </w:r>
                </w:p>
                <w:p w14:paraId="0F8BF1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c>
                <w:tcPr>
                  <w:tcW w:w="1690" w:type="dxa"/>
                  <w:tcBorders>
                    <w:tl2br w:val="nil"/>
                    <w:tr2bl w:val="nil"/>
                  </w:tcBorders>
                  <w:noWrap w:val="0"/>
                  <w:vAlign w:val="center"/>
                </w:tcPr>
                <w:p w14:paraId="745DAE1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连续生产的高浓度有机废气</w:t>
                  </w:r>
                </w:p>
                <w:p w14:paraId="6AC258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p>
              </w:tc>
            </w:tr>
            <w:tr w14:paraId="1B73D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87" w:type="dxa"/>
                  <w:tcBorders>
                    <w:tl2br w:val="nil"/>
                    <w:tr2bl w:val="nil"/>
                  </w:tcBorders>
                  <w:noWrap w:val="0"/>
                  <w:vAlign w:val="center"/>
                </w:tcPr>
                <w:p w14:paraId="0142D8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处理效果</w:t>
                  </w:r>
                </w:p>
                <w:p w14:paraId="4D4F6C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（净化效率）</w:t>
                  </w:r>
                </w:p>
              </w:tc>
              <w:tc>
                <w:tcPr>
                  <w:tcW w:w="1687" w:type="dxa"/>
                  <w:tcBorders>
                    <w:tl2br w:val="nil"/>
                    <w:tr2bl w:val="nil"/>
                  </w:tcBorders>
                  <w:noWrap w:val="0"/>
                  <w:vAlign w:val="center"/>
                </w:tcPr>
                <w:p w14:paraId="558AA6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95%～99%</w:t>
                  </w:r>
                </w:p>
              </w:tc>
              <w:tc>
                <w:tcPr>
                  <w:tcW w:w="1687" w:type="dxa"/>
                  <w:tcBorders>
                    <w:tl2br w:val="nil"/>
                    <w:tr2bl w:val="nil"/>
                  </w:tcBorders>
                  <w:noWrap w:val="0"/>
                  <w:vAlign w:val="center"/>
                </w:tcPr>
                <w:p w14:paraId="37EA9B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8</w:t>
                  </w:r>
                  <w:r>
                    <w:rPr>
                      <w:rFonts w:hint="default" w:cs="Times New Roman"/>
                      <w:color w:val="auto"/>
                      <w:kern w:val="0"/>
                      <w:sz w:val="21"/>
                      <w:szCs w:val="20"/>
                      <w:lang w:val="en-US" w:eastAsia="zh-CN" w:bidi="ar-SA"/>
                    </w:rPr>
                    <w:t>0%左右</w:t>
                  </w:r>
                </w:p>
              </w:tc>
              <w:tc>
                <w:tcPr>
                  <w:tcW w:w="1687" w:type="dxa"/>
                  <w:tcBorders>
                    <w:tl2br w:val="nil"/>
                    <w:tr2bl w:val="nil"/>
                  </w:tcBorders>
                  <w:noWrap w:val="0"/>
                  <w:vAlign w:val="center"/>
                </w:tcPr>
                <w:p w14:paraId="681307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7</w:t>
                  </w:r>
                  <w:r>
                    <w:rPr>
                      <w:rFonts w:hint="default" w:cs="Times New Roman"/>
                      <w:color w:val="auto"/>
                      <w:kern w:val="0"/>
                      <w:sz w:val="21"/>
                      <w:szCs w:val="20"/>
                      <w:lang w:val="en-US" w:eastAsia="zh-CN" w:bidi="ar-SA"/>
                    </w:rPr>
                    <w:t>0%左右</w:t>
                  </w:r>
                </w:p>
              </w:tc>
              <w:tc>
                <w:tcPr>
                  <w:tcW w:w="1690" w:type="dxa"/>
                  <w:tcBorders>
                    <w:tl2br w:val="nil"/>
                    <w:tr2bl w:val="nil"/>
                  </w:tcBorders>
                  <w:noWrap w:val="0"/>
                  <w:vAlign w:val="center"/>
                </w:tcPr>
                <w:p w14:paraId="311317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95%～99%</w:t>
                  </w:r>
                </w:p>
              </w:tc>
            </w:tr>
            <w:tr w14:paraId="2B8A8D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87" w:type="dxa"/>
                  <w:tcBorders>
                    <w:tl2br w:val="nil"/>
                    <w:tr2bl w:val="nil"/>
                  </w:tcBorders>
                  <w:noWrap w:val="0"/>
                  <w:vAlign w:val="center"/>
                </w:tcPr>
                <w:p w14:paraId="48E460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运行费用</w:t>
                  </w:r>
                </w:p>
              </w:tc>
              <w:tc>
                <w:tcPr>
                  <w:tcW w:w="1687" w:type="dxa"/>
                  <w:tcBorders>
                    <w:tl2br w:val="nil"/>
                    <w:tr2bl w:val="nil"/>
                  </w:tcBorders>
                  <w:noWrap w:val="0"/>
                  <w:vAlign w:val="center"/>
                </w:tcPr>
                <w:p w14:paraId="18D9EC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高</w:t>
                  </w:r>
                </w:p>
              </w:tc>
              <w:tc>
                <w:tcPr>
                  <w:tcW w:w="1687" w:type="dxa"/>
                  <w:tcBorders>
                    <w:tl2br w:val="nil"/>
                    <w:tr2bl w:val="nil"/>
                  </w:tcBorders>
                  <w:noWrap w:val="0"/>
                  <w:vAlign w:val="center"/>
                </w:tcPr>
                <w:p w14:paraId="603700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高</w:t>
                  </w:r>
                </w:p>
              </w:tc>
              <w:tc>
                <w:tcPr>
                  <w:tcW w:w="1687" w:type="dxa"/>
                  <w:tcBorders>
                    <w:tl2br w:val="nil"/>
                    <w:tr2bl w:val="nil"/>
                  </w:tcBorders>
                  <w:noWrap w:val="0"/>
                  <w:vAlign w:val="center"/>
                </w:tcPr>
                <w:p w14:paraId="41BC1C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低</w:t>
                  </w:r>
                </w:p>
              </w:tc>
              <w:tc>
                <w:tcPr>
                  <w:tcW w:w="1690" w:type="dxa"/>
                  <w:tcBorders>
                    <w:tl2br w:val="nil"/>
                    <w:tr2bl w:val="nil"/>
                  </w:tcBorders>
                  <w:noWrap w:val="0"/>
                  <w:vAlign w:val="center"/>
                </w:tcPr>
                <w:p w14:paraId="30EBAE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高</w:t>
                  </w:r>
                </w:p>
              </w:tc>
            </w:tr>
            <w:tr w14:paraId="386B25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87" w:type="dxa"/>
                  <w:tcBorders>
                    <w:tl2br w:val="nil"/>
                    <w:tr2bl w:val="nil"/>
                  </w:tcBorders>
                  <w:noWrap w:val="0"/>
                  <w:vAlign w:val="center"/>
                </w:tcPr>
                <w:p w14:paraId="5B223E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投资</w:t>
                  </w:r>
                </w:p>
              </w:tc>
              <w:tc>
                <w:tcPr>
                  <w:tcW w:w="1687" w:type="dxa"/>
                  <w:tcBorders>
                    <w:tl2br w:val="nil"/>
                    <w:tr2bl w:val="nil"/>
                  </w:tcBorders>
                  <w:noWrap w:val="0"/>
                  <w:vAlign w:val="center"/>
                </w:tcPr>
                <w:p w14:paraId="2AE529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高</w:t>
                  </w:r>
                </w:p>
              </w:tc>
              <w:tc>
                <w:tcPr>
                  <w:tcW w:w="1687" w:type="dxa"/>
                  <w:tcBorders>
                    <w:tl2br w:val="nil"/>
                    <w:tr2bl w:val="nil"/>
                  </w:tcBorders>
                  <w:noWrap w:val="0"/>
                  <w:vAlign w:val="center"/>
                </w:tcPr>
                <w:p w14:paraId="66022C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低</w:t>
                  </w:r>
                </w:p>
              </w:tc>
              <w:tc>
                <w:tcPr>
                  <w:tcW w:w="1687" w:type="dxa"/>
                  <w:tcBorders>
                    <w:tl2br w:val="nil"/>
                    <w:tr2bl w:val="nil"/>
                  </w:tcBorders>
                  <w:noWrap w:val="0"/>
                  <w:vAlign w:val="center"/>
                </w:tcPr>
                <w:p w14:paraId="17CA79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低</w:t>
                  </w:r>
                </w:p>
              </w:tc>
              <w:tc>
                <w:tcPr>
                  <w:tcW w:w="1690" w:type="dxa"/>
                  <w:tcBorders>
                    <w:tl2br w:val="nil"/>
                    <w:tr2bl w:val="nil"/>
                  </w:tcBorders>
                  <w:noWrap w:val="0"/>
                  <w:vAlign w:val="center"/>
                </w:tcPr>
                <w:p w14:paraId="056182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kern w:val="0"/>
                      <w:sz w:val="21"/>
                      <w:szCs w:val="20"/>
                      <w:lang w:val="en-US" w:eastAsia="zh-CN" w:bidi="ar-SA"/>
                    </w:rPr>
                  </w:pPr>
                  <w:r>
                    <w:rPr>
                      <w:rFonts w:hint="eastAsia" w:cs="Times New Roman"/>
                      <w:color w:val="auto"/>
                      <w:kern w:val="0"/>
                      <w:sz w:val="21"/>
                      <w:szCs w:val="20"/>
                      <w:lang w:val="en-US" w:eastAsia="zh-CN" w:bidi="ar-SA"/>
                    </w:rPr>
                    <w:t>高</w:t>
                  </w:r>
                </w:p>
              </w:tc>
            </w:tr>
            <w:tr w14:paraId="0FF7E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87" w:type="dxa"/>
                  <w:tcBorders>
                    <w:tl2br w:val="nil"/>
                    <w:tr2bl w:val="nil"/>
                  </w:tcBorders>
                  <w:noWrap w:val="0"/>
                  <w:vAlign w:val="center"/>
                </w:tcPr>
                <w:p w14:paraId="6699C0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主要优点</w:t>
                  </w:r>
                </w:p>
              </w:tc>
              <w:tc>
                <w:tcPr>
                  <w:tcW w:w="1687" w:type="dxa"/>
                  <w:tcBorders>
                    <w:tl2br w:val="nil"/>
                    <w:tr2bl w:val="nil"/>
                  </w:tcBorders>
                  <w:noWrap w:val="0"/>
                  <w:vAlign w:val="center"/>
                </w:tcPr>
                <w:p w14:paraId="4E0CDC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处理效率好、净化率高</w:t>
                  </w:r>
                </w:p>
              </w:tc>
              <w:tc>
                <w:tcPr>
                  <w:tcW w:w="1687" w:type="dxa"/>
                  <w:tcBorders>
                    <w:tl2br w:val="nil"/>
                    <w:tr2bl w:val="nil"/>
                  </w:tcBorders>
                  <w:noWrap w:val="0"/>
                  <w:vAlign w:val="center"/>
                </w:tcPr>
                <w:p w14:paraId="45A1A8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处理效率好、净化率高</w:t>
                  </w:r>
                </w:p>
              </w:tc>
              <w:tc>
                <w:tcPr>
                  <w:tcW w:w="1687" w:type="dxa"/>
                  <w:tcBorders>
                    <w:tl2br w:val="nil"/>
                    <w:tr2bl w:val="nil"/>
                  </w:tcBorders>
                  <w:noWrap w:val="0"/>
                  <w:vAlign w:val="center"/>
                </w:tcPr>
                <w:p w14:paraId="751508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方法简单、</w:t>
                  </w:r>
                  <w:r>
                    <w:rPr>
                      <w:rFonts w:hint="eastAsia" w:cs="Times New Roman"/>
                      <w:color w:val="auto"/>
                      <w:kern w:val="0"/>
                      <w:sz w:val="21"/>
                      <w:szCs w:val="20"/>
                      <w:lang w:val="en-US" w:eastAsia="zh-CN" w:bidi="ar-SA"/>
                    </w:rPr>
                    <w:t>使用方便</w:t>
                  </w:r>
                  <w:r>
                    <w:rPr>
                      <w:rFonts w:hint="default" w:cs="Times New Roman"/>
                      <w:color w:val="auto"/>
                      <w:kern w:val="0"/>
                      <w:sz w:val="21"/>
                      <w:szCs w:val="20"/>
                      <w:lang w:val="en-US" w:eastAsia="zh-CN" w:bidi="ar-SA"/>
                    </w:rPr>
                    <w:t>、运行费用低、安全</w:t>
                  </w:r>
                </w:p>
              </w:tc>
              <w:tc>
                <w:tcPr>
                  <w:tcW w:w="1690" w:type="dxa"/>
                  <w:tcBorders>
                    <w:tl2br w:val="nil"/>
                    <w:tr2bl w:val="nil"/>
                  </w:tcBorders>
                  <w:noWrap w:val="0"/>
                  <w:vAlign w:val="center"/>
                </w:tcPr>
                <w:p w14:paraId="5F7596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处理效果好、净化彻底</w:t>
                  </w:r>
                </w:p>
              </w:tc>
            </w:tr>
            <w:tr w14:paraId="6007DF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87" w:type="dxa"/>
                  <w:tcBorders>
                    <w:tl2br w:val="nil"/>
                    <w:tr2bl w:val="nil"/>
                  </w:tcBorders>
                  <w:noWrap w:val="0"/>
                  <w:vAlign w:val="center"/>
                </w:tcPr>
                <w:p w14:paraId="5E9241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主要缺点</w:t>
                  </w:r>
                </w:p>
              </w:tc>
              <w:tc>
                <w:tcPr>
                  <w:tcW w:w="1687" w:type="dxa"/>
                  <w:tcBorders>
                    <w:tl2br w:val="nil"/>
                    <w:tr2bl w:val="nil"/>
                  </w:tcBorders>
                  <w:noWrap w:val="0"/>
                  <w:vAlign w:val="center"/>
                </w:tcPr>
                <w:p w14:paraId="39625C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投资高、操作复杂，运行费用高，运行不稳定</w:t>
                  </w:r>
                </w:p>
              </w:tc>
              <w:tc>
                <w:tcPr>
                  <w:tcW w:w="1687" w:type="dxa"/>
                  <w:tcBorders>
                    <w:tl2br w:val="nil"/>
                    <w:tr2bl w:val="nil"/>
                  </w:tcBorders>
                  <w:noWrap w:val="0"/>
                  <w:vAlign w:val="center"/>
                </w:tcPr>
                <w:p w14:paraId="0661F9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操作复杂、活性炭需定期更换、运行费用高</w:t>
                  </w:r>
                </w:p>
              </w:tc>
              <w:tc>
                <w:tcPr>
                  <w:tcW w:w="1687" w:type="dxa"/>
                  <w:tcBorders>
                    <w:tl2br w:val="nil"/>
                    <w:tr2bl w:val="nil"/>
                  </w:tcBorders>
                  <w:noWrap w:val="0"/>
                  <w:vAlign w:val="center"/>
                </w:tcPr>
                <w:p w14:paraId="39A80F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净化效果一般</w:t>
                  </w:r>
                </w:p>
              </w:tc>
              <w:tc>
                <w:tcPr>
                  <w:tcW w:w="1690" w:type="dxa"/>
                  <w:tcBorders>
                    <w:tl2br w:val="nil"/>
                    <w:tr2bl w:val="nil"/>
                  </w:tcBorders>
                  <w:noWrap w:val="0"/>
                  <w:vAlign w:val="center"/>
                </w:tcPr>
                <w:p w14:paraId="4DF480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default" w:cs="Times New Roman"/>
                      <w:color w:val="auto"/>
                      <w:kern w:val="0"/>
                      <w:sz w:val="21"/>
                      <w:szCs w:val="20"/>
                      <w:lang w:val="en-US" w:eastAsia="zh-CN" w:bidi="ar-SA"/>
                    </w:rPr>
                    <w:t>需燃料费高，燃烧装置等造价高、处理低浓度、风量大废气经济不合适</w:t>
                  </w:r>
                </w:p>
              </w:tc>
            </w:tr>
          </w:tbl>
          <w:p w14:paraId="0B43A1D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有机废气处理目前可行工艺为活性炭吸附法、燃烧法、浓缩</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燃烧法。项目有机废气产生浓度低，且不连续，不适合采用燃烧法，可以采用活性炭吸附法。根据《吸附法工业有机废气治理工程技术规定》（HJ2026-2013），为保证废气与活性炭的接触时间和吸附效果，要求控制吸附装置吸附层的风速，一般取0.10m/s～0.15m/s之间；吸附剂和气体的接触时间宜按不低于3s计；同时确保项目活性炭吸附装置一次性装置量，定期更换活性炭，采取以上治理措</w:t>
            </w:r>
            <w:r>
              <w:rPr>
                <w:rFonts w:hint="eastAsia" w:cs="宋体"/>
                <w:color w:val="auto"/>
                <w:kern w:val="2"/>
                <w:sz w:val="24"/>
                <w:szCs w:val="24"/>
                <w:lang w:val="en-US" w:eastAsia="zh-CN" w:bidi="ar-SA"/>
              </w:rPr>
              <w:t>施和</w:t>
            </w:r>
            <w:r>
              <w:rPr>
                <w:rFonts w:hint="default" w:ascii="Times New Roman" w:hAnsi="Times New Roman" w:eastAsia="宋体" w:cs="宋体"/>
                <w:color w:val="auto"/>
                <w:kern w:val="2"/>
                <w:sz w:val="24"/>
                <w:szCs w:val="24"/>
                <w:lang w:val="en-US" w:eastAsia="zh-CN" w:bidi="ar-SA"/>
              </w:rPr>
              <w:t>综合治理措施后，运行维护良好的活性炭吸附可使有机废气净化效率≥</w:t>
            </w:r>
            <w:r>
              <w:rPr>
                <w:rFonts w:hint="eastAsia" w:ascii="Times New Roman" w:hAnsi="Times New Roman" w:eastAsia="宋体" w:cs="宋体"/>
                <w:color w:val="auto"/>
                <w:kern w:val="2"/>
                <w:sz w:val="24"/>
                <w:szCs w:val="24"/>
                <w:lang w:val="en-US" w:eastAsia="zh-CN" w:bidi="ar-SA"/>
              </w:rPr>
              <w:t>9</w:t>
            </w:r>
            <w:r>
              <w:rPr>
                <w:rFonts w:hint="default" w:ascii="Times New Roman" w:hAnsi="Times New Roman" w:eastAsia="宋体" w:cs="宋体"/>
                <w:color w:val="auto"/>
                <w:kern w:val="2"/>
                <w:sz w:val="24"/>
                <w:szCs w:val="24"/>
                <w:lang w:val="en-US" w:eastAsia="zh-CN" w:bidi="ar-SA"/>
              </w:rPr>
              <w:t>0%。工业实际应用中，受废气的成分、设计参数、设备维护、环境因素等影响，活性炭吸附装置的去除效率随污染物浓度而变化。考虑到生产过程中产生有机物的工艺节点较多，有机物的产生浓度存在一定的波动性，活性炭吸附装置综合去除效率按</w:t>
            </w:r>
            <w:r>
              <w:rPr>
                <w:rFonts w:hint="eastAsia" w:ascii="Times New Roman" w:hAnsi="Times New Roman" w:eastAsia="宋体" w:cs="宋体"/>
                <w:color w:val="auto"/>
                <w:kern w:val="2"/>
                <w:sz w:val="24"/>
                <w:szCs w:val="24"/>
                <w:lang w:val="en-US" w:eastAsia="zh-CN" w:bidi="ar-SA"/>
              </w:rPr>
              <w:t>8</w:t>
            </w:r>
            <w:r>
              <w:rPr>
                <w:rFonts w:hint="default" w:ascii="Times New Roman" w:hAnsi="Times New Roman" w:eastAsia="宋体" w:cs="宋体"/>
                <w:color w:val="auto"/>
                <w:kern w:val="2"/>
                <w:sz w:val="24"/>
                <w:szCs w:val="24"/>
                <w:lang w:val="en-US" w:eastAsia="zh-CN" w:bidi="ar-SA"/>
              </w:rPr>
              <w:t>0%</w:t>
            </w:r>
            <w:r>
              <w:rPr>
                <w:rFonts w:hint="eastAsia" w:cs="宋体"/>
                <w:color w:val="auto"/>
                <w:kern w:val="2"/>
                <w:sz w:val="24"/>
                <w:szCs w:val="24"/>
                <w:lang w:val="en-US" w:eastAsia="zh-CN" w:bidi="ar-SA"/>
              </w:rPr>
              <w:t>计算</w:t>
            </w:r>
            <w:r>
              <w:rPr>
                <w:rFonts w:hint="default" w:ascii="Times New Roman" w:hAnsi="Times New Roman" w:eastAsia="宋体" w:cs="宋体"/>
                <w:color w:val="auto"/>
                <w:kern w:val="2"/>
                <w:sz w:val="24"/>
                <w:szCs w:val="24"/>
                <w:lang w:val="en-US" w:eastAsia="zh-CN" w:bidi="ar-SA"/>
              </w:rPr>
              <w:t>。</w:t>
            </w:r>
          </w:p>
          <w:p w14:paraId="6411B37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①活性炭吸附装置分析</w:t>
            </w:r>
          </w:p>
          <w:p w14:paraId="29AD333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活性炭，是一种具有多孔结构和大的内部比表面积的材料。由于其大的比表面积、微孔结构、高的吸附能力和很高的表面活性而成为独特的多功能吸附剂，且其价廉易得，可再生活化，同时它可有效去除废水、废气中的大部分有机物和某些无机物，所以它被世界各国广泛地应用于污水及废气的处理、空气净化、回收溶剂等环境保护和资源回收等领域。活性炭分为粉末活性炭、粒状活性炭及活性炭纤维，但是由于粉末活性炭产生二次污染且不能再生而被限制使用。粒状活性炭粒径500～5000μm，有机废气通过吸附床，与活性炭接触，废气中的有机污染物被吸附在活性炭表面，从而从气流中脱离出来，达到净化效果。采用颗粒活性炭作为吸附剂时，其碘值不宜低于800mg/g，采用蜂窝活性炭作为吸附剂时，其碘值不宜低于6</w:t>
            </w:r>
            <w:r>
              <w:rPr>
                <w:rFonts w:hint="eastAsia" w:cs="宋体"/>
                <w:color w:val="auto"/>
                <w:kern w:val="2"/>
                <w:sz w:val="24"/>
                <w:szCs w:val="24"/>
                <w:lang w:val="en-US" w:eastAsia="zh-CN" w:bidi="ar-SA"/>
              </w:rPr>
              <w:t>25m</w:t>
            </w:r>
            <w:r>
              <w:rPr>
                <w:rFonts w:hint="default" w:ascii="Times New Roman" w:hAnsi="Times New Roman" w:eastAsia="宋体" w:cs="宋体"/>
                <w:color w:val="auto"/>
                <w:kern w:val="2"/>
                <w:sz w:val="24"/>
                <w:szCs w:val="24"/>
                <w:lang w:val="en-US" w:eastAsia="zh-CN" w:bidi="ar-SA"/>
              </w:rPr>
              <w:t>g/g，采用活性炭纤维作为吸附剂时，其比表面积不低于1100m</w:t>
            </w:r>
            <w:r>
              <w:rPr>
                <w:rFonts w:hint="default" w:ascii="Times New Roman" w:hAnsi="Times New Roman" w:eastAsia="宋体" w:cs="宋体"/>
                <w:color w:val="auto"/>
                <w:kern w:val="2"/>
                <w:sz w:val="24"/>
                <w:szCs w:val="24"/>
                <w:vertAlign w:val="superscript"/>
                <w:lang w:val="en-US" w:eastAsia="zh-CN" w:bidi="ar-SA"/>
              </w:rPr>
              <w:t>2</w:t>
            </w:r>
            <w:r>
              <w:rPr>
                <w:rFonts w:hint="default" w:ascii="Times New Roman" w:hAnsi="Times New Roman" w:eastAsia="宋体" w:cs="宋体"/>
                <w:color w:val="auto"/>
                <w:kern w:val="2"/>
                <w:sz w:val="24"/>
                <w:szCs w:val="24"/>
                <w:lang w:val="en-US" w:eastAsia="zh-CN" w:bidi="ar-SA"/>
              </w:rPr>
              <w:t>/g（BET法）。一次性活性炭吸附工艺宜采用颗粒活性炭作为吸附剂。活性炭、活性炭纤维产品销售时应提供产品质量证明材料，项目计划每两个月更换一次活性炭。活性炭对有机废气具有良好的吸附效果，可使得有机废气处理能力达到</w:t>
            </w:r>
            <w:r>
              <w:rPr>
                <w:rFonts w:hint="eastAsia" w:ascii="Times New Roman" w:hAnsi="Times New Roman" w:eastAsia="宋体" w:cs="宋体"/>
                <w:color w:val="auto"/>
                <w:kern w:val="2"/>
                <w:sz w:val="24"/>
                <w:szCs w:val="24"/>
                <w:lang w:val="en-US" w:eastAsia="zh-CN" w:bidi="ar-SA"/>
              </w:rPr>
              <w:t>8</w:t>
            </w:r>
            <w:r>
              <w:rPr>
                <w:rFonts w:hint="default" w:ascii="Times New Roman" w:hAnsi="Times New Roman" w:eastAsia="宋体" w:cs="宋体"/>
                <w:color w:val="auto"/>
                <w:kern w:val="2"/>
                <w:sz w:val="24"/>
                <w:szCs w:val="24"/>
                <w:lang w:val="en-US" w:eastAsia="zh-CN" w:bidi="ar-SA"/>
              </w:rPr>
              <w:t>0%以上。</w:t>
            </w:r>
          </w:p>
          <w:p w14:paraId="710C8864">
            <w:pPr>
              <w:pStyle w:val="22"/>
              <w:bidi w:val="0"/>
              <w:ind w:firstLine="480" w:firstLineChars="200"/>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w:t>
            </w:r>
            <w:r>
              <w:rPr>
                <w:rFonts w:hint="default" w:ascii="Times New Roman" w:hAnsi="Times New Roman" w:eastAsia="宋体" w:cs="宋体"/>
                <w:color w:val="auto"/>
                <w:kern w:val="2"/>
                <w:sz w:val="24"/>
                <w:szCs w:val="24"/>
                <w:lang w:val="en-US" w:eastAsia="zh-CN" w:bidi="ar-SA"/>
              </w:rPr>
              <w:t>集气效率要求及可靠性分析</w:t>
            </w:r>
          </w:p>
          <w:p w14:paraId="2A81C8A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根据《福建省环保厅关于印发福建省重点行业挥发性有机物排放控制要求（试行）的通知》（闽环保大气〔2017〕9号）中提出的密闭式局部收集的逸散的VOCs废气收集率应达到80%以上。本项目挥发性有机物排放主要为有机废气。项目车间除出入外，其他均为密闭，收集效率按</w:t>
            </w:r>
            <w:r>
              <w:rPr>
                <w:rFonts w:hint="eastAsia" w:ascii="Times New Roman" w:hAnsi="Times New Roman" w:eastAsia="宋体" w:cs="宋体"/>
                <w:color w:val="auto"/>
                <w:kern w:val="2"/>
                <w:sz w:val="24"/>
                <w:szCs w:val="24"/>
                <w:lang w:val="en-US" w:eastAsia="zh-CN" w:bidi="ar-SA"/>
              </w:rPr>
              <w:t>90</w:t>
            </w:r>
            <w:r>
              <w:rPr>
                <w:rFonts w:hint="default" w:ascii="Times New Roman" w:hAnsi="Times New Roman" w:eastAsia="宋体" w:cs="宋体"/>
                <w:color w:val="auto"/>
                <w:kern w:val="2"/>
                <w:sz w:val="24"/>
                <w:szCs w:val="24"/>
                <w:lang w:val="en-US" w:eastAsia="zh-CN" w:bidi="ar-SA"/>
              </w:rPr>
              <w:t>%计，要求废气收集系统与生产设备自动同步启动，采取以上措施，正常情</w:t>
            </w:r>
            <w:r>
              <w:rPr>
                <w:rFonts w:hint="eastAsia" w:cs="宋体"/>
                <w:color w:val="auto"/>
                <w:kern w:val="2"/>
                <w:sz w:val="24"/>
                <w:szCs w:val="24"/>
                <w:lang w:val="en-US" w:eastAsia="zh-CN" w:bidi="ar-SA"/>
              </w:rPr>
              <w:t>况下</w:t>
            </w:r>
            <w:r>
              <w:rPr>
                <w:rFonts w:hint="default" w:ascii="Times New Roman" w:hAnsi="Times New Roman" w:eastAsia="宋体" w:cs="宋体"/>
                <w:color w:val="auto"/>
                <w:kern w:val="2"/>
                <w:sz w:val="24"/>
                <w:szCs w:val="24"/>
                <w:lang w:val="en-US" w:eastAsia="zh-CN" w:bidi="ar-SA"/>
              </w:rPr>
              <w:t>，可确保收集效率可达</w:t>
            </w:r>
            <w:r>
              <w:rPr>
                <w:rFonts w:hint="eastAsia" w:ascii="Times New Roman" w:hAnsi="Times New Roman" w:eastAsia="宋体" w:cs="宋体"/>
                <w:color w:val="auto"/>
                <w:kern w:val="2"/>
                <w:sz w:val="24"/>
                <w:szCs w:val="24"/>
                <w:lang w:val="en-US" w:eastAsia="zh-CN" w:bidi="ar-SA"/>
              </w:rPr>
              <w:t>90%</w:t>
            </w:r>
            <w:r>
              <w:rPr>
                <w:rFonts w:hint="default" w:ascii="Times New Roman" w:hAnsi="Times New Roman" w:eastAsia="宋体" w:cs="宋体"/>
                <w:color w:val="auto"/>
                <w:kern w:val="2"/>
                <w:sz w:val="24"/>
                <w:szCs w:val="24"/>
                <w:lang w:val="en-US" w:eastAsia="zh-CN" w:bidi="ar-SA"/>
              </w:rPr>
              <w:t>，可符合闽环保大气〔2017〕9号提出VOCs废气收集率应达到80%以上，可符合要求。</w:t>
            </w:r>
          </w:p>
          <w:p w14:paraId="19E3B4C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综上，通过采取以上废气治理措施后，对周边环境影响较小。</w:t>
            </w:r>
          </w:p>
          <w:p w14:paraId="2839228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（2）无组织废气防治措施及达标分析</w:t>
            </w:r>
          </w:p>
          <w:p w14:paraId="768A9F0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项目无组织废气主要为</w:t>
            </w:r>
            <w:r>
              <w:rPr>
                <w:rFonts w:hint="eastAsia" w:ascii="Times New Roman" w:hAnsi="Times New Roman" w:eastAsia="宋体" w:cs="宋体"/>
                <w:color w:val="auto"/>
                <w:kern w:val="2"/>
                <w:sz w:val="24"/>
                <w:szCs w:val="24"/>
                <w:lang w:val="en-US" w:eastAsia="zh-CN" w:bidi="ar-SA"/>
              </w:rPr>
              <w:t>使用有机溶剂时</w:t>
            </w:r>
            <w:r>
              <w:rPr>
                <w:rFonts w:hint="default" w:ascii="Times New Roman" w:hAnsi="Times New Roman" w:eastAsia="宋体" w:cs="宋体"/>
                <w:color w:val="auto"/>
                <w:kern w:val="2"/>
                <w:sz w:val="24"/>
                <w:szCs w:val="24"/>
                <w:lang w:val="en-US" w:eastAsia="zh-CN" w:bidi="ar-SA"/>
              </w:rPr>
              <w:t>产生的</w:t>
            </w:r>
            <w:r>
              <w:rPr>
                <w:rFonts w:hint="eastAsia" w:ascii="Times New Roman" w:hAnsi="Times New Roman" w:eastAsia="宋体" w:cs="宋体"/>
                <w:color w:val="auto"/>
                <w:kern w:val="2"/>
                <w:sz w:val="24"/>
                <w:szCs w:val="24"/>
                <w:lang w:val="en-US" w:eastAsia="zh-CN" w:bidi="ar-SA"/>
              </w:rPr>
              <w:t>有机废气（以非甲烷总烃计）</w:t>
            </w:r>
            <w:r>
              <w:rPr>
                <w:rFonts w:hint="eastAsia" w:ascii="Times New Roman" w:hAnsi="Times New Roman" w:eastAsia="宋体" w:cs="宋体"/>
                <w:color w:val="FF0000"/>
                <w:kern w:val="2"/>
                <w:sz w:val="24"/>
                <w:szCs w:val="24"/>
                <w:lang w:val="en-US" w:eastAsia="zh-CN" w:bidi="ar-SA"/>
              </w:rPr>
              <w:t>以及投料、加工过程产生的颗粒物</w:t>
            </w:r>
            <w:r>
              <w:rPr>
                <w:rFonts w:hint="default" w:ascii="Times New Roman" w:hAnsi="Times New Roman" w:eastAsia="宋体" w:cs="宋体"/>
                <w:color w:val="FF0000"/>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采取的防止无组织气体排放的主要措施有：</w:t>
            </w:r>
          </w:p>
          <w:p w14:paraId="65409A83">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A、加强废气集中收集和处理，确保</w:t>
            </w:r>
            <w:r>
              <w:rPr>
                <w:rFonts w:hint="eastAsia" w:ascii="Times New Roman" w:hAnsi="Times New Roman"/>
                <w:color w:val="auto"/>
                <w:lang w:val="en-US" w:eastAsia="zh-CN"/>
              </w:rPr>
              <w:t>密闭负压车间的</w:t>
            </w:r>
            <w:r>
              <w:rPr>
                <w:rFonts w:hint="default" w:ascii="Times New Roman" w:hAnsi="Times New Roman"/>
                <w:color w:val="auto"/>
                <w:lang w:val="en-US" w:eastAsia="zh-CN"/>
              </w:rPr>
              <w:t>废气收集系统的密闭性，减少废气的无组织排放。</w:t>
            </w:r>
          </w:p>
          <w:p w14:paraId="49F9A526">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B、</w:t>
            </w:r>
            <w:r>
              <w:rPr>
                <w:rFonts w:hint="eastAsia" w:ascii="Times New Roman" w:hAnsi="Times New Roman"/>
                <w:color w:val="auto"/>
                <w:lang w:val="en-US" w:eastAsia="zh-CN"/>
              </w:rPr>
              <w:t>定期检查密闭负压车间的密闭情况、负压情况，确保废气能被连续、稳定的收集。</w:t>
            </w:r>
          </w:p>
          <w:p w14:paraId="03AB33EA">
            <w:pPr>
              <w:pStyle w:val="22"/>
              <w:bidi w:val="0"/>
              <w:ind w:firstLine="480" w:firstLineChars="200"/>
              <w:rPr>
                <w:rFonts w:hint="default" w:ascii="Times New Roman" w:hAnsi="Times New Roman"/>
                <w:color w:val="auto"/>
                <w:lang w:val="en-US" w:eastAsia="zh-CN"/>
              </w:rPr>
            </w:pPr>
            <w:r>
              <w:rPr>
                <w:rFonts w:hint="default" w:ascii="Times New Roman" w:hAnsi="Times New Roman"/>
                <w:color w:val="auto"/>
                <w:lang w:val="en-US" w:eastAsia="zh-CN"/>
              </w:rPr>
              <w:t>C、加强运行管理和环境管理，提高工人操作水平，通过宣传增强职工环保意识，积极推行清洁生产，节能降耗，多种措施并举，减少污染物排放。</w:t>
            </w:r>
          </w:p>
          <w:p w14:paraId="346FB1A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综上，通过采取以上废气治理措施后，</w:t>
            </w:r>
            <w:r>
              <w:rPr>
                <w:rFonts w:hint="eastAsia" w:ascii="Times New Roman" w:hAnsi="Times New Roman" w:eastAsia="宋体" w:cs="宋体"/>
                <w:color w:val="auto"/>
                <w:kern w:val="2"/>
                <w:sz w:val="24"/>
                <w:szCs w:val="24"/>
                <w:lang w:val="en-US" w:eastAsia="zh-CN" w:bidi="ar-SA"/>
              </w:rPr>
              <w:t>有组织废气能够达到《工业企业挥发性有机物排放标准》（DB35/1782-2018）表1中其他行业标准。</w:t>
            </w:r>
            <w:r>
              <w:rPr>
                <w:rFonts w:hint="default" w:ascii="Times New Roman" w:hAnsi="Times New Roman" w:eastAsia="宋体" w:cs="宋体"/>
                <w:color w:val="auto"/>
                <w:kern w:val="2"/>
                <w:sz w:val="24"/>
                <w:szCs w:val="24"/>
                <w:lang w:val="en-US" w:eastAsia="zh-CN" w:bidi="ar-SA"/>
              </w:rPr>
              <w:t>对周边环境影响较小。</w:t>
            </w:r>
          </w:p>
          <w:p w14:paraId="28FE4B84">
            <w:pPr>
              <w:keepNext/>
              <w:keepLines/>
              <w:widowControl w:val="0"/>
              <w:bidi w:val="0"/>
              <w:spacing w:beforeLines="0" w:beforeAutospacing="0" w:afterLines="0" w:afterAutospacing="0" w:line="360" w:lineRule="auto"/>
              <w:ind w:firstLine="482" w:firstLineChars="200"/>
              <w:jc w:val="left"/>
              <w:outlineLvl w:val="2"/>
              <w:rPr>
                <w:rFonts w:hint="default" w:ascii="Times New Roman" w:hAnsi="Times New Roman" w:eastAsia="宋体" w:cs="Times New Roman"/>
                <w:b/>
                <w:color w:val="auto"/>
                <w:kern w:val="2"/>
                <w:sz w:val="24"/>
                <w:szCs w:val="24"/>
                <w:lang w:val="en-US" w:eastAsia="zh-CN" w:bidi="ar-SA"/>
              </w:rPr>
            </w:pPr>
            <w:bookmarkStart w:id="93" w:name="_Toc3682"/>
            <w:r>
              <w:rPr>
                <w:rFonts w:hint="default" w:ascii="Times New Roman" w:hAnsi="Times New Roman" w:eastAsia="宋体" w:cs="Times New Roman"/>
                <w:b/>
                <w:color w:val="auto"/>
                <w:kern w:val="2"/>
                <w:sz w:val="24"/>
                <w:szCs w:val="24"/>
                <w:lang w:val="en-US" w:eastAsia="zh-CN" w:bidi="ar-SA"/>
              </w:rPr>
              <w:t>4.2.3非正常工况排放量核算</w:t>
            </w:r>
            <w:bookmarkEnd w:id="93"/>
          </w:p>
          <w:p w14:paraId="5569019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（1）非正常排放情形及排放源强</w:t>
            </w:r>
          </w:p>
          <w:p w14:paraId="592D615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非正常排放情况指设备检修、污染物排放控制措施达不到应有效率、工艺设备运转异常等情况下的排污。根据本项目的情况，结合同类企业运营情况，确定项目非正常排放情况为污染治理设施发生故障、运转异常（如风机故障、集气管道破裂等），或维护不到位导致废气处理设施效率降低等非正常工况，情形如下：</w:t>
            </w:r>
          </w:p>
          <w:p w14:paraId="4BE7579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①有机废气处理设施故障，导致有机废气非正常排放。</w:t>
            </w:r>
          </w:p>
          <w:p w14:paraId="5A02B47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评价按最不利情况考虑，即废气处理效率降低为0%的情况下污染物排放对周边环境的影响。由于有机废气事故排放效果不显著，短时间内难以发现，非正常工况持续时间按1h计，发生频率按1次/年。非正常工况下废气排放源强核算结果见下表4.2-</w:t>
            </w:r>
            <w:r>
              <w:rPr>
                <w:rFonts w:hint="eastAsia"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w:t>
            </w:r>
          </w:p>
          <w:p w14:paraId="1167AE34">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表4.2-</w:t>
            </w:r>
            <w:r>
              <w:rPr>
                <w:rFonts w:hint="eastAsia" w:cs="Times New Roman"/>
                <w:b/>
                <w:color w:val="auto"/>
                <w:kern w:val="0"/>
                <w:sz w:val="24"/>
                <w:szCs w:val="20"/>
                <w:lang w:val="en-US" w:eastAsia="zh-CN" w:bidi="ar-SA"/>
              </w:rPr>
              <w:t xml:space="preserve">3  </w:t>
            </w:r>
            <w:r>
              <w:rPr>
                <w:rFonts w:hint="default" w:ascii="Times New Roman" w:hAnsi="Times New Roman" w:eastAsia="宋体" w:cs="Times New Roman"/>
                <w:b/>
                <w:color w:val="auto"/>
                <w:kern w:val="0"/>
                <w:sz w:val="24"/>
                <w:szCs w:val="20"/>
                <w:lang w:val="en-US" w:eastAsia="zh-CN" w:bidi="ar-SA"/>
              </w:rPr>
              <w:t>污染源非正常排放量核算</w:t>
            </w:r>
          </w:p>
          <w:tbl>
            <w:tblPr>
              <w:tblStyle w:val="19"/>
              <w:tblW w:w="851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67"/>
              <w:gridCol w:w="851"/>
              <w:gridCol w:w="1049"/>
              <w:gridCol w:w="951"/>
              <w:gridCol w:w="1508"/>
              <w:gridCol w:w="1279"/>
              <w:gridCol w:w="770"/>
              <w:gridCol w:w="738"/>
              <w:gridCol w:w="902"/>
            </w:tblGrid>
            <w:tr w14:paraId="077AB6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467" w:type="dxa"/>
                  <w:tcBorders>
                    <w:tl2br w:val="nil"/>
                    <w:tr2bl w:val="nil"/>
                  </w:tcBorders>
                  <w:noWrap w:val="0"/>
                  <w:vAlign w:val="center"/>
                </w:tcPr>
                <w:p w14:paraId="74BA45B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序号</w:t>
                  </w:r>
                </w:p>
              </w:tc>
              <w:tc>
                <w:tcPr>
                  <w:tcW w:w="851" w:type="dxa"/>
                  <w:tcBorders>
                    <w:tl2br w:val="nil"/>
                    <w:tr2bl w:val="nil"/>
                  </w:tcBorders>
                  <w:noWrap w:val="0"/>
                  <w:vAlign w:val="center"/>
                </w:tcPr>
                <w:p w14:paraId="2C3DCE6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排放源</w:t>
                  </w:r>
                </w:p>
              </w:tc>
              <w:tc>
                <w:tcPr>
                  <w:tcW w:w="1049" w:type="dxa"/>
                  <w:tcBorders>
                    <w:tl2br w:val="nil"/>
                    <w:tr2bl w:val="nil"/>
                  </w:tcBorders>
                  <w:noWrap w:val="0"/>
                  <w:vAlign w:val="center"/>
                </w:tcPr>
                <w:p w14:paraId="78B5977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非正常排放原因</w:t>
                  </w:r>
                </w:p>
              </w:tc>
              <w:tc>
                <w:tcPr>
                  <w:tcW w:w="951" w:type="dxa"/>
                  <w:tcBorders>
                    <w:tl2br w:val="nil"/>
                    <w:tr2bl w:val="nil"/>
                  </w:tcBorders>
                  <w:noWrap w:val="0"/>
                  <w:vAlign w:val="center"/>
                </w:tcPr>
                <w:p w14:paraId="0D88EE7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污染源</w:t>
                  </w:r>
                </w:p>
              </w:tc>
              <w:tc>
                <w:tcPr>
                  <w:tcW w:w="1508" w:type="dxa"/>
                  <w:tcBorders>
                    <w:tl2br w:val="nil"/>
                    <w:tr2bl w:val="nil"/>
                  </w:tcBorders>
                  <w:noWrap w:val="0"/>
                  <w:vAlign w:val="center"/>
                </w:tcPr>
                <w:p w14:paraId="3DE6478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非正常排放浓 度</w:t>
                  </w:r>
                </w:p>
              </w:tc>
              <w:tc>
                <w:tcPr>
                  <w:tcW w:w="1279" w:type="dxa"/>
                  <w:tcBorders>
                    <w:tl2br w:val="nil"/>
                    <w:tr2bl w:val="nil"/>
                  </w:tcBorders>
                  <w:noWrap w:val="0"/>
                  <w:vAlign w:val="center"/>
                </w:tcPr>
                <w:p w14:paraId="6C82195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非正常排放速率</w:t>
                  </w:r>
                </w:p>
              </w:tc>
              <w:tc>
                <w:tcPr>
                  <w:tcW w:w="770" w:type="dxa"/>
                  <w:tcBorders>
                    <w:tl2br w:val="nil"/>
                    <w:tr2bl w:val="nil"/>
                  </w:tcBorders>
                  <w:noWrap w:val="0"/>
                  <w:vAlign w:val="center"/>
                </w:tcPr>
                <w:p w14:paraId="4029B96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单次维持时间</w:t>
                  </w:r>
                </w:p>
              </w:tc>
              <w:tc>
                <w:tcPr>
                  <w:tcW w:w="738" w:type="dxa"/>
                  <w:tcBorders>
                    <w:tl2br w:val="nil"/>
                    <w:tr2bl w:val="nil"/>
                  </w:tcBorders>
                  <w:noWrap w:val="0"/>
                  <w:vAlign w:val="center"/>
                </w:tcPr>
                <w:p w14:paraId="267041D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年发生次数</w:t>
                  </w:r>
                </w:p>
              </w:tc>
              <w:tc>
                <w:tcPr>
                  <w:tcW w:w="902" w:type="dxa"/>
                  <w:tcBorders>
                    <w:tl2br w:val="nil"/>
                    <w:tr2bl w:val="nil"/>
                  </w:tcBorders>
                  <w:noWrap w:val="0"/>
                  <w:vAlign w:val="center"/>
                </w:tcPr>
                <w:p w14:paraId="1758F7F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应对措施</w:t>
                  </w:r>
                </w:p>
              </w:tc>
            </w:tr>
            <w:tr w14:paraId="4A2312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24" w:hRule="atLeast"/>
                <w:jc w:val="center"/>
              </w:trPr>
              <w:tc>
                <w:tcPr>
                  <w:tcW w:w="467" w:type="dxa"/>
                  <w:tcBorders>
                    <w:tl2br w:val="nil"/>
                    <w:tr2bl w:val="nil"/>
                  </w:tcBorders>
                  <w:noWrap w:val="0"/>
                  <w:vAlign w:val="center"/>
                </w:tcPr>
                <w:p w14:paraId="47ACBBE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w:t>
                  </w:r>
                </w:p>
              </w:tc>
              <w:tc>
                <w:tcPr>
                  <w:tcW w:w="851" w:type="dxa"/>
                  <w:tcBorders>
                    <w:tl2br w:val="nil"/>
                    <w:tr2bl w:val="nil"/>
                  </w:tcBorders>
                  <w:noWrap w:val="0"/>
                  <w:vAlign w:val="center"/>
                </w:tcPr>
                <w:p w14:paraId="21A0649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DA00</w:t>
                  </w:r>
                  <w:r>
                    <w:rPr>
                      <w:rFonts w:hint="eastAsia" w:cs="Times New Roman"/>
                      <w:color w:val="auto"/>
                      <w:kern w:val="0"/>
                      <w:sz w:val="21"/>
                      <w:szCs w:val="21"/>
                      <w:lang w:val="en-US" w:eastAsia="zh-CN" w:bidi="ar-SA"/>
                    </w:rPr>
                    <w:t>1</w:t>
                  </w:r>
                </w:p>
              </w:tc>
              <w:tc>
                <w:tcPr>
                  <w:tcW w:w="1049" w:type="dxa"/>
                  <w:tcBorders>
                    <w:tl2br w:val="nil"/>
                    <w:tr2bl w:val="nil"/>
                  </w:tcBorders>
                  <w:noWrap w:val="0"/>
                  <w:vAlign w:val="center"/>
                </w:tcPr>
                <w:p w14:paraId="1BC1B54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废气治理设施故障</w:t>
                  </w:r>
                </w:p>
              </w:tc>
              <w:tc>
                <w:tcPr>
                  <w:tcW w:w="951" w:type="dxa"/>
                  <w:tcBorders>
                    <w:tl2br w:val="nil"/>
                    <w:tr2bl w:val="nil"/>
                  </w:tcBorders>
                  <w:noWrap w:val="0"/>
                  <w:vAlign w:val="center"/>
                </w:tcPr>
                <w:p w14:paraId="0565F5F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VOCs、乙醇、乙醚、丙酮（以非甲烷总烃计）</w:t>
                  </w:r>
                </w:p>
              </w:tc>
              <w:tc>
                <w:tcPr>
                  <w:tcW w:w="1508" w:type="dxa"/>
                  <w:tcBorders>
                    <w:tl2br w:val="nil"/>
                    <w:tr2bl w:val="nil"/>
                  </w:tcBorders>
                  <w:noWrap w:val="0"/>
                  <w:vAlign w:val="center"/>
                </w:tcPr>
                <w:p w14:paraId="3440BB3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69.935</w:t>
                  </w:r>
                  <w:r>
                    <w:rPr>
                      <w:rFonts w:hint="eastAsia" w:ascii="Times New Roman" w:hAnsi="Times New Roman" w:eastAsia="宋体" w:cs="Times New Roman"/>
                      <w:color w:val="auto"/>
                      <w:kern w:val="0"/>
                      <w:sz w:val="21"/>
                      <w:szCs w:val="21"/>
                      <w:lang w:val="en-US" w:eastAsia="zh-CN" w:bidi="ar-SA"/>
                    </w:rPr>
                    <w:t>mg/m</w:t>
                  </w:r>
                  <w:r>
                    <w:rPr>
                      <w:rFonts w:hint="eastAsia" w:ascii="Times New Roman" w:hAnsi="Times New Roman" w:eastAsia="宋体" w:cs="Times New Roman"/>
                      <w:color w:val="auto"/>
                      <w:kern w:val="0"/>
                      <w:sz w:val="21"/>
                      <w:szCs w:val="21"/>
                      <w:vertAlign w:val="superscript"/>
                      <w:lang w:val="en-US" w:eastAsia="zh-CN" w:bidi="ar-SA"/>
                    </w:rPr>
                    <w:t>3</w:t>
                  </w:r>
                </w:p>
              </w:tc>
              <w:tc>
                <w:tcPr>
                  <w:tcW w:w="1279" w:type="dxa"/>
                  <w:tcBorders>
                    <w:tl2br w:val="nil"/>
                    <w:tr2bl w:val="nil"/>
                  </w:tcBorders>
                  <w:noWrap w:val="0"/>
                  <w:vAlign w:val="center"/>
                </w:tcPr>
                <w:p w14:paraId="2D27984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1.1058</w:t>
                  </w:r>
                  <w:r>
                    <w:rPr>
                      <w:rFonts w:hint="eastAsia" w:ascii="Times New Roman" w:hAnsi="Times New Roman" w:eastAsia="宋体" w:cs="Times New Roman"/>
                      <w:color w:val="auto"/>
                      <w:kern w:val="0"/>
                      <w:sz w:val="21"/>
                      <w:szCs w:val="21"/>
                      <w:lang w:val="en-US" w:eastAsia="zh-CN" w:bidi="ar-SA"/>
                    </w:rPr>
                    <w:t>kg/h</w:t>
                  </w:r>
                </w:p>
              </w:tc>
              <w:tc>
                <w:tcPr>
                  <w:tcW w:w="770" w:type="dxa"/>
                  <w:tcBorders>
                    <w:tl2br w:val="nil"/>
                    <w:tr2bl w:val="nil"/>
                  </w:tcBorders>
                  <w:noWrap w:val="0"/>
                  <w:vAlign w:val="center"/>
                </w:tcPr>
                <w:p w14:paraId="0C45877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1h</w:t>
                  </w:r>
                </w:p>
              </w:tc>
              <w:tc>
                <w:tcPr>
                  <w:tcW w:w="738" w:type="dxa"/>
                  <w:tcBorders>
                    <w:tl2br w:val="nil"/>
                    <w:tr2bl w:val="nil"/>
                  </w:tcBorders>
                  <w:noWrap w:val="0"/>
                  <w:vAlign w:val="center"/>
                </w:tcPr>
                <w:p w14:paraId="17917EF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1次</w:t>
                  </w:r>
                </w:p>
              </w:tc>
              <w:tc>
                <w:tcPr>
                  <w:tcW w:w="902" w:type="dxa"/>
                  <w:tcBorders>
                    <w:tl2br w:val="nil"/>
                    <w:tr2bl w:val="nil"/>
                  </w:tcBorders>
                  <w:noWrap w:val="0"/>
                  <w:vAlign w:val="center"/>
                </w:tcPr>
                <w:p w14:paraId="3CAF659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立即停产，修复后生产</w:t>
                  </w:r>
                </w:p>
              </w:tc>
            </w:tr>
            <w:tr w14:paraId="69AF60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454" w:hRule="atLeast"/>
                <w:jc w:val="center"/>
              </w:trPr>
              <w:tc>
                <w:tcPr>
                  <w:tcW w:w="467" w:type="dxa"/>
                  <w:tcBorders>
                    <w:tl2br w:val="nil"/>
                    <w:tr2bl w:val="nil"/>
                  </w:tcBorders>
                  <w:noWrap w:val="0"/>
                  <w:vAlign w:val="center"/>
                </w:tcPr>
                <w:p w14:paraId="022C1BF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2</w:t>
                  </w:r>
                </w:p>
              </w:tc>
              <w:tc>
                <w:tcPr>
                  <w:tcW w:w="851" w:type="dxa"/>
                  <w:tcBorders>
                    <w:tl2br w:val="nil"/>
                    <w:tr2bl w:val="nil"/>
                  </w:tcBorders>
                  <w:noWrap w:val="0"/>
                  <w:vAlign w:val="center"/>
                </w:tcPr>
                <w:p w14:paraId="6BE4769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DA002</w:t>
                  </w:r>
                </w:p>
              </w:tc>
              <w:tc>
                <w:tcPr>
                  <w:tcW w:w="1049" w:type="dxa"/>
                  <w:tcBorders>
                    <w:tl2br w:val="nil"/>
                    <w:tr2bl w:val="nil"/>
                  </w:tcBorders>
                  <w:shd w:val="clear" w:color="auto" w:fill="auto"/>
                  <w:noWrap w:val="0"/>
                  <w:vAlign w:val="center"/>
                </w:tcPr>
                <w:p w14:paraId="2148FC8F">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废气治理设施故障</w:t>
                  </w:r>
                </w:p>
              </w:tc>
              <w:tc>
                <w:tcPr>
                  <w:tcW w:w="951" w:type="dxa"/>
                  <w:tcBorders>
                    <w:tl2br w:val="nil"/>
                    <w:tr2bl w:val="nil"/>
                  </w:tcBorders>
                  <w:shd w:val="clear" w:color="auto" w:fill="auto"/>
                  <w:noWrap w:val="0"/>
                  <w:vAlign w:val="center"/>
                </w:tcPr>
                <w:p w14:paraId="3F561EB1">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VOCs、乙醇、乙醚、丙酮（以非甲烷总烃计）</w:t>
                  </w:r>
                </w:p>
              </w:tc>
              <w:tc>
                <w:tcPr>
                  <w:tcW w:w="1508" w:type="dxa"/>
                  <w:tcBorders>
                    <w:tl2br w:val="nil"/>
                    <w:tr2bl w:val="nil"/>
                  </w:tcBorders>
                  <w:shd w:val="clear" w:color="auto" w:fill="auto"/>
                  <w:noWrap w:val="0"/>
                  <w:vAlign w:val="center"/>
                </w:tcPr>
                <w:p w14:paraId="7619F933">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0.08</w:t>
                  </w:r>
                  <w:r>
                    <w:rPr>
                      <w:rFonts w:hint="eastAsia" w:ascii="Times New Roman" w:hAnsi="Times New Roman" w:eastAsia="宋体" w:cs="Times New Roman"/>
                      <w:color w:val="auto"/>
                      <w:kern w:val="0"/>
                      <w:sz w:val="21"/>
                      <w:szCs w:val="21"/>
                      <w:lang w:val="en-US" w:eastAsia="zh-CN" w:bidi="ar-SA"/>
                    </w:rPr>
                    <w:t>mg/m</w:t>
                  </w:r>
                  <w:r>
                    <w:rPr>
                      <w:rFonts w:hint="eastAsia" w:ascii="Times New Roman" w:hAnsi="Times New Roman" w:eastAsia="宋体" w:cs="Times New Roman"/>
                      <w:color w:val="auto"/>
                      <w:kern w:val="0"/>
                      <w:sz w:val="21"/>
                      <w:szCs w:val="21"/>
                      <w:vertAlign w:val="superscript"/>
                      <w:lang w:val="en-US" w:eastAsia="zh-CN" w:bidi="ar-SA"/>
                    </w:rPr>
                    <w:t>3</w:t>
                  </w:r>
                </w:p>
              </w:tc>
              <w:tc>
                <w:tcPr>
                  <w:tcW w:w="1279" w:type="dxa"/>
                  <w:tcBorders>
                    <w:tl2br w:val="nil"/>
                    <w:tr2bl w:val="nil"/>
                  </w:tcBorders>
                  <w:shd w:val="clear" w:color="auto" w:fill="auto"/>
                  <w:noWrap w:val="0"/>
                  <w:vAlign w:val="center"/>
                </w:tcPr>
                <w:p w14:paraId="3D044A4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0.2937</w:t>
                  </w:r>
                  <w:r>
                    <w:rPr>
                      <w:rFonts w:hint="eastAsia" w:ascii="Times New Roman" w:hAnsi="Times New Roman" w:eastAsia="宋体" w:cs="Times New Roman"/>
                      <w:color w:val="auto"/>
                      <w:kern w:val="0"/>
                      <w:sz w:val="21"/>
                      <w:szCs w:val="21"/>
                      <w:lang w:val="en-US" w:eastAsia="zh-CN" w:bidi="ar-SA"/>
                    </w:rPr>
                    <w:t>kg/h</w:t>
                  </w:r>
                </w:p>
              </w:tc>
              <w:tc>
                <w:tcPr>
                  <w:tcW w:w="770" w:type="dxa"/>
                  <w:tcBorders>
                    <w:tl2br w:val="nil"/>
                    <w:tr2bl w:val="nil"/>
                  </w:tcBorders>
                  <w:shd w:val="clear" w:color="auto" w:fill="auto"/>
                  <w:noWrap w:val="0"/>
                  <w:vAlign w:val="center"/>
                </w:tcPr>
                <w:p w14:paraId="52D6939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1h</w:t>
                  </w:r>
                </w:p>
              </w:tc>
              <w:tc>
                <w:tcPr>
                  <w:tcW w:w="738" w:type="dxa"/>
                  <w:tcBorders>
                    <w:tl2br w:val="nil"/>
                    <w:tr2bl w:val="nil"/>
                  </w:tcBorders>
                  <w:shd w:val="clear" w:color="auto" w:fill="auto"/>
                  <w:noWrap w:val="0"/>
                  <w:vAlign w:val="center"/>
                </w:tcPr>
                <w:p w14:paraId="29B0F47F">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1次</w:t>
                  </w:r>
                </w:p>
              </w:tc>
              <w:tc>
                <w:tcPr>
                  <w:tcW w:w="902" w:type="dxa"/>
                  <w:tcBorders>
                    <w:tl2br w:val="nil"/>
                    <w:tr2bl w:val="nil"/>
                  </w:tcBorders>
                  <w:shd w:val="clear" w:color="auto" w:fill="auto"/>
                  <w:noWrap w:val="0"/>
                  <w:vAlign w:val="center"/>
                </w:tcPr>
                <w:p w14:paraId="7816356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立即停产，修复后生产</w:t>
                  </w:r>
                </w:p>
              </w:tc>
            </w:tr>
          </w:tbl>
          <w:p w14:paraId="4115934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（2）非正常排放防治措施</w:t>
            </w:r>
          </w:p>
          <w:p w14:paraId="2858467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针对以上非正常排放情形，本评价建议建设单位在生产运营期间采取以下控制措施以避免或减少废气非正常排放。</w:t>
            </w:r>
          </w:p>
          <w:p w14:paraId="7391C33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①规范车间生产操作，避免因员工操作不当导致工艺设备、环保设施故障引发废气事故排放。</w:t>
            </w:r>
          </w:p>
          <w:p w14:paraId="6C37F9E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②定期对生产设施及废气处理设施进行检查维护，杜绝非正常工况发生，避免非正常排放出现后才采取维护措施。</w:t>
            </w:r>
          </w:p>
          <w:p w14:paraId="04E55BB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综上，项目在采取上述非正常排放防范措施后，非正常排放发生频率较低，非正常排放下污染物排放量较少，非正常工况可及时得到处理，因此本项目废气非正常排放对周边大气环境影响较小。</w:t>
            </w:r>
          </w:p>
          <w:p w14:paraId="566E54DC">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94" w:name="_Toc20000"/>
            <w:r>
              <w:rPr>
                <w:rFonts w:hint="eastAsia" w:ascii="Times New Roman" w:hAnsi="Times New Roman" w:eastAsia="宋体" w:cs="Times New Roman"/>
                <w:b/>
                <w:color w:val="auto"/>
                <w:kern w:val="2"/>
                <w:sz w:val="24"/>
                <w:szCs w:val="24"/>
                <w:lang w:val="en-US" w:eastAsia="zh-CN" w:bidi="ar-SA"/>
              </w:rPr>
              <w:t>4.2.4运营期废气自行监测计划</w:t>
            </w:r>
            <w:bookmarkEnd w:id="94"/>
          </w:p>
          <w:p w14:paraId="61DCCBC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bookmarkStart w:id="95" w:name="_Toc29394"/>
            <w:bookmarkStart w:id="96" w:name="_Toc15541"/>
            <w:r>
              <w:rPr>
                <w:rFonts w:hint="default" w:ascii="Times New Roman" w:hAnsi="Times New Roman" w:eastAsia="宋体" w:cs="宋体"/>
                <w:color w:val="auto"/>
                <w:kern w:val="2"/>
                <w:sz w:val="24"/>
                <w:szCs w:val="24"/>
                <w:lang w:val="en-US" w:eastAsia="zh-CN" w:bidi="ar-SA"/>
              </w:rPr>
              <w:t>根据《固定污染源排污许可分类管理名录（2019年版）》（生态环境部第11号）可知，</w:t>
            </w:r>
            <w:r>
              <w:rPr>
                <w:rFonts w:hint="eastAsia" w:ascii="Times New Roman" w:hAnsi="Times New Roman" w:eastAsia="宋体" w:cs="宋体"/>
                <w:color w:val="auto"/>
                <w:kern w:val="2"/>
                <w:sz w:val="24"/>
                <w:szCs w:val="24"/>
                <w:lang w:val="en-US" w:eastAsia="zh-CN" w:bidi="ar-SA"/>
              </w:rPr>
              <w:t>本项目属于</w:t>
            </w:r>
            <w:r>
              <w:rPr>
                <w:rFonts w:hint="eastAsia" w:cs="宋体"/>
                <w:color w:val="auto"/>
                <w:kern w:val="2"/>
                <w:sz w:val="24"/>
                <w:szCs w:val="24"/>
                <w:lang w:val="en-US" w:eastAsia="zh-CN" w:bidi="ar-SA"/>
              </w:rPr>
              <w:t>电子元件及电子专用材料制造</w:t>
            </w:r>
            <w:r>
              <w:rPr>
                <w:rFonts w:hint="eastAsia" w:ascii="Times New Roman" w:hAnsi="Times New Roman" w:eastAsia="宋体" w:cs="宋体"/>
                <w:color w:val="auto"/>
                <w:kern w:val="2"/>
                <w:sz w:val="24"/>
                <w:szCs w:val="24"/>
                <w:lang w:val="en-US" w:eastAsia="zh-CN" w:bidi="ar-SA"/>
              </w:rPr>
              <w:t>业，对应《固定污染源排污许可分类管理名录（2019年版）》中</w:t>
            </w:r>
            <w:r>
              <w:rPr>
                <w:rFonts w:hint="default" w:ascii="Times New Roman" w:hAnsi="Times New Roman" w:eastAsia="宋体" w:cs="Times New Roman"/>
                <w:color w:val="auto"/>
                <w:sz w:val="24"/>
                <w:szCs w:val="24"/>
                <w:lang w:val="en-US" w:eastAsia="zh-CN"/>
              </w:rPr>
              <w:t>三十四、计算机、通信和其他电子设备制造业 39</w:t>
            </w:r>
            <w:r>
              <w:rPr>
                <w:rFonts w:hint="eastAsia" w:ascii="Times New Roman" w:hAnsi="Times New Roman" w:eastAsia="宋体" w:cs="宋体"/>
                <w:color w:val="auto"/>
                <w:kern w:val="2"/>
                <w:sz w:val="24"/>
                <w:szCs w:val="24"/>
                <w:lang w:val="en-US" w:eastAsia="zh-CN" w:bidi="ar-SA"/>
              </w:rPr>
              <w:t>，见表4.1-</w:t>
            </w:r>
            <w:r>
              <w:rPr>
                <w:rFonts w:hint="eastAsia"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，不涉及通用工序简化管理的。本项目应当进行登记管理，登记管理无自行监测要求。</w:t>
            </w:r>
          </w:p>
          <w:p w14:paraId="3B35DB0E">
            <w:pPr>
              <w:keepNext/>
              <w:keepLines/>
              <w:widowControl w:val="0"/>
              <w:bidi w:val="0"/>
              <w:spacing w:beforeLines="0" w:beforeAutospacing="0" w:afterLines="0" w:afterAutospacing="0" w:line="360" w:lineRule="auto"/>
              <w:ind w:firstLine="562" w:firstLineChars="200"/>
              <w:jc w:val="left"/>
              <w:outlineLvl w:val="1"/>
              <w:rPr>
                <w:rFonts w:hint="default" w:ascii="Times New Roman" w:hAnsi="Times New Roman" w:eastAsia="宋体" w:cs="Times New Roman"/>
                <w:b/>
                <w:color w:val="auto"/>
                <w:kern w:val="2"/>
                <w:sz w:val="28"/>
                <w:szCs w:val="24"/>
                <w:lang w:val="en-US" w:eastAsia="zh-CN" w:bidi="ar-SA"/>
              </w:rPr>
            </w:pPr>
            <w:r>
              <w:rPr>
                <w:rFonts w:hint="eastAsia" w:ascii="Times New Roman" w:hAnsi="Times New Roman" w:eastAsia="宋体" w:cs="Times New Roman"/>
                <w:b/>
                <w:color w:val="auto"/>
                <w:kern w:val="2"/>
                <w:sz w:val="28"/>
                <w:szCs w:val="24"/>
                <w:lang w:val="en-US" w:eastAsia="zh-CN" w:bidi="ar-SA"/>
              </w:rPr>
              <w:t>4.3运营期声环境影响分析和污染防控措施</w:t>
            </w:r>
            <w:bookmarkEnd w:id="95"/>
            <w:bookmarkEnd w:id="96"/>
          </w:p>
          <w:p w14:paraId="76580A11">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97" w:name="_Toc6955"/>
            <w:r>
              <w:rPr>
                <w:rFonts w:hint="eastAsia" w:ascii="Times New Roman" w:hAnsi="Times New Roman" w:eastAsia="宋体" w:cs="Times New Roman"/>
                <w:b/>
                <w:color w:val="auto"/>
                <w:kern w:val="2"/>
                <w:sz w:val="24"/>
                <w:szCs w:val="24"/>
                <w:lang w:val="en-US" w:eastAsia="zh-CN" w:bidi="ar-SA"/>
              </w:rPr>
              <w:t>4.3.1声环境污染源分析</w:t>
            </w:r>
            <w:bookmarkEnd w:id="97"/>
          </w:p>
          <w:p w14:paraId="6F88BAE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本项目主要生产设备噪声一览表见表4.3-1。</w:t>
            </w:r>
          </w:p>
          <w:p w14:paraId="47C72C3A">
            <w:pPr>
              <w:widowControl w:val="0"/>
              <w:bidi w:val="0"/>
              <w:adjustRightInd w:val="0"/>
              <w:snapToGrid w:val="0"/>
              <w:spacing w:before="10" w:beforeLines="10" w:after="10" w:afterLines="10"/>
              <w:ind w:firstLine="482" w:firstLineChars="20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表4.3-1</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项目设备噪声一览表</w:t>
            </w:r>
          </w:p>
          <w:tbl>
            <w:tblPr>
              <w:tblStyle w:val="18"/>
              <w:tblW w:w="795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796"/>
              <w:gridCol w:w="1348"/>
              <w:gridCol w:w="849"/>
              <w:gridCol w:w="1469"/>
              <w:gridCol w:w="1573"/>
              <w:gridCol w:w="1269"/>
            </w:tblGrid>
            <w:tr w14:paraId="61007F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647" w:type="dxa"/>
                  <w:tcBorders>
                    <w:tl2br w:val="nil"/>
                    <w:tr2bl w:val="nil"/>
                  </w:tcBorders>
                  <w:noWrap w:val="0"/>
                  <w:vAlign w:val="center"/>
                </w:tcPr>
                <w:p w14:paraId="72EF6433">
                  <w:pPr>
                    <w:pStyle w:val="30"/>
                    <w:bidi w:val="0"/>
                    <w:rPr>
                      <w:rFonts w:ascii="Times New Roman" w:hAnsi="Times New Roman"/>
                      <w:b/>
                      <w:bCs/>
                      <w:color w:val="auto"/>
                      <w:lang w:val="en-US" w:eastAsia="zh-CN"/>
                    </w:rPr>
                  </w:pPr>
                  <w:r>
                    <w:rPr>
                      <w:rFonts w:ascii="Times New Roman" w:hAnsi="Times New Roman"/>
                      <w:b/>
                      <w:bCs/>
                      <w:color w:val="auto"/>
                      <w:lang w:val="en-US" w:eastAsia="zh-CN"/>
                    </w:rPr>
                    <w:t>编号</w:t>
                  </w:r>
                </w:p>
              </w:tc>
              <w:tc>
                <w:tcPr>
                  <w:tcW w:w="2144" w:type="dxa"/>
                  <w:gridSpan w:val="2"/>
                  <w:tcBorders>
                    <w:tl2br w:val="nil"/>
                    <w:tr2bl w:val="nil"/>
                  </w:tcBorders>
                  <w:noWrap w:val="0"/>
                  <w:vAlign w:val="center"/>
                </w:tcPr>
                <w:p w14:paraId="1541CFED">
                  <w:pPr>
                    <w:pStyle w:val="30"/>
                    <w:bidi w:val="0"/>
                    <w:rPr>
                      <w:rFonts w:ascii="Times New Roman" w:hAnsi="Times New Roman"/>
                      <w:b/>
                      <w:bCs/>
                      <w:color w:val="auto"/>
                      <w:lang w:val="en-US" w:eastAsia="zh-CN"/>
                    </w:rPr>
                  </w:pPr>
                  <w:r>
                    <w:rPr>
                      <w:rFonts w:ascii="Times New Roman" w:hAnsi="Times New Roman"/>
                      <w:b/>
                      <w:bCs/>
                      <w:color w:val="auto"/>
                      <w:lang w:val="en-US" w:eastAsia="zh-CN"/>
                    </w:rPr>
                    <w:t>噪声源</w:t>
                  </w:r>
                </w:p>
              </w:tc>
              <w:tc>
                <w:tcPr>
                  <w:tcW w:w="849" w:type="dxa"/>
                  <w:tcBorders>
                    <w:tl2br w:val="nil"/>
                    <w:tr2bl w:val="nil"/>
                  </w:tcBorders>
                  <w:noWrap w:val="0"/>
                  <w:vAlign w:val="center"/>
                </w:tcPr>
                <w:p w14:paraId="36F6C501">
                  <w:pPr>
                    <w:pStyle w:val="30"/>
                    <w:bidi w:val="0"/>
                    <w:rPr>
                      <w:rFonts w:ascii="Times New Roman" w:hAnsi="Times New Roman"/>
                      <w:b/>
                      <w:bCs/>
                      <w:color w:val="auto"/>
                      <w:lang w:val="en-US" w:eastAsia="zh-CN"/>
                    </w:rPr>
                  </w:pPr>
                  <w:r>
                    <w:rPr>
                      <w:rFonts w:ascii="Times New Roman" w:hAnsi="Times New Roman"/>
                      <w:b/>
                      <w:bCs/>
                      <w:color w:val="auto"/>
                      <w:lang w:val="en-US" w:eastAsia="zh-CN"/>
                    </w:rPr>
                    <w:t>数量</w:t>
                  </w:r>
                  <w:r>
                    <w:rPr>
                      <w:rFonts w:hint="eastAsia"/>
                      <w:b/>
                      <w:bCs/>
                      <w:color w:val="auto"/>
                      <w:lang w:val="en-US" w:eastAsia="zh-CN"/>
                    </w:rPr>
                    <w:t>（台）</w:t>
                  </w:r>
                </w:p>
              </w:tc>
              <w:tc>
                <w:tcPr>
                  <w:tcW w:w="1469" w:type="dxa"/>
                  <w:tcBorders>
                    <w:tl2br w:val="nil"/>
                    <w:tr2bl w:val="nil"/>
                  </w:tcBorders>
                  <w:noWrap w:val="0"/>
                  <w:vAlign w:val="center"/>
                </w:tcPr>
                <w:p w14:paraId="3BD4D923">
                  <w:pPr>
                    <w:pStyle w:val="30"/>
                    <w:bidi w:val="0"/>
                    <w:rPr>
                      <w:rFonts w:ascii="Times New Roman" w:hAnsi="Times New Roman"/>
                      <w:b/>
                      <w:bCs/>
                      <w:color w:val="auto"/>
                      <w:lang w:val="en-US" w:eastAsia="zh-CN"/>
                    </w:rPr>
                  </w:pPr>
                  <w:r>
                    <w:rPr>
                      <w:rFonts w:ascii="Times New Roman" w:hAnsi="Times New Roman"/>
                      <w:b/>
                      <w:bCs/>
                      <w:color w:val="auto"/>
                      <w:lang w:val="en-US" w:eastAsia="zh-CN"/>
                    </w:rPr>
                    <w:t>产生噪声值</w:t>
                  </w:r>
                </w:p>
              </w:tc>
              <w:tc>
                <w:tcPr>
                  <w:tcW w:w="1573" w:type="dxa"/>
                  <w:tcBorders>
                    <w:tl2br w:val="nil"/>
                    <w:tr2bl w:val="nil"/>
                  </w:tcBorders>
                  <w:noWrap w:val="0"/>
                  <w:vAlign w:val="center"/>
                </w:tcPr>
                <w:p w14:paraId="7BAF03C1">
                  <w:pPr>
                    <w:pStyle w:val="30"/>
                    <w:bidi w:val="0"/>
                    <w:rPr>
                      <w:rFonts w:ascii="Times New Roman" w:hAnsi="Times New Roman"/>
                      <w:b/>
                      <w:bCs/>
                      <w:color w:val="auto"/>
                      <w:lang w:val="en-US" w:eastAsia="zh-CN"/>
                    </w:rPr>
                  </w:pPr>
                  <w:r>
                    <w:rPr>
                      <w:rFonts w:ascii="Times New Roman" w:hAnsi="Times New Roman"/>
                      <w:b/>
                      <w:bCs/>
                      <w:color w:val="auto"/>
                      <w:lang w:val="en-US" w:eastAsia="zh-CN"/>
                    </w:rPr>
                    <w:t>降噪措施</w:t>
                  </w:r>
                </w:p>
              </w:tc>
              <w:tc>
                <w:tcPr>
                  <w:tcW w:w="1269" w:type="dxa"/>
                  <w:tcBorders>
                    <w:tl2br w:val="nil"/>
                    <w:tr2bl w:val="nil"/>
                  </w:tcBorders>
                  <w:noWrap w:val="0"/>
                  <w:vAlign w:val="center"/>
                </w:tcPr>
                <w:p w14:paraId="0FE9F08C">
                  <w:pPr>
                    <w:pStyle w:val="30"/>
                    <w:bidi w:val="0"/>
                    <w:rPr>
                      <w:rFonts w:ascii="Times New Roman" w:hAnsi="Times New Roman"/>
                      <w:b/>
                      <w:bCs/>
                      <w:color w:val="auto"/>
                      <w:lang w:val="en-US" w:eastAsia="zh-CN"/>
                    </w:rPr>
                  </w:pPr>
                  <w:r>
                    <w:rPr>
                      <w:rFonts w:ascii="Times New Roman" w:hAnsi="Times New Roman"/>
                      <w:b/>
                      <w:bCs/>
                      <w:color w:val="auto"/>
                      <w:lang w:val="en-US" w:eastAsia="zh-CN"/>
                    </w:rPr>
                    <w:t>持续时间</w:t>
                  </w:r>
                </w:p>
              </w:tc>
            </w:tr>
            <w:tr w14:paraId="5D9E0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47" w:type="dxa"/>
                  <w:tcBorders>
                    <w:tl2br w:val="nil"/>
                    <w:tr2bl w:val="nil"/>
                  </w:tcBorders>
                  <w:noWrap w:val="0"/>
                  <w:vAlign w:val="center"/>
                </w:tcPr>
                <w:p w14:paraId="0A81423A">
                  <w:pPr>
                    <w:pStyle w:val="30"/>
                    <w:bidi w:val="0"/>
                    <w:rPr>
                      <w:rFonts w:ascii="Times New Roman" w:hAnsi="Times New Roman"/>
                      <w:color w:val="auto"/>
                      <w:lang w:val="en-US" w:eastAsia="zh-CN"/>
                    </w:rPr>
                  </w:pPr>
                  <w:r>
                    <w:rPr>
                      <w:rFonts w:hint="eastAsia" w:ascii="Times New Roman" w:hAnsi="Times New Roman"/>
                      <w:color w:val="auto"/>
                      <w:lang w:val="en-US" w:eastAsia="zh-CN"/>
                    </w:rPr>
                    <w:t>1</w:t>
                  </w:r>
                </w:p>
              </w:tc>
              <w:tc>
                <w:tcPr>
                  <w:tcW w:w="796" w:type="dxa"/>
                  <w:vMerge w:val="restart"/>
                  <w:tcBorders>
                    <w:tl2br w:val="nil"/>
                    <w:tr2bl w:val="nil"/>
                  </w:tcBorders>
                  <w:noWrap w:val="0"/>
                  <w:vAlign w:val="center"/>
                </w:tcPr>
                <w:p w14:paraId="5A6626C3">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生产车间</w:t>
                  </w:r>
                </w:p>
              </w:tc>
              <w:tc>
                <w:tcPr>
                  <w:tcW w:w="1348" w:type="dxa"/>
                  <w:tcBorders>
                    <w:tl2br w:val="nil"/>
                    <w:tr2bl w:val="nil"/>
                  </w:tcBorders>
                  <w:noWrap w:val="0"/>
                  <w:vAlign w:val="center"/>
                </w:tcPr>
                <w:p w14:paraId="13FF824A">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洁净工作台</w:t>
                  </w:r>
                </w:p>
              </w:tc>
              <w:tc>
                <w:tcPr>
                  <w:tcW w:w="849" w:type="dxa"/>
                  <w:tcBorders>
                    <w:tl2br w:val="nil"/>
                    <w:tr2bl w:val="nil"/>
                  </w:tcBorders>
                  <w:shd w:val="clear" w:color="auto" w:fill="auto"/>
                  <w:noWrap w:val="0"/>
                  <w:vAlign w:val="center"/>
                </w:tcPr>
                <w:p w14:paraId="2287AF79">
                  <w:pPr>
                    <w:widowControl/>
                    <w:jc w:val="center"/>
                    <w:textAlignment w:val="center"/>
                    <w:rPr>
                      <w:rFonts w:hint="eastAsia" w:ascii="Times New Roman" w:hAnsi="Times New Roman" w:eastAsia="宋体" w:cs="Times New Roman"/>
                      <w:bCs/>
                      <w:kern w:val="2"/>
                      <w:sz w:val="16"/>
                      <w:szCs w:val="16"/>
                      <w:lang w:val="en-US" w:eastAsia="zh-CN" w:bidi="ar-SA"/>
                    </w:rPr>
                  </w:pPr>
                  <w:r>
                    <w:rPr>
                      <w:rFonts w:hint="eastAsia"/>
                      <w:color w:val="000000"/>
                      <w:kern w:val="0"/>
                      <w:szCs w:val="21"/>
                      <w:lang w:bidi="ar"/>
                    </w:rPr>
                    <w:t>60</w:t>
                  </w:r>
                </w:p>
              </w:tc>
              <w:tc>
                <w:tcPr>
                  <w:tcW w:w="1469" w:type="dxa"/>
                  <w:tcBorders>
                    <w:tl2br w:val="nil"/>
                    <w:tr2bl w:val="nil"/>
                  </w:tcBorders>
                  <w:noWrap w:val="0"/>
                  <w:vAlign w:val="center"/>
                </w:tcPr>
                <w:p w14:paraId="7FD54763">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restart"/>
                  <w:tcBorders>
                    <w:tl2br w:val="nil"/>
                    <w:tr2bl w:val="nil"/>
                  </w:tcBorders>
                  <w:noWrap w:val="0"/>
                  <w:vAlign w:val="center"/>
                </w:tcPr>
                <w:p w14:paraId="0D436A67">
                  <w:pPr>
                    <w:pStyle w:val="30"/>
                    <w:bidi w:val="0"/>
                    <w:rPr>
                      <w:rFonts w:hint="default" w:ascii="Times New Roman" w:hAnsi="Times New Roman"/>
                      <w:color w:val="auto"/>
                      <w:lang w:val="en-US" w:eastAsia="zh-CN"/>
                    </w:rPr>
                  </w:pPr>
                  <w:r>
                    <w:rPr>
                      <w:rFonts w:ascii="Times New Roman" w:hAnsi="Times New Roman"/>
                      <w:color w:val="auto"/>
                      <w:lang w:val="en-US" w:eastAsia="zh-CN"/>
                    </w:rPr>
                    <w:t>车间隔声</w:t>
                  </w:r>
                  <w:r>
                    <w:rPr>
                      <w:rFonts w:hint="eastAsia" w:ascii="Times New Roman" w:hAnsi="Times New Roman"/>
                      <w:color w:val="auto"/>
                      <w:lang w:val="en-US" w:eastAsia="zh-CN"/>
                    </w:rPr>
                    <w:t>、设备基础减振</w:t>
                  </w:r>
                </w:p>
              </w:tc>
              <w:tc>
                <w:tcPr>
                  <w:tcW w:w="1269" w:type="dxa"/>
                  <w:tcBorders>
                    <w:tl2br w:val="nil"/>
                    <w:tr2bl w:val="nil"/>
                  </w:tcBorders>
                  <w:noWrap w:val="0"/>
                  <w:vAlign w:val="center"/>
                </w:tcPr>
                <w:p w14:paraId="0548EF5B">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5E2C9A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47" w:type="dxa"/>
                  <w:tcBorders>
                    <w:tl2br w:val="nil"/>
                    <w:tr2bl w:val="nil"/>
                  </w:tcBorders>
                  <w:noWrap w:val="0"/>
                  <w:vAlign w:val="center"/>
                </w:tcPr>
                <w:p w14:paraId="20A9F7C0">
                  <w:pPr>
                    <w:pStyle w:val="30"/>
                    <w:bidi w:val="0"/>
                    <w:rPr>
                      <w:rFonts w:ascii="Times New Roman" w:hAnsi="Times New Roman"/>
                      <w:color w:val="auto"/>
                      <w:lang w:val="en-US" w:eastAsia="zh-CN"/>
                    </w:rPr>
                  </w:pPr>
                  <w:r>
                    <w:rPr>
                      <w:rFonts w:hint="eastAsia" w:ascii="Times New Roman" w:hAnsi="Times New Roman"/>
                      <w:color w:val="auto"/>
                      <w:lang w:val="en-US" w:eastAsia="zh-CN"/>
                    </w:rPr>
                    <w:t>2</w:t>
                  </w:r>
                </w:p>
              </w:tc>
              <w:tc>
                <w:tcPr>
                  <w:tcW w:w="796" w:type="dxa"/>
                  <w:vMerge w:val="continue"/>
                  <w:tcBorders>
                    <w:tl2br w:val="nil"/>
                    <w:tr2bl w:val="nil"/>
                  </w:tcBorders>
                  <w:noWrap w:val="0"/>
                  <w:vAlign w:val="center"/>
                </w:tcPr>
                <w:p w14:paraId="50DE7C39">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4A70A268">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洁净工作台</w:t>
                  </w:r>
                </w:p>
              </w:tc>
              <w:tc>
                <w:tcPr>
                  <w:tcW w:w="849" w:type="dxa"/>
                  <w:tcBorders>
                    <w:tl2br w:val="nil"/>
                    <w:tr2bl w:val="nil"/>
                  </w:tcBorders>
                  <w:shd w:val="clear" w:color="auto" w:fill="auto"/>
                  <w:noWrap w:val="0"/>
                  <w:vAlign w:val="center"/>
                </w:tcPr>
                <w:p w14:paraId="4EED1340">
                  <w:pPr>
                    <w:widowControl/>
                    <w:jc w:val="center"/>
                    <w:textAlignment w:val="center"/>
                    <w:rPr>
                      <w:rFonts w:ascii="Times New Roman" w:hAnsi="Times New Roman" w:eastAsia="宋体" w:cs="Times New Roman"/>
                      <w:bCs/>
                      <w:kern w:val="2"/>
                      <w:sz w:val="16"/>
                      <w:szCs w:val="16"/>
                      <w:lang w:val="en-US" w:eastAsia="zh-CN" w:bidi="ar-SA"/>
                    </w:rPr>
                  </w:pPr>
                  <w:r>
                    <w:rPr>
                      <w:color w:val="000000"/>
                      <w:kern w:val="0"/>
                      <w:szCs w:val="21"/>
                      <w:lang w:bidi="ar"/>
                    </w:rPr>
                    <w:t>5</w:t>
                  </w:r>
                </w:p>
              </w:tc>
              <w:tc>
                <w:tcPr>
                  <w:tcW w:w="1469" w:type="dxa"/>
                  <w:tcBorders>
                    <w:tl2br w:val="nil"/>
                    <w:tr2bl w:val="nil"/>
                  </w:tcBorders>
                  <w:noWrap w:val="0"/>
                  <w:vAlign w:val="center"/>
                </w:tcPr>
                <w:p w14:paraId="4C61D3C3">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1F81B363">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586E1119">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0027D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47" w:type="dxa"/>
                  <w:tcBorders>
                    <w:tl2br w:val="nil"/>
                    <w:tr2bl w:val="nil"/>
                  </w:tcBorders>
                  <w:noWrap w:val="0"/>
                  <w:vAlign w:val="center"/>
                </w:tcPr>
                <w:p w14:paraId="0630F965">
                  <w:pPr>
                    <w:pStyle w:val="30"/>
                    <w:bidi w:val="0"/>
                    <w:rPr>
                      <w:rFonts w:ascii="Times New Roman" w:hAnsi="Times New Roman"/>
                      <w:color w:val="auto"/>
                      <w:lang w:val="en-US" w:eastAsia="zh-CN"/>
                    </w:rPr>
                  </w:pPr>
                  <w:r>
                    <w:rPr>
                      <w:rFonts w:hint="eastAsia" w:ascii="Times New Roman" w:hAnsi="Times New Roman"/>
                      <w:color w:val="auto"/>
                      <w:lang w:val="en-US" w:eastAsia="zh-CN"/>
                    </w:rPr>
                    <w:t>3</w:t>
                  </w:r>
                </w:p>
              </w:tc>
              <w:tc>
                <w:tcPr>
                  <w:tcW w:w="796" w:type="dxa"/>
                  <w:vMerge w:val="continue"/>
                  <w:tcBorders>
                    <w:tl2br w:val="nil"/>
                    <w:tr2bl w:val="nil"/>
                  </w:tcBorders>
                  <w:noWrap w:val="0"/>
                  <w:vAlign w:val="center"/>
                </w:tcPr>
                <w:p w14:paraId="728D8D7A">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69348425">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压杆机</w:t>
                  </w:r>
                </w:p>
              </w:tc>
              <w:tc>
                <w:tcPr>
                  <w:tcW w:w="849" w:type="dxa"/>
                  <w:tcBorders>
                    <w:tl2br w:val="nil"/>
                    <w:tr2bl w:val="nil"/>
                  </w:tcBorders>
                  <w:shd w:val="clear" w:color="auto" w:fill="auto"/>
                  <w:noWrap w:val="0"/>
                  <w:vAlign w:val="center"/>
                </w:tcPr>
                <w:p w14:paraId="7D20FDCE">
                  <w:pPr>
                    <w:widowControl/>
                    <w:jc w:val="center"/>
                    <w:textAlignment w:val="center"/>
                    <w:rPr>
                      <w:rFonts w:hint="default" w:ascii="Times New Roman" w:hAnsi="Times New Roman" w:eastAsia="宋体" w:cs="Times New Roman"/>
                      <w:bCs/>
                      <w:kern w:val="2"/>
                      <w:sz w:val="16"/>
                      <w:szCs w:val="16"/>
                      <w:lang w:val="en-US" w:eastAsia="zh-CN" w:bidi="ar-SA"/>
                    </w:rPr>
                  </w:pPr>
                  <w:r>
                    <w:rPr>
                      <w:rFonts w:hint="eastAsia"/>
                      <w:color w:val="000000"/>
                      <w:kern w:val="0"/>
                      <w:szCs w:val="21"/>
                      <w:lang w:bidi="ar"/>
                    </w:rPr>
                    <w:t>4</w:t>
                  </w:r>
                </w:p>
              </w:tc>
              <w:tc>
                <w:tcPr>
                  <w:tcW w:w="1469" w:type="dxa"/>
                  <w:tcBorders>
                    <w:tl2br w:val="nil"/>
                    <w:tr2bl w:val="nil"/>
                  </w:tcBorders>
                  <w:noWrap w:val="0"/>
                  <w:vAlign w:val="center"/>
                </w:tcPr>
                <w:p w14:paraId="27CA3B4C">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6446FE3A">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7CDF280A">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11A99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47" w:type="dxa"/>
                  <w:tcBorders>
                    <w:tl2br w:val="nil"/>
                    <w:tr2bl w:val="nil"/>
                  </w:tcBorders>
                  <w:noWrap w:val="0"/>
                  <w:vAlign w:val="center"/>
                </w:tcPr>
                <w:p w14:paraId="282FE20F">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4</w:t>
                  </w:r>
                </w:p>
              </w:tc>
              <w:tc>
                <w:tcPr>
                  <w:tcW w:w="796" w:type="dxa"/>
                  <w:vMerge w:val="continue"/>
                  <w:tcBorders>
                    <w:tl2br w:val="nil"/>
                    <w:tr2bl w:val="nil"/>
                  </w:tcBorders>
                  <w:noWrap w:val="0"/>
                  <w:vAlign w:val="center"/>
                </w:tcPr>
                <w:p w14:paraId="7639464B">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46CD6F93">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定向仪</w:t>
                  </w:r>
                </w:p>
              </w:tc>
              <w:tc>
                <w:tcPr>
                  <w:tcW w:w="849" w:type="dxa"/>
                  <w:tcBorders>
                    <w:tl2br w:val="nil"/>
                    <w:tr2bl w:val="nil"/>
                  </w:tcBorders>
                  <w:shd w:val="clear" w:color="auto" w:fill="auto"/>
                  <w:noWrap w:val="0"/>
                  <w:vAlign w:val="center"/>
                </w:tcPr>
                <w:p w14:paraId="50A188E2">
                  <w:pPr>
                    <w:widowControl/>
                    <w:jc w:val="center"/>
                    <w:textAlignment w:val="center"/>
                    <w:rPr>
                      <w:rFonts w:hint="default" w:ascii="Times New Roman" w:hAnsi="Times New Roman" w:eastAsia="宋体" w:cs="Times New Roman"/>
                      <w:bCs/>
                      <w:kern w:val="2"/>
                      <w:sz w:val="16"/>
                      <w:szCs w:val="16"/>
                      <w:lang w:val="en-US" w:eastAsia="zh-CN" w:bidi="ar-SA"/>
                    </w:rPr>
                  </w:pPr>
                  <w:r>
                    <w:rPr>
                      <w:rStyle w:val="65"/>
                      <w:sz w:val="21"/>
                      <w:szCs w:val="21"/>
                      <w:lang w:bidi="ar"/>
                    </w:rPr>
                    <w:t>4</w:t>
                  </w:r>
                </w:p>
              </w:tc>
              <w:tc>
                <w:tcPr>
                  <w:tcW w:w="1469" w:type="dxa"/>
                  <w:tcBorders>
                    <w:tl2br w:val="nil"/>
                    <w:tr2bl w:val="nil"/>
                  </w:tcBorders>
                  <w:noWrap w:val="0"/>
                  <w:vAlign w:val="center"/>
                </w:tcPr>
                <w:p w14:paraId="7CEFE7A3">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69B50A88">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4B2403D1">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511DA8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43070CCF">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5</w:t>
                  </w:r>
                </w:p>
              </w:tc>
              <w:tc>
                <w:tcPr>
                  <w:tcW w:w="796" w:type="dxa"/>
                  <w:vMerge w:val="continue"/>
                  <w:tcBorders>
                    <w:tl2br w:val="nil"/>
                    <w:tr2bl w:val="nil"/>
                  </w:tcBorders>
                  <w:noWrap w:val="0"/>
                  <w:vAlign w:val="center"/>
                </w:tcPr>
                <w:p w14:paraId="5F3ED4BC">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1863DAFB">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倒角机</w:t>
                  </w:r>
                </w:p>
              </w:tc>
              <w:tc>
                <w:tcPr>
                  <w:tcW w:w="849" w:type="dxa"/>
                  <w:tcBorders>
                    <w:tl2br w:val="nil"/>
                    <w:tr2bl w:val="nil"/>
                  </w:tcBorders>
                  <w:shd w:val="clear" w:color="auto" w:fill="auto"/>
                  <w:noWrap w:val="0"/>
                  <w:vAlign w:val="center"/>
                </w:tcPr>
                <w:p w14:paraId="06A6E896">
                  <w:pPr>
                    <w:widowControl/>
                    <w:jc w:val="center"/>
                    <w:textAlignment w:val="center"/>
                    <w:rPr>
                      <w:rFonts w:hint="default" w:ascii="Times New Roman" w:hAnsi="Times New Roman" w:eastAsia="宋体" w:cs="Times New Roman"/>
                      <w:bCs/>
                      <w:kern w:val="2"/>
                      <w:sz w:val="16"/>
                      <w:szCs w:val="16"/>
                      <w:lang w:val="en-US" w:eastAsia="zh-CN" w:bidi="ar-SA"/>
                    </w:rPr>
                  </w:pPr>
                  <w:r>
                    <w:rPr>
                      <w:rStyle w:val="65"/>
                      <w:rFonts w:hint="eastAsia"/>
                      <w:sz w:val="21"/>
                      <w:szCs w:val="21"/>
                      <w:lang w:bidi="ar"/>
                    </w:rPr>
                    <w:t>11</w:t>
                  </w:r>
                </w:p>
              </w:tc>
              <w:tc>
                <w:tcPr>
                  <w:tcW w:w="1469" w:type="dxa"/>
                  <w:tcBorders>
                    <w:tl2br w:val="nil"/>
                    <w:tr2bl w:val="nil"/>
                  </w:tcBorders>
                  <w:noWrap w:val="0"/>
                  <w:vAlign w:val="center"/>
                </w:tcPr>
                <w:p w14:paraId="52558862">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85-90</w:t>
                  </w:r>
                </w:p>
              </w:tc>
              <w:tc>
                <w:tcPr>
                  <w:tcW w:w="1573" w:type="dxa"/>
                  <w:vMerge w:val="continue"/>
                  <w:tcBorders>
                    <w:tl2br w:val="nil"/>
                    <w:tr2bl w:val="nil"/>
                  </w:tcBorders>
                  <w:noWrap w:val="0"/>
                  <w:vAlign w:val="center"/>
                </w:tcPr>
                <w:p w14:paraId="693FA0A5">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472C6952">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31E25A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37942E3D">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6</w:t>
                  </w:r>
                </w:p>
              </w:tc>
              <w:tc>
                <w:tcPr>
                  <w:tcW w:w="796" w:type="dxa"/>
                  <w:vMerge w:val="continue"/>
                  <w:tcBorders>
                    <w:tl2br w:val="nil"/>
                    <w:tr2bl w:val="nil"/>
                  </w:tcBorders>
                  <w:noWrap w:val="0"/>
                  <w:vAlign w:val="center"/>
                </w:tcPr>
                <w:p w14:paraId="0DE60FB3">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12774248">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超声波清洗机</w:t>
                  </w:r>
                </w:p>
              </w:tc>
              <w:tc>
                <w:tcPr>
                  <w:tcW w:w="849" w:type="dxa"/>
                  <w:tcBorders>
                    <w:tl2br w:val="nil"/>
                    <w:tr2bl w:val="nil"/>
                  </w:tcBorders>
                  <w:shd w:val="clear" w:color="auto" w:fill="auto"/>
                  <w:noWrap w:val="0"/>
                  <w:vAlign w:val="center"/>
                </w:tcPr>
                <w:p w14:paraId="53CC7846">
                  <w:pPr>
                    <w:widowControl/>
                    <w:jc w:val="center"/>
                    <w:textAlignment w:val="center"/>
                    <w:rPr>
                      <w:rFonts w:hint="default" w:ascii="Times New Roman" w:hAnsi="Times New Roman" w:eastAsia="宋体" w:cs="Times New Roman"/>
                      <w:bCs/>
                      <w:kern w:val="2"/>
                      <w:sz w:val="16"/>
                      <w:szCs w:val="16"/>
                      <w:lang w:val="en-US" w:eastAsia="zh-CN" w:bidi="ar-SA"/>
                    </w:rPr>
                  </w:pPr>
                  <w:r>
                    <w:rPr>
                      <w:rFonts w:hint="eastAsia"/>
                      <w:color w:val="000000"/>
                      <w:kern w:val="0"/>
                      <w:szCs w:val="21"/>
                      <w:lang w:bidi="ar"/>
                    </w:rPr>
                    <w:t>2</w:t>
                  </w:r>
                </w:p>
              </w:tc>
              <w:tc>
                <w:tcPr>
                  <w:tcW w:w="1469" w:type="dxa"/>
                  <w:tcBorders>
                    <w:tl2br w:val="nil"/>
                    <w:tr2bl w:val="nil"/>
                  </w:tcBorders>
                  <w:noWrap w:val="0"/>
                  <w:vAlign w:val="center"/>
                </w:tcPr>
                <w:p w14:paraId="634BFB06">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53430DD7">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38B71F27">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2C7AD5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1C5AF992">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w:t>
                  </w:r>
                </w:p>
              </w:tc>
              <w:tc>
                <w:tcPr>
                  <w:tcW w:w="796" w:type="dxa"/>
                  <w:vMerge w:val="continue"/>
                  <w:tcBorders>
                    <w:tl2br w:val="nil"/>
                    <w:tr2bl w:val="nil"/>
                  </w:tcBorders>
                  <w:noWrap w:val="0"/>
                  <w:vAlign w:val="center"/>
                </w:tcPr>
                <w:p w14:paraId="2754C5C8">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0F570F5D">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超声波清洗机</w:t>
                  </w:r>
                </w:p>
              </w:tc>
              <w:tc>
                <w:tcPr>
                  <w:tcW w:w="849" w:type="dxa"/>
                  <w:tcBorders>
                    <w:tl2br w:val="nil"/>
                    <w:tr2bl w:val="nil"/>
                  </w:tcBorders>
                  <w:shd w:val="clear" w:color="auto" w:fill="auto"/>
                  <w:noWrap w:val="0"/>
                  <w:vAlign w:val="center"/>
                </w:tcPr>
                <w:p w14:paraId="79302309">
                  <w:pPr>
                    <w:widowControl/>
                    <w:jc w:val="center"/>
                    <w:textAlignment w:val="center"/>
                    <w:rPr>
                      <w:rFonts w:hint="default" w:ascii="Times New Roman" w:hAnsi="Times New Roman" w:eastAsia="宋体" w:cs="Times New Roman"/>
                      <w:bCs/>
                      <w:kern w:val="2"/>
                      <w:sz w:val="16"/>
                      <w:szCs w:val="16"/>
                      <w:lang w:val="en-US" w:eastAsia="zh-CN" w:bidi="ar-SA"/>
                    </w:rPr>
                  </w:pPr>
                  <w:r>
                    <w:rPr>
                      <w:color w:val="000000"/>
                      <w:kern w:val="0"/>
                      <w:szCs w:val="21"/>
                      <w:lang w:bidi="ar"/>
                    </w:rPr>
                    <w:t>1</w:t>
                  </w:r>
                </w:p>
              </w:tc>
              <w:tc>
                <w:tcPr>
                  <w:tcW w:w="1469" w:type="dxa"/>
                  <w:tcBorders>
                    <w:tl2br w:val="nil"/>
                    <w:tr2bl w:val="nil"/>
                  </w:tcBorders>
                  <w:noWrap w:val="0"/>
                  <w:vAlign w:val="center"/>
                </w:tcPr>
                <w:p w14:paraId="4C936E9A">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3C723691">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0C27527B">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5E679E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0E61F699">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w:t>
                  </w:r>
                </w:p>
              </w:tc>
              <w:tc>
                <w:tcPr>
                  <w:tcW w:w="796" w:type="dxa"/>
                  <w:vMerge w:val="continue"/>
                  <w:tcBorders>
                    <w:tl2br w:val="nil"/>
                    <w:tr2bl w:val="nil"/>
                  </w:tcBorders>
                  <w:noWrap w:val="0"/>
                  <w:vAlign w:val="center"/>
                </w:tcPr>
                <w:p w14:paraId="14AE617E">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720EAE9F">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单线切割机</w:t>
                  </w:r>
                </w:p>
              </w:tc>
              <w:tc>
                <w:tcPr>
                  <w:tcW w:w="849" w:type="dxa"/>
                  <w:tcBorders>
                    <w:tl2br w:val="nil"/>
                    <w:tr2bl w:val="nil"/>
                  </w:tcBorders>
                  <w:shd w:val="clear" w:color="auto" w:fill="auto"/>
                  <w:noWrap w:val="0"/>
                  <w:vAlign w:val="center"/>
                </w:tcPr>
                <w:p w14:paraId="50EDDB4D">
                  <w:pPr>
                    <w:widowControl/>
                    <w:jc w:val="center"/>
                    <w:textAlignment w:val="center"/>
                    <w:rPr>
                      <w:rFonts w:hint="default" w:ascii="Times New Roman" w:hAnsi="Times New Roman" w:eastAsia="宋体" w:cs="Times New Roman"/>
                      <w:bCs/>
                      <w:kern w:val="2"/>
                      <w:sz w:val="16"/>
                      <w:szCs w:val="16"/>
                      <w:lang w:val="en-US" w:eastAsia="zh-CN" w:bidi="ar-SA"/>
                    </w:rPr>
                  </w:pPr>
                  <w:r>
                    <w:rPr>
                      <w:color w:val="000000"/>
                      <w:kern w:val="0"/>
                      <w:szCs w:val="21"/>
                      <w:lang w:bidi="ar"/>
                    </w:rPr>
                    <w:t>2</w:t>
                  </w:r>
                </w:p>
              </w:tc>
              <w:tc>
                <w:tcPr>
                  <w:tcW w:w="1469" w:type="dxa"/>
                  <w:tcBorders>
                    <w:tl2br w:val="nil"/>
                    <w:tr2bl w:val="nil"/>
                  </w:tcBorders>
                  <w:noWrap w:val="0"/>
                  <w:vAlign w:val="center"/>
                </w:tcPr>
                <w:p w14:paraId="22AB771C">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706B1F21">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194D3973">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282B2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3A74F8CF">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9</w:t>
                  </w:r>
                </w:p>
              </w:tc>
              <w:tc>
                <w:tcPr>
                  <w:tcW w:w="796" w:type="dxa"/>
                  <w:vMerge w:val="continue"/>
                  <w:tcBorders>
                    <w:tl2br w:val="nil"/>
                    <w:tr2bl w:val="nil"/>
                  </w:tcBorders>
                  <w:noWrap w:val="0"/>
                  <w:vAlign w:val="center"/>
                </w:tcPr>
                <w:p w14:paraId="12A629F7">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1C0137FB">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单线切割机</w:t>
                  </w:r>
                </w:p>
              </w:tc>
              <w:tc>
                <w:tcPr>
                  <w:tcW w:w="849" w:type="dxa"/>
                  <w:tcBorders>
                    <w:tl2br w:val="nil"/>
                    <w:tr2bl w:val="nil"/>
                  </w:tcBorders>
                  <w:shd w:val="clear" w:color="auto" w:fill="auto"/>
                  <w:noWrap w:val="0"/>
                  <w:vAlign w:val="center"/>
                </w:tcPr>
                <w:p w14:paraId="091DCED0">
                  <w:pPr>
                    <w:widowControl/>
                    <w:jc w:val="center"/>
                    <w:textAlignment w:val="center"/>
                    <w:rPr>
                      <w:rFonts w:hint="default" w:ascii="Times New Roman" w:hAnsi="Times New Roman" w:eastAsia="宋体" w:cs="Times New Roman"/>
                      <w:bCs/>
                      <w:kern w:val="2"/>
                      <w:sz w:val="16"/>
                      <w:szCs w:val="16"/>
                      <w:lang w:val="en-US" w:eastAsia="zh-CN" w:bidi="ar-SA"/>
                    </w:rPr>
                  </w:pPr>
                  <w:r>
                    <w:rPr>
                      <w:color w:val="000000"/>
                      <w:kern w:val="0"/>
                      <w:szCs w:val="21"/>
                      <w:lang w:bidi="ar"/>
                    </w:rPr>
                    <w:t>3</w:t>
                  </w:r>
                </w:p>
              </w:tc>
              <w:tc>
                <w:tcPr>
                  <w:tcW w:w="1469" w:type="dxa"/>
                  <w:tcBorders>
                    <w:tl2br w:val="nil"/>
                    <w:tr2bl w:val="nil"/>
                  </w:tcBorders>
                  <w:noWrap w:val="0"/>
                  <w:vAlign w:val="center"/>
                </w:tcPr>
                <w:p w14:paraId="2798B048">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70-75</w:t>
                  </w:r>
                </w:p>
              </w:tc>
              <w:tc>
                <w:tcPr>
                  <w:tcW w:w="1573" w:type="dxa"/>
                  <w:vMerge w:val="continue"/>
                  <w:tcBorders>
                    <w:tl2br w:val="nil"/>
                    <w:tr2bl w:val="nil"/>
                  </w:tcBorders>
                  <w:noWrap w:val="0"/>
                  <w:vAlign w:val="center"/>
                </w:tcPr>
                <w:p w14:paraId="24599869">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33AD82C1">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08A46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6D5920FC">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10</w:t>
                  </w:r>
                </w:p>
              </w:tc>
              <w:tc>
                <w:tcPr>
                  <w:tcW w:w="796" w:type="dxa"/>
                  <w:vMerge w:val="continue"/>
                  <w:tcBorders>
                    <w:tl2br w:val="nil"/>
                    <w:tr2bl w:val="nil"/>
                  </w:tcBorders>
                  <w:noWrap w:val="0"/>
                  <w:vAlign w:val="center"/>
                </w:tcPr>
                <w:p w14:paraId="738BA081">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3C1C9C82">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单线切割机</w:t>
                  </w:r>
                </w:p>
              </w:tc>
              <w:tc>
                <w:tcPr>
                  <w:tcW w:w="849" w:type="dxa"/>
                  <w:tcBorders>
                    <w:tl2br w:val="nil"/>
                    <w:tr2bl w:val="nil"/>
                  </w:tcBorders>
                  <w:shd w:val="clear" w:color="auto" w:fill="auto"/>
                  <w:noWrap w:val="0"/>
                  <w:vAlign w:val="center"/>
                </w:tcPr>
                <w:p w14:paraId="0E52E0C9">
                  <w:pPr>
                    <w:widowControl/>
                    <w:jc w:val="center"/>
                    <w:textAlignment w:val="center"/>
                    <w:rPr>
                      <w:rFonts w:hint="default" w:ascii="Times New Roman" w:hAnsi="Times New Roman" w:eastAsia="宋体" w:cs="Times New Roman"/>
                      <w:bCs/>
                      <w:kern w:val="2"/>
                      <w:sz w:val="16"/>
                      <w:szCs w:val="16"/>
                      <w:lang w:val="en-US" w:eastAsia="zh-CN" w:bidi="ar-SA"/>
                    </w:rPr>
                  </w:pPr>
                  <w:r>
                    <w:rPr>
                      <w:color w:val="000000"/>
                      <w:kern w:val="0"/>
                      <w:szCs w:val="21"/>
                      <w:lang w:bidi="ar"/>
                    </w:rPr>
                    <w:t>3</w:t>
                  </w:r>
                </w:p>
              </w:tc>
              <w:tc>
                <w:tcPr>
                  <w:tcW w:w="1469" w:type="dxa"/>
                  <w:tcBorders>
                    <w:tl2br w:val="nil"/>
                    <w:tr2bl w:val="nil"/>
                  </w:tcBorders>
                  <w:noWrap w:val="0"/>
                  <w:vAlign w:val="center"/>
                </w:tcPr>
                <w:p w14:paraId="4AFB1513">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70-75</w:t>
                  </w:r>
                </w:p>
              </w:tc>
              <w:tc>
                <w:tcPr>
                  <w:tcW w:w="1573" w:type="dxa"/>
                  <w:vMerge w:val="continue"/>
                  <w:tcBorders>
                    <w:tl2br w:val="nil"/>
                    <w:tr2bl w:val="nil"/>
                  </w:tcBorders>
                  <w:noWrap w:val="0"/>
                  <w:vAlign w:val="center"/>
                </w:tcPr>
                <w:p w14:paraId="524A83D3">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42C71CB5">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0C099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68DAB19B">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11</w:t>
                  </w:r>
                </w:p>
              </w:tc>
              <w:tc>
                <w:tcPr>
                  <w:tcW w:w="796" w:type="dxa"/>
                  <w:vMerge w:val="continue"/>
                  <w:tcBorders>
                    <w:tl2br w:val="nil"/>
                    <w:tr2bl w:val="nil"/>
                  </w:tcBorders>
                  <w:noWrap w:val="0"/>
                  <w:vAlign w:val="center"/>
                </w:tcPr>
                <w:p w14:paraId="43A2B240">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59F4C981">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单线切割机</w:t>
                  </w:r>
                </w:p>
              </w:tc>
              <w:tc>
                <w:tcPr>
                  <w:tcW w:w="849" w:type="dxa"/>
                  <w:tcBorders>
                    <w:tl2br w:val="nil"/>
                    <w:tr2bl w:val="nil"/>
                  </w:tcBorders>
                  <w:shd w:val="clear" w:color="auto" w:fill="auto"/>
                  <w:noWrap w:val="0"/>
                  <w:vAlign w:val="center"/>
                </w:tcPr>
                <w:p w14:paraId="67AB71E1">
                  <w:pPr>
                    <w:widowControl/>
                    <w:jc w:val="center"/>
                    <w:textAlignment w:val="center"/>
                    <w:rPr>
                      <w:rFonts w:hint="default" w:ascii="Times New Roman" w:hAnsi="Times New Roman" w:eastAsia="宋体" w:cs="Times New Roman"/>
                      <w:bCs/>
                      <w:kern w:val="2"/>
                      <w:sz w:val="16"/>
                      <w:szCs w:val="16"/>
                      <w:lang w:val="en-US" w:eastAsia="zh-CN" w:bidi="ar-SA"/>
                    </w:rPr>
                  </w:pPr>
                  <w:r>
                    <w:rPr>
                      <w:color w:val="000000"/>
                      <w:kern w:val="0"/>
                      <w:szCs w:val="21"/>
                      <w:lang w:bidi="ar"/>
                    </w:rPr>
                    <w:t>3</w:t>
                  </w:r>
                </w:p>
              </w:tc>
              <w:tc>
                <w:tcPr>
                  <w:tcW w:w="1469" w:type="dxa"/>
                  <w:tcBorders>
                    <w:tl2br w:val="nil"/>
                    <w:tr2bl w:val="nil"/>
                  </w:tcBorders>
                  <w:noWrap w:val="0"/>
                  <w:vAlign w:val="center"/>
                </w:tcPr>
                <w:p w14:paraId="1F0F8A7A">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0E633221">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69F4A481">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467226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1069FE81">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12</w:t>
                  </w:r>
                </w:p>
              </w:tc>
              <w:tc>
                <w:tcPr>
                  <w:tcW w:w="796" w:type="dxa"/>
                  <w:vMerge w:val="continue"/>
                  <w:tcBorders>
                    <w:tl2br w:val="nil"/>
                    <w:tr2bl w:val="nil"/>
                  </w:tcBorders>
                  <w:noWrap w:val="0"/>
                  <w:vAlign w:val="center"/>
                </w:tcPr>
                <w:p w14:paraId="3C57D32E">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5FD12DB8">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多线切割机</w:t>
                  </w:r>
                </w:p>
              </w:tc>
              <w:tc>
                <w:tcPr>
                  <w:tcW w:w="849" w:type="dxa"/>
                  <w:tcBorders>
                    <w:tl2br w:val="nil"/>
                    <w:tr2bl w:val="nil"/>
                  </w:tcBorders>
                  <w:shd w:val="clear" w:color="auto" w:fill="auto"/>
                  <w:noWrap w:val="0"/>
                  <w:vAlign w:val="center"/>
                </w:tcPr>
                <w:p w14:paraId="32D5E827">
                  <w:pPr>
                    <w:widowControl/>
                    <w:jc w:val="center"/>
                    <w:textAlignment w:val="center"/>
                    <w:rPr>
                      <w:rFonts w:hint="default" w:ascii="Times New Roman" w:hAnsi="Times New Roman" w:eastAsia="宋体" w:cs="Times New Roman"/>
                      <w:bCs/>
                      <w:kern w:val="2"/>
                      <w:sz w:val="16"/>
                      <w:szCs w:val="16"/>
                      <w:lang w:val="en-US" w:eastAsia="zh-CN" w:bidi="ar-SA"/>
                    </w:rPr>
                  </w:pPr>
                  <w:r>
                    <w:rPr>
                      <w:rStyle w:val="65"/>
                      <w:rFonts w:hint="eastAsia"/>
                      <w:sz w:val="21"/>
                      <w:szCs w:val="21"/>
                      <w:lang w:bidi="ar"/>
                    </w:rPr>
                    <w:t>24</w:t>
                  </w:r>
                </w:p>
              </w:tc>
              <w:tc>
                <w:tcPr>
                  <w:tcW w:w="1469" w:type="dxa"/>
                  <w:tcBorders>
                    <w:tl2br w:val="nil"/>
                    <w:tr2bl w:val="nil"/>
                  </w:tcBorders>
                  <w:noWrap w:val="0"/>
                  <w:vAlign w:val="center"/>
                </w:tcPr>
                <w:p w14:paraId="412206C5">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70-75</w:t>
                  </w:r>
                </w:p>
              </w:tc>
              <w:tc>
                <w:tcPr>
                  <w:tcW w:w="1573" w:type="dxa"/>
                  <w:vMerge w:val="continue"/>
                  <w:tcBorders>
                    <w:tl2br w:val="nil"/>
                    <w:tr2bl w:val="nil"/>
                  </w:tcBorders>
                  <w:noWrap w:val="0"/>
                  <w:vAlign w:val="center"/>
                </w:tcPr>
                <w:p w14:paraId="31773E6B">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4F53B4A7">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38855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6DAAFC9F">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13</w:t>
                  </w:r>
                </w:p>
              </w:tc>
              <w:tc>
                <w:tcPr>
                  <w:tcW w:w="796" w:type="dxa"/>
                  <w:vMerge w:val="continue"/>
                  <w:tcBorders>
                    <w:tl2br w:val="nil"/>
                    <w:tr2bl w:val="nil"/>
                  </w:tcBorders>
                  <w:noWrap w:val="0"/>
                  <w:vAlign w:val="center"/>
                </w:tcPr>
                <w:p w14:paraId="2B0D2A5C">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6E21352A">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喷砂机</w:t>
                  </w:r>
                </w:p>
              </w:tc>
              <w:tc>
                <w:tcPr>
                  <w:tcW w:w="849" w:type="dxa"/>
                  <w:tcBorders>
                    <w:tl2br w:val="nil"/>
                    <w:tr2bl w:val="nil"/>
                  </w:tcBorders>
                  <w:shd w:val="clear" w:color="auto" w:fill="auto"/>
                  <w:noWrap w:val="0"/>
                  <w:vAlign w:val="center"/>
                </w:tcPr>
                <w:p w14:paraId="0E8007A8">
                  <w:pPr>
                    <w:widowControl/>
                    <w:jc w:val="center"/>
                    <w:textAlignment w:val="center"/>
                    <w:rPr>
                      <w:rFonts w:hint="default" w:ascii="Times New Roman" w:hAnsi="Times New Roman" w:eastAsia="宋体" w:cs="Times New Roman"/>
                      <w:bCs/>
                      <w:kern w:val="2"/>
                      <w:sz w:val="16"/>
                      <w:szCs w:val="16"/>
                      <w:lang w:val="en-US" w:eastAsia="zh-CN" w:bidi="ar-SA"/>
                    </w:rPr>
                  </w:pPr>
                  <w:r>
                    <w:rPr>
                      <w:color w:val="000000"/>
                      <w:kern w:val="0"/>
                      <w:szCs w:val="21"/>
                      <w:lang w:bidi="ar"/>
                    </w:rPr>
                    <w:t>2</w:t>
                  </w:r>
                </w:p>
              </w:tc>
              <w:tc>
                <w:tcPr>
                  <w:tcW w:w="1469" w:type="dxa"/>
                  <w:tcBorders>
                    <w:tl2br w:val="nil"/>
                    <w:tr2bl w:val="nil"/>
                  </w:tcBorders>
                  <w:noWrap w:val="0"/>
                  <w:vAlign w:val="center"/>
                </w:tcPr>
                <w:p w14:paraId="184A2709">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65-70</w:t>
                  </w:r>
                </w:p>
              </w:tc>
              <w:tc>
                <w:tcPr>
                  <w:tcW w:w="1573" w:type="dxa"/>
                  <w:vMerge w:val="continue"/>
                  <w:tcBorders>
                    <w:tl2br w:val="nil"/>
                    <w:tr2bl w:val="nil"/>
                  </w:tcBorders>
                  <w:noWrap w:val="0"/>
                  <w:vAlign w:val="center"/>
                </w:tcPr>
                <w:p w14:paraId="092F5CE4">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4183E29A">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44893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7" w:type="dxa"/>
                  <w:tcBorders>
                    <w:tl2br w:val="nil"/>
                    <w:tr2bl w:val="nil"/>
                  </w:tcBorders>
                  <w:noWrap w:val="0"/>
                  <w:vAlign w:val="center"/>
                </w:tcPr>
                <w:p w14:paraId="08EA571B">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14</w:t>
                  </w:r>
                </w:p>
              </w:tc>
              <w:tc>
                <w:tcPr>
                  <w:tcW w:w="796" w:type="dxa"/>
                  <w:vMerge w:val="continue"/>
                  <w:tcBorders>
                    <w:tl2br w:val="nil"/>
                    <w:tr2bl w:val="nil"/>
                  </w:tcBorders>
                  <w:noWrap w:val="0"/>
                  <w:vAlign w:val="center"/>
                </w:tcPr>
                <w:p w14:paraId="133F9426">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53B48728">
                  <w:pPr>
                    <w:widowControl/>
                    <w:jc w:val="center"/>
                    <w:textAlignment w:val="center"/>
                    <w:rPr>
                      <w:rFonts w:hint="default" w:ascii="Times New Roman" w:hAnsi="Times New Roman"/>
                      <w:color w:val="auto"/>
                      <w:lang w:val="en-US" w:eastAsia="zh-CN"/>
                    </w:rPr>
                  </w:pPr>
                  <w:r>
                    <w:rPr>
                      <w:rFonts w:hint="eastAsia" w:ascii="宋体" w:hAnsi="宋体" w:cs="宋体"/>
                      <w:color w:val="000000"/>
                      <w:kern w:val="0"/>
                      <w:szCs w:val="21"/>
                      <w:lang w:bidi="ar"/>
                    </w:rPr>
                    <w:t>镀膜机</w:t>
                  </w:r>
                </w:p>
              </w:tc>
              <w:tc>
                <w:tcPr>
                  <w:tcW w:w="849" w:type="dxa"/>
                  <w:tcBorders>
                    <w:tl2br w:val="nil"/>
                    <w:tr2bl w:val="nil"/>
                  </w:tcBorders>
                  <w:shd w:val="clear" w:color="auto" w:fill="auto"/>
                  <w:noWrap w:val="0"/>
                  <w:vAlign w:val="center"/>
                </w:tcPr>
                <w:p w14:paraId="224ADC26">
                  <w:pPr>
                    <w:widowControl/>
                    <w:jc w:val="center"/>
                    <w:textAlignment w:val="center"/>
                    <w:rPr>
                      <w:rFonts w:hint="default" w:ascii="Times New Roman" w:hAnsi="Times New Roman" w:eastAsia="宋体" w:cs="Times New Roman"/>
                      <w:bCs/>
                      <w:kern w:val="2"/>
                      <w:sz w:val="16"/>
                      <w:szCs w:val="16"/>
                      <w:lang w:val="en-US" w:eastAsia="zh-CN" w:bidi="ar-SA"/>
                    </w:rPr>
                  </w:pPr>
                  <w:r>
                    <w:rPr>
                      <w:color w:val="000000"/>
                      <w:kern w:val="0"/>
                      <w:szCs w:val="21"/>
                      <w:lang w:bidi="ar"/>
                    </w:rPr>
                    <w:t>1</w:t>
                  </w:r>
                </w:p>
              </w:tc>
              <w:tc>
                <w:tcPr>
                  <w:tcW w:w="1469" w:type="dxa"/>
                  <w:tcBorders>
                    <w:tl2br w:val="nil"/>
                    <w:tr2bl w:val="nil"/>
                  </w:tcBorders>
                  <w:noWrap w:val="0"/>
                  <w:vAlign w:val="center"/>
                </w:tcPr>
                <w:p w14:paraId="047B6896">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70-75</w:t>
                  </w:r>
                </w:p>
              </w:tc>
              <w:tc>
                <w:tcPr>
                  <w:tcW w:w="1573" w:type="dxa"/>
                  <w:vMerge w:val="continue"/>
                  <w:tcBorders>
                    <w:tl2br w:val="nil"/>
                    <w:tr2bl w:val="nil"/>
                  </w:tcBorders>
                  <w:noWrap w:val="0"/>
                  <w:vAlign w:val="center"/>
                </w:tcPr>
                <w:p w14:paraId="0B6887AE">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6CF8409B">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4D797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47" w:type="dxa"/>
                  <w:tcBorders>
                    <w:tl2br w:val="nil"/>
                    <w:tr2bl w:val="nil"/>
                  </w:tcBorders>
                  <w:noWrap w:val="0"/>
                  <w:vAlign w:val="center"/>
                </w:tcPr>
                <w:p w14:paraId="055369B0">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15</w:t>
                  </w:r>
                </w:p>
              </w:tc>
              <w:tc>
                <w:tcPr>
                  <w:tcW w:w="796" w:type="dxa"/>
                  <w:vMerge w:val="continue"/>
                  <w:tcBorders>
                    <w:tl2br w:val="nil"/>
                    <w:tr2bl w:val="nil"/>
                  </w:tcBorders>
                  <w:noWrap w:val="0"/>
                  <w:vAlign w:val="center"/>
                </w:tcPr>
                <w:p w14:paraId="7A620C91">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18EAED4F">
                  <w:pPr>
                    <w:widowControl/>
                    <w:jc w:val="center"/>
                    <w:textAlignment w:val="center"/>
                    <w:rPr>
                      <w:rFonts w:hint="eastAsia" w:ascii="Times New Roman" w:hAnsi="Times New Roman"/>
                      <w:color w:val="auto"/>
                      <w:lang w:val="en-US" w:eastAsia="zh-CN"/>
                    </w:rPr>
                  </w:pPr>
                  <w:r>
                    <w:rPr>
                      <w:rFonts w:hint="eastAsia" w:ascii="宋体" w:hAnsi="宋体" w:cs="宋体"/>
                      <w:color w:val="000000"/>
                      <w:kern w:val="0"/>
                      <w:szCs w:val="21"/>
                      <w:lang w:bidi="ar"/>
                    </w:rPr>
                    <w:t>离心干燥机</w:t>
                  </w:r>
                </w:p>
              </w:tc>
              <w:tc>
                <w:tcPr>
                  <w:tcW w:w="849" w:type="dxa"/>
                  <w:tcBorders>
                    <w:tl2br w:val="nil"/>
                    <w:tr2bl w:val="nil"/>
                  </w:tcBorders>
                  <w:shd w:val="clear" w:color="auto" w:fill="auto"/>
                  <w:noWrap w:val="0"/>
                  <w:vAlign w:val="center"/>
                </w:tcPr>
                <w:p w14:paraId="18CB7A40">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w:t>
                  </w:r>
                </w:p>
              </w:tc>
              <w:tc>
                <w:tcPr>
                  <w:tcW w:w="1469" w:type="dxa"/>
                  <w:tcBorders>
                    <w:tl2br w:val="nil"/>
                    <w:tr2bl w:val="nil"/>
                  </w:tcBorders>
                  <w:noWrap w:val="0"/>
                  <w:vAlign w:val="center"/>
                </w:tcPr>
                <w:p w14:paraId="377003F4">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65-70</w:t>
                  </w:r>
                </w:p>
              </w:tc>
              <w:tc>
                <w:tcPr>
                  <w:tcW w:w="1573" w:type="dxa"/>
                  <w:vMerge w:val="continue"/>
                  <w:tcBorders>
                    <w:tl2br w:val="nil"/>
                    <w:tr2bl w:val="nil"/>
                  </w:tcBorders>
                  <w:noWrap w:val="0"/>
                  <w:vAlign w:val="center"/>
                </w:tcPr>
                <w:p w14:paraId="0177D9AD">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0D78BA07">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371677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noWrap w:val="0"/>
                  <w:vAlign w:val="center"/>
                </w:tcPr>
                <w:p w14:paraId="05F824FE">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16</w:t>
                  </w:r>
                </w:p>
              </w:tc>
              <w:tc>
                <w:tcPr>
                  <w:tcW w:w="796" w:type="dxa"/>
                  <w:vMerge w:val="continue"/>
                  <w:tcBorders>
                    <w:tl2br w:val="nil"/>
                    <w:tr2bl w:val="nil"/>
                  </w:tcBorders>
                  <w:noWrap w:val="0"/>
                  <w:vAlign w:val="center"/>
                </w:tcPr>
                <w:p w14:paraId="2E60EB5A">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6EF0F0CF">
                  <w:pPr>
                    <w:widowControl/>
                    <w:jc w:val="center"/>
                    <w:textAlignment w:val="center"/>
                    <w:rPr>
                      <w:rFonts w:hint="eastAsia" w:ascii="Times New Roman" w:hAnsi="Times New Roman"/>
                      <w:color w:val="auto"/>
                      <w:lang w:val="en-US" w:eastAsia="zh-CN"/>
                    </w:rPr>
                  </w:pPr>
                  <w:r>
                    <w:rPr>
                      <w:rFonts w:hint="eastAsia" w:ascii="宋体" w:hAnsi="宋体" w:cs="宋体"/>
                      <w:color w:val="000000"/>
                      <w:kern w:val="0"/>
                      <w:szCs w:val="21"/>
                      <w:lang w:bidi="ar"/>
                    </w:rPr>
                    <w:t>两轴研磨抛光机</w:t>
                  </w:r>
                </w:p>
              </w:tc>
              <w:tc>
                <w:tcPr>
                  <w:tcW w:w="849" w:type="dxa"/>
                  <w:tcBorders>
                    <w:tl2br w:val="nil"/>
                    <w:tr2bl w:val="nil"/>
                  </w:tcBorders>
                  <w:shd w:val="clear" w:color="auto" w:fill="auto"/>
                  <w:noWrap w:val="0"/>
                  <w:vAlign w:val="center"/>
                </w:tcPr>
                <w:p w14:paraId="6771332D">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 xml:space="preserve">7 </w:t>
                  </w:r>
                </w:p>
              </w:tc>
              <w:tc>
                <w:tcPr>
                  <w:tcW w:w="1469" w:type="dxa"/>
                  <w:tcBorders>
                    <w:tl2br w:val="nil"/>
                    <w:tr2bl w:val="nil"/>
                  </w:tcBorders>
                  <w:noWrap w:val="0"/>
                  <w:vAlign w:val="center"/>
                </w:tcPr>
                <w:p w14:paraId="7285B7CA">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54BD80EB">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0680783E">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8h</w:t>
                  </w:r>
                </w:p>
              </w:tc>
            </w:tr>
            <w:tr w14:paraId="697EBD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51C36931">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17</w:t>
                  </w:r>
                </w:p>
              </w:tc>
              <w:tc>
                <w:tcPr>
                  <w:tcW w:w="796" w:type="dxa"/>
                  <w:vMerge w:val="continue"/>
                  <w:tcBorders>
                    <w:tl2br w:val="nil"/>
                    <w:tr2bl w:val="nil"/>
                  </w:tcBorders>
                  <w:noWrap w:val="0"/>
                  <w:vAlign w:val="center"/>
                </w:tcPr>
                <w:p w14:paraId="7BE4305C">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7A31B103">
                  <w:pPr>
                    <w:widowControl/>
                    <w:jc w:val="center"/>
                    <w:textAlignment w:val="center"/>
                    <w:rPr>
                      <w:rFonts w:hint="default" w:ascii="Times New Roman" w:hAnsi="Times New Roman" w:eastAsia="宋体" w:cs="Times New Roman"/>
                      <w:b w:val="0"/>
                      <w:bCs/>
                      <w:color w:val="auto"/>
                      <w:sz w:val="21"/>
                      <w:szCs w:val="21"/>
                    </w:rPr>
                  </w:pPr>
                  <w:r>
                    <w:rPr>
                      <w:rStyle w:val="64"/>
                      <w:rFonts w:hint="default"/>
                      <w:sz w:val="21"/>
                      <w:szCs w:val="21"/>
                      <w:lang w:bidi="ar"/>
                    </w:rPr>
                    <w:t>四轴研磨抛光机</w:t>
                  </w:r>
                </w:p>
              </w:tc>
              <w:tc>
                <w:tcPr>
                  <w:tcW w:w="849" w:type="dxa"/>
                  <w:tcBorders>
                    <w:tl2br w:val="nil"/>
                    <w:tr2bl w:val="nil"/>
                  </w:tcBorders>
                  <w:shd w:val="clear" w:color="auto" w:fill="auto"/>
                  <w:noWrap w:val="0"/>
                  <w:vAlign w:val="center"/>
                </w:tcPr>
                <w:p w14:paraId="20EF87CF">
                  <w:pPr>
                    <w:widowControl/>
                    <w:jc w:val="center"/>
                    <w:textAlignment w:val="center"/>
                    <w:rPr>
                      <w:rFonts w:hint="eastAsia" w:ascii="Times New Roman" w:hAnsi="Times New Roman" w:eastAsia="宋体" w:cs="Times New Roman"/>
                      <w:bCs/>
                      <w:kern w:val="2"/>
                      <w:sz w:val="16"/>
                      <w:szCs w:val="16"/>
                      <w:lang w:val="en-US" w:eastAsia="zh-CN" w:bidi="ar-SA"/>
                    </w:rPr>
                  </w:pPr>
                  <w:r>
                    <w:rPr>
                      <w:rFonts w:hint="eastAsia"/>
                      <w:color w:val="000000"/>
                      <w:kern w:val="0"/>
                      <w:szCs w:val="21"/>
                      <w:lang w:bidi="ar"/>
                    </w:rPr>
                    <w:t>13</w:t>
                  </w:r>
                </w:p>
              </w:tc>
              <w:tc>
                <w:tcPr>
                  <w:tcW w:w="1469" w:type="dxa"/>
                  <w:tcBorders>
                    <w:tl2br w:val="nil"/>
                    <w:tr2bl w:val="nil"/>
                  </w:tcBorders>
                  <w:noWrap w:val="0"/>
                  <w:vAlign w:val="center"/>
                </w:tcPr>
                <w:p w14:paraId="2235C206">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64A12881">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512A0E2F">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56A3A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0467E25A">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18</w:t>
                  </w:r>
                </w:p>
              </w:tc>
              <w:tc>
                <w:tcPr>
                  <w:tcW w:w="796" w:type="dxa"/>
                  <w:vMerge w:val="continue"/>
                  <w:tcBorders>
                    <w:tl2br w:val="nil"/>
                    <w:tr2bl w:val="nil"/>
                  </w:tcBorders>
                  <w:noWrap w:val="0"/>
                  <w:vAlign w:val="center"/>
                </w:tcPr>
                <w:p w14:paraId="0B5DFDE2">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19B7617E">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手修磨抛机</w:t>
                  </w:r>
                </w:p>
              </w:tc>
              <w:tc>
                <w:tcPr>
                  <w:tcW w:w="849" w:type="dxa"/>
                  <w:tcBorders>
                    <w:tl2br w:val="nil"/>
                    <w:tr2bl w:val="nil"/>
                  </w:tcBorders>
                  <w:shd w:val="clear" w:color="auto" w:fill="auto"/>
                  <w:noWrap w:val="0"/>
                  <w:vAlign w:val="center"/>
                </w:tcPr>
                <w:p w14:paraId="3AFEBA14">
                  <w:pPr>
                    <w:widowControl/>
                    <w:jc w:val="center"/>
                    <w:textAlignment w:val="center"/>
                    <w:rPr>
                      <w:rFonts w:hint="eastAsia" w:ascii="Times New Roman" w:hAnsi="Times New Roman" w:eastAsia="宋体" w:cs="Times New Roman"/>
                      <w:bCs/>
                      <w:kern w:val="2"/>
                      <w:sz w:val="16"/>
                      <w:szCs w:val="16"/>
                      <w:lang w:val="en-US" w:eastAsia="zh-CN" w:bidi="ar-SA"/>
                    </w:rPr>
                  </w:pPr>
                  <w:r>
                    <w:rPr>
                      <w:rFonts w:hint="eastAsia"/>
                      <w:color w:val="000000"/>
                      <w:kern w:val="0"/>
                      <w:szCs w:val="21"/>
                      <w:lang w:bidi="ar"/>
                    </w:rPr>
                    <w:t>41</w:t>
                  </w:r>
                </w:p>
              </w:tc>
              <w:tc>
                <w:tcPr>
                  <w:tcW w:w="1469" w:type="dxa"/>
                  <w:tcBorders>
                    <w:tl2br w:val="nil"/>
                    <w:tr2bl w:val="nil"/>
                  </w:tcBorders>
                  <w:noWrap w:val="0"/>
                  <w:vAlign w:val="center"/>
                </w:tcPr>
                <w:p w14:paraId="78C94A74">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570F521A">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0674F25F">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4AC42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6F605F7F">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19</w:t>
                  </w:r>
                </w:p>
              </w:tc>
              <w:tc>
                <w:tcPr>
                  <w:tcW w:w="796" w:type="dxa"/>
                  <w:vMerge w:val="continue"/>
                  <w:tcBorders>
                    <w:tl2br w:val="nil"/>
                    <w:tr2bl w:val="nil"/>
                  </w:tcBorders>
                  <w:noWrap w:val="0"/>
                  <w:vAlign w:val="center"/>
                </w:tcPr>
                <w:p w14:paraId="45F5CC35">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631B8CBC">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熔盐炉</w:t>
                  </w:r>
                </w:p>
              </w:tc>
              <w:tc>
                <w:tcPr>
                  <w:tcW w:w="849" w:type="dxa"/>
                  <w:tcBorders>
                    <w:tl2br w:val="nil"/>
                    <w:tr2bl w:val="nil"/>
                  </w:tcBorders>
                  <w:shd w:val="clear" w:color="auto" w:fill="auto"/>
                  <w:noWrap w:val="0"/>
                  <w:vAlign w:val="center"/>
                </w:tcPr>
                <w:p w14:paraId="68631136">
                  <w:pPr>
                    <w:widowControl/>
                    <w:jc w:val="center"/>
                    <w:textAlignment w:val="center"/>
                    <w:rPr>
                      <w:rFonts w:hint="eastAsia" w:ascii="Times New Roman" w:hAnsi="Times New Roman" w:eastAsia="宋体" w:cs="Times New Roman"/>
                      <w:bCs/>
                      <w:kern w:val="2"/>
                      <w:sz w:val="16"/>
                      <w:szCs w:val="16"/>
                      <w:lang w:val="en-US" w:eastAsia="zh-CN" w:bidi="ar-SA"/>
                    </w:rPr>
                  </w:pPr>
                  <w:r>
                    <w:rPr>
                      <w:rStyle w:val="65"/>
                      <w:rFonts w:hint="eastAsia"/>
                      <w:sz w:val="21"/>
                      <w:szCs w:val="21"/>
                      <w:highlight w:val="none"/>
                      <w:lang w:bidi="ar"/>
                    </w:rPr>
                    <w:t>400</w:t>
                  </w:r>
                </w:p>
              </w:tc>
              <w:tc>
                <w:tcPr>
                  <w:tcW w:w="1469" w:type="dxa"/>
                  <w:tcBorders>
                    <w:tl2br w:val="nil"/>
                    <w:tr2bl w:val="nil"/>
                  </w:tcBorders>
                  <w:noWrap w:val="0"/>
                  <w:vAlign w:val="center"/>
                </w:tcPr>
                <w:p w14:paraId="1B028C4C">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06175268">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530A57BA">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62470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6EBFD559">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20</w:t>
                  </w:r>
                </w:p>
              </w:tc>
              <w:tc>
                <w:tcPr>
                  <w:tcW w:w="796" w:type="dxa"/>
                  <w:vMerge w:val="continue"/>
                  <w:tcBorders>
                    <w:tl2br w:val="nil"/>
                    <w:tr2bl w:val="nil"/>
                  </w:tcBorders>
                  <w:noWrap w:val="0"/>
                  <w:vAlign w:val="center"/>
                </w:tcPr>
                <w:p w14:paraId="263D6CFB">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3326F7E6">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纯水机</w:t>
                  </w:r>
                </w:p>
              </w:tc>
              <w:tc>
                <w:tcPr>
                  <w:tcW w:w="849" w:type="dxa"/>
                  <w:tcBorders>
                    <w:tl2br w:val="nil"/>
                    <w:tr2bl w:val="nil"/>
                  </w:tcBorders>
                  <w:shd w:val="clear" w:color="auto" w:fill="auto"/>
                  <w:noWrap w:val="0"/>
                  <w:vAlign w:val="center"/>
                </w:tcPr>
                <w:p w14:paraId="7A255463">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w:t>
                  </w:r>
                </w:p>
              </w:tc>
              <w:tc>
                <w:tcPr>
                  <w:tcW w:w="1469" w:type="dxa"/>
                  <w:tcBorders>
                    <w:tl2br w:val="nil"/>
                    <w:tr2bl w:val="nil"/>
                  </w:tcBorders>
                  <w:noWrap w:val="0"/>
                  <w:vAlign w:val="center"/>
                </w:tcPr>
                <w:p w14:paraId="1805235B">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39EE03AA">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07BD888D">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483B7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1A016B68">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21</w:t>
                  </w:r>
                </w:p>
              </w:tc>
              <w:tc>
                <w:tcPr>
                  <w:tcW w:w="796" w:type="dxa"/>
                  <w:vMerge w:val="continue"/>
                  <w:tcBorders>
                    <w:tl2br w:val="nil"/>
                    <w:tr2bl w:val="nil"/>
                  </w:tcBorders>
                  <w:noWrap w:val="0"/>
                  <w:vAlign w:val="center"/>
                </w:tcPr>
                <w:p w14:paraId="30306B54">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6EF1EF63">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远红外干燥箱</w:t>
                  </w:r>
                </w:p>
              </w:tc>
              <w:tc>
                <w:tcPr>
                  <w:tcW w:w="849" w:type="dxa"/>
                  <w:tcBorders>
                    <w:tl2br w:val="nil"/>
                    <w:tr2bl w:val="nil"/>
                  </w:tcBorders>
                  <w:shd w:val="clear" w:color="auto" w:fill="auto"/>
                  <w:noWrap w:val="0"/>
                  <w:vAlign w:val="center"/>
                </w:tcPr>
                <w:p w14:paraId="72FB386C">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11</w:t>
                  </w:r>
                </w:p>
              </w:tc>
              <w:tc>
                <w:tcPr>
                  <w:tcW w:w="1469" w:type="dxa"/>
                  <w:tcBorders>
                    <w:tl2br w:val="nil"/>
                    <w:tr2bl w:val="nil"/>
                  </w:tcBorders>
                  <w:noWrap w:val="0"/>
                  <w:vAlign w:val="center"/>
                </w:tcPr>
                <w:p w14:paraId="2D81D19F">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85-90</w:t>
                  </w:r>
                </w:p>
              </w:tc>
              <w:tc>
                <w:tcPr>
                  <w:tcW w:w="1573" w:type="dxa"/>
                  <w:vMerge w:val="continue"/>
                  <w:tcBorders>
                    <w:tl2br w:val="nil"/>
                    <w:tr2bl w:val="nil"/>
                  </w:tcBorders>
                  <w:noWrap w:val="0"/>
                  <w:vAlign w:val="center"/>
                </w:tcPr>
                <w:p w14:paraId="0FED1952">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72A9E7EF">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27D73B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31B365B7">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22</w:t>
                  </w:r>
                </w:p>
              </w:tc>
              <w:tc>
                <w:tcPr>
                  <w:tcW w:w="796" w:type="dxa"/>
                  <w:vMerge w:val="continue"/>
                  <w:tcBorders>
                    <w:tl2br w:val="nil"/>
                    <w:tr2bl w:val="nil"/>
                  </w:tcBorders>
                  <w:noWrap w:val="0"/>
                  <w:vAlign w:val="center"/>
                </w:tcPr>
                <w:p w14:paraId="71413890">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5B8862DC">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螺杆空气压缩机</w:t>
                  </w:r>
                </w:p>
              </w:tc>
              <w:tc>
                <w:tcPr>
                  <w:tcW w:w="849" w:type="dxa"/>
                  <w:tcBorders>
                    <w:tl2br w:val="nil"/>
                    <w:tr2bl w:val="nil"/>
                  </w:tcBorders>
                  <w:shd w:val="clear" w:color="auto" w:fill="auto"/>
                  <w:noWrap w:val="0"/>
                  <w:vAlign w:val="center"/>
                </w:tcPr>
                <w:p w14:paraId="088F61A8">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6</w:t>
                  </w:r>
                </w:p>
              </w:tc>
              <w:tc>
                <w:tcPr>
                  <w:tcW w:w="1469" w:type="dxa"/>
                  <w:tcBorders>
                    <w:tl2br w:val="nil"/>
                    <w:tr2bl w:val="nil"/>
                  </w:tcBorders>
                  <w:noWrap w:val="0"/>
                  <w:vAlign w:val="center"/>
                </w:tcPr>
                <w:p w14:paraId="04EC4D18">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1540DF39">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105FBE03">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7A4CCC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38B99473">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23</w:t>
                  </w:r>
                </w:p>
              </w:tc>
              <w:tc>
                <w:tcPr>
                  <w:tcW w:w="796" w:type="dxa"/>
                  <w:vMerge w:val="continue"/>
                  <w:tcBorders>
                    <w:tl2br w:val="nil"/>
                    <w:tr2bl w:val="nil"/>
                  </w:tcBorders>
                  <w:noWrap w:val="0"/>
                  <w:vAlign w:val="center"/>
                </w:tcPr>
                <w:p w14:paraId="25B01B76">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408721E5">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机械泵</w:t>
                  </w:r>
                </w:p>
              </w:tc>
              <w:tc>
                <w:tcPr>
                  <w:tcW w:w="849" w:type="dxa"/>
                  <w:tcBorders>
                    <w:tl2br w:val="nil"/>
                    <w:tr2bl w:val="nil"/>
                  </w:tcBorders>
                  <w:shd w:val="clear" w:color="auto" w:fill="auto"/>
                  <w:noWrap w:val="0"/>
                  <w:vAlign w:val="center"/>
                </w:tcPr>
                <w:p w14:paraId="7ACD7E1F">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39</w:t>
                  </w:r>
                </w:p>
              </w:tc>
              <w:tc>
                <w:tcPr>
                  <w:tcW w:w="1469" w:type="dxa"/>
                  <w:tcBorders>
                    <w:tl2br w:val="nil"/>
                    <w:tr2bl w:val="nil"/>
                  </w:tcBorders>
                  <w:noWrap w:val="0"/>
                  <w:vAlign w:val="center"/>
                </w:tcPr>
                <w:p w14:paraId="6E459D1D">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70-75</w:t>
                  </w:r>
                </w:p>
              </w:tc>
              <w:tc>
                <w:tcPr>
                  <w:tcW w:w="1573" w:type="dxa"/>
                  <w:vMerge w:val="continue"/>
                  <w:tcBorders>
                    <w:tl2br w:val="nil"/>
                    <w:tr2bl w:val="nil"/>
                  </w:tcBorders>
                  <w:noWrap w:val="0"/>
                  <w:vAlign w:val="center"/>
                </w:tcPr>
                <w:p w14:paraId="267807D0">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10DD4FE2">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3C771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04B9790D">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24</w:t>
                  </w:r>
                </w:p>
              </w:tc>
              <w:tc>
                <w:tcPr>
                  <w:tcW w:w="796" w:type="dxa"/>
                  <w:vMerge w:val="continue"/>
                  <w:tcBorders>
                    <w:tl2br w:val="nil"/>
                    <w:tr2bl w:val="nil"/>
                  </w:tcBorders>
                  <w:noWrap w:val="0"/>
                  <w:vAlign w:val="center"/>
                </w:tcPr>
                <w:p w14:paraId="0FE2DF1C">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6CD70559">
                  <w:pPr>
                    <w:widowControl/>
                    <w:jc w:val="center"/>
                    <w:textAlignment w:val="center"/>
                    <w:rPr>
                      <w:rFonts w:hint="default" w:ascii="Times New Roman" w:hAnsi="Times New Roman" w:eastAsia="宋体" w:cs="Times New Roman"/>
                      <w:b w:val="0"/>
                      <w:bCs/>
                      <w:color w:val="auto"/>
                      <w:sz w:val="21"/>
                      <w:szCs w:val="21"/>
                    </w:rPr>
                  </w:pPr>
                  <w:r>
                    <w:rPr>
                      <w:rStyle w:val="64"/>
                      <w:rFonts w:hint="default"/>
                      <w:sz w:val="21"/>
                      <w:szCs w:val="21"/>
                      <w:lang w:bidi="ar"/>
                    </w:rPr>
                    <w:t>箱式炉</w:t>
                  </w:r>
                </w:p>
              </w:tc>
              <w:tc>
                <w:tcPr>
                  <w:tcW w:w="849" w:type="dxa"/>
                  <w:tcBorders>
                    <w:tl2br w:val="nil"/>
                    <w:tr2bl w:val="nil"/>
                  </w:tcBorders>
                  <w:shd w:val="clear" w:color="auto" w:fill="auto"/>
                  <w:noWrap w:val="0"/>
                  <w:vAlign w:val="center"/>
                </w:tcPr>
                <w:p w14:paraId="3EB876DF">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26</w:t>
                  </w:r>
                </w:p>
              </w:tc>
              <w:tc>
                <w:tcPr>
                  <w:tcW w:w="1469" w:type="dxa"/>
                  <w:tcBorders>
                    <w:tl2br w:val="nil"/>
                    <w:tr2bl w:val="nil"/>
                  </w:tcBorders>
                  <w:noWrap w:val="0"/>
                  <w:vAlign w:val="center"/>
                </w:tcPr>
                <w:p w14:paraId="7B720BE9">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70-75</w:t>
                  </w:r>
                </w:p>
              </w:tc>
              <w:tc>
                <w:tcPr>
                  <w:tcW w:w="1573" w:type="dxa"/>
                  <w:vMerge w:val="continue"/>
                  <w:tcBorders>
                    <w:tl2br w:val="nil"/>
                    <w:tr2bl w:val="nil"/>
                  </w:tcBorders>
                  <w:noWrap w:val="0"/>
                  <w:vAlign w:val="center"/>
                </w:tcPr>
                <w:p w14:paraId="7E3D8745">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49FD7433">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5A58C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40ACD881">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25</w:t>
                  </w:r>
                </w:p>
              </w:tc>
              <w:tc>
                <w:tcPr>
                  <w:tcW w:w="796" w:type="dxa"/>
                  <w:vMerge w:val="continue"/>
                  <w:tcBorders>
                    <w:tl2br w:val="nil"/>
                    <w:tr2bl w:val="nil"/>
                  </w:tcBorders>
                  <w:noWrap w:val="0"/>
                  <w:vAlign w:val="center"/>
                </w:tcPr>
                <w:p w14:paraId="158052F7">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71568368">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循环水泵</w:t>
                  </w:r>
                </w:p>
              </w:tc>
              <w:tc>
                <w:tcPr>
                  <w:tcW w:w="849" w:type="dxa"/>
                  <w:tcBorders>
                    <w:tl2br w:val="nil"/>
                    <w:tr2bl w:val="nil"/>
                  </w:tcBorders>
                  <w:shd w:val="clear" w:color="auto" w:fill="auto"/>
                  <w:noWrap w:val="0"/>
                  <w:vAlign w:val="center"/>
                </w:tcPr>
                <w:p w14:paraId="4B0A5AB4">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11</w:t>
                  </w:r>
                </w:p>
              </w:tc>
              <w:tc>
                <w:tcPr>
                  <w:tcW w:w="1469" w:type="dxa"/>
                  <w:tcBorders>
                    <w:tl2br w:val="nil"/>
                    <w:tr2bl w:val="nil"/>
                  </w:tcBorders>
                  <w:noWrap w:val="0"/>
                  <w:vAlign w:val="center"/>
                </w:tcPr>
                <w:p w14:paraId="56518C9C">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1B7B323D">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55EA2C9C">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7444AB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01629004">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26</w:t>
                  </w:r>
                </w:p>
              </w:tc>
              <w:tc>
                <w:tcPr>
                  <w:tcW w:w="796" w:type="dxa"/>
                  <w:vMerge w:val="continue"/>
                  <w:tcBorders>
                    <w:tl2br w:val="nil"/>
                    <w:tr2bl w:val="nil"/>
                  </w:tcBorders>
                  <w:noWrap w:val="0"/>
                  <w:vAlign w:val="center"/>
                </w:tcPr>
                <w:p w14:paraId="344D6640">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3824352C">
                  <w:pPr>
                    <w:widowControl/>
                    <w:jc w:val="center"/>
                    <w:textAlignment w:val="center"/>
                    <w:rPr>
                      <w:rFonts w:hint="default" w:ascii="Times New Roman" w:hAnsi="Times New Roman" w:eastAsia="宋体" w:cs="Times New Roman"/>
                      <w:b w:val="0"/>
                      <w:bCs/>
                      <w:color w:val="auto"/>
                      <w:sz w:val="21"/>
                      <w:szCs w:val="21"/>
                    </w:rPr>
                  </w:pPr>
                  <w:r>
                    <w:rPr>
                      <w:rFonts w:hint="eastAsia" w:ascii="宋体" w:hAnsi="宋体" w:cs="宋体"/>
                      <w:color w:val="000000"/>
                      <w:kern w:val="0"/>
                      <w:szCs w:val="21"/>
                      <w:lang w:bidi="ar"/>
                    </w:rPr>
                    <w:t>冷却水泵</w:t>
                  </w:r>
                </w:p>
              </w:tc>
              <w:tc>
                <w:tcPr>
                  <w:tcW w:w="849" w:type="dxa"/>
                  <w:tcBorders>
                    <w:tl2br w:val="nil"/>
                    <w:tr2bl w:val="nil"/>
                  </w:tcBorders>
                  <w:shd w:val="clear" w:color="auto" w:fill="auto"/>
                  <w:noWrap w:val="0"/>
                  <w:vAlign w:val="center"/>
                </w:tcPr>
                <w:p w14:paraId="25E5A1C1">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7</w:t>
                  </w:r>
                </w:p>
              </w:tc>
              <w:tc>
                <w:tcPr>
                  <w:tcW w:w="1469" w:type="dxa"/>
                  <w:tcBorders>
                    <w:tl2br w:val="nil"/>
                    <w:tr2bl w:val="nil"/>
                  </w:tcBorders>
                  <w:noWrap w:val="0"/>
                  <w:vAlign w:val="center"/>
                </w:tcPr>
                <w:p w14:paraId="5D66ECD2">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70-75</w:t>
                  </w:r>
                </w:p>
              </w:tc>
              <w:tc>
                <w:tcPr>
                  <w:tcW w:w="1573" w:type="dxa"/>
                  <w:vMerge w:val="continue"/>
                  <w:tcBorders>
                    <w:tl2br w:val="nil"/>
                    <w:tr2bl w:val="nil"/>
                  </w:tcBorders>
                  <w:noWrap w:val="0"/>
                  <w:vAlign w:val="center"/>
                </w:tcPr>
                <w:p w14:paraId="2C5A1FED">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6CCEF758">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r w14:paraId="3913E9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47" w:type="dxa"/>
                  <w:tcBorders>
                    <w:tl2br w:val="nil"/>
                    <w:tr2bl w:val="nil"/>
                  </w:tcBorders>
                  <w:shd w:val="clear" w:color="auto" w:fill="auto"/>
                  <w:noWrap w:val="0"/>
                  <w:vAlign w:val="center"/>
                </w:tcPr>
                <w:p w14:paraId="60454288">
                  <w:pPr>
                    <w:widowControl/>
                    <w:jc w:val="center"/>
                    <w:textAlignment w:val="center"/>
                    <w:rPr>
                      <w:rFonts w:hint="eastAsia" w:ascii="Times New Roman" w:hAnsi="Times New Roman" w:eastAsia="宋体" w:cs="Times New Roman"/>
                      <w:bCs/>
                      <w:kern w:val="2"/>
                      <w:sz w:val="16"/>
                      <w:szCs w:val="16"/>
                      <w:lang w:val="en-US" w:eastAsia="zh-CN" w:bidi="ar-SA"/>
                    </w:rPr>
                  </w:pPr>
                  <w:r>
                    <w:rPr>
                      <w:color w:val="000000"/>
                      <w:kern w:val="0"/>
                      <w:szCs w:val="21"/>
                      <w:lang w:bidi="ar"/>
                    </w:rPr>
                    <w:t>27</w:t>
                  </w:r>
                </w:p>
              </w:tc>
              <w:tc>
                <w:tcPr>
                  <w:tcW w:w="796" w:type="dxa"/>
                  <w:vMerge w:val="continue"/>
                  <w:tcBorders>
                    <w:tl2br w:val="nil"/>
                    <w:tr2bl w:val="nil"/>
                  </w:tcBorders>
                  <w:noWrap w:val="0"/>
                  <w:vAlign w:val="center"/>
                </w:tcPr>
                <w:p w14:paraId="52B57808">
                  <w:pPr>
                    <w:pStyle w:val="30"/>
                    <w:bidi w:val="0"/>
                    <w:rPr>
                      <w:rFonts w:ascii="Times New Roman" w:hAnsi="Times New Roman"/>
                      <w:color w:val="auto"/>
                      <w:lang w:val="en-US" w:eastAsia="zh-CN"/>
                    </w:rPr>
                  </w:pPr>
                </w:p>
              </w:tc>
              <w:tc>
                <w:tcPr>
                  <w:tcW w:w="1348" w:type="dxa"/>
                  <w:tcBorders>
                    <w:tl2br w:val="nil"/>
                    <w:tr2bl w:val="nil"/>
                  </w:tcBorders>
                  <w:noWrap w:val="0"/>
                  <w:vAlign w:val="center"/>
                </w:tcPr>
                <w:p w14:paraId="2F447C17">
                  <w:pPr>
                    <w:widowControl/>
                    <w:jc w:val="center"/>
                    <w:textAlignment w:val="center"/>
                    <w:rPr>
                      <w:rFonts w:hint="default" w:ascii="Times New Roman" w:hAnsi="Times New Roman" w:eastAsia="宋体" w:cs="Times New Roman"/>
                      <w:b w:val="0"/>
                      <w:bCs/>
                      <w:color w:val="auto"/>
                      <w:sz w:val="21"/>
                      <w:szCs w:val="21"/>
                    </w:rPr>
                  </w:pPr>
                  <w:r>
                    <w:rPr>
                      <w:rStyle w:val="64"/>
                      <w:rFonts w:hint="default"/>
                      <w:sz w:val="21"/>
                      <w:szCs w:val="21"/>
                      <w:lang w:bidi="ar"/>
                    </w:rPr>
                    <w:t>四轴高速精磨抛光机</w:t>
                  </w:r>
                </w:p>
              </w:tc>
              <w:tc>
                <w:tcPr>
                  <w:tcW w:w="849" w:type="dxa"/>
                  <w:tcBorders>
                    <w:tl2br w:val="nil"/>
                    <w:tr2bl w:val="nil"/>
                  </w:tcBorders>
                  <w:shd w:val="clear" w:color="auto" w:fill="auto"/>
                  <w:noWrap w:val="0"/>
                  <w:vAlign w:val="center"/>
                </w:tcPr>
                <w:p w14:paraId="0D934078">
                  <w:pPr>
                    <w:widowControl/>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color w:val="000000"/>
                      <w:kern w:val="0"/>
                      <w:szCs w:val="21"/>
                      <w:lang w:bidi="ar"/>
                    </w:rPr>
                    <w:t>2</w:t>
                  </w:r>
                </w:p>
              </w:tc>
              <w:tc>
                <w:tcPr>
                  <w:tcW w:w="1469" w:type="dxa"/>
                  <w:tcBorders>
                    <w:tl2br w:val="nil"/>
                    <w:tr2bl w:val="nil"/>
                  </w:tcBorders>
                  <w:noWrap w:val="0"/>
                  <w:vAlign w:val="center"/>
                </w:tcPr>
                <w:p w14:paraId="571CDC68">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75-80</w:t>
                  </w:r>
                </w:p>
              </w:tc>
              <w:tc>
                <w:tcPr>
                  <w:tcW w:w="1573" w:type="dxa"/>
                  <w:vMerge w:val="continue"/>
                  <w:tcBorders>
                    <w:tl2br w:val="nil"/>
                    <w:tr2bl w:val="nil"/>
                  </w:tcBorders>
                  <w:noWrap w:val="0"/>
                  <w:vAlign w:val="center"/>
                </w:tcPr>
                <w:p w14:paraId="380F274A">
                  <w:pPr>
                    <w:pStyle w:val="30"/>
                    <w:bidi w:val="0"/>
                    <w:rPr>
                      <w:rFonts w:ascii="Times New Roman" w:hAnsi="Times New Roman"/>
                      <w:color w:val="auto"/>
                      <w:lang w:val="en-US" w:eastAsia="zh-CN"/>
                    </w:rPr>
                  </w:pPr>
                </w:p>
              </w:tc>
              <w:tc>
                <w:tcPr>
                  <w:tcW w:w="1269" w:type="dxa"/>
                  <w:tcBorders>
                    <w:tl2br w:val="nil"/>
                    <w:tr2bl w:val="nil"/>
                  </w:tcBorders>
                  <w:noWrap w:val="0"/>
                  <w:vAlign w:val="center"/>
                </w:tcPr>
                <w:p w14:paraId="7A103F9B">
                  <w:pPr>
                    <w:pStyle w:val="30"/>
                    <w:bidi w:val="0"/>
                    <w:rPr>
                      <w:rFonts w:hint="eastAsia" w:ascii="Times New Roman" w:hAnsi="Times New Roman"/>
                      <w:color w:val="auto"/>
                      <w:lang w:val="en-US" w:eastAsia="zh-CN"/>
                    </w:rPr>
                  </w:pPr>
                  <w:r>
                    <w:rPr>
                      <w:rFonts w:hint="eastAsia" w:ascii="Times New Roman" w:hAnsi="Times New Roman"/>
                      <w:color w:val="auto"/>
                      <w:lang w:val="en-US" w:eastAsia="zh-CN"/>
                    </w:rPr>
                    <w:t>8h</w:t>
                  </w:r>
                </w:p>
              </w:tc>
            </w:tr>
          </w:tbl>
          <w:p w14:paraId="438711F9">
            <w:pPr>
              <w:pStyle w:val="52"/>
              <w:keepNext w:val="0"/>
              <w:keepLines w:val="0"/>
              <w:pageBreakBefore w:val="0"/>
              <w:widowControl w:val="0"/>
              <w:kinsoku/>
              <w:wordWrap/>
              <w:overflowPunct/>
              <w:topLinePunct w:val="0"/>
              <w:autoSpaceDE/>
              <w:autoSpaceDN/>
              <w:bidi w:val="0"/>
              <w:adjustRightInd/>
              <w:snapToGrid w:val="0"/>
              <w:spacing w:before="0" w:after="0"/>
              <w:ind w:firstLine="482" w:firstLineChars="200"/>
              <w:textAlignment w:val="auto"/>
              <w:rPr>
                <w:rFonts w:hint="eastAsia"/>
                <w:color w:val="auto"/>
                <w:lang w:eastAsia="zh-CN"/>
              </w:rPr>
            </w:pPr>
            <w:r>
              <w:rPr>
                <w:rFonts w:hint="eastAsia"/>
                <w:color w:val="auto"/>
                <w:lang w:val="en-US" w:eastAsia="zh-CN"/>
              </w:rPr>
              <w:t xml:space="preserve">表4.3-2  </w:t>
            </w:r>
            <w:r>
              <w:rPr>
                <w:rFonts w:hint="eastAsia"/>
                <w:color w:val="auto"/>
              </w:rPr>
              <w:t>项目设备噪声一览表</w:t>
            </w:r>
            <w:r>
              <w:rPr>
                <w:rFonts w:hint="eastAsia"/>
                <w:color w:val="auto"/>
                <w:lang w:eastAsia="zh-CN"/>
              </w:rPr>
              <w:t>（</w:t>
            </w:r>
            <w:r>
              <w:rPr>
                <w:rFonts w:hint="eastAsia"/>
                <w:color w:val="auto"/>
                <w:lang w:val="en-US" w:eastAsia="zh-CN"/>
              </w:rPr>
              <w:t>室外声源</w:t>
            </w:r>
            <w:r>
              <w:rPr>
                <w:rFonts w:hint="eastAsia"/>
                <w:color w:val="auto"/>
                <w:lang w:eastAsia="zh-CN"/>
              </w:rPr>
              <w:t>）</w:t>
            </w:r>
          </w:p>
          <w:tbl>
            <w:tblPr>
              <w:tblStyle w:val="19"/>
              <w:tblW w:w="8517" w:type="dxa"/>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537"/>
              <w:gridCol w:w="1195"/>
              <w:gridCol w:w="783"/>
              <w:gridCol w:w="1115"/>
              <w:gridCol w:w="757"/>
              <w:gridCol w:w="783"/>
              <w:gridCol w:w="691"/>
              <w:gridCol w:w="1567"/>
              <w:gridCol w:w="1089"/>
            </w:tblGrid>
            <w:tr w14:paraId="30DC44D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24" w:hRule="atLeast"/>
              </w:trPr>
              <w:tc>
                <w:tcPr>
                  <w:tcW w:w="537" w:type="dxa"/>
                  <w:vMerge w:val="restart"/>
                  <w:tcBorders>
                    <w:tl2br w:val="nil"/>
                    <w:tr2bl w:val="nil"/>
                  </w:tcBorders>
                  <w:vAlign w:val="center"/>
                </w:tcPr>
                <w:p w14:paraId="1C78472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b/>
                      <w:bCs/>
                      <w:color w:val="auto"/>
                      <w:sz w:val="21"/>
                      <w:szCs w:val="21"/>
                      <w:vertAlign w:val="baseline"/>
                    </w:rPr>
                  </w:pPr>
                  <w:r>
                    <w:rPr>
                      <w:rFonts w:hint="eastAsia" w:ascii="Times New Roman" w:hAnsi="Times New Roman" w:eastAsia="宋体" w:cs="宋体"/>
                      <w:b/>
                      <w:bCs/>
                      <w:color w:val="auto"/>
                      <w:sz w:val="21"/>
                      <w:szCs w:val="21"/>
                      <w:lang w:val="en-US" w:eastAsia="zh-CN"/>
                    </w:rPr>
                    <w:t>序</w:t>
                  </w:r>
                  <w:r>
                    <w:rPr>
                      <w:rFonts w:ascii="Times New Roman" w:hAnsi="Times New Roman" w:eastAsia="宋体" w:cs="宋体"/>
                      <w:b/>
                      <w:bCs/>
                      <w:color w:val="auto"/>
                      <w:sz w:val="21"/>
                      <w:szCs w:val="21"/>
                    </w:rPr>
                    <w:t>号</w:t>
                  </w:r>
                </w:p>
              </w:tc>
              <w:tc>
                <w:tcPr>
                  <w:tcW w:w="1195" w:type="dxa"/>
                  <w:vMerge w:val="restart"/>
                  <w:tcBorders>
                    <w:tl2br w:val="nil"/>
                    <w:tr2bl w:val="nil"/>
                  </w:tcBorders>
                  <w:vAlign w:val="center"/>
                </w:tcPr>
                <w:p w14:paraId="19E8BF9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b/>
                      <w:bCs/>
                      <w:color w:val="auto"/>
                      <w:sz w:val="21"/>
                      <w:szCs w:val="21"/>
                      <w:vertAlign w:val="baseline"/>
                    </w:rPr>
                  </w:pPr>
                  <w:r>
                    <w:rPr>
                      <w:rFonts w:ascii="Times New Roman" w:hAnsi="Times New Roman" w:eastAsia="宋体" w:cs="宋体"/>
                      <w:b/>
                      <w:bCs/>
                      <w:color w:val="auto"/>
                      <w:sz w:val="21"/>
                      <w:szCs w:val="21"/>
                    </w:rPr>
                    <w:t>设备名称</w:t>
                  </w:r>
                </w:p>
              </w:tc>
              <w:tc>
                <w:tcPr>
                  <w:tcW w:w="783" w:type="dxa"/>
                  <w:vMerge w:val="restart"/>
                  <w:tcBorders>
                    <w:tl2br w:val="nil"/>
                    <w:tr2bl w:val="nil"/>
                  </w:tcBorders>
                  <w:vAlign w:val="center"/>
                </w:tcPr>
                <w:p w14:paraId="5BE5762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b/>
                      <w:bCs/>
                      <w:color w:val="auto"/>
                      <w:sz w:val="21"/>
                      <w:szCs w:val="21"/>
                      <w:vertAlign w:val="baseline"/>
                    </w:rPr>
                  </w:pPr>
                  <w:r>
                    <w:rPr>
                      <w:rFonts w:ascii="Times New Roman" w:hAnsi="Times New Roman" w:eastAsia="宋体" w:cs="宋体"/>
                      <w:b/>
                      <w:bCs/>
                      <w:color w:val="auto"/>
                      <w:sz w:val="21"/>
                      <w:szCs w:val="21"/>
                    </w:rPr>
                    <w:t>数量</w:t>
                  </w:r>
                </w:p>
              </w:tc>
              <w:tc>
                <w:tcPr>
                  <w:tcW w:w="1115" w:type="dxa"/>
                  <w:vMerge w:val="restart"/>
                  <w:tcBorders>
                    <w:tl2br w:val="nil"/>
                    <w:tr2bl w:val="nil"/>
                  </w:tcBorders>
                  <w:vAlign w:val="center"/>
                </w:tcPr>
                <w:p w14:paraId="33D4E04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b/>
                      <w:bCs/>
                      <w:color w:val="auto"/>
                      <w:sz w:val="21"/>
                      <w:szCs w:val="21"/>
                      <w:vertAlign w:val="baseline"/>
                      <w:lang w:val="en-US" w:eastAsia="zh-CN"/>
                    </w:rPr>
                  </w:pPr>
                  <w:r>
                    <w:rPr>
                      <w:rFonts w:ascii="Times New Roman" w:hAnsi="Times New Roman" w:eastAsia="宋体" w:cs="宋体"/>
                      <w:b/>
                      <w:bCs/>
                      <w:color w:val="auto"/>
                      <w:sz w:val="21"/>
                      <w:szCs w:val="21"/>
                    </w:rPr>
                    <w:t>治理前声级</w:t>
                  </w:r>
                  <w:r>
                    <w:rPr>
                      <w:rFonts w:hint="eastAsia" w:cs="宋体"/>
                      <w:b/>
                      <w:bCs/>
                      <w:color w:val="auto"/>
                      <w:sz w:val="21"/>
                      <w:szCs w:val="21"/>
                      <w:lang w:val="en-US" w:eastAsia="zh-CN"/>
                    </w:rPr>
                    <w:t>/dB（A）</w:t>
                  </w:r>
                </w:p>
              </w:tc>
              <w:tc>
                <w:tcPr>
                  <w:tcW w:w="2231" w:type="dxa"/>
                  <w:gridSpan w:val="3"/>
                  <w:tcBorders>
                    <w:tl2br w:val="nil"/>
                    <w:tr2bl w:val="nil"/>
                  </w:tcBorders>
                  <w:vAlign w:val="center"/>
                </w:tcPr>
                <w:p w14:paraId="0BF6C45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宋体"/>
                      <w:b/>
                      <w:bCs/>
                      <w:color w:val="auto"/>
                      <w:sz w:val="21"/>
                      <w:szCs w:val="21"/>
                      <w:lang w:val="en-US" w:eastAsia="zh-CN"/>
                    </w:rPr>
                  </w:pPr>
                  <w:r>
                    <w:rPr>
                      <w:rFonts w:hint="eastAsia" w:ascii="Times New Roman" w:hAnsi="Times New Roman" w:eastAsia="宋体" w:cs="宋体"/>
                      <w:b/>
                      <w:bCs/>
                      <w:color w:val="auto"/>
                      <w:sz w:val="21"/>
                      <w:szCs w:val="21"/>
                      <w:lang w:val="en-US" w:eastAsia="zh-CN"/>
                    </w:rPr>
                    <w:t>空间相对位置/m</w:t>
                  </w:r>
                </w:p>
              </w:tc>
              <w:tc>
                <w:tcPr>
                  <w:tcW w:w="1567" w:type="dxa"/>
                  <w:vMerge w:val="restart"/>
                  <w:tcBorders>
                    <w:tl2br w:val="nil"/>
                    <w:tr2bl w:val="nil"/>
                  </w:tcBorders>
                  <w:vAlign w:val="center"/>
                </w:tcPr>
                <w:p w14:paraId="7F2831A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b/>
                      <w:bCs/>
                      <w:color w:val="auto"/>
                      <w:sz w:val="21"/>
                      <w:szCs w:val="21"/>
                      <w:vertAlign w:val="baseline"/>
                    </w:rPr>
                  </w:pPr>
                  <w:r>
                    <w:rPr>
                      <w:rFonts w:ascii="Times New Roman" w:hAnsi="Times New Roman" w:eastAsia="宋体" w:cs="宋体"/>
                      <w:b/>
                      <w:bCs/>
                      <w:color w:val="auto"/>
                      <w:sz w:val="21"/>
                      <w:szCs w:val="21"/>
                    </w:rPr>
                    <w:t>治理措施</w:t>
                  </w:r>
                </w:p>
              </w:tc>
              <w:tc>
                <w:tcPr>
                  <w:tcW w:w="1089" w:type="dxa"/>
                  <w:vMerge w:val="restart"/>
                  <w:tcBorders>
                    <w:tl2br w:val="nil"/>
                    <w:tr2bl w:val="nil"/>
                  </w:tcBorders>
                  <w:vAlign w:val="center"/>
                </w:tcPr>
                <w:p w14:paraId="59F7467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b/>
                      <w:bCs/>
                      <w:color w:val="auto"/>
                      <w:sz w:val="21"/>
                      <w:szCs w:val="21"/>
                      <w:vertAlign w:val="baseline"/>
                    </w:rPr>
                  </w:pPr>
                  <w:r>
                    <w:rPr>
                      <w:rFonts w:ascii="Times New Roman" w:hAnsi="Times New Roman" w:eastAsia="宋体" w:cs="宋体"/>
                      <w:b/>
                      <w:bCs/>
                      <w:color w:val="auto"/>
                      <w:sz w:val="21"/>
                      <w:szCs w:val="21"/>
                    </w:rPr>
                    <w:t>治理后</w:t>
                  </w:r>
                </w:p>
              </w:tc>
            </w:tr>
            <w:tr w14:paraId="34EDBE6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15" w:hRule="atLeast"/>
              </w:trPr>
              <w:tc>
                <w:tcPr>
                  <w:tcW w:w="537" w:type="dxa"/>
                  <w:vMerge w:val="continue"/>
                  <w:tcBorders>
                    <w:tl2br w:val="nil"/>
                    <w:tr2bl w:val="nil"/>
                  </w:tcBorders>
                  <w:vAlign w:val="center"/>
                </w:tcPr>
                <w:p w14:paraId="472DACE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rPr>
                  </w:pPr>
                </w:p>
              </w:tc>
              <w:tc>
                <w:tcPr>
                  <w:tcW w:w="1195" w:type="dxa"/>
                  <w:vMerge w:val="continue"/>
                  <w:tcBorders>
                    <w:tl2br w:val="nil"/>
                    <w:tr2bl w:val="nil"/>
                  </w:tcBorders>
                  <w:vAlign w:val="center"/>
                </w:tcPr>
                <w:p w14:paraId="152B3C3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rPr>
                  </w:pPr>
                </w:p>
              </w:tc>
              <w:tc>
                <w:tcPr>
                  <w:tcW w:w="783" w:type="dxa"/>
                  <w:vMerge w:val="continue"/>
                  <w:tcBorders>
                    <w:tl2br w:val="nil"/>
                    <w:tr2bl w:val="nil"/>
                  </w:tcBorders>
                  <w:vAlign w:val="center"/>
                </w:tcPr>
                <w:p w14:paraId="71FCA92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rPr>
                  </w:pPr>
                </w:p>
              </w:tc>
              <w:tc>
                <w:tcPr>
                  <w:tcW w:w="1115" w:type="dxa"/>
                  <w:vMerge w:val="continue"/>
                  <w:tcBorders>
                    <w:tl2br w:val="nil"/>
                    <w:tr2bl w:val="nil"/>
                  </w:tcBorders>
                  <w:vAlign w:val="center"/>
                </w:tcPr>
                <w:p w14:paraId="2EB98C2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rPr>
                  </w:pPr>
                </w:p>
              </w:tc>
              <w:tc>
                <w:tcPr>
                  <w:tcW w:w="757" w:type="dxa"/>
                  <w:tcBorders>
                    <w:tl2br w:val="nil"/>
                    <w:tr2bl w:val="nil"/>
                  </w:tcBorders>
                  <w:vAlign w:val="center"/>
                </w:tcPr>
                <w:p w14:paraId="06450E4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宋体"/>
                      <w:b/>
                      <w:bCs/>
                      <w:color w:val="auto"/>
                      <w:sz w:val="21"/>
                      <w:szCs w:val="21"/>
                      <w:lang w:val="en-US" w:eastAsia="zh-CN"/>
                    </w:rPr>
                  </w:pPr>
                  <w:r>
                    <w:rPr>
                      <w:rFonts w:hint="eastAsia" w:ascii="Times New Roman" w:hAnsi="Times New Roman" w:eastAsia="宋体" w:cs="宋体"/>
                      <w:b/>
                      <w:bCs/>
                      <w:color w:val="auto"/>
                      <w:sz w:val="21"/>
                      <w:szCs w:val="21"/>
                      <w:lang w:val="en-US" w:eastAsia="zh-CN"/>
                    </w:rPr>
                    <w:t>x</w:t>
                  </w:r>
                </w:p>
              </w:tc>
              <w:tc>
                <w:tcPr>
                  <w:tcW w:w="783" w:type="dxa"/>
                  <w:tcBorders>
                    <w:tl2br w:val="nil"/>
                    <w:tr2bl w:val="nil"/>
                  </w:tcBorders>
                  <w:vAlign w:val="center"/>
                </w:tcPr>
                <w:p w14:paraId="3919F6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宋体"/>
                      <w:b/>
                      <w:bCs/>
                      <w:color w:val="auto"/>
                      <w:sz w:val="21"/>
                      <w:szCs w:val="21"/>
                      <w:lang w:val="en-US" w:eastAsia="zh-CN"/>
                    </w:rPr>
                  </w:pPr>
                  <w:r>
                    <w:rPr>
                      <w:rFonts w:hint="eastAsia" w:ascii="Times New Roman" w:hAnsi="Times New Roman" w:eastAsia="宋体" w:cs="宋体"/>
                      <w:b/>
                      <w:bCs/>
                      <w:color w:val="auto"/>
                      <w:sz w:val="21"/>
                      <w:szCs w:val="21"/>
                      <w:lang w:val="en-US" w:eastAsia="zh-CN"/>
                    </w:rPr>
                    <w:t>y</w:t>
                  </w:r>
                </w:p>
              </w:tc>
              <w:tc>
                <w:tcPr>
                  <w:tcW w:w="691" w:type="dxa"/>
                  <w:tcBorders>
                    <w:tl2br w:val="nil"/>
                    <w:tr2bl w:val="nil"/>
                  </w:tcBorders>
                  <w:vAlign w:val="center"/>
                </w:tcPr>
                <w:p w14:paraId="5EB8727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宋体"/>
                      <w:b/>
                      <w:bCs/>
                      <w:color w:val="auto"/>
                      <w:sz w:val="21"/>
                      <w:szCs w:val="21"/>
                      <w:lang w:val="en-US" w:eastAsia="zh-CN"/>
                    </w:rPr>
                  </w:pPr>
                  <w:r>
                    <w:rPr>
                      <w:rFonts w:hint="eastAsia" w:ascii="Times New Roman" w:hAnsi="Times New Roman" w:eastAsia="宋体" w:cs="宋体"/>
                      <w:b/>
                      <w:bCs/>
                      <w:color w:val="auto"/>
                      <w:sz w:val="21"/>
                      <w:szCs w:val="21"/>
                      <w:lang w:val="en-US" w:eastAsia="zh-CN"/>
                    </w:rPr>
                    <w:t>z</w:t>
                  </w:r>
                </w:p>
              </w:tc>
              <w:tc>
                <w:tcPr>
                  <w:tcW w:w="1567" w:type="dxa"/>
                  <w:vMerge w:val="continue"/>
                  <w:tcBorders>
                    <w:tl2br w:val="nil"/>
                    <w:tr2bl w:val="nil"/>
                  </w:tcBorders>
                  <w:vAlign w:val="center"/>
                </w:tcPr>
                <w:p w14:paraId="0E4891A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b/>
                      <w:bCs/>
                      <w:color w:val="auto"/>
                      <w:sz w:val="21"/>
                      <w:szCs w:val="21"/>
                      <w:lang w:val="en-US" w:eastAsia="zh-CN"/>
                    </w:rPr>
                  </w:pPr>
                </w:p>
              </w:tc>
              <w:tc>
                <w:tcPr>
                  <w:tcW w:w="1089" w:type="dxa"/>
                  <w:vMerge w:val="continue"/>
                  <w:tcBorders>
                    <w:tl2br w:val="nil"/>
                    <w:tr2bl w:val="nil"/>
                  </w:tcBorders>
                  <w:vAlign w:val="center"/>
                </w:tcPr>
                <w:p w14:paraId="5BB5FCC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b/>
                      <w:bCs/>
                      <w:color w:val="auto"/>
                      <w:sz w:val="21"/>
                      <w:szCs w:val="21"/>
                      <w:lang w:val="en-US" w:eastAsia="zh-CN"/>
                    </w:rPr>
                  </w:pPr>
                </w:p>
              </w:tc>
            </w:tr>
            <w:tr w14:paraId="437318D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88" w:hRule="atLeast"/>
              </w:trPr>
              <w:tc>
                <w:tcPr>
                  <w:tcW w:w="537" w:type="dxa"/>
                  <w:tcBorders>
                    <w:tl2br w:val="nil"/>
                    <w:tr2bl w:val="nil"/>
                  </w:tcBorders>
                  <w:vAlign w:val="center"/>
                </w:tcPr>
                <w:p w14:paraId="270542E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vertAlign w:val="baseline"/>
                    </w:rPr>
                  </w:pPr>
                  <w:r>
                    <w:rPr>
                      <w:rFonts w:hint="eastAsia" w:ascii="Times New Roman" w:hAnsi="Times New Roman" w:eastAsia="宋体" w:cs="Times New Roman"/>
                      <w:bCs/>
                      <w:color w:val="auto"/>
                      <w:sz w:val="21"/>
                      <w:szCs w:val="21"/>
                      <w:lang w:val="en-US" w:eastAsia="zh-CN"/>
                    </w:rPr>
                    <w:t>1</w:t>
                  </w:r>
                </w:p>
              </w:tc>
              <w:tc>
                <w:tcPr>
                  <w:tcW w:w="1195" w:type="dxa"/>
                  <w:tcBorders>
                    <w:tl2br w:val="nil"/>
                    <w:tr2bl w:val="nil"/>
                  </w:tcBorders>
                  <w:shd w:val="clear" w:color="auto" w:fill="auto"/>
                  <w:vAlign w:val="top"/>
                </w:tcPr>
                <w:p w14:paraId="66A29435">
                  <w:pPr>
                    <w:pStyle w:val="43"/>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color w:val="auto"/>
                      <w:spacing w:val="5"/>
                      <w:sz w:val="21"/>
                      <w:szCs w:val="21"/>
                      <w:highlight w:val="none"/>
                      <w:lang w:val="en-US" w:eastAsia="zh-CN"/>
                    </w:rPr>
                    <w:t>风机</w:t>
                  </w:r>
                </w:p>
              </w:tc>
              <w:tc>
                <w:tcPr>
                  <w:tcW w:w="783" w:type="dxa"/>
                  <w:tcBorders>
                    <w:tl2br w:val="nil"/>
                    <w:tr2bl w:val="nil"/>
                  </w:tcBorders>
                  <w:shd w:val="clear" w:color="auto" w:fill="auto"/>
                  <w:vAlign w:val="top"/>
                </w:tcPr>
                <w:p w14:paraId="5159B01E">
                  <w:pPr>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pacing w:val="-8"/>
                      <w:position w:val="1"/>
                      <w:sz w:val="21"/>
                      <w:szCs w:val="21"/>
                      <w:highlight w:val="none"/>
                      <w:lang w:val="en-US" w:eastAsia="zh-CN"/>
                    </w:rPr>
                    <w:t>2</w:t>
                  </w:r>
                </w:p>
              </w:tc>
              <w:tc>
                <w:tcPr>
                  <w:tcW w:w="1115" w:type="dxa"/>
                  <w:tcBorders>
                    <w:tl2br w:val="nil"/>
                    <w:tr2bl w:val="nil"/>
                  </w:tcBorders>
                  <w:vAlign w:val="top"/>
                </w:tcPr>
                <w:p w14:paraId="3DAD37AE">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top"/>
                    <w:rPr>
                      <w:rFonts w:hint="default" w:ascii="Times New Roman" w:hAnsi="Times New Roman" w:eastAsia="宋体"/>
                      <w:color w:val="auto"/>
                      <w:sz w:val="21"/>
                      <w:szCs w:val="21"/>
                      <w:vertAlign w:val="baseline"/>
                      <w:lang w:val="en-US"/>
                    </w:rPr>
                  </w:pPr>
                  <w:r>
                    <w:rPr>
                      <w:rFonts w:hint="eastAsia" w:cs="Times New Roman"/>
                      <w:i w:val="0"/>
                      <w:iCs w:val="0"/>
                      <w:color w:val="auto"/>
                      <w:kern w:val="0"/>
                      <w:sz w:val="21"/>
                      <w:szCs w:val="21"/>
                      <w:u w:val="none"/>
                      <w:lang w:val="en-US" w:eastAsia="zh-CN" w:bidi="ar"/>
                    </w:rPr>
                    <w:t>90</w:t>
                  </w:r>
                </w:p>
              </w:tc>
              <w:tc>
                <w:tcPr>
                  <w:tcW w:w="757" w:type="dxa"/>
                  <w:tcBorders>
                    <w:tl2br w:val="nil"/>
                    <w:tr2bl w:val="nil"/>
                  </w:tcBorders>
                  <w:vAlign w:val="center"/>
                </w:tcPr>
                <w:p w14:paraId="14F0161F">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vertAlign w:val="baseline"/>
                      <w:lang w:val="en-US" w:eastAsia="zh-CN"/>
                    </w:rPr>
                  </w:pPr>
                  <w:r>
                    <w:rPr>
                      <w:rFonts w:hint="eastAsia"/>
                      <w:color w:val="auto"/>
                      <w:sz w:val="21"/>
                      <w:szCs w:val="21"/>
                      <w:vertAlign w:val="baseline"/>
                      <w:lang w:val="en-US" w:eastAsia="zh-CN"/>
                    </w:rPr>
                    <w:t>12</w:t>
                  </w:r>
                </w:p>
              </w:tc>
              <w:tc>
                <w:tcPr>
                  <w:tcW w:w="783" w:type="dxa"/>
                  <w:tcBorders>
                    <w:tl2br w:val="nil"/>
                    <w:tr2bl w:val="nil"/>
                  </w:tcBorders>
                  <w:vAlign w:val="center"/>
                </w:tcPr>
                <w:p w14:paraId="11121AC5">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vertAlign w:val="baseline"/>
                      <w:lang w:val="en-US" w:eastAsia="zh-CN"/>
                    </w:rPr>
                  </w:pPr>
                  <w:r>
                    <w:rPr>
                      <w:rFonts w:hint="eastAsia" w:cs="宋体"/>
                      <w:color w:val="auto"/>
                      <w:sz w:val="21"/>
                      <w:szCs w:val="21"/>
                      <w:lang w:val="en-US" w:eastAsia="zh-CN"/>
                    </w:rPr>
                    <w:t>25.0</w:t>
                  </w:r>
                </w:p>
              </w:tc>
              <w:tc>
                <w:tcPr>
                  <w:tcW w:w="691" w:type="dxa"/>
                  <w:tcBorders>
                    <w:tl2br w:val="nil"/>
                    <w:tr2bl w:val="nil"/>
                  </w:tcBorders>
                  <w:vAlign w:val="center"/>
                </w:tcPr>
                <w:p w14:paraId="3227D66D">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vertAlign w:val="baseline"/>
                      <w:lang w:val="en-US" w:eastAsia="zh-CN"/>
                    </w:rPr>
                  </w:pPr>
                  <w:r>
                    <w:rPr>
                      <w:rFonts w:hint="eastAsia" w:cs="宋体"/>
                      <w:color w:val="auto"/>
                      <w:sz w:val="21"/>
                      <w:szCs w:val="21"/>
                      <w:lang w:val="en-US" w:eastAsia="zh-CN"/>
                    </w:rPr>
                    <w:t>21</w:t>
                  </w:r>
                </w:p>
              </w:tc>
              <w:tc>
                <w:tcPr>
                  <w:tcW w:w="1567" w:type="dxa"/>
                  <w:tcBorders>
                    <w:tl2br w:val="nil"/>
                    <w:tr2bl w:val="nil"/>
                  </w:tcBorders>
                  <w:vAlign w:val="center"/>
                </w:tcPr>
                <w:p w14:paraId="1CA45517">
                  <w:pPr>
                    <w:pStyle w:val="55"/>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vertAlign w:val="baseline"/>
                      <w:lang w:val="en-US" w:eastAsia="zh-CN"/>
                    </w:rPr>
                  </w:pPr>
                  <w:r>
                    <w:rPr>
                      <w:rFonts w:hint="eastAsia"/>
                      <w:color w:val="auto"/>
                      <w:sz w:val="21"/>
                      <w:szCs w:val="21"/>
                      <w:vertAlign w:val="baseline"/>
                      <w:lang w:val="en-US" w:eastAsia="zh-CN"/>
                    </w:rPr>
                    <w:t>低噪声设备、基础减震</w:t>
                  </w:r>
                </w:p>
              </w:tc>
              <w:tc>
                <w:tcPr>
                  <w:tcW w:w="1089" w:type="dxa"/>
                  <w:tcBorders>
                    <w:tl2br w:val="nil"/>
                    <w:tr2bl w:val="nil"/>
                  </w:tcBorders>
                  <w:vAlign w:val="center"/>
                </w:tcPr>
                <w:p w14:paraId="1DD913E3">
                  <w:pPr>
                    <w:pStyle w:val="55"/>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vertAlign w:val="baseline"/>
                      <w:lang w:val="en-US" w:eastAsia="zh-CN"/>
                    </w:rPr>
                  </w:pPr>
                  <w:r>
                    <w:rPr>
                      <w:rFonts w:hint="eastAsia"/>
                      <w:color w:val="auto"/>
                      <w:sz w:val="21"/>
                      <w:szCs w:val="21"/>
                      <w:vertAlign w:val="baseline"/>
                      <w:lang w:val="en-US" w:eastAsia="zh-CN"/>
                    </w:rPr>
                    <w:t>70</w:t>
                  </w:r>
                </w:p>
              </w:tc>
            </w:tr>
          </w:tbl>
          <w:p w14:paraId="244C932B">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98" w:name="_Toc22594"/>
            <w:r>
              <w:rPr>
                <w:rFonts w:hint="eastAsia" w:ascii="Times New Roman" w:hAnsi="Times New Roman" w:eastAsia="宋体" w:cs="Times New Roman"/>
                <w:b/>
                <w:color w:val="auto"/>
                <w:kern w:val="2"/>
                <w:sz w:val="24"/>
                <w:szCs w:val="24"/>
                <w:lang w:val="en-US" w:eastAsia="zh-CN" w:bidi="ar-SA"/>
              </w:rPr>
              <w:t>4.3.2声环境影响分析</w:t>
            </w:r>
            <w:bookmarkEnd w:id="98"/>
          </w:p>
          <w:p w14:paraId="23C75CB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项目噪声预测模式采用《环境影响评价技术导则</w:t>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声环境》</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HJ</w:t>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2.4-20</w:t>
            </w:r>
            <w:r>
              <w:rPr>
                <w:rFonts w:hint="eastAsia" w:ascii="Times New Roman" w:hAnsi="Times New Roman" w:eastAsia="宋体" w:cs="宋体"/>
                <w:color w:val="auto"/>
                <w:kern w:val="2"/>
                <w:sz w:val="24"/>
                <w:szCs w:val="24"/>
                <w:lang w:val="en-US" w:eastAsia="zh-CN" w:bidi="ar-SA"/>
              </w:rPr>
              <w:t>21）</w:t>
            </w:r>
            <w:r>
              <w:rPr>
                <w:rFonts w:hint="default" w:ascii="Times New Roman" w:hAnsi="Times New Roman" w:eastAsia="宋体" w:cs="宋体"/>
                <w:color w:val="auto"/>
                <w:kern w:val="2"/>
                <w:sz w:val="24"/>
                <w:szCs w:val="24"/>
                <w:lang w:val="en-US" w:eastAsia="zh-CN" w:bidi="ar-SA"/>
              </w:rPr>
              <w:t>中推荐的模型。噪声在传播过程</w:t>
            </w:r>
            <w:r>
              <w:rPr>
                <w:rFonts w:hint="eastAsia" w:ascii="Times New Roman" w:hAnsi="Times New Roman" w:eastAsia="宋体" w:cs="宋体"/>
                <w:color w:val="auto"/>
                <w:kern w:val="2"/>
                <w:sz w:val="24"/>
                <w:szCs w:val="24"/>
                <w:lang w:val="en-US" w:eastAsia="zh-CN" w:bidi="ar-SA"/>
              </w:rPr>
              <w:t>中受到</w:t>
            </w:r>
            <w:r>
              <w:rPr>
                <w:rFonts w:hint="default" w:ascii="Times New Roman" w:hAnsi="Times New Roman" w:eastAsia="宋体" w:cs="宋体"/>
                <w:color w:val="auto"/>
                <w:kern w:val="2"/>
                <w:sz w:val="24"/>
                <w:szCs w:val="24"/>
                <w:lang w:val="en-US" w:eastAsia="zh-CN" w:bidi="ar-SA"/>
              </w:rPr>
              <w:t>多种因数的干扰，使其产生衰减，根据建设项目噪声源和环境特征</w:t>
            </w:r>
            <w:r>
              <w:rPr>
                <w:rFonts w:hint="eastAsia" w:cs="宋体"/>
                <w:color w:val="auto"/>
                <w:kern w:val="2"/>
                <w:sz w:val="24"/>
                <w:szCs w:val="24"/>
                <w:lang w:val="en-US" w:eastAsia="zh-CN" w:bidi="ar-SA"/>
              </w:rPr>
              <w:t>，在</w:t>
            </w:r>
            <w:r>
              <w:rPr>
                <w:rFonts w:hint="default" w:ascii="Times New Roman" w:hAnsi="Times New Roman" w:eastAsia="宋体" w:cs="宋体"/>
                <w:color w:val="auto"/>
                <w:kern w:val="2"/>
                <w:sz w:val="24"/>
                <w:szCs w:val="24"/>
                <w:lang w:val="en-US" w:eastAsia="zh-CN" w:bidi="ar-SA"/>
              </w:rPr>
              <w:t>预测过程中考虑了车间等建筑物的屏障作用、空气吸收。预测模式采用</w:t>
            </w:r>
            <w:r>
              <w:rPr>
                <w:rFonts w:hint="eastAsia" w:ascii="Times New Roman" w:hAnsi="Times New Roman" w:eastAsia="宋体" w:cs="宋体"/>
                <w:color w:val="auto"/>
                <w:kern w:val="2"/>
                <w:sz w:val="24"/>
                <w:szCs w:val="24"/>
                <w:lang w:val="en-US" w:eastAsia="zh-CN" w:bidi="ar-SA"/>
              </w:rPr>
              <w:t>点</w:t>
            </w:r>
            <w:r>
              <w:rPr>
                <w:rFonts w:hint="default" w:ascii="Times New Roman" w:hAnsi="Times New Roman" w:eastAsia="宋体" w:cs="宋体"/>
                <w:color w:val="auto"/>
                <w:kern w:val="2"/>
                <w:sz w:val="24"/>
                <w:szCs w:val="24"/>
                <w:lang w:val="en-US" w:eastAsia="zh-CN" w:bidi="ar-SA"/>
              </w:rPr>
              <w:t>声源处于半自由空间的几何发散模式。</w:t>
            </w:r>
          </w:p>
          <w:p w14:paraId="75930F6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w:t>
            </w:r>
            <w:r>
              <w:rPr>
                <w:rFonts w:hint="default" w:ascii="Times New Roman" w:hAnsi="Times New Roman" w:eastAsia="宋体" w:cs="宋体"/>
                <w:color w:val="auto"/>
                <w:kern w:val="2"/>
                <w:sz w:val="24"/>
                <w:szCs w:val="24"/>
                <w:lang w:val="en-US" w:eastAsia="zh-CN" w:bidi="ar-SA"/>
              </w:rPr>
              <w:t>声级的计算</w:t>
            </w:r>
          </w:p>
          <w:p w14:paraId="6557E1D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①建设项目声源在预测点产生的等效声级贡献值</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L</w:t>
            </w:r>
            <w:r>
              <w:rPr>
                <w:rFonts w:hint="default" w:ascii="Times New Roman" w:hAnsi="Times New Roman" w:eastAsia="宋体" w:cs="宋体"/>
                <w:color w:val="auto"/>
                <w:kern w:val="2"/>
                <w:sz w:val="24"/>
                <w:szCs w:val="24"/>
                <w:vertAlign w:val="subscript"/>
                <w:lang w:val="en-US" w:eastAsia="zh-CN" w:bidi="ar-SA"/>
              </w:rPr>
              <w:t>eqg</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计算公式：</w:t>
            </w:r>
          </w:p>
          <w:p w14:paraId="3094520E">
            <w:pPr>
              <w:widowControl w:val="0"/>
              <w:bidi w:val="0"/>
              <w:spacing w:line="360" w:lineRule="auto"/>
              <w:ind w:firstLine="480" w:firstLineChars="200"/>
              <w:jc w:val="right"/>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138680" cy="531495"/>
                  <wp:effectExtent l="0" t="0" r="13970" b="1905"/>
                  <wp:docPr id="1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7"/>
                          <pic:cNvPicPr>
                            <a:picLocks noChangeAspect="1"/>
                          </pic:cNvPicPr>
                        </pic:nvPicPr>
                        <pic:blipFill>
                          <a:blip r:embed="rId18"/>
                          <a:stretch>
                            <a:fillRect/>
                          </a:stretch>
                        </pic:blipFill>
                        <pic:spPr>
                          <a:xfrm>
                            <a:off x="0" y="0"/>
                            <a:ext cx="2138680" cy="53149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1</w:t>
            </w:r>
            <w:r>
              <w:rPr>
                <w:rFonts w:hint="eastAsia" w:cs="宋体"/>
                <w:color w:val="auto"/>
                <w:kern w:val="2"/>
                <w:sz w:val="24"/>
                <w:szCs w:val="24"/>
                <w:lang w:val="en-US" w:eastAsia="zh-CN" w:bidi="ar-SA"/>
              </w:rPr>
              <w:t>)</w:t>
            </w:r>
          </w:p>
          <w:p w14:paraId="7AAA9DD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式中：L</w:t>
            </w:r>
            <w:r>
              <w:rPr>
                <w:rFonts w:hint="default" w:ascii="Times New Roman" w:hAnsi="Times New Roman" w:eastAsia="宋体" w:cs="宋体"/>
                <w:color w:val="auto"/>
                <w:kern w:val="2"/>
                <w:sz w:val="24"/>
                <w:szCs w:val="24"/>
                <w:vertAlign w:val="subscript"/>
                <w:lang w:val="en-US" w:eastAsia="zh-CN" w:bidi="ar-SA"/>
              </w:rPr>
              <w:t>eqg</w:t>
            </w:r>
            <w:r>
              <w:rPr>
                <w:rFonts w:hint="default" w:ascii="Times New Roman" w:hAnsi="Times New Roman" w:eastAsia="宋体" w:cs="宋体"/>
                <w:color w:val="auto"/>
                <w:kern w:val="2"/>
                <w:sz w:val="24"/>
                <w:szCs w:val="24"/>
                <w:lang w:val="en-US" w:eastAsia="zh-CN" w:bidi="ar-SA"/>
              </w:rPr>
              <w:t>—建设项目声源在预测点的等效声级贡献值，dB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2207101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L</w:t>
            </w:r>
            <w:r>
              <w:rPr>
                <w:rFonts w:hint="default" w:ascii="Times New Roman" w:hAnsi="Times New Roman" w:eastAsia="宋体" w:cs="宋体"/>
                <w:color w:val="auto"/>
                <w:kern w:val="2"/>
                <w:sz w:val="24"/>
                <w:szCs w:val="24"/>
                <w:vertAlign w:val="subscript"/>
                <w:lang w:val="en-US" w:eastAsia="zh-CN" w:bidi="ar-SA"/>
              </w:rPr>
              <w:t>Ai</w:t>
            </w:r>
            <w:r>
              <w:rPr>
                <w:rFonts w:hint="default" w:ascii="Times New Roman" w:hAnsi="Times New Roman" w:eastAsia="宋体" w:cs="宋体"/>
                <w:color w:val="auto"/>
                <w:kern w:val="2"/>
                <w:sz w:val="24"/>
                <w:szCs w:val="24"/>
                <w:lang w:val="en-US" w:eastAsia="zh-CN" w:bidi="ar-SA"/>
              </w:rPr>
              <w:t>—i声源在预测点产生的A声级，dB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0DE6BE6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T—预测计算的时间段，s；</w:t>
            </w:r>
          </w:p>
          <w:p w14:paraId="38C103F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ti—i声源在T时段内的运行时间，s。</w:t>
            </w:r>
          </w:p>
          <w:p w14:paraId="4378C9E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②预测点的预测等效声级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Leq</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计算公式：</w:t>
            </w:r>
          </w:p>
          <w:p w14:paraId="24544A09">
            <w:pPr>
              <w:widowControl w:val="0"/>
              <w:bidi w:val="0"/>
              <w:spacing w:line="360" w:lineRule="auto"/>
              <w:ind w:firstLine="480" w:firstLineChars="200"/>
              <w:jc w:val="right"/>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809750" cy="288925"/>
                  <wp:effectExtent l="0" t="0" r="0" b="15875"/>
                  <wp:docPr id="1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8"/>
                          <pic:cNvPicPr>
                            <a:picLocks noChangeAspect="1"/>
                          </pic:cNvPicPr>
                        </pic:nvPicPr>
                        <pic:blipFill>
                          <a:blip r:embed="rId19"/>
                          <a:stretch>
                            <a:fillRect/>
                          </a:stretch>
                        </pic:blipFill>
                        <pic:spPr>
                          <a:xfrm>
                            <a:off x="0" y="0"/>
                            <a:ext cx="1809750" cy="28892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2</w:t>
            </w:r>
            <w:r>
              <w:rPr>
                <w:rFonts w:hint="eastAsia" w:cs="宋体"/>
                <w:color w:val="auto"/>
                <w:kern w:val="2"/>
                <w:sz w:val="24"/>
                <w:szCs w:val="24"/>
                <w:lang w:val="en-US" w:eastAsia="zh-CN" w:bidi="ar-SA"/>
              </w:rPr>
              <w:t>)</w:t>
            </w:r>
          </w:p>
          <w:p w14:paraId="0B49AF1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式中：L</w:t>
            </w:r>
            <w:r>
              <w:rPr>
                <w:rFonts w:hint="default" w:ascii="Times New Roman" w:hAnsi="Times New Roman" w:eastAsia="宋体" w:cs="宋体"/>
                <w:color w:val="auto"/>
                <w:kern w:val="2"/>
                <w:sz w:val="24"/>
                <w:szCs w:val="24"/>
                <w:vertAlign w:val="subscript"/>
                <w:lang w:val="en-US" w:eastAsia="zh-CN" w:bidi="ar-SA"/>
              </w:rPr>
              <w:t>eqg</w:t>
            </w:r>
            <w:r>
              <w:rPr>
                <w:rFonts w:hint="default" w:ascii="Times New Roman" w:hAnsi="Times New Roman" w:eastAsia="宋体" w:cs="宋体"/>
                <w:color w:val="auto"/>
                <w:kern w:val="2"/>
                <w:sz w:val="24"/>
                <w:szCs w:val="24"/>
                <w:lang w:val="en-US" w:eastAsia="zh-CN" w:bidi="ar-SA"/>
              </w:rPr>
              <w:t>—建设项目声源在预测点的等效声级贡献值，dB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39C796B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L</w:t>
            </w:r>
            <w:r>
              <w:rPr>
                <w:rFonts w:hint="default" w:ascii="Times New Roman" w:hAnsi="Times New Roman" w:eastAsia="宋体" w:cs="宋体"/>
                <w:color w:val="auto"/>
                <w:kern w:val="2"/>
                <w:sz w:val="24"/>
                <w:szCs w:val="24"/>
                <w:vertAlign w:val="subscript"/>
                <w:lang w:val="en-US" w:eastAsia="zh-CN" w:bidi="ar-SA"/>
              </w:rPr>
              <w:t>eqg</w:t>
            </w:r>
            <w:r>
              <w:rPr>
                <w:rFonts w:hint="default" w:ascii="Times New Roman" w:hAnsi="Times New Roman" w:eastAsia="宋体" w:cs="宋体"/>
                <w:color w:val="auto"/>
                <w:kern w:val="2"/>
                <w:sz w:val="24"/>
                <w:szCs w:val="24"/>
                <w:lang w:val="en-US" w:eastAsia="zh-CN" w:bidi="ar-SA"/>
              </w:rPr>
              <w:t>—预测点的背景值，dB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7A75D20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户外声传基本公式</w:t>
            </w:r>
          </w:p>
          <w:p w14:paraId="651EA85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①基本公式</w:t>
            </w:r>
          </w:p>
          <w:p w14:paraId="6B59DEB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户外声传播衰减包括几何发散</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、大气吸收</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Aatm</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、地面效应</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Agr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、屏障屏蔽</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Abar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、其他多方面效应</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Amisc</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引起的衰减。</w:t>
            </w:r>
          </w:p>
          <w:p w14:paraId="6FCBEFC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A.在环境影响评价中，应根据声源声功率级或靠近声源某一参考位置处的已知声级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如实测得到的</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、户外声传播衰减，计算距离声源较远处的预测点的声级。在已知距离无指向性点声源参考点r</w:t>
            </w:r>
            <w:r>
              <w:rPr>
                <w:rFonts w:hint="default" w:ascii="Times New Roman" w:hAnsi="Times New Roman" w:eastAsia="宋体" w:cs="宋体"/>
                <w:color w:val="auto"/>
                <w:kern w:val="2"/>
                <w:sz w:val="24"/>
                <w:szCs w:val="24"/>
                <w:vertAlign w:val="subscript"/>
                <w:lang w:val="en-US" w:eastAsia="zh-CN" w:bidi="ar-SA"/>
              </w:rPr>
              <w:t>0</w:t>
            </w:r>
            <w:r>
              <w:rPr>
                <w:rFonts w:hint="default" w:ascii="Times New Roman" w:hAnsi="Times New Roman" w:eastAsia="宋体" w:cs="宋体"/>
                <w:color w:val="auto"/>
                <w:kern w:val="2"/>
                <w:sz w:val="24"/>
                <w:szCs w:val="24"/>
                <w:lang w:val="en-US" w:eastAsia="zh-CN" w:bidi="ar-SA"/>
              </w:rPr>
              <w:t>处的倍频带</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用63Hz到8KHz的8个标称倍频带中心频率</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声压级Lp</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和计算出参考点</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和预测点</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处之间的户外声传播衰减后，预测点8个倍频带声压级可分别用式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w:t>
            </w:r>
          </w:p>
          <w:p w14:paraId="0F95C0DA">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871470" cy="314325"/>
                  <wp:effectExtent l="0" t="0" r="5080" b="9525"/>
                  <wp:docPr id="1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9"/>
                          <pic:cNvPicPr>
                            <a:picLocks noChangeAspect="1"/>
                          </pic:cNvPicPr>
                        </pic:nvPicPr>
                        <pic:blipFill>
                          <a:blip r:embed="rId20"/>
                          <a:stretch>
                            <a:fillRect/>
                          </a:stretch>
                        </pic:blipFill>
                        <pic:spPr>
                          <a:xfrm>
                            <a:off x="0" y="0"/>
                            <a:ext cx="2871470" cy="31432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3</w:t>
            </w:r>
            <w:r>
              <w:rPr>
                <w:rFonts w:hint="eastAsia" w:cs="宋体"/>
                <w:color w:val="auto"/>
                <w:kern w:val="2"/>
                <w:sz w:val="24"/>
                <w:szCs w:val="24"/>
                <w:lang w:val="en-US" w:eastAsia="zh-CN" w:bidi="ar-SA"/>
              </w:rPr>
              <w:t>)</w:t>
            </w:r>
          </w:p>
          <w:p w14:paraId="52FFABD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B.预测点的A声级LA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可按公式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计算，即将8个倍频带声压级合成，计算出预测点的A声级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LA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1FA57B91">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924050" cy="416560"/>
                  <wp:effectExtent l="0" t="0" r="0" b="2540"/>
                  <wp:docPr id="13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0"/>
                          <pic:cNvPicPr>
                            <a:picLocks noChangeAspect="1"/>
                          </pic:cNvPicPr>
                        </pic:nvPicPr>
                        <pic:blipFill>
                          <a:blip r:embed="rId21"/>
                          <a:stretch>
                            <a:fillRect/>
                          </a:stretch>
                        </pic:blipFill>
                        <pic:spPr>
                          <a:xfrm>
                            <a:off x="0" y="0"/>
                            <a:ext cx="1924050" cy="416560"/>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4</w:t>
            </w:r>
            <w:r>
              <w:rPr>
                <w:rFonts w:hint="eastAsia" w:cs="宋体"/>
                <w:color w:val="auto"/>
                <w:kern w:val="2"/>
                <w:sz w:val="24"/>
                <w:szCs w:val="24"/>
                <w:lang w:val="en-US" w:eastAsia="zh-CN" w:bidi="ar-SA"/>
              </w:rPr>
              <w:t>)</w:t>
            </w:r>
          </w:p>
          <w:p w14:paraId="734E126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式中：L</w:t>
            </w:r>
            <w:r>
              <w:rPr>
                <w:rFonts w:hint="default" w:ascii="Times New Roman" w:hAnsi="Times New Roman" w:eastAsia="宋体" w:cs="宋体"/>
                <w:color w:val="auto"/>
                <w:kern w:val="2"/>
                <w:sz w:val="24"/>
                <w:szCs w:val="24"/>
                <w:vertAlign w:val="subscript"/>
                <w:lang w:val="en-US" w:eastAsia="zh-CN" w:bidi="ar-SA"/>
              </w:rPr>
              <w:t>Pi</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—预测点</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处，第i倍频带声压级，dB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00F97A1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ΔL i—第i倍频带的A计权网络修正值，dB。</w:t>
            </w:r>
          </w:p>
          <w:p w14:paraId="7E6E6B0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C.</w:t>
            </w:r>
            <w:r>
              <w:rPr>
                <w:rFonts w:hint="default" w:ascii="Times New Roman" w:hAnsi="Times New Roman" w:eastAsia="宋体" w:cs="宋体"/>
                <w:color w:val="auto"/>
                <w:kern w:val="2"/>
                <w:sz w:val="24"/>
                <w:szCs w:val="24"/>
                <w:lang w:val="en-US" w:eastAsia="zh-CN" w:bidi="ar-SA"/>
              </w:rPr>
              <w:t>在只考虑几何发散衰减时，可用公式</w:t>
            </w:r>
            <w:r>
              <w:rPr>
                <w:rFonts w:hint="eastAsia" w:ascii="Times New Roman" w:hAnsi="Times New Roman" w:eastAsia="宋体" w:cs="宋体"/>
                <w:color w:val="auto"/>
                <w:kern w:val="2"/>
                <w:sz w:val="24"/>
                <w:szCs w:val="24"/>
                <w:lang w:val="en-US" w:eastAsia="zh-CN" w:bidi="ar-SA"/>
              </w:rPr>
              <w:t>（5）</w:t>
            </w:r>
            <w:r>
              <w:rPr>
                <w:rFonts w:hint="default" w:ascii="Times New Roman" w:hAnsi="Times New Roman" w:eastAsia="宋体" w:cs="宋体"/>
                <w:color w:val="auto"/>
                <w:kern w:val="2"/>
                <w:sz w:val="24"/>
                <w:szCs w:val="24"/>
                <w:lang w:val="en-US" w:eastAsia="zh-CN" w:bidi="ar-SA"/>
              </w:rPr>
              <w:t>计算：</w:t>
            </w:r>
          </w:p>
          <w:p w14:paraId="6CEEF9BC">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334135" cy="320675"/>
                  <wp:effectExtent l="0" t="0" r="18415" b="3175"/>
                  <wp:docPr id="14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1"/>
                          <pic:cNvPicPr>
                            <a:picLocks noChangeAspect="1"/>
                          </pic:cNvPicPr>
                        </pic:nvPicPr>
                        <pic:blipFill>
                          <a:blip r:embed="rId22"/>
                          <a:stretch>
                            <a:fillRect/>
                          </a:stretch>
                        </pic:blipFill>
                        <pic:spPr>
                          <a:xfrm>
                            <a:off x="0" y="0"/>
                            <a:ext cx="1334135" cy="32067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5</w:t>
            </w:r>
            <w:r>
              <w:rPr>
                <w:rFonts w:hint="eastAsia" w:cs="宋体"/>
                <w:color w:val="auto"/>
                <w:kern w:val="2"/>
                <w:sz w:val="24"/>
                <w:szCs w:val="24"/>
                <w:lang w:val="en-US" w:eastAsia="zh-CN" w:bidi="ar-SA"/>
              </w:rPr>
              <w:t>)</w:t>
            </w:r>
          </w:p>
          <w:p w14:paraId="6ABF246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②几何发散衰减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w:t>
            </w:r>
            <w:r>
              <w:rPr>
                <w:rFonts w:hint="eastAsia" w:ascii="Times New Roman" w:hAnsi="Times New Roman" w:eastAsia="宋体" w:cs="宋体"/>
                <w:color w:val="auto"/>
                <w:kern w:val="2"/>
                <w:sz w:val="24"/>
                <w:szCs w:val="24"/>
                <w:lang w:val="en-US" w:eastAsia="zh-CN" w:bidi="ar-SA"/>
              </w:rPr>
              <w:t>）</w:t>
            </w:r>
          </w:p>
          <w:p w14:paraId="33244A1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A.点声源的几何发散衰减</w:t>
            </w:r>
          </w:p>
          <w:p w14:paraId="22551EC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如果声源处于半自由声场，则等效为公式（6）或（7）</w:t>
            </w:r>
          </w:p>
          <w:p w14:paraId="76C6ECC9">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018030" cy="253365"/>
                  <wp:effectExtent l="0" t="0" r="1270" b="13335"/>
                  <wp:docPr id="14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2"/>
                          <pic:cNvPicPr>
                            <a:picLocks noChangeAspect="1"/>
                          </pic:cNvPicPr>
                        </pic:nvPicPr>
                        <pic:blipFill>
                          <a:blip r:embed="rId23"/>
                          <a:srcRect r="50000"/>
                          <a:stretch>
                            <a:fillRect/>
                          </a:stretch>
                        </pic:blipFill>
                        <pic:spPr>
                          <a:xfrm>
                            <a:off x="0" y="0"/>
                            <a:ext cx="2018030" cy="25336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6</w:t>
            </w:r>
            <w:r>
              <w:rPr>
                <w:rFonts w:hint="eastAsia" w:cs="宋体"/>
                <w:color w:val="auto"/>
                <w:kern w:val="2"/>
                <w:sz w:val="24"/>
                <w:szCs w:val="24"/>
                <w:lang w:val="en-US" w:eastAsia="zh-CN" w:bidi="ar-SA"/>
              </w:rPr>
              <w:t>)</w:t>
            </w:r>
          </w:p>
          <w:p w14:paraId="09E3E525">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019935" cy="228600"/>
                  <wp:effectExtent l="0" t="0" r="18415" b="0"/>
                  <wp:docPr id="14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3"/>
                          <pic:cNvPicPr>
                            <a:picLocks noChangeAspect="1"/>
                          </pic:cNvPicPr>
                        </pic:nvPicPr>
                        <pic:blipFill>
                          <a:blip r:embed="rId24"/>
                          <a:srcRect r="49283"/>
                          <a:stretch>
                            <a:fillRect/>
                          </a:stretch>
                        </pic:blipFill>
                        <pic:spPr>
                          <a:xfrm>
                            <a:off x="0" y="0"/>
                            <a:ext cx="2019935" cy="228600"/>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7</w:t>
            </w:r>
            <w:r>
              <w:rPr>
                <w:rFonts w:hint="eastAsia" w:cs="宋体"/>
                <w:color w:val="auto"/>
                <w:kern w:val="2"/>
                <w:sz w:val="24"/>
                <w:szCs w:val="24"/>
                <w:lang w:val="en-US" w:eastAsia="zh-CN" w:bidi="ar-SA"/>
              </w:rPr>
              <w:t>)</w:t>
            </w:r>
          </w:p>
          <w:p w14:paraId="57390F6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B.反射体引起的修正ΔL</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p>
          <w:p w14:paraId="1382401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如图</w:t>
            </w:r>
            <w:r>
              <w:rPr>
                <w:rFonts w:hint="eastAsia" w:ascii="Times New Roman" w:hAnsi="Times New Roman" w:eastAsia="宋体" w:cs="宋体"/>
                <w:color w:val="auto"/>
                <w:kern w:val="2"/>
                <w:sz w:val="24"/>
                <w:szCs w:val="24"/>
                <w:lang w:val="en-US" w:eastAsia="zh-CN" w:bidi="ar-SA"/>
              </w:rPr>
              <w:t>4</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-1所示，当点声源与预测点处在反射体同侧附近时，到达预测点的声级是直达声与反射声叠加的结果，从而使预测点声级增高。</w:t>
            </w:r>
          </w:p>
          <w:p w14:paraId="04817E37">
            <w:pPr>
              <w:widowControl w:val="0"/>
              <w:bidi w:val="0"/>
              <w:spacing w:line="240" w:lineRule="auto"/>
              <w:ind w:firstLine="480" w:firstLineChars="200"/>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5079365" cy="3623310"/>
                  <wp:effectExtent l="0" t="0" r="6985" b="15240"/>
                  <wp:docPr id="14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24"/>
                          <pic:cNvPicPr>
                            <a:picLocks noChangeAspect="1"/>
                          </pic:cNvPicPr>
                        </pic:nvPicPr>
                        <pic:blipFill>
                          <a:blip r:embed="rId25"/>
                          <a:stretch>
                            <a:fillRect/>
                          </a:stretch>
                        </pic:blipFill>
                        <pic:spPr>
                          <a:xfrm>
                            <a:off x="0" y="0"/>
                            <a:ext cx="5079365" cy="3623310"/>
                          </a:xfrm>
                          <a:prstGeom prst="rect">
                            <a:avLst/>
                          </a:prstGeom>
                          <a:noFill/>
                          <a:ln>
                            <a:noFill/>
                          </a:ln>
                        </pic:spPr>
                      </pic:pic>
                    </a:graphicData>
                  </a:graphic>
                </wp:inline>
              </w:drawing>
            </w:r>
          </w:p>
          <w:p w14:paraId="0443DB43">
            <w:pPr>
              <w:pStyle w:val="27"/>
              <w:bidi w:val="0"/>
              <w:ind w:firstLine="482" w:firstLineChars="200"/>
              <w:rPr>
                <w:rFonts w:hint="default" w:ascii="Times New Roman" w:hAnsi="Times New Roman"/>
                <w:color w:val="auto"/>
                <w:lang w:val="en-US" w:eastAsia="zh-CN"/>
              </w:rPr>
            </w:pPr>
            <w:r>
              <w:rPr>
                <w:rFonts w:hint="default" w:ascii="Times New Roman" w:hAnsi="Times New Roman"/>
                <w:color w:val="auto"/>
                <w:lang w:val="en-US" w:eastAsia="zh-CN"/>
              </w:rPr>
              <w:t>图</w:t>
            </w:r>
            <w:r>
              <w:rPr>
                <w:rFonts w:hint="eastAsia" w:ascii="Times New Roman" w:hAnsi="Times New Roman"/>
                <w:color w:val="auto"/>
                <w:lang w:val="en-US" w:eastAsia="zh-CN"/>
              </w:rPr>
              <w:t>4.3-1</w:t>
            </w:r>
            <w:r>
              <w:rPr>
                <w:rFonts w:hint="eastAsia"/>
                <w:color w:val="auto"/>
                <w:lang w:val="en-US" w:eastAsia="zh-CN"/>
              </w:rPr>
              <w:t xml:space="preserve">  </w:t>
            </w:r>
            <w:r>
              <w:rPr>
                <w:rFonts w:hint="default" w:ascii="Times New Roman" w:hAnsi="Times New Roman"/>
                <w:color w:val="auto"/>
                <w:lang w:val="en-US" w:eastAsia="zh-CN"/>
              </w:rPr>
              <w:t>反射体的影响</w:t>
            </w:r>
          </w:p>
          <w:p w14:paraId="02EE2E0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当满足下列条件时，需考虑反射体引起的声级增高：</w:t>
            </w:r>
          </w:p>
          <w:p w14:paraId="185A307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1）反射体表面平整光滑，坚硬的。</w:t>
            </w:r>
          </w:p>
          <w:p w14:paraId="1AEB9BB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2）反射体尺寸远远大于所有声波波长λ。</w:t>
            </w:r>
          </w:p>
          <w:p w14:paraId="532FC46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3）入射角θ＜85º。</w:t>
            </w:r>
          </w:p>
          <w:p w14:paraId="265928B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rr−rd</w:t>
            </w:r>
            <w:r>
              <w:rPr>
                <w:rFonts w:hint="eastAsia" w:cs="宋体"/>
                <w:color w:val="auto"/>
                <w:kern w:val="2"/>
                <w:sz w:val="24"/>
                <w:szCs w:val="24"/>
                <w:lang w:val="en-US" w:eastAsia="zh-CN" w:bidi="ar-SA"/>
              </w:rPr>
              <w:t>&gt;</w:t>
            </w:r>
            <w:r>
              <w:rPr>
                <w:rFonts w:hint="default" w:ascii="Times New Roman" w:hAnsi="Times New Roman" w:eastAsia="宋体" w:cs="宋体"/>
                <w:color w:val="auto"/>
                <w:kern w:val="2"/>
                <w:sz w:val="24"/>
                <w:szCs w:val="24"/>
                <w:lang w:val="en-US" w:eastAsia="zh-CN" w:bidi="ar-SA"/>
              </w:rPr>
              <w:t>λ反射引起的修正量ΔL r与rr/rd有关</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rr=IP、rd=SP</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，可按表</w:t>
            </w:r>
            <w:r>
              <w:rPr>
                <w:rFonts w:hint="eastAsia" w:ascii="Times New Roman" w:hAnsi="Times New Roman" w:eastAsia="宋体" w:cs="宋体"/>
                <w:color w:val="auto"/>
                <w:kern w:val="2"/>
                <w:sz w:val="24"/>
                <w:szCs w:val="24"/>
                <w:lang w:val="en-US" w:eastAsia="zh-CN" w:bidi="ar-SA"/>
              </w:rPr>
              <w:t>4.3-</w:t>
            </w:r>
            <w:r>
              <w:rPr>
                <w:rFonts w:hint="eastAsia"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计算：</w:t>
            </w:r>
          </w:p>
          <w:p w14:paraId="4799A4E2">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表</w:t>
            </w:r>
            <w:r>
              <w:rPr>
                <w:rFonts w:hint="eastAsia" w:ascii="Times New Roman" w:hAnsi="Times New Roman" w:eastAsia="宋体" w:cs="Times New Roman"/>
                <w:b/>
                <w:color w:val="auto"/>
                <w:kern w:val="0"/>
                <w:sz w:val="24"/>
                <w:szCs w:val="20"/>
                <w:lang w:val="en-US" w:eastAsia="zh-CN" w:bidi="ar-SA"/>
              </w:rPr>
              <w:t>4.3-</w:t>
            </w:r>
            <w:r>
              <w:rPr>
                <w:rFonts w:hint="eastAsia" w:cs="Times New Roman"/>
                <w:b/>
                <w:color w:val="auto"/>
                <w:kern w:val="0"/>
                <w:sz w:val="24"/>
                <w:szCs w:val="20"/>
                <w:lang w:val="en-US" w:eastAsia="zh-CN" w:bidi="ar-SA"/>
              </w:rPr>
              <w:t xml:space="preserve">3  </w:t>
            </w:r>
            <w:r>
              <w:rPr>
                <w:rFonts w:hint="default" w:ascii="Times New Roman" w:hAnsi="Times New Roman" w:eastAsia="宋体" w:cs="Times New Roman"/>
                <w:b/>
                <w:color w:val="auto"/>
                <w:kern w:val="0"/>
                <w:sz w:val="24"/>
                <w:szCs w:val="20"/>
                <w:lang w:val="en-US" w:eastAsia="zh-CN" w:bidi="ar-SA"/>
              </w:rPr>
              <w:t>反射体引起的修正量</w:t>
            </w:r>
          </w:p>
          <w:tbl>
            <w:tblPr>
              <w:tblStyle w:val="18"/>
              <w:tblW w:w="79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99"/>
              <w:gridCol w:w="4000"/>
            </w:tblGrid>
            <w:tr w14:paraId="63BB50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999" w:type="dxa"/>
                  <w:tcBorders>
                    <w:tl2br w:val="nil"/>
                    <w:tr2bl w:val="nil"/>
                  </w:tcBorders>
                  <w:noWrap w:val="0"/>
                  <w:vAlign w:val="center"/>
                </w:tcPr>
                <w:p w14:paraId="281774F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rr/rd</w:t>
                  </w:r>
                </w:p>
              </w:tc>
              <w:tc>
                <w:tcPr>
                  <w:tcW w:w="4000" w:type="dxa"/>
                  <w:tcBorders>
                    <w:tl2br w:val="nil"/>
                    <w:tr2bl w:val="nil"/>
                  </w:tcBorders>
                  <w:noWrap w:val="0"/>
                  <w:vAlign w:val="center"/>
                </w:tcPr>
                <w:p w14:paraId="73273D5E">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dB</w:t>
                  </w:r>
                  <w:r>
                    <w:rPr>
                      <w:rFonts w:hint="eastAsia"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A</w:t>
                  </w:r>
                  <w:r>
                    <w:rPr>
                      <w:rFonts w:hint="eastAsia" w:cs="Times New Roman"/>
                      <w:color w:val="auto"/>
                      <w:kern w:val="0"/>
                      <w:sz w:val="21"/>
                      <w:szCs w:val="20"/>
                      <w:lang w:val="en-US" w:eastAsia="zh-CN" w:bidi="ar-SA"/>
                    </w:rPr>
                    <w:t>)</w:t>
                  </w:r>
                </w:p>
              </w:tc>
            </w:tr>
            <w:tr w14:paraId="722AF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3999" w:type="dxa"/>
                  <w:tcBorders>
                    <w:tl2br w:val="nil"/>
                    <w:tr2bl w:val="nil"/>
                  </w:tcBorders>
                  <w:noWrap w:val="0"/>
                  <w:vAlign w:val="center"/>
                </w:tcPr>
                <w:p w14:paraId="32E16DC5">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w:t>
                  </w:r>
                </w:p>
                <w:p w14:paraId="566FEAEF">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≈1.4</w:t>
                  </w:r>
                </w:p>
                <w:p w14:paraId="0BA8B37A">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w:t>
                  </w:r>
                </w:p>
                <w:p w14:paraId="61343BDE">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&gt;</w:t>
                  </w:r>
                  <w:r>
                    <w:rPr>
                      <w:rFonts w:hint="default" w:ascii="Times New Roman" w:hAnsi="Times New Roman" w:eastAsia="宋体" w:cs="Times New Roman"/>
                      <w:color w:val="auto"/>
                      <w:kern w:val="0"/>
                      <w:sz w:val="21"/>
                      <w:szCs w:val="20"/>
                      <w:lang w:val="en-US" w:eastAsia="zh-CN" w:bidi="ar-SA"/>
                    </w:rPr>
                    <w:t>2.5</w:t>
                  </w:r>
                </w:p>
              </w:tc>
              <w:tc>
                <w:tcPr>
                  <w:tcW w:w="4000" w:type="dxa"/>
                  <w:tcBorders>
                    <w:tl2br w:val="nil"/>
                    <w:tr2bl w:val="nil"/>
                  </w:tcBorders>
                  <w:noWrap w:val="0"/>
                  <w:vAlign w:val="center"/>
                </w:tcPr>
                <w:p w14:paraId="37FF4C9A">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w:t>
                  </w:r>
                </w:p>
                <w:p w14:paraId="16D5934A">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w:t>
                  </w:r>
                </w:p>
                <w:p w14:paraId="2ADF3D9B">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w:t>
                  </w:r>
                </w:p>
                <w:p w14:paraId="442717D8">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w:t>
                  </w:r>
                </w:p>
              </w:tc>
            </w:tr>
          </w:tbl>
          <w:p w14:paraId="3BF0E8D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③面声源的几何发散衰减</w:t>
            </w:r>
          </w:p>
          <w:p w14:paraId="3F83E42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一个大型机器设备的振动表面，车间透声的墙壁，均可以认为是面声源。如果已知面声源单位面积的声功率为W，各面积元噪声的位相是随机的，面声源可看作由无数点声源连续分布组合而成，其合成声级可按能量叠加法求出。</w:t>
            </w:r>
          </w:p>
          <w:p w14:paraId="553F564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图</w:t>
            </w:r>
            <w:r>
              <w:rPr>
                <w:rFonts w:hint="eastAsia" w:ascii="Times New Roman" w:hAnsi="Times New Roman" w:eastAsia="宋体" w:cs="宋体"/>
                <w:color w:val="auto"/>
                <w:kern w:val="2"/>
                <w:sz w:val="24"/>
                <w:szCs w:val="24"/>
                <w:lang w:val="en-US" w:eastAsia="zh-CN" w:bidi="ar-SA"/>
              </w:rPr>
              <w:t>4.3-2</w:t>
            </w:r>
            <w:r>
              <w:rPr>
                <w:rFonts w:hint="default" w:ascii="Times New Roman" w:hAnsi="Times New Roman" w:eastAsia="宋体" w:cs="宋体"/>
                <w:color w:val="auto"/>
                <w:kern w:val="2"/>
                <w:sz w:val="24"/>
                <w:szCs w:val="24"/>
                <w:lang w:val="en-US" w:eastAsia="zh-CN" w:bidi="ar-SA"/>
              </w:rPr>
              <w:t>给出了长方形面声源中心轴线上的声衰减曲线。当预测点和面声源中心距离r处于以下条件时，可按下述方法近似计算：r&lt;a/π时，几乎不衰减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；当a/π&lt;r&lt;b/π，距离加倍衰减3dB</w:t>
            </w:r>
            <w:r>
              <w:rPr>
                <w:rFonts w:hint="eastAsia" w:ascii="Times New Roman" w:hAnsi="Times New Roman" w:eastAsia="宋体" w:cs="宋体"/>
                <w:color w:val="auto"/>
                <w:kern w:val="2"/>
                <w:sz w:val="24"/>
                <w:szCs w:val="24"/>
                <w:lang w:val="en-US" w:eastAsia="zh-CN" w:bidi="ar-SA"/>
              </w:rPr>
              <w:t>（A）</w:t>
            </w:r>
            <w:r>
              <w:rPr>
                <w:rFonts w:hint="default" w:ascii="Times New Roman" w:hAnsi="Times New Roman" w:eastAsia="宋体" w:cs="宋体"/>
                <w:color w:val="auto"/>
                <w:kern w:val="2"/>
                <w:sz w:val="24"/>
                <w:szCs w:val="24"/>
                <w:lang w:val="en-US" w:eastAsia="zh-CN" w:bidi="ar-SA"/>
              </w:rPr>
              <w:t>左右，类似线声源衰减特性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Adiv≈10 lg</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；当r&gt;b/π时，距离加倍衰减趋近于6dB</w:t>
            </w:r>
            <w:r>
              <w:rPr>
                <w:rFonts w:hint="eastAsia" w:ascii="Times New Roman" w:hAnsi="Times New Roman" w:eastAsia="宋体" w:cs="宋体"/>
                <w:color w:val="auto"/>
                <w:kern w:val="2"/>
                <w:sz w:val="24"/>
                <w:szCs w:val="24"/>
                <w:lang w:val="en-US" w:eastAsia="zh-CN" w:bidi="ar-SA"/>
              </w:rPr>
              <w:t>（A）</w:t>
            </w:r>
            <w:r>
              <w:rPr>
                <w:rFonts w:hint="default" w:ascii="Times New Roman" w:hAnsi="Times New Roman" w:eastAsia="宋体" w:cs="宋体"/>
                <w:color w:val="auto"/>
                <w:kern w:val="2"/>
                <w:sz w:val="24"/>
                <w:szCs w:val="24"/>
                <w:lang w:val="en-US" w:eastAsia="zh-CN" w:bidi="ar-SA"/>
              </w:rPr>
              <w:t>，类似点声源衰减特性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Adiv≈20 lg</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。其中面声源的b&gt;a。图中虚线为实际衰减量。</w:t>
            </w:r>
          </w:p>
          <w:p w14:paraId="562565E3">
            <w:pPr>
              <w:widowControl w:val="0"/>
              <w:bidi w:val="0"/>
              <w:spacing w:line="240" w:lineRule="auto"/>
              <w:ind w:firstLine="480" w:firstLineChars="200"/>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5040630" cy="3766185"/>
                  <wp:effectExtent l="0" t="0" r="7620" b="5715"/>
                  <wp:docPr id="14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8"/>
                          <pic:cNvPicPr>
                            <a:picLocks noChangeAspect="1"/>
                          </pic:cNvPicPr>
                        </pic:nvPicPr>
                        <pic:blipFill>
                          <a:blip r:embed="rId26"/>
                          <a:stretch>
                            <a:fillRect/>
                          </a:stretch>
                        </pic:blipFill>
                        <pic:spPr>
                          <a:xfrm>
                            <a:off x="0" y="0"/>
                            <a:ext cx="5040630" cy="3766185"/>
                          </a:xfrm>
                          <a:prstGeom prst="rect">
                            <a:avLst/>
                          </a:prstGeom>
                          <a:noFill/>
                          <a:ln>
                            <a:noFill/>
                          </a:ln>
                        </pic:spPr>
                      </pic:pic>
                    </a:graphicData>
                  </a:graphic>
                </wp:inline>
              </w:drawing>
            </w:r>
          </w:p>
          <w:p w14:paraId="597E278A">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图</w:t>
            </w:r>
            <w:r>
              <w:rPr>
                <w:rFonts w:hint="eastAsia" w:ascii="Times New Roman" w:hAnsi="Times New Roman" w:eastAsia="宋体" w:cs="Times New Roman"/>
                <w:b/>
                <w:color w:val="auto"/>
                <w:kern w:val="0"/>
                <w:sz w:val="24"/>
                <w:szCs w:val="20"/>
                <w:lang w:val="en-US" w:eastAsia="zh-CN" w:bidi="ar-SA"/>
              </w:rPr>
              <w:t>4.3</w:t>
            </w:r>
            <w:r>
              <w:rPr>
                <w:rFonts w:hint="default" w:ascii="Times New Roman" w:hAnsi="Times New Roman" w:eastAsia="宋体" w:cs="Times New Roman"/>
                <w:b/>
                <w:color w:val="auto"/>
                <w:kern w:val="0"/>
                <w:sz w:val="24"/>
                <w:szCs w:val="20"/>
                <w:lang w:val="en-US" w:eastAsia="zh-CN" w:bidi="ar-SA"/>
              </w:rPr>
              <w:t>-2</w:t>
            </w:r>
            <w:r>
              <w:rPr>
                <w:rFonts w:hint="eastAsia" w:cs="Times New Roman"/>
                <w:b/>
                <w:color w:val="auto"/>
                <w:kern w:val="0"/>
                <w:sz w:val="24"/>
                <w:szCs w:val="20"/>
                <w:lang w:val="en-US" w:eastAsia="zh-CN" w:bidi="ar-SA"/>
              </w:rPr>
              <w:t xml:space="preserve">  </w:t>
            </w:r>
            <w:r>
              <w:rPr>
                <w:rFonts w:hint="default" w:ascii="Times New Roman" w:hAnsi="Times New Roman" w:eastAsia="宋体" w:cs="Times New Roman"/>
                <w:b/>
                <w:color w:val="auto"/>
                <w:kern w:val="0"/>
                <w:sz w:val="24"/>
                <w:szCs w:val="20"/>
                <w:lang w:val="en-US" w:eastAsia="zh-CN" w:bidi="ar-SA"/>
              </w:rPr>
              <w:t>长方形面声源中心轴线上的衰减特性</w:t>
            </w:r>
          </w:p>
          <w:p w14:paraId="3BD70AD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④空气吸收引起的衰减（Aatm）</w:t>
            </w:r>
          </w:p>
          <w:p w14:paraId="331CF24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空气吸收引起的衰减按公式（8）计算：</w:t>
            </w:r>
          </w:p>
          <w:p w14:paraId="081363CA">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285240" cy="457835"/>
                  <wp:effectExtent l="0" t="0" r="10160" b="18415"/>
                  <wp:docPr id="14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26"/>
                          <pic:cNvPicPr>
                            <a:picLocks noChangeAspect="1"/>
                          </pic:cNvPicPr>
                        </pic:nvPicPr>
                        <pic:blipFill>
                          <a:blip r:embed="rId27"/>
                          <a:stretch>
                            <a:fillRect/>
                          </a:stretch>
                        </pic:blipFill>
                        <pic:spPr>
                          <a:xfrm>
                            <a:off x="0" y="0"/>
                            <a:ext cx="1285240" cy="45783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8</w:t>
            </w:r>
            <w:r>
              <w:rPr>
                <w:rFonts w:hint="eastAsia" w:cs="宋体"/>
                <w:color w:val="auto"/>
                <w:kern w:val="2"/>
                <w:sz w:val="24"/>
                <w:szCs w:val="24"/>
                <w:lang w:val="en-US" w:eastAsia="zh-CN" w:bidi="ar-SA"/>
              </w:rPr>
              <w:t>)</w:t>
            </w:r>
          </w:p>
          <w:p w14:paraId="1AB7FA2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式中：a为温度、湿度和声波频率的函数，预测计算中一般根据建设项目所处区域常年平均气温和湿度选择相应的空气吸收系数，见表</w:t>
            </w:r>
            <w:r>
              <w:rPr>
                <w:rFonts w:hint="eastAsia" w:ascii="Times New Roman" w:hAnsi="Times New Roman" w:eastAsia="宋体" w:cs="宋体"/>
                <w:color w:val="auto"/>
                <w:kern w:val="2"/>
                <w:sz w:val="24"/>
                <w:szCs w:val="24"/>
                <w:lang w:val="en-US" w:eastAsia="zh-CN" w:bidi="ar-SA"/>
              </w:rPr>
              <w:t>4.3</w:t>
            </w:r>
            <w:r>
              <w:rPr>
                <w:rFonts w:hint="default"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4</w:t>
            </w:r>
            <w:r>
              <w:rPr>
                <w:rFonts w:hint="default" w:ascii="Times New Roman" w:hAnsi="Times New Roman" w:eastAsia="宋体" w:cs="宋体"/>
                <w:color w:val="auto"/>
                <w:kern w:val="2"/>
                <w:sz w:val="24"/>
                <w:szCs w:val="24"/>
                <w:lang w:val="en-US" w:eastAsia="zh-CN" w:bidi="ar-SA"/>
              </w:rPr>
              <w:t>。</w:t>
            </w:r>
          </w:p>
          <w:p w14:paraId="3C6FC574">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表</w:t>
            </w:r>
            <w:r>
              <w:rPr>
                <w:rFonts w:hint="eastAsia" w:ascii="Times New Roman" w:hAnsi="Times New Roman" w:eastAsia="宋体" w:cs="Times New Roman"/>
                <w:b/>
                <w:color w:val="auto"/>
                <w:kern w:val="0"/>
                <w:sz w:val="24"/>
                <w:szCs w:val="20"/>
                <w:lang w:val="en-US" w:eastAsia="zh-CN" w:bidi="ar-SA"/>
              </w:rPr>
              <w:t>4.3</w:t>
            </w:r>
            <w:r>
              <w:rPr>
                <w:rFonts w:hint="default" w:ascii="Times New Roman" w:hAnsi="Times New Roman" w:eastAsia="宋体" w:cs="Times New Roman"/>
                <w:b/>
                <w:color w:val="auto"/>
                <w:kern w:val="0"/>
                <w:sz w:val="24"/>
                <w:szCs w:val="20"/>
                <w:lang w:val="en-US" w:eastAsia="zh-CN" w:bidi="ar-SA"/>
              </w:rPr>
              <w:t>-</w:t>
            </w:r>
            <w:r>
              <w:rPr>
                <w:rFonts w:hint="eastAsia" w:cs="Times New Roman"/>
                <w:b/>
                <w:color w:val="auto"/>
                <w:kern w:val="0"/>
                <w:sz w:val="24"/>
                <w:szCs w:val="20"/>
                <w:lang w:val="en-US" w:eastAsia="zh-CN" w:bidi="ar-SA"/>
              </w:rPr>
              <w:t xml:space="preserve">4  </w:t>
            </w:r>
            <w:r>
              <w:rPr>
                <w:rFonts w:hint="default" w:ascii="Times New Roman" w:hAnsi="Times New Roman" w:eastAsia="宋体" w:cs="Times New Roman"/>
                <w:b/>
                <w:color w:val="auto"/>
                <w:kern w:val="0"/>
                <w:sz w:val="24"/>
                <w:szCs w:val="20"/>
                <w:lang w:val="en-US" w:eastAsia="zh-CN" w:bidi="ar-SA"/>
              </w:rPr>
              <w:t>倍频带噪声的大气吸收衰减系数</w:t>
            </w:r>
          </w:p>
          <w:tbl>
            <w:tblPr>
              <w:tblStyle w:val="18"/>
              <w:tblW w:w="4999" w:type="pct"/>
              <w:jc w:val="center"/>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962"/>
              <w:gridCol w:w="803"/>
              <w:gridCol w:w="813"/>
              <w:gridCol w:w="813"/>
              <w:gridCol w:w="813"/>
              <w:gridCol w:w="838"/>
              <w:gridCol w:w="838"/>
              <w:gridCol w:w="838"/>
              <w:gridCol w:w="863"/>
            </w:tblGrid>
            <w:tr w14:paraId="2427699D">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vMerge w:val="restart"/>
                  <w:tcBorders>
                    <w:tl2br w:val="nil"/>
                    <w:tr2bl w:val="nil"/>
                  </w:tcBorders>
                  <w:noWrap w:val="0"/>
                  <w:vAlign w:val="center"/>
                </w:tcPr>
                <w:p w14:paraId="5D7F87E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温度℃</w:t>
                  </w:r>
                </w:p>
              </w:tc>
              <w:tc>
                <w:tcPr>
                  <w:tcW w:w="568" w:type="pct"/>
                  <w:vMerge w:val="restart"/>
                  <w:tcBorders>
                    <w:tl2br w:val="nil"/>
                    <w:tr2bl w:val="nil"/>
                  </w:tcBorders>
                  <w:noWrap w:val="0"/>
                  <w:vAlign w:val="center"/>
                </w:tcPr>
                <w:p w14:paraId="3B485A09">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相对</w:t>
                  </w:r>
                </w:p>
                <w:p w14:paraId="0282E4B3">
                  <w:pPr>
                    <w:widowControl w:val="0"/>
                    <w:bidi w:val="0"/>
                    <w:adjustRightInd w:val="0"/>
                    <w:snapToGrid w:val="0"/>
                    <w:spacing w:before="10" w:beforeLines="10" w:after="10" w:afterLines="10" w:line="240" w:lineRule="auto"/>
                    <w:ind w:firstLine="420" w:firstLineChars="200"/>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湿度％</w:t>
                  </w:r>
                </w:p>
              </w:tc>
              <w:tc>
                <w:tcPr>
                  <w:tcW w:w="3908" w:type="pct"/>
                  <w:gridSpan w:val="8"/>
                  <w:tcBorders>
                    <w:tl2br w:val="nil"/>
                    <w:tr2bl w:val="nil"/>
                  </w:tcBorders>
                  <w:noWrap w:val="0"/>
                  <w:vAlign w:val="center"/>
                </w:tcPr>
                <w:p w14:paraId="0CA10DD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大气吸收衰减系数a，dB/km</w:t>
                  </w:r>
                </w:p>
              </w:tc>
            </w:tr>
            <w:tr w14:paraId="177A91CE">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vMerge w:val="continue"/>
                  <w:tcBorders>
                    <w:tl2br w:val="nil"/>
                    <w:tr2bl w:val="nil"/>
                  </w:tcBorders>
                  <w:noWrap w:val="0"/>
                  <w:vAlign w:val="center"/>
                </w:tcPr>
                <w:p w14:paraId="667A426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c>
                <w:tcPr>
                  <w:tcW w:w="568" w:type="pct"/>
                  <w:vMerge w:val="continue"/>
                  <w:tcBorders>
                    <w:tl2br w:val="nil"/>
                    <w:tr2bl w:val="nil"/>
                  </w:tcBorders>
                  <w:noWrap w:val="0"/>
                  <w:vAlign w:val="center"/>
                </w:tcPr>
                <w:p w14:paraId="314C298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c>
                <w:tcPr>
                  <w:tcW w:w="3908" w:type="pct"/>
                  <w:gridSpan w:val="8"/>
                  <w:tcBorders>
                    <w:tl2br w:val="nil"/>
                    <w:tr2bl w:val="nil"/>
                  </w:tcBorders>
                  <w:noWrap w:val="0"/>
                  <w:vAlign w:val="center"/>
                </w:tcPr>
                <w:p w14:paraId="4323937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倍频带中心频率Hz</w:t>
                  </w:r>
                </w:p>
              </w:tc>
            </w:tr>
            <w:tr w14:paraId="024885FB">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vMerge w:val="continue"/>
                  <w:tcBorders>
                    <w:tl2br w:val="nil"/>
                    <w:tr2bl w:val="nil"/>
                  </w:tcBorders>
                  <w:noWrap w:val="0"/>
                  <w:vAlign w:val="center"/>
                </w:tcPr>
                <w:p w14:paraId="1CBA79E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c>
                <w:tcPr>
                  <w:tcW w:w="568" w:type="pct"/>
                  <w:vMerge w:val="continue"/>
                  <w:tcBorders>
                    <w:tl2br w:val="nil"/>
                    <w:tr2bl w:val="nil"/>
                  </w:tcBorders>
                  <w:noWrap w:val="0"/>
                  <w:vAlign w:val="center"/>
                </w:tcPr>
                <w:p w14:paraId="1934D3B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c>
                <w:tcPr>
                  <w:tcW w:w="474" w:type="pct"/>
                  <w:tcBorders>
                    <w:tl2br w:val="nil"/>
                    <w:tr2bl w:val="nil"/>
                  </w:tcBorders>
                  <w:noWrap w:val="0"/>
                  <w:vAlign w:val="center"/>
                </w:tcPr>
                <w:p w14:paraId="5560B0B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63</w:t>
                  </w:r>
                </w:p>
              </w:tc>
              <w:tc>
                <w:tcPr>
                  <w:tcW w:w="480" w:type="pct"/>
                  <w:tcBorders>
                    <w:tl2br w:val="nil"/>
                    <w:tr2bl w:val="nil"/>
                  </w:tcBorders>
                  <w:noWrap w:val="0"/>
                  <w:vAlign w:val="center"/>
                </w:tcPr>
                <w:p w14:paraId="6230050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125</w:t>
                  </w:r>
                </w:p>
              </w:tc>
              <w:tc>
                <w:tcPr>
                  <w:tcW w:w="480" w:type="pct"/>
                  <w:tcBorders>
                    <w:tl2br w:val="nil"/>
                    <w:tr2bl w:val="nil"/>
                  </w:tcBorders>
                  <w:noWrap w:val="0"/>
                  <w:vAlign w:val="center"/>
                </w:tcPr>
                <w:p w14:paraId="7DBC29F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250</w:t>
                  </w:r>
                </w:p>
              </w:tc>
              <w:tc>
                <w:tcPr>
                  <w:tcW w:w="480" w:type="pct"/>
                  <w:tcBorders>
                    <w:tl2br w:val="nil"/>
                    <w:tr2bl w:val="nil"/>
                  </w:tcBorders>
                  <w:noWrap w:val="0"/>
                  <w:vAlign w:val="center"/>
                </w:tcPr>
                <w:p w14:paraId="1CFA9CD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500</w:t>
                  </w:r>
                </w:p>
              </w:tc>
              <w:tc>
                <w:tcPr>
                  <w:tcW w:w="495" w:type="pct"/>
                  <w:tcBorders>
                    <w:tl2br w:val="nil"/>
                    <w:tr2bl w:val="nil"/>
                  </w:tcBorders>
                  <w:noWrap w:val="0"/>
                  <w:vAlign w:val="center"/>
                </w:tcPr>
                <w:p w14:paraId="3495093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1000</w:t>
                  </w:r>
                </w:p>
              </w:tc>
              <w:tc>
                <w:tcPr>
                  <w:tcW w:w="495" w:type="pct"/>
                  <w:tcBorders>
                    <w:tl2br w:val="nil"/>
                    <w:tr2bl w:val="nil"/>
                  </w:tcBorders>
                  <w:noWrap w:val="0"/>
                  <w:vAlign w:val="center"/>
                </w:tcPr>
                <w:p w14:paraId="5BFDA2F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2000</w:t>
                  </w:r>
                </w:p>
              </w:tc>
              <w:tc>
                <w:tcPr>
                  <w:tcW w:w="495" w:type="pct"/>
                  <w:tcBorders>
                    <w:tl2br w:val="nil"/>
                    <w:tr2bl w:val="nil"/>
                  </w:tcBorders>
                  <w:noWrap w:val="0"/>
                  <w:vAlign w:val="center"/>
                </w:tcPr>
                <w:p w14:paraId="29BEF5F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4000</w:t>
                  </w:r>
                </w:p>
              </w:tc>
              <w:tc>
                <w:tcPr>
                  <w:tcW w:w="505" w:type="pct"/>
                  <w:tcBorders>
                    <w:tl2br w:val="nil"/>
                    <w:tr2bl w:val="nil"/>
                  </w:tcBorders>
                  <w:noWrap w:val="0"/>
                  <w:vAlign w:val="center"/>
                </w:tcPr>
                <w:p w14:paraId="4367F50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8000</w:t>
                  </w:r>
                </w:p>
              </w:tc>
            </w:tr>
            <w:tr w14:paraId="2BC45F36">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noWrap w:val="0"/>
                  <w:vAlign w:val="center"/>
                </w:tcPr>
                <w:p w14:paraId="3473F0C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w:t>
                  </w:r>
                </w:p>
              </w:tc>
              <w:tc>
                <w:tcPr>
                  <w:tcW w:w="568" w:type="pct"/>
                  <w:tcBorders>
                    <w:tl2br w:val="nil"/>
                    <w:tr2bl w:val="nil"/>
                  </w:tcBorders>
                  <w:noWrap w:val="0"/>
                  <w:vAlign w:val="center"/>
                </w:tcPr>
                <w:p w14:paraId="55B0ABF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70</w:t>
                  </w:r>
                </w:p>
              </w:tc>
              <w:tc>
                <w:tcPr>
                  <w:tcW w:w="474" w:type="pct"/>
                  <w:tcBorders>
                    <w:tl2br w:val="nil"/>
                    <w:tr2bl w:val="nil"/>
                  </w:tcBorders>
                  <w:noWrap w:val="0"/>
                  <w:vAlign w:val="center"/>
                </w:tcPr>
                <w:p w14:paraId="115E4A2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tcBorders>
                    <w:tl2br w:val="nil"/>
                    <w:tr2bl w:val="nil"/>
                  </w:tcBorders>
                  <w:noWrap w:val="0"/>
                  <w:vAlign w:val="center"/>
                </w:tcPr>
                <w:p w14:paraId="36FA850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0.4</w:t>
                  </w:r>
                </w:p>
              </w:tc>
              <w:tc>
                <w:tcPr>
                  <w:tcW w:w="480" w:type="pct"/>
                  <w:tcBorders>
                    <w:tl2br w:val="nil"/>
                    <w:tr2bl w:val="nil"/>
                  </w:tcBorders>
                  <w:noWrap w:val="0"/>
                  <w:vAlign w:val="center"/>
                </w:tcPr>
                <w:p w14:paraId="7BB03C1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w:t>
                  </w:r>
                </w:p>
              </w:tc>
              <w:tc>
                <w:tcPr>
                  <w:tcW w:w="480" w:type="pct"/>
                  <w:tcBorders>
                    <w:tl2br w:val="nil"/>
                    <w:tr2bl w:val="nil"/>
                  </w:tcBorders>
                  <w:noWrap w:val="0"/>
                  <w:vAlign w:val="center"/>
                </w:tcPr>
                <w:p w14:paraId="18CA3D4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1.9</w:t>
                  </w:r>
                </w:p>
              </w:tc>
              <w:tc>
                <w:tcPr>
                  <w:tcW w:w="495" w:type="pct"/>
                  <w:tcBorders>
                    <w:tl2br w:val="nil"/>
                    <w:tr2bl w:val="nil"/>
                  </w:tcBorders>
                  <w:noWrap w:val="0"/>
                  <w:vAlign w:val="center"/>
                </w:tcPr>
                <w:p w14:paraId="5EBCCF1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3.7</w:t>
                  </w:r>
                </w:p>
              </w:tc>
              <w:tc>
                <w:tcPr>
                  <w:tcW w:w="495" w:type="pct"/>
                  <w:tcBorders>
                    <w:tl2br w:val="nil"/>
                    <w:tr2bl w:val="nil"/>
                  </w:tcBorders>
                  <w:noWrap w:val="0"/>
                  <w:vAlign w:val="center"/>
                </w:tcPr>
                <w:p w14:paraId="596CF36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9.7</w:t>
                  </w:r>
                </w:p>
              </w:tc>
              <w:tc>
                <w:tcPr>
                  <w:tcW w:w="495" w:type="pct"/>
                  <w:tcBorders>
                    <w:tl2br w:val="nil"/>
                    <w:tr2bl w:val="nil"/>
                  </w:tcBorders>
                  <w:noWrap w:val="0"/>
                  <w:vAlign w:val="center"/>
                </w:tcPr>
                <w:p w14:paraId="6E2EC1F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32.8</w:t>
                  </w:r>
                </w:p>
              </w:tc>
              <w:tc>
                <w:tcPr>
                  <w:tcW w:w="505" w:type="pct"/>
                  <w:tcBorders>
                    <w:tl2br w:val="nil"/>
                    <w:tr2bl w:val="nil"/>
                  </w:tcBorders>
                  <w:noWrap w:val="0"/>
                  <w:vAlign w:val="center"/>
                </w:tcPr>
                <w:p w14:paraId="2F661AD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117.0</w:t>
                  </w:r>
                </w:p>
              </w:tc>
            </w:tr>
            <w:tr w14:paraId="51C655A2">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noWrap w:val="0"/>
                  <w:vAlign w:val="center"/>
                </w:tcPr>
                <w:p w14:paraId="4239CC0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20</w:t>
                  </w:r>
                </w:p>
              </w:tc>
              <w:tc>
                <w:tcPr>
                  <w:tcW w:w="568" w:type="pct"/>
                  <w:tcBorders>
                    <w:tl2br w:val="nil"/>
                    <w:tr2bl w:val="nil"/>
                  </w:tcBorders>
                  <w:noWrap w:val="0"/>
                  <w:vAlign w:val="center"/>
                </w:tcPr>
                <w:p w14:paraId="68A833A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70</w:t>
                  </w:r>
                </w:p>
              </w:tc>
              <w:tc>
                <w:tcPr>
                  <w:tcW w:w="474" w:type="pct"/>
                  <w:tcBorders>
                    <w:tl2br w:val="nil"/>
                    <w:tr2bl w:val="nil"/>
                  </w:tcBorders>
                  <w:noWrap w:val="0"/>
                  <w:vAlign w:val="center"/>
                </w:tcPr>
                <w:p w14:paraId="184A9CD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tcBorders>
                    <w:tl2br w:val="nil"/>
                    <w:tr2bl w:val="nil"/>
                  </w:tcBorders>
                  <w:noWrap w:val="0"/>
                  <w:vAlign w:val="center"/>
                </w:tcPr>
                <w:p w14:paraId="2CFF9D0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tcBorders>
                    <w:tl2br w:val="nil"/>
                    <w:tr2bl w:val="nil"/>
                  </w:tcBorders>
                  <w:noWrap w:val="0"/>
                  <w:vAlign w:val="center"/>
                </w:tcPr>
                <w:p w14:paraId="15C9E8C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1.1</w:t>
                  </w:r>
                </w:p>
              </w:tc>
              <w:tc>
                <w:tcPr>
                  <w:tcW w:w="480" w:type="pct"/>
                  <w:tcBorders>
                    <w:tl2br w:val="nil"/>
                    <w:tr2bl w:val="nil"/>
                  </w:tcBorders>
                  <w:noWrap w:val="0"/>
                  <w:vAlign w:val="center"/>
                </w:tcPr>
                <w:p w14:paraId="590C39C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2.8</w:t>
                  </w:r>
                </w:p>
              </w:tc>
              <w:tc>
                <w:tcPr>
                  <w:tcW w:w="495" w:type="pct"/>
                  <w:tcBorders>
                    <w:tl2br w:val="nil"/>
                    <w:tr2bl w:val="nil"/>
                  </w:tcBorders>
                  <w:noWrap w:val="0"/>
                  <w:vAlign w:val="center"/>
                </w:tcPr>
                <w:p w14:paraId="7820C21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5.0</w:t>
                  </w:r>
                </w:p>
              </w:tc>
              <w:tc>
                <w:tcPr>
                  <w:tcW w:w="495" w:type="pct"/>
                  <w:tcBorders>
                    <w:tl2br w:val="nil"/>
                    <w:tr2bl w:val="nil"/>
                  </w:tcBorders>
                  <w:noWrap w:val="0"/>
                  <w:vAlign w:val="center"/>
                </w:tcPr>
                <w:p w14:paraId="696566E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9.0</w:t>
                  </w:r>
                </w:p>
              </w:tc>
              <w:tc>
                <w:tcPr>
                  <w:tcW w:w="495" w:type="pct"/>
                  <w:tcBorders>
                    <w:tl2br w:val="nil"/>
                    <w:tr2bl w:val="nil"/>
                  </w:tcBorders>
                  <w:noWrap w:val="0"/>
                  <w:vAlign w:val="center"/>
                </w:tcPr>
                <w:p w14:paraId="0FCAC35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22.9</w:t>
                  </w:r>
                </w:p>
              </w:tc>
              <w:tc>
                <w:tcPr>
                  <w:tcW w:w="505" w:type="pct"/>
                  <w:tcBorders>
                    <w:tl2br w:val="nil"/>
                    <w:tr2bl w:val="nil"/>
                  </w:tcBorders>
                  <w:noWrap w:val="0"/>
                  <w:vAlign w:val="center"/>
                </w:tcPr>
                <w:p w14:paraId="3D14AF7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76.6</w:t>
                  </w:r>
                </w:p>
              </w:tc>
            </w:tr>
            <w:tr w14:paraId="01B1912D">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noWrap w:val="0"/>
                  <w:vAlign w:val="center"/>
                </w:tcPr>
                <w:p w14:paraId="06B8941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30</w:t>
                  </w:r>
                </w:p>
              </w:tc>
              <w:tc>
                <w:tcPr>
                  <w:tcW w:w="568" w:type="pct"/>
                  <w:tcBorders>
                    <w:tl2br w:val="nil"/>
                    <w:tr2bl w:val="nil"/>
                  </w:tcBorders>
                  <w:noWrap w:val="0"/>
                  <w:vAlign w:val="center"/>
                </w:tcPr>
                <w:p w14:paraId="75665A0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70</w:t>
                  </w:r>
                </w:p>
              </w:tc>
              <w:tc>
                <w:tcPr>
                  <w:tcW w:w="474" w:type="pct"/>
                  <w:tcBorders>
                    <w:tl2br w:val="nil"/>
                    <w:tr2bl w:val="nil"/>
                  </w:tcBorders>
                  <w:noWrap w:val="0"/>
                  <w:vAlign w:val="center"/>
                </w:tcPr>
                <w:p w14:paraId="0FEAAD6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tcBorders>
                    <w:tl2br w:val="nil"/>
                    <w:tr2bl w:val="nil"/>
                  </w:tcBorders>
                  <w:noWrap w:val="0"/>
                  <w:vAlign w:val="center"/>
                </w:tcPr>
                <w:p w14:paraId="15ECF04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tcBorders>
                    <w:tl2br w:val="nil"/>
                    <w:tr2bl w:val="nil"/>
                  </w:tcBorders>
                  <w:noWrap w:val="0"/>
                  <w:vAlign w:val="center"/>
                </w:tcPr>
                <w:p w14:paraId="7D854D5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w:t>
                  </w:r>
                </w:p>
              </w:tc>
              <w:tc>
                <w:tcPr>
                  <w:tcW w:w="480" w:type="pct"/>
                  <w:tcBorders>
                    <w:tl2br w:val="nil"/>
                    <w:tr2bl w:val="nil"/>
                  </w:tcBorders>
                  <w:noWrap w:val="0"/>
                  <w:vAlign w:val="center"/>
                </w:tcPr>
                <w:p w14:paraId="4F7C528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3.1</w:t>
                  </w:r>
                </w:p>
              </w:tc>
              <w:tc>
                <w:tcPr>
                  <w:tcW w:w="495" w:type="pct"/>
                  <w:tcBorders>
                    <w:tl2br w:val="nil"/>
                    <w:tr2bl w:val="nil"/>
                  </w:tcBorders>
                  <w:noWrap w:val="0"/>
                  <w:vAlign w:val="center"/>
                </w:tcPr>
                <w:p w14:paraId="5B2FFEE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7.4</w:t>
                  </w:r>
                </w:p>
              </w:tc>
              <w:tc>
                <w:tcPr>
                  <w:tcW w:w="495" w:type="pct"/>
                  <w:tcBorders>
                    <w:tl2br w:val="nil"/>
                    <w:tr2bl w:val="nil"/>
                  </w:tcBorders>
                  <w:noWrap w:val="0"/>
                  <w:vAlign w:val="center"/>
                </w:tcPr>
                <w:p w14:paraId="03D5C19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12.7</w:t>
                  </w:r>
                </w:p>
              </w:tc>
              <w:tc>
                <w:tcPr>
                  <w:tcW w:w="495" w:type="pct"/>
                  <w:tcBorders>
                    <w:tl2br w:val="nil"/>
                    <w:tr2bl w:val="nil"/>
                  </w:tcBorders>
                  <w:noWrap w:val="0"/>
                  <w:vAlign w:val="center"/>
                </w:tcPr>
                <w:p w14:paraId="3F5C03B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23.1</w:t>
                  </w:r>
                </w:p>
              </w:tc>
              <w:tc>
                <w:tcPr>
                  <w:tcW w:w="505" w:type="pct"/>
                  <w:tcBorders>
                    <w:tl2br w:val="nil"/>
                    <w:tr2bl w:val="nil"/>
                  </w:tcBorders>
                  <w:noWrap w:val="0"/>
                  <w:vAlign w:val="center"/>
                </w:tcPr>
                <w:p w14:paraId="1397BC1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59.3</w:t>
                  </w:r>
                </w:p>
              </w:tc>
            </w:tr>
            <w:tr w14:paraId="2508B446">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noWrap w:val="0"/>
                  <w:vAlign w:val="center"/>
                </w:tcPr>
                <w:p w14:paraId="3BF2C01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15</w:t>
                  </w:r>
                </w:p>
              </w:tc>
              <w:tc>
                <w:tcPr>
                  <w:tcW w:w="568" w:type="pct"/>
                  <w:tcBorders>
                    <w:tl2br w:val="nil"/>
                    <w:tr2bl w:val="nil"/>
                  </w:tcBorders>
                  <w:noWrap w:val="0"/>
                  <w:vAlign w:val="center"/>
                </w:tcPr>
                <w:p w14:paraId="04CB714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20</w:t>
                  </w:r>
                </w:p>
              </w:tc>
              <w:tc>
                <w:tcPr>
                  <w:tcW w:w="474" w:type="pct"/>
                  <w:tcBorders>
                    <w:tl2br w:val="nil"/>
                    <w:tr2bl w:val="nil"/>
                  </w:tcBorders>
                  <w:noWrap w:val="0"/>
                  <w:vAlign w:val="center"/>
                </w:tcPr>
                <w:p w14:paraId="603667E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tcBorders>
                    <w:tl2br w:val="nil"/>
                    <w:tr2bl w:val="nil"/>
                  </w:tcBorders>
                  <w:noWrap w:val="0"/>
                  <w:vAlign w:val="center"/>
                </w:tcPr>
                <w:p w14:paraId="0D7CB22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1.2</w:t>
                  </w:r>
                </w:p>
              </w:tc>
              <w:tc>
                <w:tcPr>
                  <w:tcW w:w="480" w:type="pct"/>
                  <w:tcBorders>
                    <w:tl2br w:val="nil"/>
                    <w:tr2bl w:val="nil"/>
                  </w:tcBorders>
                  <w:noWrap w:val="0"/>
                  <w:vAlign w:val="center"/>
                </w:tcPr>
                <w:p w14:paraId="157FB38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w:t>
                  </w:r>
                </w:p>
              </w:tc>
              <w:tc>
                <w:tcPr>
                  <w:tcW w:w="480" w:type="pct"/>
                  <w:tcBorders>
                    <w:tl2br w:val="nil"/>
                    <w:tr2bl w:val="nil"/>
                  </w:tcBorders>
                  <w:noWrap w:val="0"/>
                  <w:vAlign w:val="center"/>
                </w:tcPr>
                <w:p w14:paraId="6FF9BC5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2.7</w:t>
                  </w:r>
                </w:p>
              </w:tc>
              <w:tc>
                <w:tcPr>
                  <w:tcW w:w="495" w:type="pct"/>
                  <w:tcBorders>
                    <w:tl2br w:val="nil"/>
                    <w:tr2bl w:val="nil"/>
                  </w:tcBorders>
                  <w:noWrap w:val="0"/>
                  <w:vAlign w:val="center"/>
                </w:tcPr>
                <w:p w14:paraId="4903360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8.2</w:t>
                  </w:r>
                </w:p>
              </w:tc>
              <w:tc>
                <w:tcPr>
                  <w:tcW w:w="495" w:type="pct"/>
                  <w:tcBorders>
                    <w:tl2br w:val="nil"/>
                    <w:tr2bl w:val="nil"/>
                  </w:tcBorders>
                  <w:noWrap w:val="0"/>
                  <w:vAlign w:val="center"/>
                </w:tcPr>
                <w:p w14:paraId="4183ADD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28.2</w:t>
                  </w:r>
                </w:p>
              </w:tc>
              <w:tc>
                <w:tcPr>
                  <w:tcW w:w="495" w:type="pct"/>
                  <w:tcBorders>
                    <w:tl2br w:val="nil"/>
                    <w:tr2bl w:val="nil"/>
                  </w:tcBorders>
                  <w:noWrap w:val="0"/>
                  <w:vAlign w:val="center"/>
                </w:tcPr>
                <w:p w14:paraId="3DD6C88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28.8</w:t>
                  </w:r>
                </w:p>
              </w:tc>
              <w:tc>
                <w:tcPr>
                  <w:tcW w:w="505" w:type="pct"/>
                  <w:tcBorders>
                    <w:tl2br w:val="nil"/>
                    <w:tr2bl w:val="nil"/>
                  </w:tcBorders>
                  <w:noWrap w:val="0"/>
                  <w:vAlign w:val="center"/>
                </w:tcPr>
                <w:p w14:paraId="21089AA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202.0</w:t>
                  </w:r>
                </w:p>
              </w:tc>
            </w:tr>
            <w:tr w14:paraId="0ECFAB59">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noWrap w:val="0"/>
                  <w:vAlign w:val="center"/>
                </w:tcPr>
                <w:p w14:paraId="0102C2C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15</w:t>
                  </w:r>
                </w:p>
              </w:tc>
              <w:tc>
                <w:tcPr>
                  <w:tcW w:w="568" w:type="pct"/>
                  <w:tcBorders>
                    <w:tl2br w:val="nil"/>
                    <w:tr2bl w:val="nil"/>
                  </w:tcBorders>
                  <w:noWrap w:val="0"/>
                  <w:vAlign w:val="center"/>
                </w:tcPr>
                <w:p w14:paraId="79EEF4F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50</w:t>
                  </w:r>
                </w:p>
              </w:tc>
              <w:tc>
                <w:tcPr>
                  <w:tcW w:w="474" w:type="pct"/>
                  <w:tcBorders>
                    <w:tl2br w:val="nil"/>
                    <w:tr2bl w:val="nil"/>
                  </w:tcBorders>
                  <w:noWrap w:val="0"/>
                  <w:vAlign w:val="center"/>
                </w:tcPr>
                <w:p w14:paraId="32E0150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tcBorders>
                    <w:tl2br w:val="nil"/>
                    <w:tr2bl w:val="nil"/>
                  </w:tcBorders>
                  <w:noWrap w:val="0"/>
                  <w:vAlign w:val="center"/>
                </w:tcPr>
                <w:p w14:paraId="7316461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0.5</w:t>
                  </w:r>
                </w:p>
              </w:tc>
              <w:tc>
                <w:tcPr>
                  <w:tcW w:w="480" w:type="pct"/>
                  <w:tcBorders>
                    <w:tl2br w:val="nil"/>
                    <w:tr2bl w:val="nil"/>
                  </w:tcBorders>
                  <w:noWrap w:val="0"/>
                  <w:vAlign w:val="center"/>
                </w:tcPr>
                <w:p w14:paraId="52EB04B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w:t>
                  </w:r>
                </w:p>
              </w:tc>
              <w:tc>
                <w:tcPr>
                  <w:tcW w:w="480" w:type="pct"/>
                  <w:tcBorders>
                    <w:tl2br w:val="nil"/>
                    <w:tr2bl w:val="nil"/>
                  </w:tcBorders>
                  <w:noWrap w:val="0"/>
                  <w:vAlign w:val="center"/>
                </w:tcPr>
                <w:p w14:paraId="570DC3A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2.2</w:t>
                  </w:r>
                </w:p>
              </w:tc>
              <w:tc>
                <w:tcPr>
                  <w:tcW w:w="495" w:type="pct"/>
                  <w:tcBorders>
                    <w:tl2br w:val="nil"/>
                    <w:tr2bl w:val="nil"/>
                  </w:tcBorders>
                  <w:noWrap w:val="0"/>
                  <w:vAlign w:val="center"/>
                </w:tcPr>
                <w:p w14:paraId="1510FFD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4.2</w:t>
                  </w:r>
                </w:p>
              </w:tc>
              <w:tc>
                <w:tcPr>
                  <w:tcW w:w="495" w:type="pct"/>
                  <w:tcBorders>
                    <w:tl2br w:val="nil"/>
                    <w:tr2bl w:val="nil"/>
                  </w:tcBorders>
                  <w:noWrap w:val="0"/>
                  <w:vAlign w:val="center"/>
                </w:tcPr>
                <w:p w14:paraId="245D54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10.8</w:t>
                  </w:r>
                </w:p>
              </w:tc>
              <w:tc>
                <w:tcPr>
                  <w:tcW w:w="495" w:type="pct"/>
                  <w:tcBorders>
                    <w:tl2br w:val="nil"/>
                    <w:tr2bl w:val="nil"/>
                  </w:tcBorders>
                  <w:noWrap w:val="0"/>
                  <w:vAlign w:val="center"/>
                </w:tcPr>
                <w:p w14:paraId="436392D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36.2</w:t>
                  </w:r>
                </w:p>
              </w:tc>
              <w:tc>
                <w:tcPr>
                  <w:tcW w:w="505" w:type="pct"/>
                  <w:tcBorders>
                    <w:tl2br w:val="nil"/>
                    <w:tr2bl w:val="nil"/>
                  </w:tcBorders>
                  <w:noWrap w:val="0"/>
                  <w:vAlign w:val="center"/>
                </w:tcPr>
                <w:p w14:paraId="086FD7F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129.0</w:t>
                  </w:r>
                </w:p>
              </w:tc>
            </w:tr>
            <w:tr w14:paraId="348CD788">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noWrap w:val="0"/>
                  <w:vAlign w:val="center"/>
                </w:tcPr>
                <w:p w14:paraId="58D233E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15</w:t>
                  </w:r>
                </w:p>
              </w:tc>
              <w:tc>
                <w:tcPr>
                  <w:tcW w:w="568" w:type="pct"/>
                  <w:tcBorders>
                    <w:tl2br w:val="nil"/>
                    <w:tr2bl w:val="nil"/>
                  </w:tcBorders>
                  <w:noWrap w:val="0"/>
                  <w:vAlign w:val="center"/>
                </w:tcPr>
                <w:p w14:paraId="1043C50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80</w:t>
                  </w:r>
                </w:p>
              </w:tc>
              <w:tc>
                <w:tcPr>
                  <w:tcW w:w="474" w:type="pct"/>
                  <w:tcBorders>
                    <w:tl2br w:val="nil"/>
                    <w:tr2bl w:val="nil"/>
                  </w:tcBorders>
                  <w:noWrap w:val="0"/>
                  <w:vAlign w:val="center"/>
                </w:tcPr>
                <w:p w14:paraId="67E5C95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tcBorders>
                    <w:tl2br w:val="nil"/>
                    <w:tr2bl w:val="nil"/>
                  </w:tcBorders>
                  <w:noWrap w:val="0"/>
                  <w:vAlign w:val="center"/>
                </w:tcPr>
                <w:p w14:paraId="56E84F4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tcBorders>
                    <w:tl2br w:val="nil"/>
                    <w:tr2bl w:val="nil"/>
                  </w:tcBorders>
                  <w:noWrap w:val="0"/>
                  <w:vAlign w:val="center"/>
                </w:tcPr>
                <w:p w14:paraId="4D71BF7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1.1</w:t>
                  </w:r>
                </w:p>
              </w:tc>
              <w:tc>
                <w:tcPr>
                  <w:tcW w:w="480" w:type="pct"/>
                  <w:tcBorders>
                    <w:tl2br w:val="nil"/>
                    <w:tr2bl w:val="nil"/>
                  </w:tcBorders>
                  <w:noWrap w:val="0"/>
                  <w:vAlign w:val="center"/>
                </w:tcPr>
                <w:p w14:paraId="4940DB6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2.4</w:t>
                  </w:r>
                </w:p>
              </w:tc>
              <w:tc>
                <w:tcPr>
                  <w:tcW w:w="495" w:type="pct"/>
                  <w:tcBorders>
                    <w:tl2br w:val="nil"/>
                    <w:tr2bl w:val="nil"/>
                  </w:tcBorders>
                  <w:noWrap w:val="0"/>
                  <w:vAlign w:val="center"/>
                </w:tcPr>
                <w:p w14:paraId="72E2AA0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4.1</w:t>
                  </w:r>
                </w:p>
              </w:tc>
              <w:tc>
                <w:tcPr>
                  <w:tcW w:w="495" w:type="pct"/>
                  <w:tcBorders>
                    <w:tl2br w:val="nil"/>
                    <w:tr2bl w:val="nil"/>
                  </w:tcBorders>
                  <w:noWrap w:val="0"/>
                  <w:vAlign w:val="center"/>
                </w:tcPr>
                <w:p w14:paraId="7F5345D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8.3</w:t>
                  </w:r>
                </w:p>
              </w:tc>
              <w:tc>
                <w:tcPr>
                  <w:tcW w:w="495" w:type="pct"/>
                  <w:tcBorders>
                    <w:tl2br w:val="nil"/>
                    <w:tr2bl w:val="nil"/>
                  </w:tcBorders>
                  <w:noWrap w:val="0"/>
                  <w:vAlign w:val="center"/>
                </w:tcPr>
                <w:p w14:paraId="42ADC03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23.7</w:t>
                  </w:r>
                </w:p>
              </w:tc>
              <w:tc>
                <w:tcPr>
                  <w:tcW w:w="505" w:type="pct"/>
                  <w:tcBorders>
                    <w:tl2br w:val="nil"/>
                    <w:tr2bl w:val="nil"/>
                  </w:tcBorders>
                  <w:noWrap w:val="0"/>
                  <w:vAlign w:val="center"/>
                </w:tcPr>
                <w:p w14:paraId="186CF42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82.8</w:t>
                  </w:r>
                </w:p>
              </w:tc>
            </w:tr>
          </w:tbl>
          <w:p w14:paraId="7603BE7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⑤屏障引起的衰减（Abar）</w:t>
            </w:r>
          </w:p>
          <w:p w14:paraId="33C1824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位于声源和预测点之间的实体障碍物，如围墙、建筑物、土坡或地堑等起声屏障作用，从而引起声能量的较大衰减。在环境影响评价中，可将各种形式的屏障简化为具有一定高度的薄屏障。</w:t>
            </w:r>
          </w:p>
          <w:p w14:paraId="1815DEA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如图</w:t>
            </w:r>
            <w:r>
              <w:rPr>
                <w:rFonts w:hint="eastAsia" w:ascii="Times New Roman" w:hAnsi="Times New Roman" w:eastAsia="宋体" w:cs="宋体"/>
                <w:color w:val="auto"/>
                <w:kern w:val="2"/>
                <w:sz w:val="24"/>
                <w:szCs w:val="24"/>
                <w:lang w:val="en-US" w:eastAsia="zh-CN" w:bidi="ar-SA"/>
              </w:rPr>
              <w:t>4</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-3所示，S、O、P三点在同一平面内且垂直于地面。</w:t>
            </w:r>
          </w:p>
          <w:p w14:paraId="28CC955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定义δ=SO＋OP－SP为声程差，N=2δ/λ为菲涅尔数，其中λ为声波波长。</w:t>
            </w:r>
          </w:p>
          <w:p w14:paraId="2019292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在噪声预测中，声屏障插入损失的计算方法应</w:t>
            </w:r>
            <w:r>
              <w:rPr>
                <w:rFonts w:hint="eastAsia" w:cs="宋体"/>
                <w:color w:val="auto"/>
                <w:kern w:val="2"/>
                <w:sz w:val="24"/>
                <w:szCs w:val="24"/>
                <w:lang w:val="en-US" w:eastAsia="zh-CN" w:bidi="ar-SA"/>
              </w:rPr>
              <w:t>要</w:t>
            </w:r>
            <w:r>
              <w:rPr>
                <w:rFonts w:hint="default" w:ascii="Times New Roman" w:hAnsi="Times New Roman" w:eastAsia="宋体" w:cs="宋体"/>
                <w:color w:val="auto"/>
                <w:kern w:val="2"/>
                <w:sz w:val="24"/>
                <w:szCs w:val="24"/>
                <w:lang w:val="en-US" w:eastAsia="zh-CN" w:bidi="ar-SA"/>
              </w:rPr>
              <w:t>根据实际情况</w:t>
            </w:r>
            <w:r>
              <w:rPr>
                <w:rFonts w:hint="eastAsia" w:cs="宋体"/>
                <w:color w:val="auto"/>
                <w:kern w:val="2"/>
                <w:sz w:val="24"/>
                <w:szCs w:val="24"/>
                <w:lang w:val="en-US" w:eastAsia="zh-CN" w:bidi="ar-SA"/>
              </w:rPr>
              <w:t>做</w:t>
            </w:r>
            <w:r>
              <w:rPr>
                <w:rFonts w:hint="default" w:ascii="Times New Roman" w:hAnsi="Times New Roman" w:eastAsia="宋体" w:cs="宋体"/>
                <w:color w:val="auto"/>
                <w:kern w:val="2"/>
                <w:sz w:val="24"/>
                <w:szCs w:val="24"/>
                <w:lang w:val="en-US" w:eastAsia="zh-CN" w:bidi="ar-SA"/>
              </w:rPr>
              <w:t>简化处理。</w:t>
            </w:r>
          </w:p>
          <w:p w14:paraId="0A4E3863">
            <w:pPr>
              <w:widowControl w:val="0"/>
              <w:bidi w:val="0"/>
              <w:spacing w:line="240" w:lineRule="auto"/>
              <w:ind w:firstLine="480" w:firstLineChars="200"/>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5041900" cy="3341370"/>
                  <wp:effectExtent l="0" t="0" r="6350" b="11430"/>
                  <wp:docPr id="14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7"/>
                          <pic:cNvPicPr>
                            <a:picLocks noChangeAspect="1"/>
                          </pic:cNvPicPr>
                        </pic:nvPicPr>
                        <pic:blipFill>
                          <a:blip r:embed="rId28"/>
                          <a:stretch>
                            <a:fillRect/>
                          </a:stretch>
                        </pic:blipFill>
                        <pic:spPr>
                          <a:xfrm>
                            <a:off x="0" y="0"/>
                            <a:ext cx="5041900" cy="3341370"/>
                          </a:xfrm>
                          <a:prstGeom prst="rect">
                            <a:avLst/>
                          </a:prstGeom>
                          <a:noFill/>
                          <a:ln>
                            <a:noFill/>
                          </a:ln>
                        </pic:spPr>
                      </pic:pic>
                    </a:graphicData>
                  </a:graphic>
                </wp:inline>
              </w:drawing>
            </w:r>
          </w:p>
          <w:p w14:paraId="25BD30CD">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-3126740</wp:posOffset>
                      </wp:positionH>
                      <wp:positionV relativeFrom="paragraph">
                        <wp:posOffset>238760</wp:posOffset>
                      </wp:positionV>
                      <wp:extent cx="0" cy="635"/>
                      <wp:effectExtent l="0" t="635" r="0" b="0"/>
                      <wp:wrapNone/>
                      <wp:docPr id="13" name="文本框 1964"/>
                      <wp:cNvGraphicFramePr/>
                      <a:graphic xmlns:a="http://schemas.openxmlformats.org/drawingml/2006/main">
                        <a:graphicData uri="http://schemas.microsoft.com/office/word/2010/wordprocessingShape">
                          <wps:wsp>
                            <wps:cNvSpPr txBox="1"/>
                            <wps:spPr>
                              <a:xfrm rot="-4020000">
                                <a:off x="0" y="0"/>
                                <a:ext cx="0" cy="635"/>
                              </a:xfrm>
                              <a:prstGeom prst="rect">
                                <a:avLst/>
                              </a:prstGeom>
                              <a:noFill/>
                              <a:ln>
                                <a:noFill/>
                              </a:ln>
                              <a:effectLst/>
                            </wps:spPr>
                            <wps:txbx>
                              <w:txbxContent>
                                <w:p w14:paraId="52964621">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铨</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wps:txbx>
                            <wps:bodyPr vert="horz" wrap="square" anchor="t" anchorCtr="0" upright="0"/>
                          </wps:wsp>
                        </a:graphicData>
                      </a:graphic>
                    </wp:anchor>
                  </w:drawing>
                </mc:Choice>
                <mc:Fallback>
                  <w:pict>
                    <v:shape id="文本框 1964" o:spid="_x0000_s1026" o:spt="202" type="#_x0000_t202" style="position:absolute;left:0pt;margin-left:-246.2pt;margin-top:18.8pt;height:0.05pt;width:0pt;rotation:-4390912f;z-index:251667456;mso-width-relative:page;mso-height-relative:page;" filled="f" stroked="f" coordsize="21600,21600" o:gfxdata="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Hek7e2AAAAAsBAAAPAAAAAAAAAAEAIAAA&#10;ACIAAABkcnMvZG93bnJldi54bWxQSwECFAAUAAAACACHTuJA5ivXwtMBAACZAwAADgAAAAAAAAAB&#10;ACAAAAAnAQAAZHJzL2Uyb0RvYy54bWxQSwUGAAAAAAYABgBZAQAAbAUAAAAA&#10;">
                      <v:fill on="f" focussize="0,0"/>
                      <v:stroke on="f"/>
                      <v:imagedata o:title=""/>
                      <o:lock v:ext="edit" aspectratio="f"/>
                      <v:textbox>
                        <w:txbxContent>
                          <w:p w14:paraId="52964621">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铨</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-3126740</wp:posOffset>
                      </wp:positionH>
                      <wp:positionV relativeFrom="paragraph">
                        <wp:posOffset>238760</wp:posOffset>
                      </wp:positionV>
                      <wp:extent cx="0" cy="635"/>
                      <wp:effectExtent l="0" t="635" r="0" b="0"/>
                      <wp:wrapNone/>
                      <wp:docPr id="12" name="文本框 1964"/>
                      <wp:cNvGraphicFramePr/>
                      <a:graphic xmlns:a="http://schemas.openxmlformats.org/drawingml/2006/main">
                        <a:graphicData uri="http://schemas.microsoft.com/office/word/2010/wordprocessingShape">
                          <wps:wsp>
                            <wps:cNvSpPr txBox="1"/>
                            <wps:spPr>
                              <a:xfrm rot="-4080000">
                                <a:off x="0" y="0"/>
                                <a:ext cx="0" cy="635"/>
                              </a:xfrm>
                              <a:prstGeom prst="rect">
                                <a:avLst/>
                              </a:prstGeom>
                              <a:noFill/>
                              <a:ln>
                                <a:noFill/>
                              </a:ln>
                              <a:effectLst/>
                            </wps:spPr>
                            <wps:txbx>
                              <w:txbxContent>
                                <w:p w14:paraId="3BEAC974">
                                  <w:pPr>
                                    <w:ind w:left="0" w:leftChars="0" w:firstLine="0" w:firstLineChars="0"/>
                                    <w:rPr>
                                      <w:rFonts w:hint="eastAsia" w:ascii="Times New Roman" w:hAnsi="Times New Roman" w:eastAsia="宋体" w:cs="Times New Roman"/>
                                      <w:b/>
                                      <w:bCs/>
                                      <w:color w:val="000000"/>
                                      <w:highlight w:val="yellow"/>
                                      <w:lang w:eastAsia="zh-CN"/>
                                    </w:rPr>
                                  </w:pPr>
                                  <w:r>
                                    <w:rPr>
                                      <w:rFonts w:hint="eastAsia" w:ascii="Times New Roman" w:hAnsi="Times New Roman" w:eastAsia="宋体" w:cs="Times New Roman"/>
                                      <w:b/>
                                      <w:bCs/>
                                      <w:color w:val="000000"/>
                                      <w:highlight w:val="yellow"/>
                                      <w:lang w:eastAsia="zh-CN"/>
                                    </w:rPr>
                                    <w:t>佳宁化妆品有限公司</w:t>
                                  </w:r>
                                </w:p>
                              </w:txbxContent>
                            </wps:txbx>
                            <wps:bodyPr vert="horz" wrap="square" anchor="t" anchorCtr="0" upright="0"/>
                          </wps:wsp>
                        </a:graphicData>
                      </a:graphic>
                    </wp:anchor>
                  </w:drawing>
                </mc:Choice>
                <mc:Fallback>
                  <w:pict>
                    <v:shape id="文本框 1964" o:spid="_x0000_s1026" o:spt="202" type="#_x0000_t202" style="position:absolute;left:0pt;margin-left:-246.2pt;margin-top:18.8pt;height:0.05pt;width:0pt;rotation:-4456448f;z-index:251666432;mso-width-relative:page;mso-height-relative:page;" filled="f" stroked="f" coordsize="21600,21600" o:gfxdata="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BpWiHXAAAACwEAAA8AAAAAAAAAAQAgAAAA&#10;IgAAAGRycy9kb3ducmV2LnhtbFBLAQIUABQAAAAIAIdO4kAbb86d0wEAAJkDAAAOAAAAAAAAAAEA&#10;IAAAACYBAABkcnMvZTJvRG9jLnhtbFBLBQYAAAAABgAGAFkBAABrBQAAAAA=&#10;">
                      <v:fill on="f" focussize="0,0"/>
                      <v:stroke on="f"/>
                      <v:imagedata o:title=""/>
                      <o:lock v:ext="edit" aspectratio="f"/>
                      <v:textbox>
                        <w:txbxContent>
                          <w:p w14:paraId="3BEAC974">
                            <w:pPr>
                              <w:ind w:left="0" w:leftChars="0" w:firstLine="0" w:firstLineChars="0"/>
                              <w:rPr>
                                <w:rFonts w:hint="eastAsia" w:ascii="Times New Roman" w:hAnsi="Times New Roman" w:eastAsia="宋体" w:cs="Times New Roman"/>
                                <w:b/>
                                <w:bCs/>
                                <w:color w:val="000000"/>
                                <w:highlight w:val="yellow"/>
                                <w:lang w:eastAsia="zh-CN"/>
                              </w:rPr>
                            </w:pPr>
                            <w:r>
                              <w:rPr>
                                <w:rFonts w:hint="eastAsia" w:ascii="Times New Roman" w:hAnsi="Times New Roman" w:eastAsia="宋体" w:cs="Times New Roman"/>
                                <w:b/>
                                <w:bCs/>
                                <w:color w:val="000000"/>
                                <w:highlight w:val="yellow"/>
                                <w:lang w:eastAsia="zh-CN"/>
                              </w:rPr>
                              <w:t>佳宁化妆品有限公司</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-3126740</wp:posOffset>
                      </wp:positionH>
                      <wp:positionV relativeFrom="paragraph">
                        <wp:posOffset>239395</wp:posOffset>
                      </wp:positionV>
                      <wp:extent cx="635" cy="0"/>
                      <wp:effectExtent l="0" t="0" r="0" b="0"/>
                      <wp:wrapNone/>
                      <wp:docPr id="11" name="文本框 1972"/>
                      <wp:cNvGraphicFramePr/>
                      <a:graphic xmlns:a="http://schemas.openxmlformats.org/drawingml/2006/main">
                        <a:graphicData uri="http://schemas.microsoft.com/office/word/2010/wordprocessingShape">
                          <wps:wsp>
                            <wps:cNvSpPr txBox="1"/>
                            <wps:spPr>
                              <a:xfrm>
                                <a:off x="0" y="0"/>
                                <a:ext cx="635" cy="0"/>
                              </a:xfrm>
                              <a:prstGeom prst="rect">
                                <a:avLst/>
                              </a:prstGeom>
                              <a:noFill/>
                              <a:ln>
                                <a:noFill/>
                              </a:ln>
                              <a:effectLst/>
                            </wps:spPr>
                            <wps:txbx>
                              <w:txbxContent>
                                <w:p w14:paraId="4F613CBE">
                                  <w:pPr>
                                    <w:ind w:left="0" w:leftChars="0" w:firstLine="0" w:firstLineChars="0"/>
                                    <w:rPr>
                                      <w:rFonts w:hint="eastAsia" w:ascii="Times New Roman" w:hAnsi="Times New Roman" w:eastAsia="宋体" w:cs="Times New Roman"/>
                                      <w:b/>
                                      <w:bCs/>
                                      <w:color w:val="00FAFA"/>
                                      <w:highlight w:val="none"/>
                                      <w:lang w:eastAsia="zh-CN"/>
                                    </w:rPr>
                                  </w:pPr>
                                  <w:r>
                                    <w:rPr>
                                      <w:rFonts w:hint="eastAsia" w:ascii="Times New Roman" w:hAnsi="Times New Roman" w:eastAsia="宋体" w:cs="Times New Roman"/>
                                      <w:b/>
                                      <w:bCs/>
                                      <w:color w:val="00FAFA"/>
                                      <w:highlight w:val="none"/>
                                      <w:lang w:eastAsia="zh-CN"/>
                                    </w:rPr>
                                    <w:t>大</w:t>
                                  </w:r>
                                </w:p>
                              </w:txbxContent>
                            </wps:txbx>
                            <wps:bodyPr vert="horz" wrap="square" anchor="t" anchorCtr="0" upright="1"/>
                          </wps:wsp>
                        </a:graphicData>
                      </a:graphic>
                    </wp:anchor>
                  </w:drawing>
                </mc:Choice>
                <mc:Fallback>
                  <w:pict>
                    <v:shape id="文本框 1972" o:spid="_x0000_s1026" o:spt="202" type="#_x0000_t202" style="position:absolute;left:0pt;margin-left:-246.2pt;margin-top:18.85pt;height:0pt;width:0.05pt;z-index:251665408;mso-width-relative:page;mso-height-relative:page;" filled="f" stroked="f" coordsize="21600,21600" o:gfxdata="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p9YEX1gAAAAsBAAAPAAAAAAAAAAEAIAAAACIAAABkcnMvZG93&#10;bnJldi54bWxQSwECFAAUAAAACACHTuJAnHCwhMkBAACKAwAADgAAAAAAAAABACAAAAAlAQAAZHJz&#10;L2Uyb0RvYy54bWxQSwUGAAAAAAYABgBZAQAAYAUAAAAA&#10;">
                      <v:fill on="f" focussize="0,0"/>
                      <v:stroke on="f"/>
                      <v:imagedata o:title=""/>
                      <o:lock v:ext="edit" aspectratio="f"/>
                      <v:textbox>
                        <w:txbxContent>
                          <w:p w14:paraId="4F613CBE">
                            <w:pPr>
                              <w:ind w:left="0" w:leftChars="0" w:firstLine="0" w:firstLineChars="0"/>
                              <w:rPr>
                                <w:rFonts w:hint="eastAsia" w:ascii="Times New Roman" w:hAnsi="Times New Roman" w:eastAsia="宋体" w:cs="Times New Roman"/>
                                <w:b/>
                                <w:bCs/>
                                <w:color w:val="00FAFA"/>
                                <w:highlight w:val="none"/>
                                <w:lang w:eastAsia="zh-CN"/>
                              </w:rPr>
                            </w:pPr>
                            <w:r>
                              <w:rPr>
                                <w:rFonts w:hint="eastAsia" w:ascii="Times New Roman" w:hAnsi="Times New Roman" w:eastAsia="宋体" w:cs="Times New Roman"/>
                                <w:b/>
                                <w:bCs/>
                                <w:color w:val="00FAFA"/>
                                <w:highlight w:val="none"/>
                                <w:lang w:eastAsia="zh-CN"/>
                              </w:rPr>
                              <w:t>大</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-3126740</wp:posOffset>
                      </wp:positionH>
                      <wp:positionV relativeFrom="paragraph">
                        <wp:posOffset>239395</wp:posOffset>
                      </wp:positionV>
                      <wp:extent cx="635" cy="0"/>
                      <wp:effectExtent l="0" t="0" r="0" b="635"/>
                      <wp:wrapNone/>
                      <wp:docPr id="10" name="文本框 1964"/>
                      <wp:cNvGraphicFramePr/>
                      <a:graphic xmlns:a="http://schemas.openxmlformats.org/drawingml/2006/main">
                        <a:graphicData uri="http://schemas.microsoft.com/office/word/2010/wordprocessingShape">
                          <wps:wsp>
                            <wps:cNvSpPr txBox="1"/>
                            <wps:spPr>
                              <a:xfrm rot="1740000">
                                <a:off x="0" y="0"/>
                                <a:ext cx="635" cy="0"/>
                              </a:xfrm>
                              <a:prstGeom prst="rect">
                                <a:avLst/>
                              </a:prstGeom>
                              <a:noFill/>
                              <a:ln>
                                <a:noFill/>
                              </a:ln>
                              <a:effectLst/>
                            </wps:spPr>
                            <wps:txbx>
                              <w:txbxContent>
                                <w:p w14:paraId="14B36682">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宽</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三</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wps:txbx>
                            <wps:bodyPr vert="horz" wrap="square" anchor="t" anchorCtr="0" upright="0"/>
                          </wps:wsp>
                        </a:graphicData>
                      </a:graphic>
                    </wp:anchor>
                  </w:drawing>
                </mc:Choice>
                <mc:Fallback>
                  <w:pict>
                    <v:shape id="文本框 1964" o:spid="_x0000_s1026" o:spt="202" type="#_x0000_t202" style="position:absolute;left:0pt;margin-left:-246.2pt;margin-top:18.85pt;height:0pt;width:0.05pt;rotation:1900544f;z-index:251664384;mso-width-relative:page;mso-height-relative:page;" filled="f" stroked="f" coordsize="21600,21600" o:gfxdata="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YoKpLaAAAACwEAAA8AAAAAAAAAAQAg&#10;AAAAIgAAAGRycy9kb3ducmV2LnhtbFBLAQIUABQAAAAIAIdO4kDqmw+E0wEAAJgDAAAOAAAAAAAA&#10;AAEAIAAAACkBAABkcnMvZTJvRG9jLnhtbFBLBQYAAAAABgAGAFkBAABuBQAAAAA=&#10;">
                      <v:fill on="f" focussize="0,0"/>
                      <v:stroke on="f"/>
                      <v:imagedata o:title=""/>
                      <o:lock v:ext="edit" aspectratio="f"/>
                      <v:textbox>
                        <w:txbxContent>
                          <w:p w14:paraId="14B36682">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宽</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三</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w:t>图</w:t>
            </w:r>
            <w:r>
              <w:rPr>
                <w:rFonts w:hint="eastAsia" w:ascii="Times New Roman" w:hAnsi="Times New Roman" w:eastAsia="宋体" w:cs="Times New Roman"/>
                <w:b/>
                <w:color w:val="auto"/>
                <w:kern w:val="0"/>
                <w:sz w:val="24"/>
                <w:szCs w:val="20"/>
                <w:lang w:val="en-US" w:eastAsia="zh-CN" w:bidi="ar-SA"/>
              </w:rPr>
              <w:t>4.3</w:t>
            </w:r>
            <w:r>
              <w:rPr>
                <w:rFonts w:hint="default" w:ascii="Times New Roman" w:hAnsi="Times New Roman" w:eastAsia="宋体" w:cs="Times New Roman"/>
                <w:b/>
                <w:color w:val="auto"/>
                <w:kern w:val="0"/>
                <w:sz w:val="24"/>
                <w:szCs w:val="20"/>
                <w:lang w:val="en-US" w:eastAsia="zh-CN" w:bidi="ar-SA"/>
              </w:rPr>
              <w:t>-3</w:t>
            </w:r>
            <w:r>
              <w:rPr>
                <w:rFonts w:hint="eastAsia" w:cs="Times New Roman"/>
                <w:b/>
                <w:color w:val="auto"/>
                <w:kern w:val="0"/>
                <w:sz w:val="24"/>
                <w:szCs w:val="20"/>
                <w:lang w:val="en-US" w:eastAsia="zh-CN" w:bidi="ar-SA"/>
              </w:rPr>
              <w:t xml:space="preserve">  </w:t>
            </w:r>
            <w:r>
              <w:rPr>
                <w:rFonts w:hint="default" w:ascii="Times New Roman" w:hAnsi="Times New Roman" w:eastAsia="宋体" w:cs="Times New Roman"/>
                <w:b/>
                <w:color w:val="auto"/>
                <w:kern w:val="0"/>
                <w:sz w:val="24"/>
                <w:szCs w:val="20"/>
                <w:lang w:val="en-US" w:eastAsia="zh-CN" w:bidi="ar-SA"/>
              </w:rPr>
              <w:t>无限长声屏障示意图</w:t>
            </w:r>
          </w:p>
          <w:p w14:paraId="36CA43B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◆参数的选择：参数选取项目所在区域的年平均温度为25℃，湿度为70%。计算过程考虑了建筑物的屏障作用和室内源向室外的传播。</w:t>
            </w:r>
          </w:p>
          <w:p w14:paraId="194A23C1">
            <w:pPr>
              <w:pStyle w:val="4"/>
              <w:bidi w:val="0"/>
              <w:ind w:firstLine="482" w:firstLineChars="200"/>
              <w:rPr>
                <w:rFonts w:hint="eastAsia" w:ascii="Times New Roman" w:hAnsi="Times New Roman"/>
                <w:color w:val="auto"/>
                <w:lang w:val="en-US" w:eastAsia="zh-CN"/>
              </w:rPr>
            </w:pPr>
            <w:bookmarkStart w:id="99" w:name="_Toc21066"/>
            <w:r>
              <w:rPr>
                <w:rFonts w:hint="eastAsia" w:ascii="Times New Roman" w:hAnsi="Times New Roman"/>
                <w:color w:val="auto"/>
                <w:lang w:val="en-US" w:eastAsia="zh-CN"/>
              </w:rPr>
              <w:t>4.3.3声环境预测结果分析</w:t>
            </w:r>
            <w:bookmarkEnd w:id="99"/>
          </w:p>
          <w:p w14:paraId="6222AA72">
            <w:pPr>
              <w:pStyle w:val="27"/>
              <w:bidi w:val="0"/>
              <w:ind w:firstLine="482" w:firstLineChars="200"/>
              <w:rPr>
                <w:rFonts w:hint="default" w:ascii="Times New Roman" w:hAnsi="Times New Roman"/>
                <w:color w:val="auto"/>
                <w:lang w:val="en-US" w:eastAsia="zh-CN"/>
              </w:rPr>
            </w:pPr>
            <w:r>
              <w:rPr>
                <w:rFonts w:hint="eastAsia" w:ascii="Times New Roman" w:hAnsi="Times New Roman"/>
                <w:color w:val="auto"/>
                <w:lang w:val="en-US" w:eastAsia="zh-CN"/>
              </w:rPr>
              <w:t>表4.3-</w:t>
            </w:r>
            <w:r>
              <w:rPr>
                <w:rFonts w:hint="eastAsia"/>
                <w:color w:val="auto"/>
                <w:lang w:val="en-US" w:eastAsia="zh-CN"/>
              </w:rPr>
              <w:t xml:space="preserve">5  </w:t>
            </w:r>
            <w:r>
              <w:rPr>
                <w:rFonts w:hint="eastAsia" w:ascii="Times New Roman" w:hAnsi="Times New Roman"/>
                <w:color w:val="auto"/>
                <w:lang w:val="en-US" w:eastAsia="zh-CN"/>
              </w:rPr>
              <w:t>厂界噪声</w:t>
            </w:r>
            <w:r>
              <w:rPr>
                <w:rFonts w:hint="eastAsia"/>
                <w:color w:val="auto"/>
                <w:lang w:val="en-US" w:eastAsia="zh-CN"/>
              </w:rPr>
              <w:t>预测</w:t>
            </w:r>
            <w:r>
              <w:rPr>
                <w:rFonts w:hint="eastAsia" w:ascii="Times New Roman" w:hAnsi="Times New Roman"/>
                <w:color w:val="auto"/>
                <w:lang w:val="en-US" w:eastAsia="zh-CN"/>
              </w:rPr>
              <w:t>值结果</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72"/>
              <w:gridCol w:w="1350"/>
              <w:gridCol w:w="847"/>
              <w:gridCol w:w="1620"/>
              <w:gridCol w:w="1693"/>
              <w:gridCol w:w="2384"/>
            </w:tblGrid>
            <w:tr w14:paraId="4936B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18" w:hRule="atLeast"/>
              </w:trPr>
              <w:tc>
                <w:tcPr>
                  <w:tcW w:w="338" w:type="pct"/>
                  <w:vMerge w:val="restart"/>
                  <w:noWrap w:val="0"/>
                  <w:tcMar>
                    <w:left w:w="28" w:type="dxa"/>
                    <w:right w:w="28" w:type="dxa"/>
                  </w:tcMar>
                  <w:vAlign w:val="center"/>
                </w:tcPr>
                <w:p w14:paraId="5ADF9093">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序号</w:t>
                  </w:r>
                </w:p>
              </w:tc>
              <w:tc>
                <w:tcPr>
                  <w:tcW w:w="797" w:type="pct"/>
                  <w:vMerge w:val="restart"/>
                  <w:noWrap w:val="0"/>
                  <w:vAlign w:val="center"/>
                </w:tcPr>
                <w:p w14:paraId="4AAC3B5F">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监测点</w:t>
                  </w:r>
                </w:p>
              </w:tc>
              <w:tc>
                <w:tcPr>
                  <w:tcW w:w="500" w:type="pct"/>
                  <w:vMerge w:val="restart"/>
                  <w:noWrap w:val="0"/>
                  <w:vAlign w:val="center"/>
                </w:tcPr>
                <w:p w14:paraId="4625D1A1">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厂界</w:t>
                  </w:r>
                </w:p>
                <w:p w14:paraId="5766429F">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距离</w:t>
                  </w:r>
                </w:p>
              </w:tc>
              <w:tc>
                <w:tcPr>
                  <w:tcW w:w="956" w:type="pct"/>
                  <w:tcBorders>
                    <w:bottom w:val="single" w:color="auto" w:sz="4" w:space="0"/>
                  </w:tcBorders>
                  <w:noWrap w:val="0"/>
                  <w:vAlign w:val="center"/>
                </w:tcPr>
                <w:p w14:paraId="44257125">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标准限值</w:t>
                  </w:r>
                  <w:r>
                    <w:rPr>
                      <w:rFonts w:hint="eastAsia" w:ascii="Times New Roman" w:hAnsi="Times New Roman" w:eastAsia="宋体" w:cs="Times New Roman"/>
                      <w:b/>
                      <w:bCs/>
                      <w:color w:val="auto"/>
                      <w:kern w:val="0"/>
                      <w:sz w:val="21"/>
                      <w:szCs w:val="20"/>
                      <w:lang w:val="en-US" w:eastAsia="zh-CN" w:bidi="ar-SA"/>
                    </w:rPr>
                    <w:t>dB(A)</w:t>
                  </w:r>
                </w:p>
              </w:tc>
              <w:tc>
                <w:tcPr>
                  <w:tcW w:w="999" w:type="pct"/>
                  <w:tcBorders>
                    <w:bottom w:val="single" w:color="auto" w:sz="4" w:space="0"/>
                  </w:tcBorders>
                  <w:noWrap w:val="0"/>
                  <w:vAlign w:val="center"/>
                </w:tcPr>
                <w:p w14:paraId="366BB825">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预测</w:t>
                  </w:r>
                  <w:r>
                    <w:rPr>
                      <w:rFonts w:ascii="Times New Roman" w:hAnsi="Times New Roman" w:eastAsia="宋体" w:cs="Times New Roman"/>
                      <w:b/>
                      <w:bCs/>
                      <w:color w:val="auto"/>
                      <w:kern w:val="0"/>
                      <w:sz w:val="21"/>
                      <w:szCs w:val="20"/>
                      <w:lang w:val="en-US" w:eastAsia="zh-CN" w:bidi="ar-SA"/>
                    </w:rPr>
                    <w:t>值</w:t>
                  </w:r>
                  <w:r>
                    <w:rPr>
                      <w:rFonts w:hint="eastAsia" w:ascii="Times New Roman" w:hAnsi="Times New Roman" w:eastAsia="宋体" w:cs="Times New Roman"/>
                      <w:b/>
                      <w:bCs/>
                      <w:color w:val="auto"/>
                      <w:kern w:val="0"/>
                      <w:sz w:val="21"/>
                      <w:szCs w:val="20"/>
                      <w:lang w:val="en-US" w:eastAsia="zh-CN" w:bidi="ar-SA"/>
                    </w:rPr>
                    <w:t>dB（A）</w:t>
                  </w:r>
                </w:p>
              </w:tc>
              <w:tc>
                <w:tcPr>
                  <w:tcW w:w="1407" w:type="pct"/>
                  <w:tcBorders>
                    <w:bottom w:val="single" w:color="auto" w:sz="4" w:space="0"/>
                  </w:tcBorders>
                  <w:noWrap w:val="0"/>
                  <w:vAlign w:val="center"/>
                </w:tcPr>
                <w:p w14:paraId="7B23C674">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超标</w:t>
                  </w:r>
                  <w:r>
                    <w:rPr>
                      <w:rFonts w:hint="eastAsia" w:ascii="Times New Roman" w:hAnsi="Times New Roman" w:eastAsia="宋体" w:cs="Times New Roman"/>
                      <w:b/>
                      <w:bCs/>
                      <w:color w:val="auto"/>
                      <w:kern w:val="0"/>
                      <w:sz w:val="21"/>
                      <w:szCs w:val="20"/>
                      <w:lang w:val="en-US" w:eastAsia="zh-CN" w:bidi="ar-SA"/>
                    </w:rPr>
                    <w:t>/</w:t>
                  </w:r>
                  <w:r>
                    <w:rPr>
                      <w:rFonts w:ascii="Times New Roman" w:hAnsi="Times New Roman" w:eastAsia="宋体" w:cs="Times New Roman"/>
                      <w:b/>
                      <w:bCs/>
                      <w:color w:val="auto"/>
                      <w:kern w:val="0"/>
                      <w:sz w:val="21"/>
                      <w:szCs w:val="20"/>
                      <w:lang w:val="en-US" w:eastAsia="zh-CN" w:bidi="ar-SA"/>
                    </w:rPr>
                    <w:t>达标情况</w:t>
                  </w:r>
                </w:p>
              </w:tc>
            </w:tr>
            <w:tr w14:paraId="778513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4" w:hRule="atLeast"/>
              </w:trPr>
              <w:tc>
                <w:tcPr>
                  <w:tcW w:w="338" w:type="pct"/>
                  <w:vMerge w:val="continue"/>
                  <w:noWrap w:val="0"/>
                  <w:tcMar>
                    <w:left w:w="28" w:type="dxa"/>
                    <w:right w:w="28" w:type="dxa"/>
                  </w:tcMar>
                  <w:vAlign w:val="center"/>
                </w:tcPr>
                <w:p w14:paraId="471EA05C">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797" w:type="pct"/>
                  <w:vMerge w:val="continue"/>
                  <w:noWrap w:val="0"/>
                  <w:vAlign w:val="center"/>
                </w:tcPr>
                <w:p w14:paraId="4C5E4F58">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500" w:type="pct"/>
                  <w:vMerge w:val="continue"/>
                  <w:noWrap w:val="0"/>
                  <w:vAlign w:val="center"/>
                </w:tcPr>
                <w:p w14:paraId="616D6BA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956" w:type="pct"/>
                  <w:tcBorders>
                    <w:top w:val="single" w:color="auto" w:sz="4" w:space="0"/>
                  </w:tcBorders>
                  <w:noWrap w:val="0"/>
                  <w:vAlign w:val="center"/>
                </w:tcPr>
                <w:p w14:paraId="4E76CEE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昼间</w:t>
                  </w:r>
                </w:p>
              </w:tc>
              <w:tc>
                <w:tcPr>
                  <w:tcW w:w="999" w:type="pct"/>
                  <w:tcBorders>
                    <w:top w:val="single" w:color="auto" w:sz="4" w:space="0"/>
                  </w:tcBorders>
                  <w:noWrap w:val="0"/>
                  <w:vAlign w:val="center"/>
                </w:tcPr>
                <w:p w14:paraId="320EA14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昼间</w:t>
                  </w:r>
                </w:p>
              </w:tc>
              <w:tc>
                <w:tcPr>
                  <w:tcW w:w="1407" w:type="pct"/>
                  <w:tcBorders>
                    <w:top w:val="single" w:color="auto" w:sz="4" w:space="0"/>
                  </w:tcBorders>
                  <w:noWrap w:val="0"/>
                  <w:vAlign w:val="center"/>
                </w:tcPr>
                <w:p w14:paraId="5FA30D6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昼间</w:t>
                  </w:r>
                </w:p>
              </w:tc>
            </w:tr>
            <w:tr w14:paraId="32405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338" w:type="pct"/>
                  <w:noWrap w:val="0"/>
                  <w:tcMar>
                    <w:left w:w="28" w:type="dxa"/>
                    <w:right w:w="28" w:type="dxa"/>
                  </w:tcMar>
                  <w:vAlign w:val="center"/>
                </w:tcPr>
                <w:p w14:paraId="5E04F806">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1</w:t>
                  </w:r>
                </w:p>
              </w:tc>
              <w:tc>
                <w:tcPr>
                  <w:tcW w:w="797" w:type="pct"/>
                  <w:noWrap w:val="0"/>
                  <w:vAlign w:val="center"/>
                </w:tcPr>
                <w:p w14:paraId="7906316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北侧厂界</w:t>
                  </w:r>
                </w:p>
              </w:tc>
              <w:tc>
                <w:tcPr>
                  <w:tcW w:w="500" w:type="pct"/>
                  <w:noWrap w:val="0"/>
                  <w:vAlign w:val="center"/>
                </w:tcPr>
                <w:p w14:paraId="70BBE2CF">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6" w:type="pct"/>
                  <w:noWrap w:val="0"/>
                  <w:vAlign w:val="center"/>
                </w:tcPr>
                <w:p w14:paraId="69F316C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65</w:t>
                  </w:r>
                </w:p>
              </w:tc>
              <w:tc>
                <w:tcPr>
                  <w:tcW w:w="999" w:type="pct"/>
                  <w:noWrap w:val="0"/>
                  <w:vAlign w:val="center"/>
                </w:tcPr>
                <w:p w14:paraId="25A136C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56.6</w:t>
                  </w:r>
                </w:p>
              </w:tc>
              <w:tc>
                <w:tcPr>
                  <w:tcW w:w="1407" w:type="pct"/>
                  <w:noWrap w:val="0"/>
                  <w:vAlign w:val="center"/>
                </w:tcPr>
                <w:p w14:paraId="67F4CA3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r w14:paraId="04233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338" w:type="pct"/>
                  <w:noWrap w:val="0"/>
                  <w:tcMar>
                    <w:left w:w="28" w:type="dxa"/>
                    <w:right w:w="28" w:type="dxa"/>
                  </w:tcMar>
                  <w:vAlign w:val="center"/>
                </w:tcPr>
                <w:p w14:paraId="7DF9A19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2</w:t>
                  </w:r>
                </w:p>
              </w:tc>
              <w:tc>
                <w:tcPr>
                  <w:tcW w:w="797" w:type="pct"/>
                  <w:noWrap w:val="0"/>
                  <w:vAlign w:val="center"/>
                </w:tcPr>
                <w:p w14:paraId="161DC4D8">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东侧厂界</w:t>
                  </w:r>
                </w:p>
              </w:tc>
              <w:tc>
                <w:tcPr>
                  <w:tcW w:w="500" w:type="pct"/>
                  <w:noWrap w:val="0"/>
                  <w:vAlign w:val="center"/>
                </w:tcPr>
                <w:p w14:paraId="56898E4F">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6" w:type="pct"/>
                  <w:noWrap w:val="0"/>
                  <w:vAlign w:val="center"/>
                </w:tcPr>
                <w:p w14:paraId="21095D9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65</w:t>
                  </w:r>
                </w:p>
              </w:tc>
              <w:tc>
                <w:tcPr>
                  <w:tcW w:w="999" w:type="pct"/>
                  <w:noWrap w:val="0"/>
                  <w:vAlign w:val="center"/>
                </w:tcPr>
                <w:p w14:paraId="07A1EE0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58.2</w:t>
                  </w:r>
                </w:p>
              </w:tc>
              <w:tc>
                <w:tcPr>
                  <w:tcW w:w="1407" w:type="pct"/>
                  <w:noWrap w:val="0"/>
                  <w:vAlign w:val="center"/>
                </w:tcPr>
                <w:p w14:paraId="4D05A146">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r w14:paraId="764B93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338" w:type="pct"/>
                  <w:noWrap w:val="0"/>
                  <w:tcMar>
                    <w:left w:w="28" w:type="dxa"/>
                    <w:right w:w="28" w:type="dxa"/>
                  </w:tcMar>
                  <w:vAlign w:val="center"/>
                </w:tcPr>
                <w:p w14:paraId="2241B6E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w:t>
                  </w:r>
                </w:p>
              </w:tc>
              <w:tc>
                <w:tcPr>
                  <w:tcW w:w="797" w:type="pct"/>
                  <w:noWrap w:val="0"/>
                  <w:vAlign w:val="center"/>
                </w:tcPr>
                <w:p w14:paraId="719EA9FB">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南侧厂界</w:t>
                  </w:r>
                </w:p>
              </w:tc>
              <w:tc>
                <w:tcPr>
                  <w:tcW w:w="500" w:type="pct"/>
                  <w:noWrap w:val="0"/>
                  <w:vAlign w:val="center"/>
                </w:tcPr>
                <w:p w14:paraId="50C2283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6" w:type="pct"/>
                  <w:noWrap w:val="0"/>
                  <w:vAlign w:val="center"/>
                </w:tcPr>
                <w:p w14:paraId="449647E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65</w:t>
                  </w:r>
                </w:p>
              </w:tc>
              <w:tc>
                <w:tcPr>
                  <w:tcW w:w="999" w:type="pct"/>
                  <w:noWrap w:val="0"/>
                  <w:vAlign w:val="center"/>
                </w:tcPr>
                <w:p w14:paraId="5D7EEDF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59.1</w:t>
                  </w:r>
                </w:p>
              </w:tc>
              <w:tc>
                <w:tcPr>
                  <w:tcW w:w="1407" w:type="pct"/>
                  <w:noWrap w:val="0"/>
                  <w:vAlign w:val="center"/>
                </w:tcPr>
                <w:p w14:paraId="708F816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r w14:paraId="2EDDBD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665" w:hRule="atLeast"/>
              </w:trPr>
              <w:tc>
                <w:tcPr>
                  <w:tcW w:w="338" w:type="pct"/>
                  <w:noWrap w:val="0"/>
                  <w:tcMar>
                    <w:left w:w="28" w:type="dxa"/>
                    <w:right w:w="28" w:type="dxa"/>
                  </w:tcMar>
                  <w:vAlign w:val="center"/>
                </w:tcPr>
                <w:p w14:paraId="2994B456">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w:t>
                  </w:r>
                </w:p>
              </w:tc>
              <w:tc>
                <w:tcPr>
                  <w:tcW w:w="797" w:type="pct"/>
                  <w:noWrap w:val="0"/>
                  <w:vAlign w:val="center"/>
                </w:tcPr>
                <w:p w14:paraId="42F8B63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西侧厂界</w:t>
                  </w:r>
                </w:p>
              </w:tc>
              <w:tc>
                <w:tcPr>
                  <w:tcW w:w="500" w:type="pct"/>
                  <w:noWrap w:val="0"/>
                  <w:vAlign w:val="center"/>
                </w:tcPr>
                <w:p w14:paraId="67A2209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6" w:type="pct"/>
                  <w:noWrap w:val="0"/>
                  <w:vAlign w:val="center"/>
                </w:tcPr>
                <w:p w14:paraId="2F329E8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65</w:t>
                  </w:r>
                </w:p>
              </w:tc>
              <w:tc>
                <w:tcPr>
                  <w:tcW w:w="999" w:type="pct"/>
                  <w:noWrap w:val="0"/>
                  <w:vAlign w:val="center"/>
                </w:tcPr>
                <w:p w14:paraId="5CE3E06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57</w:t>
                  </w:r>
                  <w:r>
                    <w:rPr>
                      <w:rFonts w:hint="eastAsia" w:ascii="Times New Roman" w:hAnsi="Times New Roman" w:eastAsia="宋体" w:cs="Times New Roman"/>
                      <w:color w:val="auto"/>
                      <w:kern w:val="0"/>
                      <w:sz w:val="21"/>
                      <w:szCs w:val="20"/>
                      <w:lang w:val="en-US" w:eastAsia="zh-CN" w:bidi="ar-SA"/>
                    </w:rPr>
                    <w:t>.</w:t>
                  </w:r>
                  <w:r>
                    <w:rPr>
                      <w:rFonts w:hint="eastAsia" w:cs="Times New Roman"/>
                      <w:color w:val="auto"/>
                      <w:kern w:val="0"/>
                      <w:sz w:val="21"/>
                      <w:szCs w:val="20"/>
                      <w:lang w:val="en-US" w:eastAsia="zh-CN" w:bidi="ar-SA"/>
                    </w:rPr>
                    <w:t>7</w:t>
                  </w:r>
                </w:p>
              </w:tc>
              <w:tc>
                <w:tcPr>
                  <w:tcW w:w="1407" w:type="pct"/>
                  <w:noWrap w:val="0"/>
                  <w:vAlign w:val="center"/>
                </w:tcPr>
                <w:p w14:paraId="41809FE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bl>
          <w:p w14:paraId="28941D77">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厂界达标分析：根据表4.3-</w:t>
            </w:r>
            <w:r>
              <w:rPr>
                <w:rFonts w:hint="eastAsia"/>
                <w:color w:val="auto"/>
                <w:lang w:val="en-US" w:eastAsia="zh-CN"/>
              </w:rPr>
              <w:t>5</w:t>
            </w:r>
            <w:r>
              <w:rPr>
                <w:rFonts w:hint="eastAsia" w:ascii="Times New Roman" w:hAnsi="Times New Roman"/>
                <w:color w:val="auto"/>
                <w:lang w:val="en-US" w:eastAsia="zh-CN"/>
              </w:rPr>
              <w:t>预测结果表明</w:t>
            </w:r>
            <w:r>
              <w:rPr>
                <w:rFonts w:hint="default" w:ascii="Times New Roman" w:hAnsi="Times New Roman" w:eastAsia="宋体" w:cs="Times New Roman"/>
                <w:color w:val="auto"/>
                <w:sz w:val="24"/>
                <w:highlight w:val="none"/>
              </w:rPr>
              <w:t>，项目主要噪声源在采取有效的降噪措施前提下，项目厂界噪声均可满足</w:t>
            </w:r>
            <w:r>
              <w:rPr>
                <w:rFonts w:hint="default" w:ascii="Times New Roman" w:hAnsi="Times New Roman" w:eastAsia="宋体" w:cs="Times New Roman"/>
                <w:color w:val="auto"/>
                <w:kern w:val="0"/>
                <w:sz w:val="24"/>
                <w:szCs w:val="24"/>
                <w:highlight w:val="none"/>
                <w:lang w:val="en-US" w:eastAsia="zh-CN" w:bidi="ar"/>
              </w:rPr>
              <w:t>《工业企业厂界环境噪声排放标准》（GB12348-2008）中的</w:t>
            </w:r>
            <w:r>
              <w:rPr>
                <w:rFonts w:hint="eastAsia" w:ascii="Times New Roman" w:hAnsi="Times New Roman" w:eastAsia="宋体" w:cs="Times New Roman"/>
                <w:color w:val="auto"/>
                <w:kern w:val="0"/>
                <w:sz w:val="24"/>
                <w:szCs w:val="24"/>
                <w:highlight w:val="none"/>
                <w:lang w:val="en-US" w:eastAsia="zh-CN" w:bidi="ar"/>
              </w:rPr>
              <w:t>3</w:t>
            </w:r>
            <w:r>
              <w:rPr>
                <w:rFonts w:hint="default" w:ascii="Times New Roman" w:hAnsi="Times New Roman" w:eastAsia="宋体" w:cs="Times New Roman"/>
                <w:color w:val="auto"/>
                <w:kern w:val="0"/>
                <w:sz w:val="24"/>
                <w:szCs w:val="24"/>
                <w:highlight w:val="none"/>
                <w:lang w:val="en-US" w:eastAsia="zh-CN" w:bidi="ar"/>
              </w:rPr>
              <w:t>类标准，即昼间≤6</w:t>
            </w:r>
            <w:r>
              <w:rPr>
                <w:rFonts w:hint="eastAsia" w:ascii="Times New Roman" w:hAnsi="Times New Roman" w:eastAsia="宋体"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val="en-US" w:eastAsia="zh-CN" w:bidi="ar"/>
              </w:rPr>
              <w:t>dB(A)</w:t>
            </w:r>
            <w:r>
              <w:rPr>
                <w:rFonts w:hint="eastAsia" w:ascii="Times New Roman" w:hAnsi="Times New Roman" w:eastAsia="宋体" w:cs="Times New Roman"/>
                <w:color w:val="auto"/>
                <w:kern w:val="0"/>
                <w:sz w:val="24"/>
                <w:szCs w:val="24"/>
                <w:highlight w:val="none"/>
                <w:lang w:val="en-US" w:eastAsia="zh-CN" w:bidi="ar"/>
              </w:rPr>
              <w:t>。</w:t>
            </w:r>
          </w:p>
          <w:p w14:paraId="522A432F">
            <w:pPr>
              <w:pStyle w:val="4"/>
              <w:bidi w:val="0"/>
              <w:ind w:firstLine="482" w:firstLineChars="200"/>
              <w:rPr>
                <w:rFonts w:hint="eastAsia" w:ascii="Times New Roman" w:hAnsi="Times New Roman"/>
                <w:color w:val="auto"/>
                <w:lang w:val="en-US" w:eastAsia="zh-CN"/>
              </w:rPr>
            </w:pPr>
            <w:bookmarkStart w:id="100" w:name="_Toc5435"/>
            <w:r>
              <w:rPr>
                <w:rFonts w:hint="eastAsia" w:ascii="Times New Roman" w:hAnsi="Times New Roman"/>
                <w:color w:val="auto"/>
                <w:lang w:val="en-US" w:eastAsia="zh-CN"/>
              </w:rPr>
              <w:t>4.3.4声环境防治措施</w:t>
            </w:r>
            <w:bookmarkEnd w:id="100"/>
          </w:p>
          <w:p w14:paraId="424B5CF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为了确保厂界噪声达到《工业企业厂界环境噪声排放标准》</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GB 12348-2008</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中</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类标准</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本报告建议采用以下降噪措施：</w:t>
            </w:r>
          </w:p>
          <w:p w14:paraId="6FD6956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（1）项目选用低噪声生产设备，从源头上降低噪声源强。</w:t>
            </w:r>
          </w:p>
          <w:p w14:paraId="313552E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（2）加强车间内的噪声治理，对</w:t>
            </w:r>
            <w:r>
              <w:rPr>
                <w:rFonts w:hint="eastAsia" w:ascii="Times New Roman" w:hAnsi="Times New Roman" w:eastAsia="宋体" w:cs="宋体"/>
                <w:color w:val="auto"/>
                <w:kern w:val="2"/>
                <w:sz w:val="24"/>
                <w:szCs w:val="24"/>
                <w:lang w:val="en-US" w:eastAsia="zh-CN" w:bidi="ar-SA"/>
              </w:rPr>
              <w:t>项目</w:t>
            </w:r>
            <w:r>
              <w:rPr>
                <w:rFonts w:hint="default" w:ascii="Times New Roman" w:hAnsi="Times New Roman" w:eastAsia="宋体" w:cs="宋体"/>
                <w:color w:val="auto"/>
                <w:kern w:val="2"/>
                <w:sz w:val="24"/>
                <w:szCs w:val="24"/>
                <w:lang w:val="en-US" w:eastAsia="zh-CN" w:bidi="ar-SA"/>
              </w:rPr>
              <w:t>建</w:t>
            </w:r>
            <w:r>
              <w:rPr>
                <w:rFonts w:hint="eastAsia" w:ascii="Times New Roman" w:hAnsi="Times New Roman" w:eastAsia="宋体" w:cs="宋体"/>
                <w:color w:val="auto"/>
                <w:kern w:val="2"/>
                <w:sz w:val="24"/>
                <w:szCs w:val="24"/>
                <w:lang w:val="en-US" w:eastAsia="zh-CN" w:bidi="ar-SA"/>
              </w:rPr>
              <w:t>成</w:t>
            </w:r>
            <w:r>
              <w:rPr>
                <w:rFonts w:hint="default" w:ascii="Times New Roman" w:hAnsi="Times New Roman" w:eastAsia="宋体" w:cs="宋体"/>
                <w:color w:val="auto"/>
                <w:kern w:val="2"/>
                <w:sz w:val="24"/>
                <w:szCs w:val="24"/>
                <w:lang w:val="en-US" w:eastAsia="zh-CN" w:bidi="ar-SA"/>
              </w:rPr>
              <w:t>后厂区高噪声设备采用隔声、消声、吸声、减振等有效措施，以有效降低车间噪声。</w:t>
            </w:r>
          </w:p>
          <w:p w14:paraId="24D070F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（3）加强对设备的管理和维护，在有关环保人员的统一管理下，定期检查、监测，发现噪声超标要及时治理并增加相关操作岗位工人的个体防护</w:t>
            </w:r>
            <w:r>
              <w:rPr>
                <w:rFonts w:hint="eastAsia" w:ascii="Times New Roman" w:hAnsi="Times New Roman" w:eastAsia="宋体" w:cs="宋体"/>
                <w:color w:val="auto"/>
                <w:kern w:val="2"/>
                <w:sz w:val="24"/>
                <w:szCs w:val="24"/>
                <w:lang w:val="en-US" w:eastAsia="zh-CN" w:bidi="ar-SA"/>
              </w:rPr>
              <w:t>。</w:t>
            </w:r>
          </w:p>
          <w:p w14:paraId="1D58914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（4）车辆运输物料时，在靠近居民点等对声环境质量要求较高的地方，应减小车速，禁止或尽量少鸣喇叭。</w:t>
            </w:r>
          </w:p>
          <w:p w14:paraId="73A48B4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通过以上降噪措施，有效降低设备噪声对厂界的影响程度，确保厂界噪声符合《工业企业厂界环境噪声排放标准》</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GB 12348-2008</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中</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类标准</w:t>
            </w:r>
            <w:r>
              <w:rPr>
                <w:rFonts w:hint="eastAsia" w:cs="Times New Roman"/>
                <w:color w:val="auto"/>
                <w:sz w:val="24"/>
                <w:highlight w:val="none"/>
                <w:lang w:val="en-US" w:eastAsia="zh-CN"/>
              </w:rPr>
              <w:t>，</w:t>
            </w:r>
            <w:r>
              <w:rPr>
                <w:rFonts w:hint="default" w:ascii="Times New Roman" w:hAnsi="Times New Roman" w:eastAsia="宋体" w:cs="宋体"/>
                <w:color w:val="auto"/>
                <w:kern w:val="2"/>
                <w:sz w:val="24"/>
                <w:szCs w:val="24"/>
                <w:lang w:val="en-US" w:eastAsia="zh-CN" w:bidi="ar-SA"/>
              </w:rPr>
              <w:t>措施可行。</w:t>
            </w:r>
          </w:p>
          <w:p w14:paraId="37D68033">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101" w:name="_Toc10874"/>
            <w:r>
              <w:rPr>
                <w:rFonts w:hint="eastAsia" w:ascii="Times New Roman" w:hAnsi="Times New Roman" w:eastAsia="宋体" w:cs="Times New Roman"/>
                <w:b/>
                <w:color w:val="auto"/>
                <w:kern w:val="2"/>
                <w:sz w:val="24"/>
                <w:szCs w:val="24"/>
                <w:lang w:val="en-US" w:eastAsia="zh-CN" w:bidi="ar-SA"/>
              </w:rPr>
              <w:t>4.3.5噪声自行监测计划</w:t>
            </w:r>
            <w:bookmarkEnd w:id="101"/>
          </w:p>
          <w:p w14:paraId="4FE3ED6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bookmarkStart w:id="102" w:name="_Toc15610"/>
            <w:bookmarkStart w:id="103" w:name="_Toc805"/>
            <w:r>
              <w:rPr>
                <w:rFonts w:hint="default" w:ascii="Times New Roman" w:hAnsi="Times New Roman" w:eastAsia="宋体" w:cs="宋体"/>
                <w:color w:val="auto"/>
                <w:kern w:val="2"/>
                <w:sz w:val="24"/>
                <w:szCs w:val="24"/>
                <w:lang w:val="en-US" w:eastAsia="zh-CN" w:bidi="ar-SA"/>
              </w:rPr>
              <w:t>根据《固定污染源排污许可分类管理名录（2019年版）》（生态环境部第11号）可知，</w:t>
            </w:r>
            <w:r>
              <w:rPr>
                <w:rFonts w:hint="eastAsia" w:ascii="Times New Roman" w:hAnsi="Times New Roman" w:eastAsia="宋体" w:cs="宋体"/>
                <w:color w:val="auto"/>
                <w:kern w:val="2"/>
                <w:sz w:val="24"/>
                <w:szCs w:val="24"/>
                <w:lang w:val="en-US" w:eastAsia="zh-CN" w:bidi="ar-SA"/>
              </w:rPr>
              <w:t>本项目属于</w:t>
            </w:r>
            <w:r>
              <w:rPr>
                <w:rFonts w:hint="eastAsia" w:cs="宋体"/>
                <w:color w:val="auto"/>
                <w:kern w:val="2"/>
                <w:sz w:val="24"/>
                <w:szCs w:val="24"/>
                <w:lang w:val="en-US" w:eastAsia="zh-CN" w:bidi="ar-SA"/>
              </w:rPr>
              <w:t>电子元件及电子专用材料制造</w:t>
            </w:r>
            <w:r>
              <w:rPr>
                <w:rFonts w:hint="eastAsia" w:ascii="Times New Roman" w:hAnsi="Times New Roman" w:eastAsia="宋体" w:cs="宋体"/>
                <w:color w:val="auto"/>
                <w:kern w:val="2"/>
                <w:sz w:val="24"/>
                <w:szCs w:val="24"/>
                <w:lang w:val="en-US" w:eastAsia="zh-CN" w:bidi="ar-SA"/>
              </w:rPr>
              <w:t>业，对应《固定污染源排污许可分类管理名录（2019年版）》中</w:t>
            </w:r>
            <w:r>
              <w:rPr>
                <w:rFonts w:hint="default" w:ascii="Times New Roman" w:hAnsi="Times New Roman" w:eastAsia="宋体" w:cs="Times New Roman"/>
                <w:color w:val="auto"/>
                <w:sz w:val="24"/>
                <w:szCs w:val="24"/>
                <w:lang w:val="en-US" w:eastAsia="zh-CN"/>
              </w:rPr>
              <w:t>三十四、计算机、通信和其他电子设备制造业 39</w:t>
            </w:r>
            <w:r>
              <w:rPr>
                <w:rFonts w:hint="eastAsia" w:ascii="Times New Roman" w:hAnsi="Times New Roman" w:eastAsia="宋体" w:cs="宋体"/>
                <w:color w:val="auto"/>
                <w:kern w:val="2"/>
                <w:sz w:val="24"/>
                <w:szCs w:val="24"/>
                <w:lang w:val="en-US" w:eastAsia="zh-CN" w:bidi="ar-SA"/>
              </w:rPr>
              <w:t>，见表4.1-</w:t>
            </w:r>
            <w:r>
              <w:rPr>
                <w:rFonts w:hint="eastAsia"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，不涉及通用工序简化管理的。本项目应当进行登记管理，登记管理无自行监测要求。</w:t>
            </w:r>
          </w:p>
          <w:p w14:paraId="00783656">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r>
              <w:rPr>
                <w:rFonts w:hint="eastAsia" w:ascii="Times New Roman" w:hAnsi="Times New Roman" w:eastAsia="宋体" w:cs="Times New Roman"/>
                <w:b/>
                <w:color w:val="auto"/>
                <w:kern w:val="2"/>
                <w:sz w:val="28"/>
                <w:szCs w:val="24"/>
                <w:lang w:val="en-US" w:eastAsia="zh-CN" w:bidi="ar-SA"/>
              </w:rPr>
              <w:t>4.4运营期固体废物影响分析和污染防治措施</w:t>
            </w:r>
            <w:bookmarkEnd w:id="102"/>
            <w:bookmarkEnd w:id="103"/>
          </w:p>
          <w:p w14:paraId="4DAB12DC">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104" w:name="_Toc2415"/>
            <w:r>
              <w:rPr>
                <w:rFonts w:hint="eastAsia" w:ascii="Times New Roman" w:hAnsi="Times New Roman" w:eastAsia="宋体" w:cs="Times New Roman"/>
                <w:b/>
                <w:color w:val="auto"/>
                <w:kern w:val="2"/>
                <w:sz w:val="24"/>
                <w:szCs w:val="24"/>
                <w:lang w:val="en-US" w:eastAsia="zh-CN" w:bidi="ar-SA"/>
              </w:rPr>
              <w:t>4.4.1固体废物产生情况</w:t>
            </w:r>
            <w:bookmarkEnd w:id="104"/>
          </w:p>
          <w:p w14:paraId="7C72DAE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本项目建成之后运营期产生的固体废物包括</w:t>
            </w:r>
            <w:r>
              <w:rPr>
                <w:rFonts w:hint="eastAsia" w:ascii="Times New Roman" w:hAnsi="Times New Roman" w:eastAsia="宋体" w:cs="宋体"/>
                <w:color w:val="auto"/>
                <w:sz w:val="24"/>
                <w:szCs w:val="24"/>
                <w:lang w:val="en-US" w:eastAsia="zh-CN" w:bidi="ar-SA"/>
              </w:rPr>
              <w:t>切割工序产生的边角料、检验过程中产生的不合格品、</w:t>
            </w:r>
            <w:r>
              <w:rPr>
                <w:rFonts w:hint="eastAsia" w:ascii="Times New Roman" w:hAnsi="Times New Roman" w:eastAsia="宋体" w:cs="宋体"/>
                <w:color w:val="auto"/>
                <w:kern w:val="2"/>
                <w:sz w:val="24"/>
                <w:szCs w:val="24"/>
                <w:lang w:val="en-US" w:eastAsia="zh-CN" w:bidi="ar-SA"/>
              </w:rPr>
              <w:t>沉淀池污泥、擦拭检测产生的</w:t>
            </w:r>
            <w:r>
              <w:rPr>
                <w:rFonts w:hint="default" w:ascii="Times New Roman" w:hAnsi="Times New Roman" w:eastAsia="宋体" w:cs="宋体"/>
                <w:color w:val="auto"/>
                <w:kern w:val="2"/>
                <w:sz w:val="24"/>
                <w:szCs w:val="24"/>
                <w:lang w:val="en-US" w:eastAsia="zh-CN" w:bidi="ar-SA"/>
              </w:rPr>
              <w:t>废</w:t>
            </w:r>
            <w:r>
              <w:rPr>
                <w:rFonts w:hint="eastAsia" w:cs="宋体"/>
                <w:color w:val="auto"/>
                <w:kern w:val="2"/>
                <w:sz w:val="24"/>
                <w:szCs w:val="24"/>
                <w:lang w:val="en-US" w:eastAsia="zh-CN" w:bidi="ar-SA"/>
              </w:rPr>
              <w:t>擦拭纸</w:t>
            </w:r>
            <w:r>
              <w:rPr>
                <w:rFonts w:hint="default" w:ascii="Times New Roman" w:hAnsi="Times New Roman" w:eastAsia="宋体" w:cs="宋体"/>
                <w:color w:val="auto"/>
                <w:kern w:val="2"/>
                <w:sz w:val="24"/>
                <w:szCs w:val="24"/>
                <w:lang w:val="en-US" w:eastAsia="zh-CN" w:bidi="ar-SA"/>
              </w:rPr>
              <w:t>和废绸布、</w:t>
            </w:r>
            <w:r>
              <w:rPr>
                <w:rFonts w:hint="eastAsia" w:ascii="Times New Roman" w:hAnsi="Times New Roman" w:eastAsia="宋体" w:cs="宋体"/>
                <w:color w:val="auto"/>
                <w:kern w:val="2"/>
                <w:sz w:val="24"/>
                <w:szCs w:val="24"/>
                <w:lang w:val="en-US" w:eastAsia="zh-CN" w:bidi="ar-SA"/>
              </w:rPr>
              <w:t>使用有机溶剂后产生的废包装容器、废气治理设施产生的废活性炭</w:t>
            </w:r>
            <w:r>
              <w:rPr>
                <w:rFonts w:hint="eastAsia" w:cs="宋体"/>
                <w:color w:val="auto"/>
                <w:kern w:val="2"/>
                <w:sz w:val="24"/>
                <w:szCs w:val="24"/>
                <w:lang w:val="en-US" w:eastAsia="zh-CN" w:bidi="ar-SA"/>
              </w:rPr>
              <w:t>、</w:t>
            </w:r>
            <w:r>
              <w:rPr>
                <w:rFonts w:hint="eastAsia" w:ascii="Times New Roman" w:hAnsi="Times New Roman" w:eastAsia="宋体" w:cs="宋体"/>
                <w:color w:val="auto"/>
                <w:sz w:val="24"/>
                <w:szCs w:val="24"/>
                <w:lang w:val="en-US" w:eastAsia="zh-CN" w:bidi="ar-SA"/>
              </w:rPr>
              <w:t>废</w:t>
            </w:r>
            <w:r>
              <w:rPr>
                <w:rFonts w:hint="eastAsia" w:cs="宋体"/>
                <w:color w:val="auto"/>
                <w:sz w:val="24"/>
                <w:szCs w:val="24"/>
                <w:lang w:val="en-US" w:eastAsia="zh-CN" w:bidi="ar-SA"/>
              </w:rPr>
              <w:t>磨削液（含磨削液污泥）、废机油</w:t>
            </w:r>
            <w:r>
              <w:rPr>
                <w:rFonts w:hint="eastAsia" w:ascii="Times New Roman" w:hAnsi="Times New Roman" w:eastAsia="宋体" w:cs="宋体"/>
                <w:color w:val="auto"/>
                <w:sz w:val="24"/>
                <w:szCs w:val="24"/>
                <w:lang w:val="en-US" w:eastAsia="zh-CN" w:bidi="ar-SA"/>
              </w:rPr>
              <w:t>及员工生活垃圾。</w:t>
            </w:r>
          </w:p>
          <w:p w14:paraId="6DC28744">
            <w:pPr>
              <w:keepNext/>
              <w:keepLines/>
              <w:widowControl w:val="0"/>
              <w:bidi w:val="0"/>
              <w:spacing w:beforeLines="0" w:beforeAutospacing="0" w:afterLines="0" w:afterAutospacing="0" w:line="360" w:lineRule="auto"/>
              <w:ind w:firstLine="482" w:firstLineChars="200"/>
              <w:jc w:val="left"/>
              <w:outlineLvl w:val="2"/>
              <w:rPr>
                <w:rFonts w:hint="default" w:ascii="Times New Roman" w:hAnsi="Times New Roman" w:eastAsia="宋体" w:cs="Times New Roman"/>
                <w:b/>
                <w:color w:val="auto"/>
                <w:kern w:val="2"/>
                <w:sz w:val="24"/>
                <w:szCs w:val="24"/>
                <w:lang w:val="en-US" w:eastAsia="zh-CN" w:bidi="ar-SA"/>
              </w:rPr>
            </w:pPr>
            <w:bookmarkStart w:id="105" w:name="_Toc26663"/>
            <w:r>
              <w:rPr>
                <w:rFonts w:hint="eastAsia" w:ascii="Times New Roman" w:hAnsi="Times New Roman" w:eastAsia="宋体" w:cs="Times New Roman"/>
                <w:b/>
                <w:color w:val="auto"/>
                <w:kern w:val="2"/>
                <w:sz w:val="24"/>
                <w:szCs w:val="24"/>
                <w:lang w:val="en-US" w:eastAsia="zh-CN" w:bidi="ar-SA"/>
              </w:rPr>
              <w:t>4.4.2固体废物源强核算</w:t>
            </w:r>
            <w:bookmarkEnd w:id="105"/>
          </w:p>
          <w:p w14:paraId="3E155E7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（1）抛光残渣</w:t>
            </w:r>
          </w:p>
          <w:p w14:paraId="0DB8F4D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本项目抛光过程中会产生抛光残渣，产生量为</w:t>
            </w:r>
            <w:r>
              <w:rPr>
                <w:rFonts w:hint="eastAsia" w:cs="宋体"/>
                <w:color w:val="auto"/>
                <w:kern w:val="2"/>
                <w:sz w:val="24"/>
                <w:szCs w:val="24"/>
                <w:lang w:val="en-US" w:eastAsia="zh-CN" w:bidi="ar-SA"/>
              </w:rPr>
              <w:t>0.2</w:t>
            </w:r>
            <w:r>
              <w:rPr>
                <w:rFonts w:hint="default" w:ascii="Times New Roman" w:hAnsi="Times New Roman" w:eastAsia="宋体" w:cs="宋体"/>
                <w:color w:val="auto"/>
                <w:kern w:val="2"/>
                <w:sz w:val="24"/>
                <w:szCs w:val="24"/>
                <w:lang w:val="en-US" w:eastAsia="zh-CN" w:bidi="ar-SA"/>
              </w:rPr>
              <w:t>t/a，属于一般工业固废，且回收可利用价值高，经收集后出售给回收企业综合利用。</w:t>
            </w:r>
          </w:p>
          <w:p w14:paraId="5A43AC3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（2）废边角料</w:t>
            </w:r>
          </w:p>
          <w:p w14:paraId="6AD6316D">
            <w:pPr>
              <w:widowControl w:val="0"/>
              <w:bidi w:val="0"/>
              <w:spacing w:line="360" w:lineRule="auto"/>
              <w:ind w:firstLine="480" w:firstLineChars="200"/>
              <w:jc w:val="lef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项目在</w:t>
            </w:r>
            <w:r>
              <w:rPr>
                <w:rFonts w:hint="eastAsia" w:cs="宋体"/>
                <w:color w:val="auto"/>
                <w:kern w:val="2"/>
                <w:sz w:val="24"/>
                <w:szCs w:val="24"/>
                <w:lang w:val="en-US" w:eastAsia="zh-CN" w:bidi="ar-SA"/>
              </w:rPr>
              <w:t>粗磨</w:t>
            </w:r>
            <w:r>
              <w:rPr>
                <w:rFonts w:hint="default" w:ascii="Times New Roman" w:hAnsi="Times New Roman" w:eastAsia="宋体" w:cs="宋体"/>
                <w:color w:val="auto"/>
                <w:kern w:val="2"/>
                <w:sz w:val="24"/>
                <w:szCs w:val="24"/>
                <w:lang w:val="en-US" w:eastAsia="zh-CN" w:bidi="ar-SA"/>
              </w:rPr>
              <w:t>过程中会产生废边角料，产生量为</w:t>
            </w:r>
            <w:r>
              <w:rPr>
                <w:rFonts w:hint="eastAsia" w:ascii="Times New Roman" w:hAnsi="Times New Roman" w:eastAsia="宋体" w:cs="宋体"/>
                <w:color w:val="auto"/>
                <w:kern w:val="2"/>
                <w:sz w:val="24"/>
                <w:szCs w:val="24"/>
                <w:lang w:val="en-US" w:eastAsia="zh-CN" w:bidi="ar-SA"/>
              </w:rPr>
              <w:t>0.</w:t>
            </w:r>
            <w:r>
              <w:rPr>
                <w:rFonts w:hint="eastAsia"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t/a，属于一般工业固废，回收可利用价值高，经收集后出售给回收企业综合利用。</w:t>
            </w:r>
          </w:p>
          <w:p w14:paraId="5BEAE29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（3）沉淀池污泥</w:t>
            </w:r>
          </w:p>
          <w:p w14:paraId="2F97359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根据《排放源统计调查产排污核算方法和系数手册》中《固体废物系数表》4040行业生产全过程产生的污泥产污系数为5.8×10</w:t>
            </w:r>
            <w:r>
              <w:rPr>
                <w:rFonts w:hint="eastAsia" w:ascii="Times New Roman" w:hAnsi="Times New Roman" w:eastAsia="宋体" w:cs="宋体"/>
                <w:color w:val="auto"/>
                <w:kern w:val="2"/>
                <w:sz w:val="24"/>
                <w:szCs w:val="24"/>
                <w:vertAlign w:val="superscript"/>
                <w:lang w:val="en-US" w:eastAsia="zh-CN" w:bidi="ar-SA"/>
              </w:rPr>
              <w:t>4</w:t>
            </w:r>
            <w:r>
              <w:rPr>
                <w:rFonts w:hint="eastAsia" w:ascii="Times New Roman" w:hAnsi="Times New Roman" w:eastAsia="宋体" w:cs="宋体"/>
                <w:color w:val="auto"/>
                <w:kern w:val="2"/>
                <w:sz w:val="24"/>
                <w:szCs w:val="24"/>
                <w:lang w:val="en-US" w:eastAsia="zh-CN" w:bidi="ar-SA"/>
              </w:rPr>
              <w:t>克/千件－产品，产品产能为5</w:t>
            </w:r>
            <w:r>
              <w:rPr>
                <w:rFonts w:hint="eastAsia" w:cs="宋体"/>
                <w:color w:val="auto"/>
                <w:kern w:val="2"/>
                <w:sz w:val="24"/>
                <w:szCs w:val="24"/>
                <w:lang w:val="en-US" w:eastAsia="zh-CN" w:bidi="ar-SA"/>
              </w:rPr>
              <w:t>0</w:t>
            </w:r>
            <w:r>
              <w:rPr>
                <w:rFonts w:hint="eastAsia" w:ascii="Times New Roman" w:hAnsi="Times New Roman" w:eastAsia="宋体" w:cs="宋体"/>
                <w:color w:val="auto"/>
                <w:kern w:val="2"/>
                <w:sz w:val="24"/>
                <w:szCs w:val="24"/>
                <w:lang w:val="en-US" w:eastAsia="zh-CN" w:bidi="ar-SA"/>
              </w:rPr>
              <w:t>万片光学元器件，则污泥产生量为29t/a，固体废物代码为404-001-62，沉淀池污泥定期进行清掏，并由当地环卫部门统一清运处理</w:t>
            </w:r>
            <w:r>
              <w:rPr>
                <w:rFonts w:hint="default" w:ascii="Times New Roman" w:hAnsi="Times New Roman" w:eastAsia="宋体" w:cs="宋体"/>
                <w:color w:val="auto"/>
                <w:kern w:val="2"/>
                <w:sz w:val="24"/>
                <w:szCs w:val="24"/>
                <w:lang w:val="en-US" w:eastAsia="zh-CN" w:bidi="ar-SA"/>
              </w:rPr>
              <w:t>。</w:t>
            </w:r>
          </w:p>
          <w:p w14:paraId="2D677CB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（4）不合格产品</w:t>
            </w:r>
          </w:p>
          <w:p w14:paraId="4D03B41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本项目在经过人工观察检测</w:t>
            </w:r>
            <w:r>
              <w:rPr>
                <w:rFonts w:hint="eastAsia" w:ascii="Times New Roman" w:hAnsi="Times New Roman" w:eastAsia="宋体" w:cs="宋体"/>
                <w:color w:val="auto"/>
                <w:kern w:val="2"/>
                <w:sz w:val="24"/>
                <w:szCs w:val="24"/>
                <w:lang w:val="en-US" w:eastAsia="zh-CN" w:bidi="ar-SA"/>
              </w:rPr>
              <w:t>后会</w:t>
            </w:r>
            <w:r>
              <w:rPr>
                <w:rFonts w:hint="default" w:ascii="Times New Roman" w:hAnsi="Times New Roman" w:eastAsia="宋体" w:cs="宋体"/>
                <w:color w:val="auto"/>
                <w:kern w:val="2"/>
                <w:sz w:val="24"/>
                <w:szCs w:val="24"/>
                <w:lang w:val="en-US" w:eastAsia="zh-CN" w:bidi="ar-SA"/>
              </w:rPr>
              <w:t>淘汰掉不符合预期的</w:t>
            </w:r>
            <w:r>
              <w:rPr>
                <w:rFonts w:hint="eastAsia" w:ascii="Times New Roman" w:hAnsi="Times New Roman" w:eastAsia="宋体" w:cs="宋体"/>
                <w:color w:val="auto"/>
                <w:kern w:val="2"/>
                <w:sz w:val="24"/>
                <w:szCs w:val="24"/>
                <w:lang w:val="en-US" w:eastAsia="zh-CN" w:bidi="ar-SA"/>
              </w:rPr>
              <w:t>晶体</w:t>
            </w:r>
            <w:r>
              <w:rPr>
                <w:rFonts w:hint="default" w:ascii="Times New Roman" w:hAnsi="Times New Roman" w:eastAsia="宋体" w:cs="宋体"/>
                <w:color w:val="auto"/>
                <w:kern w:val="2"/>
                <w:sz w:val="24"/>
                <w:szCs w:val="24"/>
                <w:lang w:val="en-US" w:eastAsia="zh-CN" w:bidi="ar-SA"/>
              </w:rPr>
              <w:t>，不合格产品产生量为</w:t>
            </w:r>
            <w:r>
              <w:rPr>
                <w:rFonts w:hint="eastAsia" w:ascii="Times New Roman" w:hAnsi="Times New Roman" w:eastAsia="宋体" w:cs="宋体"/>
                <w:color w:val="auto"/>
                <w:kern w:val="2"/>
                <w:sz w:val="24"/>
                <w:szCs w:val="24"/>
                <w:lang w:val="en-US" w:eastAsia="zh-CN" w:bidi="ar-SA"/>
              </w:rPr>
              <w:t>0.0</w:t>
            </w:r>
            <w:r>
              <w:rPr>
                <w:rFonts w:hint="eastAsia" w:cs="宋体"/>
                <w:color w:val="auto"/>
                <w:kern w:val="2"/>
                <w:sz w:val="24"/>
                <w:szCs w:val="24"/>
                <w:lang w:val="en-US" w:eastAsia="zh-CN" w:bidi="ar-SA"/>
              </w:rPr>
              <w:t>5</w:t>
            </w:r>
            <w:r>
              <w:rPr>
                <w:rFonts w:hint="default" w:ascii="Times New Roman" w:hAnsi="Times New Roman" w:eastAsia="宋体" w:cs="宋体"/>
                <w:color w:val="auto"/>
                <w:kern w:val="2"/>
                <w:sz w:val="24"/>
                <w:szCs w:val="24"/>
                <w:lang w:val="en-US" w:eastAsia="zh-CN" w:bidi="ar-SA"/>
              </w:rPr>
              <w:t>t/a，属于一般工业固废，固体废物代码为404-00</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-99且回收可利用价值高，经收集后出售给回收企业综合利用。</w:t>
            </w:r>
          </w:p>
          <w:p w14:paraId="61A1980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（5）废活性炭</w:t>
            </w:r>
          </w:p>
          <w:p w14:paraId="02C92DB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废活性炭：项目废气处理设施采用</w:t>
            </w:r>
            <w:r>
              <w:rPr>
                <w:rFonts w:hint="eastAsia" w:ascii="Times New Roman" w:hAnsi="Times New Roman" w:eastAsia="宋体" w:cs="宋体"/>
                <w:color w:val="auto"/>
                <w:kern w:val="2"/>
                <w:sz w:val="24"/>
                <w:szCs w:val="24"/>
                <w:lang w:val="en-US" w:eastAsia="zh-CN" w:bidi="ar-SA"/>
              </w:rPr>
              <w:t>二级活性炭吸附装置</w:t>
            </w:r>
            <w:r>
              <w:rPr>
                <w:rFonts w:hint="default" w:ascii="Times New Roman" w:hAnsi="Times New Roman" w:eastAsia="宋体" w:cs="宋体"/>
                <w:color w:val="auto"/>
                <w:kern w:val="2"/>
                <w:sz w:val="24"/>
                <w:szCs w:val="24"/>
                <w:lang w:val="en-US" w:eastAsia="zh-CN" w:bidi="ar-SA"/>
              </w:rPr>
              <w:t>，根据中国建筑出版社（1997）出版的《简明通风设计手册》第十章中关于活性吸附处理治理废气的方法中提供的数据：每1.0kg活性炭吸附有机废气的平衡量为0.43～</w:t>
            </w:r>
            <w:r>
              <w:rPr>
                <w:rFonts w:hint="eastAsia" w:cs="宋体"/>
                <w:color w:val="auto"/>
                <w:kern w:val="2"/>
                <w:sz w:val="24"/>
                <w:szCs w:val="24"/>
                <w:lang w:val="en-US" w:eastAsia="zh-CN" w:bidi="ar-SA"/>
              </w:rPr>
              <w:t>1.2</w:t>
            </w:r>
            <w:r>
              <w:rPr>
                <w:rFonts w:hint="default" w:ascii="Times New Roman" w:hAnsi="Times New Roman" w:eastAsia="宋体" w:cs="宋体"/>
                <w:color w:val="auto"/>
                <w:kern w:val="2"/>
                <w:sz w:val="24"/>
                <w:szCs w:val="24"/>
                <w:lang w:val="en-US" w:eastAsia="zh-CN" w:bidi="ar-SA"/>
              </w:rPr>
              <w:t>1kg，本项目按1t活性炭吸附0.5t有机废气计算，根据前文产排污分析可知，吸收有机废气量约为</w:t>
            </w:r>
            <w:r>
              <w:rPr>
                <w:rFonts w:hint="eastAsia" w:cs="宋体"/>
                <w:color w:val="auto"/>
                <w:kern w:val="2"/>
                <w:sz w:val="24"/>
                <w:szCs w:val="24"/>
                <w:lang w:val="en-US" w:eastAsia="zh-CN" w:bidi="ar-SA"/>
              </w:rPr>
              <w:t>2.387</w:t>
            </w:r>
            <w:r>
              <w:rPr>
                <w:rFonts w:hint="default" w:ascii="Times New Roman" w:hAnsi="Times New Roman" w:eastAsia="宋体" w:cs="宋体"/>
                <w:color w:val="auto"/>
                <w:kern w:val="2"/>
                <w:sz w:val="24"/>
                <w:szCs w:val="24"/>
                <w:lang w:val="en-US" w:eastAsia="zh-CN" w:bidi="ar-SA"/>
              </w:rPr>
              <w:t>t/a，则预计项目年消耗活性炭量为</w:t>
            </w:r>
            <w:r>
              <w:rPr>
                <w:rFonts w:hint="eastAsia" w:cs="宋体"/>
                <w:color w:val="auto"/>
                <w:kern w:val="2"/>
                <w:sz w:val="24"/>
                <w:szCs w:val="24"/>
                <w:lang w:val="en-US" w:eastAsia="zh-CN" w:bidi="ar-SA"/>
              </w:rPr>
              <w:t>4.774</w:t>
            </w:r>
            <w:r>
              <w:rPr>
                <w:rFonts w:hint="default" w:ascii="Times New Roman" w:hAnsi="Times New Roman" w:eastAsia="宋体" w:cs="宋体"/>
                <w:color w:val="auto"/>
                <w:kern w:val="2"/>
                <w:sz w:val="24"/>
                <w:szCs w:val="24"/>
                <w:lang w:val="en-US" w:eastAsia="zh-CN" w:bidi="ar-SA"/>
              </w:rPr>
              <w:t>t，则项目每年产生的废活性炭吸附饱和物量约为</w:t>
            </w:r>
            <w:r>
              <w:rPr>
                <w:rFonts w:hint="eastAsia" w:cs="宋体"/>
                <w:color w:val="auto"/>
                <w:kern w:val="2"/>
                <w:sz w:val="24"/>
                <w:szCs w:val="24"/>
                <w:lang w:val="en-US" w:eastAsia="zh-CN" w:bidi="ar-SA"/>
              </w:rPr>
              <w:t>7.161</w:t>
            </w:r>
            <w:r>
              <w:rPr>
                <w:rFonts w:hint="default" w:ascii="Times New Roman" w:hAnsi="Times New Roman" w:eastAsia="宋体" w:cs="宋体"/>
                <w:color w:val="auto"/>
                <w:kern w:val="2"/>
                <w:sz w:val="24"/>
                <w:szCs w:val="24"/>
                <w:lang w:val="en-US" w:eastAsia="zh-CN" w:bidi="ar-SA"/>
              </w:rPr>
              <w:t>t/a，项目计划每两个月更换一次活性炭吸附填料，确保项目有机废气达标排放。根据</w:t>
            </w:r>
            <w:r>
              <w:rPr>
                <w:rFonts w:hint="eastAsia" w:ascii="Times New Roman" w:hAnsi="Times New Roman" w:eastAsia="宋体" w:cs="宋体"/>
                <w:color w:val="auto"/>
                <w:kern w:val="2"/>
                <w:sz w:val="24"/>
                <w:szCs w:val="24"/>
                <w:lang w:val="en-US" w:eastAsia="zh-CN" w:bidi="ar-SA"/>
              </w:rPr>
              <w:t>《国家危险废物名录》（2025年版）</w:t>
            </w:r>
            <w:r>
              <w:rPr>
                <w:rFonts w:hint="default" w:ascii="Times New Roman" w:hAnsi="Times New Roman" w:eastAsia="宋体" w:cs="宋体"/>
                <w:color w:val="auto"/>
                <w:kern w:val="2"/>
                <w:sz w:val="24"/>
                <w:szCs w:val="24"/>
                <w:lang w:val="en-US" w:eastAsia="zh-CN" w:bidi="ar-SA"/>
              </w:rPr>
              <w:t>，废弃活性炭吸附饱和物属于危险废物，废物类别为HW49其他废物，废物代码900-039-49。妥善收集后暂存至</w:t>
            </w:r>
            <w:r>
              <w:rPr>
                <w:rFonts w:hint="eastAsia" w:cs="宋体"/>
                <w:color w:val="auto"/>
                <w:kern w:val="2"/>
                <w:sz w:val="24"/>
                <w:szCs w:val="24"/>
                <w:lang w:val="en-US" w:eastAsia="zh-CN" w:bidi="ar-SA"/>
              </w:rPr>
              <w:t>危险废物</w:t>
            </w:r>
            <w:r>
              <w:rPr>
                <w:rFonts w:hint="eastAsia" w:ascii="Times New Roman" w:hAnsi="Times New Roman" w:eastAsia="宋体" w:cs="宋体"/>
                <w:color w:val="auto"/>
                <w:kern w:val="2"/>
                <w:sz w:val="24"/>
                <w:szCs w:val="24"/>
                <w:lang w:val="en-US" w:eastAsia="zh-CN" w:bidi="ar-SA"/>
              </w:rPr>
              <w:t>贮存库</w:t>
            </w:r>
            <w:r>
              <w:rPr>
                <w:rFonts w:hint="default" w:ascii="Times New Roman" w:hAnsi="Times New Roman" w:eastAsia="宋体" w:cs="宋体"/>
                <w:color w:val="auto"/>
                <w:kern w:val="2"/>
                <w:sz w:val="24"/>
                <w:szCs w:val="24"/>
                <w:lang w:val="en-US" w:eastAsia="zh-CN" w:bidi="ar-SA"/>
              </w:rPr>
              <w:t>中，定期委托有</w:t>
            </w:r>
            <w:r>
              <w:rPr>
                <w:rFonts w:hint="eastAsia" w:cs="宋体"/>
                <w:color w:val="auto"/>
                <w:kern w:val="2"/>
                <w:sz w:val="24"/>
                <w:szCs w:val="24"/>
                <w:lang w:val="en-US" w:eastAsia="zh-CN" w:bidi="ar-SA"/>
              </w:rPr>
              <w:t>危险废物</w:t>
            </w:r>
            <w:r>
              <w:rPr>
                <w:rFonts w:hint="default" w:ascii="Times New Roman" w:hAnsi="Times New Roman" w:eastAsia="宋体" w:cs="宋体"/>
                <w:color w:val="auto"/>
                <w:kern w:val="2"/>
                <w:sz w:val="24"/>
                <w:szCs w:val="24"/>
                <w:lang w:val="en-US" w:eastAsia="zh-CN" w:bidi="ar-SA"/>
              </w:rPr>
              <w:t>处置资质单位进行处理。</w:t>
            </w:r>
          </w:p>
          <w:p w14:paraId="0707632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（6）废布和废</w:t>
            </w:r>
            <w:r>
              <w:rPr>
                <w:rFonts w:hint="eastAsia" w:cs="宋体"/>
                <w:color w:val="auto"/>
                <w:kern w:val="2"/>
                <w:sz w:val="24"/>
                <w:szCs w:val="24"/>
                <w:lang w:val="en-US" w:eastAsia="zh-CN" w:bidi="ar-SA"/>
              </w:rPr>
              <w:t>擦拭纸</w:t>
            </w:r>
          </w:p>
          <w:p w14:paraId="0D36C75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检测擦拭过程中检测人员将绸布和</w:t>
            </w:r>
            <w:r>
              <w:rPr>
                <w:rFonts w:hint="eastAsia" w:cs="宋体"/>
                <w:color w:val="auto"/>
                <w:kern w:val="2"/>
                <w:sz w:val="24"/>
                <w:szCs w:val="24"/>
                <w:lang w:val="en-US" w:eastAsia="zh-CN" w:bidi="ar-SA"/>
              </w:rPr>
              <w:t>擦拭纸</w:t>
            </w:r>
            <w:r>
              <w:rPr>
                <w:rFonts w:hint="default" w:ascii="Times New Roman" w:hAnsi="Times New Roman" w:eastAsia="宋体" w:cs="宋体"/>
                <w:color w:val="auto"/>
                <w:kern w:val="2"/>
                <w:sz w:val="24"/>
                <w:szCs w:val="24"/>
                <w:lang w:val="en-US" w:eastAsia="zh-CN" w:bidi="ar-SA"/>
              </w:rPr>
              <w:t>沾有机助剂在</w:t>
            </w:r>
            <w:r>
              <w:rPr>
                <w:rFonts w:hint="eastAsia" w:ascii="Times New Roman" w:hAnsi="Times New Roman" w:eastAsia="宋体" w:cs="宋体"/>
                <w:color w:val="auto"/>
                <w:kern w:val="2"/>
                <w:sz w:val="24"/>
                <w:szCs w:val="24"/>
                <w:lang w:val="en-US" w:eastAsia="zh-CN" w:bidi="ar-SA"/>
              </w:rPr>
              <w:t>光学元件</w:t>
            </w:r>
            <w:r>
              <w:rPr>
                <w:rFonts w:hint="default" w:ascii="Times New Roman" w:hAnsi="Times New Roman" w:eastAsia="宋体" w:cs="宋体"/>
                <w:color w:val="auto"/>
                <w:kern w:val="2"/>
                <w:sz w:val="24"/>
                <w:szCs w:val="24"/>
                <w:lang w:val="en-US" w:eastAsia="zh-CN" w:bidi="ar-SA"/>
              </w:rPr>
              <w:t>上擦拭，对照</w:t>
            </w:r>
            <w:r>
              <w:rPr>
                <w:rFonts w:hint="eastAsia" w:ascii="Times New Roman" w:hAnsi="Times New Roman" w:eastAsia="宋体" w:cs="宋体"/>
                <w:color w:val="auto"/>
                <w:kern w:val="2"/>
                <w:sz w:val="24"/>
                <w:szCs w:val="24"/>
                <w:lang w:val="en-US" w:eastAsia="zh-CN" w:bidi="ar-SA"/>
              </w:rPr>
              <w:t>《国家危险废物名录》（2025年版）</w:t>
            </w:r>
            <w:r>
              <w:rPr>
                <w:rFonts w:hint="default" w:ascii="Times New Roman" w:hAnsi="Times New Roman" w:eastAsia="宋体" w:cs="宋体"/>
                <w:color w:val="auto"/>
                <w:kern w:val="2"/>
                <w:sz w:val="24"/>
                <w:szCs w:val="24"/>
                <w:lang w:val="en-US" w:eastAsia="zh-CN" w:bidi="ar-SA"/>
              </w:rPr>
              <w:t>中所列的危险</w:t>
            </w:r>
            <w:r>
              <w:rPr>
                <w:rFonts w:hint="eastAsia" w:ascii="Times New Roman" w:hAnsi="Times New Roman" w:eastAsia="宋体" w:cs="宋体"/>
                <w:color w:val="auto"/>
                <w:kern w:val="2"/>
                <w:sz w:val="24"/>
                <w:szCs w:val="24"/>
                <w:lang w:val="en-US" w:eastAsia="zh-CN" w:bidi="ar-SA"/>
              </w:rPr>
              <w:t>废物</w:t>
            </w:r>
            <w:r>
              <w:rPr>
                <w:rFonts w:hint="default" w:ascii="Times New Roman" w:hAnsi="Times New Roman" w:eastAsia="宋体" w:cs="宋体"/>
                <w:color w:val="auto"/>
                <w:kern w:val="2"/>
                <w:sz w:val="24"/>
                <w:szCs w:val="24"/>
                <w:lang w:val="en-US" w:eastAsia="zh-CN" w:bidi="ar-SA"/>
              </w:rPr>
              <w:t>，废绸布和废</w:t>
            </w:r>
            <w:r>
              <w:rPr>
                <w:rFonts w:hint="eastAsia" w:cs="宋体"/>
                <w:color w:val="auto"/>
                <w:kern w:val="2"/>
                <w:sz w:val="24"/>
                <w:szCs w:val="24"/>
                <w:lang w:val="en-US" w:eastAsia="zh-CN" w:bidi="ar-SA"/>
              </w:rPr>
              <w:t>擦拭纸</w:t>
            </w:r>
            <w:r>
              <w:rPr>
                <w:rFonts w:hint="eastAsia" w:ascii="Times New Roman" w:hAnsi="Times New Roman" w:eastAsia="宋体" w:cs="宋体"/>
                <w:color w:val="auto"/>
                <w:kern w:val="2"/>
                <w:sz w:val="24"/>
                <w:szCs w:val="24"/>
                <w:lang w:val="en-US" w:eastAsia="zh-CN" w:bidi="ar-SA"/>
              </w:rPr>
              <w:t>废物类别为</w:t>
            </w:r>
            <w:r>
              <w:rPr>
                <w:rFonts w:hint="default" w:ascii="Times New Roman" w:hAnsi="Times New Roman" w:eastAsia="宋体" w:cs="宋体"/>
                <w:color w:val="auto"/>
                <w:kern w:val="2"/>
                <w:sz w:val="24"/>
                <w:szCs w:val="24"/>
                <w:lang w:val="en-US" w:eastAsia="zh-CN" w:bidi="ar-SA"/>
              </w:rPr>
              <w:t>HW49其他废物</w:t>
            </w:r>
            <w:r>
              <w:rPr>
                <w:rFonts w:hint="eastAsia" w:ascii="Times New Roman" w:hAnsi="Times New Roman" w:eastAsia="宋体" w:cs="宋体"/>
                <w:color w:val="auto"/>
                <w:kern w:val="2"/>
                <w:sz w:val="24"/>
                <w:szCs w:val="24"/>
                <w:lang w:val="en-US" w:eastAsia="zh-CN" w:bidi="ar-SA"/>
              </w:rPr>
              <w:t>，废物代码</w:t>
            </w:r>
            <w:r>
              <w:rPr>
                <w:rFonts w:hint="default" w:ascii="Times New Roman" w:hAnsi="Times New Roman" w:eastAsia="宋体" w:cs="宋体"/>
                <w:color w:val="auto"/>
                <w:kern w:val="2"/>
                <w:sz w:val="24"/>
                <w:szCs w:val="24"/>
                <w:lang w:val="en-US" w:eastAsia="zh-CN" w:bidi="ar-SA"/>
              </w:rPr>
              <w:t>900-041-49，</w:t>
            </w:r>
            <w:r>
              <w:rPr>
                <w:rFonts w:hint="eastAsia" w:ascii="Times New Roman" w:hAnsi="Times New Roman" w:eastAsia="宋体" w:cs="宋体"/>
                <w:color w:val="auto"/>
                <w:kern w:val="2"/>
                <w:sz w:val="24"/>
                <w:szCs w:val="24"/>
                <w:lang w:val="en-US" w:eastAsia="zh-CN" w:bidi="ar-SA"/>
              </w:rPr>
              <w:t>妥善</w:t>
            </w:r>
            <w:r>
              <w:rPr>
                <w:rFonts w:hint="default" w:ascii="Times New Roman" w:hAnsi="Times New Roman" w:eastAsia="宋体" w:cs="宋体"/>
                <w:color w:val="auto"/>
                <w:kern w:val="2"/>
                <w:sz w:val="24"/>
                <w:szCs w:val="24"/>
                <w:lang w:val="en-US" w:eastAsia="zh-CN" w:bidi="ar-SA"/>
              </w:rPr>
              <w:t>收集后临时储存于危险废物暂存间，</w:t>
            </w:r>
            <w:r>
              <w:rPr>
                <w:rFonts w:hint="eastAsia" w:ascii="Times New Roman" w:hAnsi="Times New Roman" w:eastAsia="宋体" w:cs="宋体"/>
                <w:color w:val="auto"/>
                <w:kern w:val="2"/>
                <w:sz w:val="24"/>
                <w:szCs w:val="24"/>
                <w:lang w:val="en-US" w:eastAsia="zh-CN" w:bidi="ar-SA"/>
              </w:rPr>
              <w:t>定期</w:t>
            </w:r>
            <w:r>
              <w:rPr>
                <w:rFonts w:hint="default" w:ascii="Times New Roman" w:hAnsi="Times New Roman" w:eastAsia="宋体" w:cs="宋体"/>
                <w:color w:val="auto"/>
                <w:kern w:val="2"/>
                <w:sz w:val="24"/>
                <w:szCs w:val="24"/>
                <w:lang w:val="en-US" w:eastAsia="zh-CN" w:bidi="ar-SA"/>
              </w:rPr>
              <w:t>委托有资质的</w:t>
            </w:r>
            <w:r>
              <w:rPr>
                <w:rFonts w:hint="eastAsia" w:ascii="Times New Roman" w:hAnsi="Times New Roman" w:eastAsia="宋体" w:cs="宋体"/>
                <w:color w:val="auto"/>
                <w:kern w:val="2"/>
                <w:sz w:val="24"/>
                <w:szCs w:val="24"/>
                <w:lang w:val="en-US" w:eastAsia="zh-CN" w:bidi="ar-SA"/>
              </w:rPr>
              <w:t>单位</w:t>
            </w:r>
            <w:r>
              <w:rPr>
                <w:rFonts w:hint="default" w:ascii="Times New Roman" w:hAnsi="Times New Roman" w:eastAsia="宋体" w:cs="宋体"/>
                <w:color w:val="auto"/>
                <w:kern w:val="2"/>
                <w:sz w:val="24"/>
                <w:szCs w:val="24"/>
                <w:lang w:val="en-US" w:eastAsia="zh-CN" w:bidi="ar-SA"/>
              </w:rPr>
              <w:t>处理处置。废绸布和废</w:t>
            </w:r>
            <w:r>
              <w:rPr>
                <w:rFonts w:hint="eastAsia" w:cs="宋体"/>
                <w:color w:val="auto"/>
                <w:kern w:val="2"/>
                <w:sz w:val="24"/>
                <w:szCs w:val="24"/>
                <w:lang w:val="en-US" w:eastAsia="zh-CN" w:bidi="ar-SA"/>
              </w:rPr>
              <w:t>擦拭纸</w:t>
            </w:r>
            <w:r>
              <w:rPr>
                <w:rFonts w:hint="default" w:ascii="Times New Roman" w:hAnsi="Times New Roman" w:eastAsia="宋体" w:cs="宋体"/>
                <w:color w:val="auto"/>
                <w:kern w:val="2"/>
                <w:sz w:val="24"/>
                <w:szCs w:val="24"/>
                <w:lang w:val="en-US" w:eastAsia="zh-CN" w:bidi="ar-SA"/>
              </w:rPr>
              <w:t>产生量为0.0</w:t>
            </w:r>
            <w:r>
              <w:rPr>
                <w:rFonts w:hint="eastAsia" w:cs="宋体"/>
                <w:color w:val="auto"/>
                <w:kern w:val="2"/>
                <w:sz w:val="24"/>
                <w:szCs w:val="24"/>
                <w:lang w:val="en-US" w:eastAsia="zh-CN" w:bidi="ar-SA"/>
              </w:rPr>
              <w:t>03</w:t>
            </w:r>
            <w:r>
              <w:rPr>
                <w:rFonts w:hint="default" w:ascii="Times New Roman" w:hAnsi="Times New Roman" w:eastAsia="宋体" w:cs="宋体"/>
                <w:color w:val="auto"/>
                <w:kern w:val="2"/>
                <w:sz w:val="24"/>
                <w:szCs w:val="24"/>
                <w:lang w:val="en-US" w:eastAsia="zh-CN" w:bidi="ar-SA"/>
              </w:rPr>
              <w:t>t/a。</w:t>
            </w:r>
          </w:p>
          <w:p w14:paraId="7FCCE0E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（7）废包装容器</w:t>
            </w:r>
          </w:p>
          <w:p w14:paraId="2417440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废包装容器</w:t>
            </w:r>
            <w:r>
              <w:rPr>
                <w:rFonts w:hint="default" w:ascii="Times New Roman" w:hAnsi="Times New Roman" w:eastAsia="宋体" w:cs="宋体"/>
                <w:color w:val="auto"/>
                <w:kern w:val="2"/>
                <w:sz w:val="24"/>
                <w:szCs w:val="24"/>
                <w:lang w:val="en-US" w:eastAsia="zh-CN" w:bidi="ar-SA"/>
              </w:rPr>
              <w:t>主要是使用完乙醇、乙醚、丙酮等有机溶剂的空玻璃瓶，</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药水的塑料桶</w:t>
            </w:r>
            <w:r>
              <w:rPr>
                <w:rFonts w:hint="eastAsia" w:cs="宋体"/>
                <w:color w:val="auto"/>
                <w:kern w:val="2"/>
                <w:sz w:val="24"/>
                <w:szCs w:val="24"/>
                <w:lang w:val="en-US" w:eastAsia="zh-CN" w:bidi="ar-SA"/>
              </w:rPr>
              <w:t>等废包装容器</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本项目</w:t>
            </w:r>
            <w:r>
              <w:rPr>
                <w:rFonts w:hint="eastAsia" w:ascii="Times New Roman" w:hAnsi="Times New Roman" w:eastAsia="宋体" w:cs="宋体"/>
                <w:color w:val="auto"/>
                <w:kern w:val="2"/>
                <w:sz w:val="24"/>
                <w:szCs w:val="24"/>
                <w:lang w:val="en-US" w:eastAsia="zh-CN" w:bidi="ar-SA"/>
              </w:rPr>
              <w:t>废包装容器</w:t>
            </w:r>
            <w:r>
              <w:rPr>
                <w:rFonts w:hint="default" w:ascii="Times New Roman" w:hAnsi="Times New Roman" w:eastAsia="宋体" w:cs="宋体"/>
                <w:color w:val="auto"/>
                <w:kern w:val="2"/>
                <w:sz w:val="24"/>
                <w:szCs w:val="24"/>
                <w:lang w:val="en-US" w:eastAsia="zh-CN" w:bidi="ar-SA"/>
              </w:rPr>
              <w:t>产生量为0.</w:t>
            </w:r>
            <w:r>
              <w:rPr>
                <w:rFonts w:hint="eastAsia"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t/a，属于危险废物，对照</w:t>
            </w:r>
            <w:r>
              <w:rPr>
                <w:rFonts w:hint="eastAsia" w:ascii="Times New Roman" w:hAnsi="Times New Roman" w:eastAsia="宋体" w:cs="宋体"/>
                <w:color w:val="auto"/>
                <w:kern w:val="2"/>
                <w:sz w:val="24"/>
                <w:szCs w:val="24"/>
                <w:lang w:val="en-US" w:eastAsia="zh-CN" w:bidi="ar-SA"/>
              </w:rPr>
              <w:t>《国家危险废物名录》（2025年版）</w:t>
            </w:r>
            <w:r>
              <w:rPr>
                <w:rFonts w:hint="default" w:ascii="Times New Roman" w:hAnsi="Times New Roman" w:eastAsia="宋体" w:cs="宋体"/>
                <w:color w:val="auto"/>
                <w:kern w:val="2"/>
                <w:sz w:val="24"/>
                <w:szCs w:val="24"/>
                <w:lang w:val="en-US" w:eastAsia="zh-CN" w:bidi="ar-SA"/>
              </w:rPr>
              <w:t>中所列的危险</w:t>
            </w:r>
            <w:r>
              <w:rPr>
                <w:rFonts w:hint="eastAsia" w:ascii="Times New Roman" w:hAnsi="Times New Roman" w:eastAsia="宋体" w:cs="宋体"/>
                <w:color w:val="auto"/>
                <w:kern w:val="2"/>
                <w:sz w:val="24"/>
                <w:szCs w:val="24"/>
                <w:lang w:val="en-US" w:eastAsia="zh-CN" w:bidi="ar-SA"/>
              </w:rPr>
              <w:t>废物</w:t>
            </w:r>
            <w:r>
              <w:rPr>
                <w:rFonts w:hint="default" w:ascii="Times New Roman" w:hAnsi="Times New Roman" w:eastAsia="宋体" w:cs="宋体"/>
                <w:color w:val="auto"/>
                <w:kern w:val="2"/>
                <w:sz w:val="24"/>
                <w:szCs w:val="24"/>
                <w:lang w:val="en-US" w:eastAsia="zh-CN" w:bidi="ar-SA"/>
              </w:rPr>
              <w:t>，有机溶剂废玻璃瓶废物类别为HW49其他废物，废物代码900-041-49，妥善收集后临时储存于危险废物暂存间，定期委托有资质的单位处理处置</w:t>
            </w:r>
            <w:r>
              <w:rPr>
                <w:rFonts w:hint="eastAsia" w:ascii="Times New Roman" w:hAnsi="Times New Roman" w:eastAsia="宋体" w:cs="宋体"/>
                <w:color w:val="auto"/>
                <w:kern w:val="2"/>
                <w:sz w:val="24"/>
                <w:szCs w:val="24"/>
                <w:lang w:val="en-US" w:eastAsia="zh-CN" w:bidi="ar-SA"/>
              </w:rPr>
              <w:t>。</w:t>
            </w:r>
          </w:p>
          <w:p w14:paraId="44FA1DC3">
            <w:pPr>
              <w:widowControl w:val="0"/>
              <w:numPr>
                <w:ilvl w:val="0"/>
                <w:numId w:val="0"/>
              </w:numPr>
              <w:bidi w:val="0"/>
              <w:spacing w:line="360" w:lineRule="auto"/>
              <w:ind w:firstLine="480" w:firstLineChars="200"/>
              <w:jc w:val="both"/>
              <w:rPr>
                <w:rFonts w:hint="default"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w:t>
            </w:r>
            <w:r>
              <w:rPr>
                <w:rFonts w:hint="eastAsia" w:ascii="Times New Roman" w:hAnsi="Times New Roman" w:cs="宋体"/>
                <w:color w:val="auto"/>
                <w:kern w:val="2"/>
                <w:sz w:val="24"/>
                <w:szCs w:val="24"/>
                <w:highlight w:val="none"/>
                <w:lang w:val="en-US" w:eastAsia="zh-CN" w:bidi="ar-SA"/>
              </w:rPr>
              <w:t>8</w:t>
            </w: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废磨削液及污泥</w:t>
            </w:r>
          </w:p>
          <w:p w14:paraId="06913C4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废</w:t>
            </w:r>
            <w:r>
              <w:rPr>
                <w:rFonts w:hint="eastAsia" w:cs="宋体"/>
                <w:color w:val="auto"/>
                <w:kern w:val="2"/>
                <w:sz w:val="24"/>
                <w:szCs w:val="24"/>
                <w:lang w:val="en-US" w:eastAsia="zh-CN" w:bidi="ar-SA"/>
              </w:rPr>
              <w:t>磨削液及污泥</w:t>
            </w:r>
            <w:r>
              <w:rPr>
                <w:rFonts w:hint="eastAsia" w:ascii="Times New Roman" w:hAnsi="Times New Roman" w:eastAsia="宋体" w:cs="宋体"/>
                <w:color w:val="auto"/>
                <w:kern w:val="2"/>
                <w:sz w:val="24"/>
                <w:szCs w:val="24"/>
                <w:lang w:val="en-US" w:eastAsia="zh-CN" w:bidi="ar-SA"/>
              </w:rPr>
              <w:t>产生量为0.</w:t>
            </w:r>
            <w:r>
              <w:rPr>
                <w:rFonts w:hint="eastAsia" w:cs="宋体"/>
                <w:color w:val="auto"/>
                <w:kern w:val="2"/>
                <w:sz w:val="24"/>
                <w:szCs w:val="24"/>
                <w:lang w:val="en-US" w:eastAsia="zh-CN" w:bidi="ar-SA"/>
              </w:rPr>
              <w:t>05</w:t>
            </w:r>
            <w:r>
              <w:rPr>
                <w:rFonts w:hint="eastAsia" w:ascii="Times New Roman" w:hAnsi="Times New Roman" w:eastAsia="宋体" w:cs="宋体"/>
                <w:color w:val="auto"/>
                <w:kern w:val="2"/>
                <w:sz w:val="24"/>
                <w:szCs w:val="24"/>
                <w:lang w:val="en-US" w:eastAsia="zh-CN" w:bidi="ar-SA"/>
              </w:rPr>
              <w:t>t/a。检索《国家危险废物名录》（2025年版），废</w:t>
            </w:r>
            <w:r>
              <w:rPr>
                <w:rFonts w:hint="eastAsia" w:cs="宋体"/>
                <w:color w:val="auto"/>
                <w:kern w:val="2"/>
                <w:sz w:val="24"/>
                <w:szCs w:val="24"/>
                <w:lang w:val="en-US" w:eastAsia="zh-CN" w:bidi="ar-SA"/>
              </w:rPr>
              <w:t>磨削液及污泥</w:t>
            </w:r>
            <w:r>
              <w:rPr>
                <w:rFonts w:hint="eastAsia" w:ascii="Times New Roman" w:hAnsi="Times New Roman" w:eastAsia="宋体" w:cs="宋体"/>
                <w:color w:val="auto"/>
                <w:kern w:val="2"/>
                <w:sz w:val="24"/>
                <w:szCs w:val="24"/>
                <w:lang w:val="en-US" w:eastAsia="zh-CN" w:bidi="ar-SA"/>
              </w:rPr>
              <w:t>属危险废物，废物类别HW09油/水、烃/水混合物或者乳化液，危废代码900-006-09，应用专门容器收集后临时储存于危险废物贮存间，委托有资质的单位处理处置。</w:t>
            </w:r>
          </w:p>
          <w:p w14:paraId="28FD0EB6">
            <w:pPr>
              <w:pStyle w:val="22"/>
              <w:bidi w:val="0"/>
              <w:ind w:firstLine="480" w:firstLineChars="200"/>
              <w:rPr>
                <w:rFonts w:hint="eastAsia" w:cs="宋体"/>
                <w:color w:val="auto"/>
                <w:kern w:val="2"/>
                <w:sz w:val="24"/>
                <w:szCs w:val="24"/>
                <w:highlight w:val="none"/>
                <w:lang w:val="en-US" w:eastAsia="zh-CN" w:bidi="ar-SA"/>
              </w:rPr>
            </w:pPr>
            <w:r>
              <w:rPr>
                <w:rFonts w:hint="eastAsia" w:cs="宋体"/>
                <w:color w:val="auto"/>
                <w:kern w:val="2"/>
                <w:sz w:val="24"/>
                <w:szCs w:val="24"/>
                <w:lang w:val="en-US" w:eastAsia="zh-CN" w:bidi="ar-SA"/>
              </w:rPr>
              <w:t>（9）</w:t>
            </w:r>
            <w:r>
              <w:rPr>
                <w:rFonts w:hint="eastAsia" w:cs="宋体"/>
                <w:color w:val="auto"/>
                <w:kern w:val="2"/>
                <w:sz w:val="24"/>
                <w:szCs w:val="24"/>
                <w:highlight w:val="none"/>
                <w:lang w:val="en-US" w:eastAsia="zh-CN" w:bidi="ar-SA"/>
              </w:rPr>
              <w:t>炉渣</w:t>
            </w:r>
          </w:p>
          <w:p w14:paraId="3DF6FC0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cs="宋体"/>
                <w:color w:val="auto"/>
                <w:kern w:val="2"/>
                <w:sz w:val="24"/>
                <w:szCs w:val="24"/>
                <w:lang w:val="en-US" w:eastAsia="zh-CN" w:bidi="ar-SA"/>
              </w:rPr>
              <w:t>生产过程烧结中产生的熔固态炉渣及未结晶的渣中成分比较复杂，含有危险废物</w:t>
            </w:r>
            <w:r>
              <w:rPr>
                <w:rFonts w:hint="eastAsia" w:cs="宋体"/>
                <w:color w:val="auto"/>
                <w:kern w:val="2"/>
                <w:sz w:val="24"/>
                <w:szCs w:val="24"/>
                <w:lang w:val="en-US" w:eastAsia="zh-CN" w:bidi="ar-SA"/>
              </w:rPr>
              <w:t>，根据同行业类别分析，炉渣产生量为0.05t/a。根据《国家危险废物名录》（2025年版）</w:t>
            </w:r>
            <w:r>
              <w:rPr>
                <w:rFonts w:hint="eastAsia" w:eastAsia="宋体" w:cs="宋体"/>
                <w:color w:val="auto"/>
                <w:kern w:val="2"/>
                <w:sz w:val="24"/>
                <w:szCs w:val="24"/>
                <w:lang w:val="en-US" w:eastAsia="zh-CN" w:bidi="ar-SA"/>
              </w:rPr>
              <w:t>，炉渣废物类别为</w:t>
            </w:r>
            <w:r>
              <w:rPr>
                <w:rFonts w:hint="default" w:eastAsia="宋体" w:cs="宋体"/>
                <w:color w:val="auto"/>
                <w:kern w:val="2"/>
                <w:sz w:val="24"/>
                <w:szCs w:val="24"/>
                <w:lang w:val="en-US" w:eastAsia="zh-CN" w:bidi="ar-SA"/>
              </w:rPr>
              <w:t>炉渣废物类别为HW49其他废物，废物代码：900</w:t>
            </w:r>
            <w:r>
              <w:rPr>
                <w:rFonts w:hint="default" w:eastAsia="宋体" w:cs="宋体"/>
                <w:color w:val="auto"/>
                <w:kern w:val="2"/>
                <w:sz w:val="24"/>
                <w:szCs w:val="24"/>
                <w:lang w:val="en-US" w:eastAsia="zh-CN" w:bidi="ar-SA"/>
              </w:rPr>
              <w:noBreakHyphen/>
            </w:r>
            <w:r>
              <w:rPr>
                <w:rFonts w:hint="default" w:eastAsia="宋体" w:cs="宋体"/>
                <w:color w:val="auto"/>
                <w:kern w:val="2"/>
                <w:sz w:val="24"/>
                <w:szCs w:val="24"/>
                <w:lang w:val="en-US" w:eastAsia="zh-CN" w:bidi="ar-SA"/>
              </w:rPr>
              <w:t>047</w:t>
            </w:r>
            <w:r>
              <w:rPr>
                <w:rFonts w:hint="default" w:eastAsia="宋体" w:cs="宋体"/>
                <w:color w:val="auto"/>
                <w:kern w:val="2"/>
                <w:sz w:val="24"/>
                <w:szCs w:val="24"/>
                <w:lang w:val="en-US" w:eastAsia="zh-CN" w:bidi="ar-SA"/>
              </w:rPr>
              <w:noBreakHyphen/>
            </w:r>
            <w:r>
              <w:rPr>
                <w:rFonts w:hint="default" w:eastAsia="宋体" w:cs="宋体"/>
                <w:color w:val="auto"/>
                <w:kern w:val="2"/>
                <w:sz w:val="24"/>
                <w:szCs w:val="24"/>
                <w:lang w:val="en-US" w:eastAsia="zh-CN" w:bidi="ar-SA"/>
              </w:rPr>
              <w:t>49</w:t>
            </w:r>
            <w:r>
              <w:rPr>
                <w:rFonts w:hint="eastAsia" w:eastAsia="宋体" w:cs="宋体"/>
                <w:color w:val="auto"/>
                <w:kern w:val="2"/>
                <w:sz w:val="24"/>
                <w:szCs w:val="24"/>
                <w:lang w:val="en-US" w:eastAsia="zh-CN" w:bidi="ar-SA"/>
              </w:rPr>
              <w:t>。妥善收集后贮存</w:t>
            </w:r>
            <w:r>
              <w:rPr>
                <w:rFonts w:hint="eastAsia" w:cs="宋体"/>
                <w:color w:val="auto"/>
                <w:kern w:val="2"/>
                <w:sz w:val="24"/>
                <w:szCs w:val="24"/>
                <w:lang w:val="en-US" w:eastAsia="zh-CN" w:bidi="ar-SA"/>
              </w:rPr>
              <w:t>至危废间中，定期委托有危废处置资质单位进行处理。</w:t>
            </w:r>
          </w:p>
          <w:p w14:paraId="0976FE53">
            <w:pPr>
              <w:pStyle w:val="22"/>
              <w:bidi w:val="0"/>
              <w:ind w:firstLine="480" w:firstLineChars="200"/>
              <w:rPr>
                <w:rFonts w:hint="eastAsia"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（10）废机油</w:t>
            </w:r>
          </w:p>
          <w:p w14:paraId="04AC6ADC">
            <w:pPr>
              <w:pStyle w:val="25"/>
              <w:ind w:firstLine="480" w:firstLineChars="200"/>
              <w:rPr>
                <w:rFonts w:hint="default"/>
                <w:color w:val="auto"/>
                <w:lang w:val="en-US" w:eastAsia="zh-CN"/>
              </w:rPr>
            </w:pPr>
            <w:r>
              <w:rPr>
                <w:rFonts w:hint="eastAsia" w:cs="宋体"/>
                <w:color w:val="auto"/>
                <w:kern w:val="2"/>
                <w:sz w:val="24"/>
                <w:szCs w:val="24"/>
                <w:highlight w:val="none"/>
                <w:lang w:val="en-US" w:eastAsia="zh-CN" w:bidi="ar-SA"/>
              </w:rPr>
              <w:t>废机油产生量为0.05t/a</w:t>
            </w:r>
            <w:r>
              <w:rPr>
                <w:rFonts w:hint="eastAsia" w:ascii="Times New Roman" w:hAnsi="Times New Roman" w:eastAsia="宋体" w:cs="宋体"/>
                <w:color w:val="auto"/>
                <w:kern w:val="2"/>
                <w:sz w:val="24"/>
                <w:szCs w:val="24"/>
                <w:highlight w:val="none"/>
                <w:lang w:val="en-US" w:eastAsia="zh-CN" w:bidi="ar-SA"/>
              </w:rPr>
              <w:t>。检索《国家危险废物名录》（2025年版），废物类别HW08废矿物油与含矿物油废物，危废代码900-214-08，生产设备</w:t>
            </w:r>
            <w:r>
              <w:rPr>
                <w:rFonts w:hint="eastAsia" w:cs="宋体"/>
                <w:color w:val="auto"/>
                <w:kern w:val="2"/>
                <w:sz w:val="24"/>
                <w:szCs w:val="24"/>
                <w:highlight w:val="none"/>
                <w:lang w:val="en-US" w:eastAsia="zh-CN" w:bidi="ar-SA"/>
              </w:rPr>
              <w:t>检修时会产生废机油，生产设备由设备厂商进行维修，由设备厂商进行更换并转运，由设备厂商进行委托有危废处置资质的单位进行处置。</w:t>
            </w:r>
          </w:p>
          <w:p w14:paraId="1C427E5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11</w:t>
            </w:r>
            <w:r>
              <w:rPr>
                <w:rFonts w:hint="eastAsia" w:ascii="Times New Roman" w:hAnsi="Times New Roman" w:eastAsia="宋体" w:cs="宋体"/>
                <w:color w:val="auto"/>
                <w:kern w:val="2"/>
                <w:sz w:val="24"/>
                <w:szCs w:val="24"/>
                <w:lang w:val="en-US" w:eastAsia="zh-CN" w:bidi="ar-SA"/>
              </w:rPr>
              <w:t>）生活垃圾</w:t>
            </w:r>
          </w:p>
          <w:p w14:paraId="7B8A352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职工生活垃圾</w:t>
            </w:r>
          </w:p>
          <w:p w14:paraId="2425A54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w:t>
            </w:r>
            <w:r>
              <w:rPr>
                <w:rFonts w:hint="eastAsia" w:cs="宋体"/>
                <w:color w:val="auto"/>
                <w:kern w:val="2"/>
                <w:sz w:val="24"/>
                <w:szCs w:val="24"/>
                <w:lang w:val="en-US" w:eastAsia="zh-CN" w:bidi="ar-SA"/>
              </w:rPr>
              <w:t>新增</w:t>
            </w:r>
            <w:r>
              <w:rPr>
                <w:rFonts w:hint="default" w:ascii="Times New Roman" w:hAnsi="Times New Roman" w:eastAsia="宋体" w:cs="宋体"/>
                <w:color w:val="auto"/>
                <w:kern w:val="2"/>
                <w:sz w:val="24"/>
                <w:szCs w:val="24"/>
                <w:lang w:val="en-US" w:eastAsia="zh-CN" w:bidi="ar-SA"/>
              </w:rPr>
              <w:t>员工共</w:t>
            </w:r>
            <w:r>
              <w:rPr>
                <w:rFonts w:hint="eastAsia" w:cs="宋体"/>
                <w:color w:val="auto"/>
                <w:kern w:val="2"/>
                <w:sz w:val="24"/>
                <w:szCs w:val="24"/>
                <w:lang w:val="en-US" w:eastAsia="zh-CN" w:bidi="ar-SA"/>
              </w:rPr>
              <w:t>200</w:t>
            </w:r>
            <w:r>
              <w:rPr>
                <w:rFonts w:hint="default" w:ascii="Times New Roman" w:hAnsi="Times New Roman" w:eastAsia="宋体" w:cs="宋体"/>
                <w:color w:val="auto"/>
                <w:kern w:val="2"/>
                <w:sz w:val="24"/>
                <w:szCs w:val="24"/>
                <w:lang w:val="en-US" w:eastAsia="zh-CN" w:bidi="ar-SA"/>
              </w:rPr>
              <w:t>人，均不住厂，不住厂员工生活垃圾产生系数按0.5kg/人·天计，年工作天数为</w:t>
            </w:r>
            <w:r>
              <w:rPr>
                <w:rFonts w:hint="eastAsia" w:cs="宋体"/>
                <w:color w:val="auto"/>
                <w:kern w:val="2"/>
                <w:sz w:val="24"/>
                <w:szCs w:val="24"/>
                <w:lang w:val="en-US" w:eastAsia="zh-CN" w:bidi="ar-SA"/>
              </w:rPr>
              <w:t>260</w:t>
            </w:r>
            <w:r>
              <w:rPr>
                <w:rFonts w:hint="default" w:ascii="Times New Roman" w:hAnsi="Times New Roman" w:eastAsia="宋体" w:cs="宋体"/>
                <w:color w:val="auto"/>
                <w:kern w:val="2"/>
                <w:sz w:val="24"/>
                <w:szCs w:val="24"/>
                <w:lang w:val="en-US" w:eastAsia="zh-CN" w:bidi="ar-SA"/>
              </w:rPr>
              <w:t>天，则员工生活垃圾产生量为</w:t>
            </w:r>
            <w:r>
              <w:rPr>
                <w:rFonts w:hint="eastAsia" w:cs="宋体"/>
                <w:color w:val="auto"/>
                <w:kern w:val="2"/>
                <w:sz w:val="24"/>
                <w:szCs w:val="24"/>
                <w:lang w:val="en-US" w:eastAsia="zh-CN" w:bidi="ar-SA"/>
              </w:rPr>
              <w:t>26t</w:t>
            </w:r>
            <w:r>
              <w:rPr>
                <w:rFonts w:hint="default" w:ascii="Times New Roman" w:hAnsi="Times New Roman" w:eastAsia="宋体" w:cs="宋体"/>
                <w:color w:val="auto"/>
                <w:kern w:val="2"/>
                <w:sz w:val="24"/>
                <w:szCs w:val="24"/>
                <w:lang w:val="en-US" w:eastAsia="zh-CN" w:bidi="ar-SA"/>
              </w:rPr>
              <w:t>/a。生活垃圾统一收集后委托当地环卫部门处置。</w:t>
            </w:r>
          </w:p>
          <w:p w14:paraId="13F37743">
            <w:pPr>
              <w:widowControl w:val="0"/>
              <w:bidi w:val="0"/>
              <w:adjustRightInd w:val="0"/>
              <w:snapToGrid w:val="0"/>
              <w:spacing w:before="10" w:beforeLines="10" w:after="10" w:afterLines="10"/>
              <w:ind w:firstLine="482" w:firstLineChars="20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表4.4-1</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本次项目一般工业固体废物和生活垃圾产生处置一览表</w:t>
            </w:r>
          </w:p>
          <w:tbl>
            <w:tblPr>
              <w:tblStyle w:val="19"/>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52"/>
              <w:gridCol w:w="1204"/>
              <w:gridCol w:w="1192"/>
              <w:gridCol w:w="1467"/>
              <w:gridCol w:w="977"/>
              <w:gridCol w:w="2374"/>
            </w:tblGrid>
            <w:tr w14:paraId="38762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5334FD5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产生环节</w:t>
                  </w:r>
                </w:p>
              </w:tc>
              <w:tc>
                <w:tcPr>
                  <w:tcW w:w="711" w:type="pct"/>
                  <w:tcBorders>
                    <w:tl2br w:val="nil"/>
                    <w:tr2bl w:val="nil"/>
                  </w:tcBorders>
                  <w:noWrap w:val="0"/>
                  <w:vAlign w:val="center"/>
                </w:tcPr>
                <w:p w14:paraId="5B15021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固废名称</w:t>
                  </w:r>
                </w:p>
              </w:tc>
              <w:tc>
                <w:tcPr>
                  <w:tcW w:w="704" w:type="pct"/>
                  <w:tcBorders>
                    <w:tl2br w:val="nil"/>
                    <w:tr2bl w:val="nil"/>
                  </w:tcBorders>
                  <w:noWrap w:val="0"/>
                  <w:vAlign w:val="center"/>
                </w:tcPr>
                <w:p w14:paraId="0348E89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物理性状</w:t>
                  </w:r>
                </w:p>
              </w:tc>
              <w:tc>
                <w:tcPr>
                  <w:tcW w:w="866" w:type="pct"/>
                  <w:tcBorders>
                    <w:tl2br w:val="nil"/>
                    <w:tr2bl w:val="nil"/>
                  </w:tcBorders>
                  <w:noWrap w:val="0"/>
                  <w:vAlign w:val="center"/>
                </w:tcPr>
                <w:p w14:paraId="1B6B60F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固废属性</w:t>
                  </w:r>
                </w:p>
              </w:tc>
              <w:tc>
                <w:tcPr>
                  <w:tcW w:w="577" w:type="pct"/>
                  <w:tcBorders>
                    <w:tl2br w:val="nil"/>
                    <w:tr2bl w:val="nil"/>
                  </w:tcBorders>
                  <w:noWrap w:val="0"/>
                  <w:vAlign w:val="center"/>
                </w:tcPr>
                <w:p w14:paraId="34D68BB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产生量（t/a）</w:t>
                  </w:r>
                </w:p>
              </w:tc>
              <w:tc>
                <w:tcPr>
                  <w:tcW w:w="1401" w:type="pct"/>
                  <w:tcBorders>
                    <w:tl2br w:val="nil"/>
                    <w:tr2bl w:val="nil"/>
                  </w:tcBorders>
                  <w:noWrap w:val="0"/>
                  <w:vAlign w:val="center"/>
                </w:tcPr>
                <w:p w14:paraId="5851F39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处置方式</w:t>
                  </w:r>
                </w:p>
              </w:tc>
            </w:tr>
            <w:tr w14:paraId="3421A2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702D2F1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抛光</w:t>
                  </w:r>
                </w:p>
              </w:tc>
              <w:tc>
                <w:tcPr>
                  <w:tcW w:w="711" w:type="pct"/>
                  <w:tcBorders>
                    <w:tl2br w:val="nil"/>
                    <w:tr2bl w:val="nil"/>
                  </w:tcBorders>
                  <w:noWrap w:val="0"/>
                  <w:vAlign w:val="center"/>
                </w:tcPr>
                <w:p w14:paraId="55B6D34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抛光残渣</w:t>
                  </w:r>
                </w:p>
              </w:tc>
              <w:tc>
                <w:tcPr>
                  <w:tcW w:w="704" w:type="pct"/>
                  <w:tcBorders>
                    <w:tl2br w:val="nil"/>
                    <w:tr2bl w:val="nil"/>
                  </w:tcBorders>
                  <w:noWrap w:val="0"/>
                  <w:vAlign w:val="center"/>
                </w:tcPr>
                <w:p w14:paraId="4D71D71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643BC58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259CE8D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0.2</w:t>
                  </w:r>
                </w:p>
              </w:tc>
              <w:tc>
                <w:tcPr>
                  <w:tcW w:w="1401" w:type="pct"/>
                  <w:tcBorders>
                    <w:tl2br w:val="nil"/>
                    <w:tr2bl w:val="nil"/>
                  </w:tcBorders>
                  <w:noWrap w:val="0"/>
                  <w:vAlign w:val="center"/>
                </w:tcPr>
                <w:p w14:paraId="5C9530F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7485D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3C84A8F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粗磨</w:t>
                  </w:r>
                </w:p>
              </w:tc>
              <w:tc>
                <w:tcPr>
                  <w:tcW w:w="711" w:type="pct"/>
                  <w:tcBorders>
                    <w:tl2br w:val="nil"/>
                    <w:tr2bl w:val="nil"/>
                  </w:tcBorders>
                  <w:noWrap w:val="0"/>
                  <w:vAlign w:val="center"/>
                </w:tcPr>
                <w:p w14:paraId="7A58C8F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废边角料</w:t>
                  </w:r>
                </w:p>
              </w:tc>
              <w:tc>
                <w:tcPr>
                  <w:tcW w:w="704" w:type="pct"/>
                  <w:tcBorders>
                    <w:tl2br w:val="nil"/>
                    <w:tr2bl w:val="nil"/>
                  </w:tcBorders>
                  <w:noWrap w:val="0"/>
                  <w:vAlign w:val="center"/>
                </w:tcPr>
                <w:p w14:paraId="5297FEE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4A6D7F5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0625270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0.</w:t>
                  </w:r>
                  <w:r>
                    <w:rPr>
                      <w:rFonts w:hint="eastAsia" w:cs="Times New Roman"/>
                      <w:color w:val="auto"/>
                      <w:kern w:val="0"/>
                      <w:sz w:val="21"/>
                      <w:szCs w:val="20"/>
                      <w:lang w:val="en-US" w:eastAsia="zh-CN" w:bidi="ar-SA"/>
                    </w:rPr>
                    <w:t>2</w:t>
                  </w:r>
                </w:p>
              </w:tc>
              <w:tc>
                <w:tcPr>
                  <w:tcW w:w="1401" w:type="pct"/>
                  <w:tcBorders>
                    <w:tl2br w:val="nil"/>
                    <w:tr2bl w:val="nil"/>
                  </w:tcBorders>
                  <w:noWrap w:val="0"/>
                  <w:vAlign w:val="center"/>
                </w:tcPr>
                <w:p w14:paraId="13F4013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妥善收集后外售给其他企业回收综合利用</w:t>
                  </w:r>
                </w:p>
              </w:tc>
            </w:tr>
            <w:tr w14:paraId="17F17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38227D4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沉淀</w:t>
                  </w:r>
                </w:p>
              </w:tc>
              <w:tc>
                <w:tcPr>
                  <w:tcW w:w="711" w:type="pct"/>
                  <w:tcBorders>
                    <w:tl2br w:val="nil"/>
                    <w:tr2bl w:val="nil"/>
                  </w:tcBorders>
                  <w:noWrap w:val="0"/>
                  <w:vAlign w:val="center"/>
                </w:tcPr>
                <w:p w14:paraId="5EA59DA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沉淀池污泥</w:t>
                  </w:r>
                </w:p>
              </w:tc>
              <w:tc>
                <w:tcPr>
                  <w:tcW w:w="704" w:type="pct"/>
                  <w:tcBorders>
                    <w:tl2br w:val="nil"/>
                    <w:tr2bl w:val="nil"/>
                  </w:tcBorders>
                  <w:noWrap w:val="0"/>
                  <w:vAlign w:val="center"/>
                </w:tcPr>
                <w:p w14:paraId="4CD2103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6BB0679C">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785F175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1.5</w:t>
                  </w:r>
                </w:p>
              </w:tc>
              <w:tc>
                <w:tcPr>
                  <w:tcW w:w="1401" w:type="pct"/>
                  <w:tcBorders>
                    <w:tl2br w:val="nil"/>
                    <w:tr2bl w:val="nil"/>
                  </w:tcBorders>
                  <w:noWrap w:val="0"/>
                  <w:vAlign w:val="center"/>
                </w:tcPr>
                <w:p w14:paraId="2319BCE6">
                  <w:pPr>
                    <w:pStyle w:val="30"/>
                    <w:bidi w:val="0"/>
                    <w:rPr>
                      <w:rFonts w:hint="default"/>
                      <w:color w:val="auto"/>
                      <w:lang w:val="en-US" w:eastAsia="zh-CN"/>
                    </w:rPr>
                  </w:pPr>
                  <w:r>
                    <w:rPr>
                      <w:rFonts w:hint="eastAsia"/>
                      <w:color w:val="auto"/>
                      <w:lang w:val="en-US" w:eastAsia="zh-CN"/>
                    </w:rPr>
                    <w:t>定期进行清掏，并由当地环卫部门统一清运处理</w:t>
                  </w:r>
                </w:p>
              </w:tc>
            </w:tr>
            <w:tr w14:paraId="52387D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6388B21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检测</w:t>
                  </w:r>
                </w:p>
              </w:tc>
              <w:tc>
                <w:tcPr>
                  <w:tcW w:w="711" w:type="pct"/>
                  <w:tcBorders>
                    <w:tl2br w:val="nil"/>
                    <w:tr2bl w:val="nil"/>
                  </w:tcBorders>
                  <w:noWrap w:val="0"/>
                  <w:vAlign w:val="center"/>
                </w:tcPr>
                <w:p w14:paraId="417EA88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不合格产品</w:t>
                  </w:r>
                </w:p>
              </w:tc>
              <w:tc>
                <w:tcPr>
                  <w:tcW w:w="704" w:type="pct"/>
                  <w:tcBorders>
                    <w:tl2br w:val="nil"/>
                    <w:tr2bl w:val="nil"/>
                  </w:tcBorders>
                  <w:noWrap w:val="0"/>
                  <w:vAlign w:val="center"/>
                </w:tcPr>
                <w:p w14:paraId="4F62BB9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685A975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641052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0.05</w:t>
                  </w:r>
                </w:p>
              </w:tc>
              <w:tc>
                <w:tcPr>
                  <w:tcW w:w="1401" w:type="pct"/>
                  <w:tcBorders>
                    <w:tl2br w:val="nil"/>
                    <w:tr2bl w:val="nil"/>
                  </w:tcBorders>
                  <w:noWrap w:val="0"/>
                  <w:vAlign w:val="center"/>
                </w:tcPr>
                <w:p w14:paraId="00452B9D">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6C01BE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70F7612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职工生活</w:t>
                  </w:r>
                </w:p>
              </w:tc>
              <w:tc>
                <w:tcPr>
                  <w:tcW w:w="711" w:type="pct"/>
                  <w:tcBorders>
                    <w:tl2br w:val="nil"/>
                    <w:tr2bl w:val="nil"/>
                  </w:tcBorders>
                  <w:noWrap w:val="0"/>
                  <w:vAlign w:val="center"/>
                </w:tcPr>
                <w:p w14:paraId="61DE1AB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生活垃圾</w:t>
                  </w:r>
                </w:p>
              </w:tc>
              <w:tc>
                <w:tcPr>
                  <w:tcW w:w="704" w:type="pct"/>
                  <w:tcBorders>
                    <w:tl2br w:val="nil"/>
                    <w:tr2bl w:val="nil"/>
                  </w:tcBorders>
                  <w:noWrap w:val="0"/>
                  <w:vAlign w:val="center"/>
                </w:tcPr>
                <w:p w14:paraId="1F97040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2AAF3F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生活垃圾</w:t>
                  </w:r>
                </w:p>
              </w:tc>
              <w:tc>
                <w:tcPr>
                  <w:tcW w:w="577" w:type="pct"/>
                  <w:tcBorders>
                    <w:tl2br w:val="nil"/>
                    <w:tr2bl w:val="nil"/>
                  </w:tcBorders>
                  <w:noWrap w:val="0"/>
                  <w:vAlign w:val="center"/>
                </w:tcPr>
                <w:p w14:paraId="06F59DE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26</w:t>
                  </w:r>
                </w:p>
              </w:tc>
              <w:tc>
                <w:tcPr>
                  <w:tcW w:w="1401" w:type="pct"/>
                  <w:tcBorders>
                    <w:tl2br w:val="nil"/>
                    <w:tr2bl w:val="nil"/>
                  </w:tcBorders>
                  <w:noWrap w:val="0"/>
                  <w:vAlign w:val="center"/>
                </w:tcPr>
                <w:p w14:paraId="6239563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委托环卫部门统一清运</w:t>
                  </w:r>
                </w:p>
              </w:tc>
            </w:tr>
          </w:tbl>
          <w:p w14:paraId="2119360D">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表4.4-2</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本次项目危险废物产生处置一览表</w:t>
            </w:r>
          </w:p>
          <w:tbl>
            <w:tblPr>
              <w:tblStyle w:val="19"/>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08"/>
              <w:gridCol w:w="1203"/>
              <w:gridCol w:w="767"/>
              <w:gridCol w:w="1183"/>
              <w:gridCol w:w="794"/>
              <w:gridCol w:w="633"/>
              <w:gridCol w:w="665"/>
              <w:gridCol w:w="650"/>
              <w:gridCol w:w="1022"/>
              <w:gridCol w:w="1037"/>
            </w:tblGrid>
            <w:tr w14:paraId="481E6C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6BCCB7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序号</w:t>
                  </w:r>
                </w:p>
              </w:tc>
              <w:tc>
                <w:tcPr>
                  <w:tcW w:w="711" w:type="pct"/>
                  <w:tcBorders>
                    <w:tl2br w:val="nil"/>
                    <w:tr2bl w:val="nil"/>
                  </w:tcBorders>
                  <w:noWrap w:val="0"/>
                  <w:vAlign w:val="center"/>
                </w:tcPr>
                <w:p w14:paraId="0C32C17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cs="Times New Roman"/>
                      <w:b/>
                      <w:bCs/>
                      <w:color w:val="auto"/>
                      <w:kern w:val="0"/>
                      <w:sz w:val="21"/>
                      <w:szCs w:val="20"/>
                      <w:lang w:val="en-US" w:eastAsia="zh-CN" w:bidi="ar-SA"/>
                    </w:rPr>
                    <w:t>危险废物</w:t>
                  </w:r>
                  <w:r>
                    <w:rPr>
                      <w:rFonts w:hint="eastAsia" w:ascii="Times New Roman" w:hAnsi="Times New Roman" w:eastAsia="宋体" w:cs="Times New Roman"/>
                      <w:b/>
                      <w:bCs/>
                      <w:color w:val="auto"/>
                      <w:kern w:val="0"/>
                      <w:sz w:val="21"/>
                      <w:szCs w:val="20"/>
                      <w:lang w:val="en-US" w:eastAsia="zh-CN" w:bidi="ar-SA"/>
                    </w:rPr>
                    <w:t>名称</w:t>
                  </w:r>
                </w:p>
              </w:tc>
              <w:tc>
                <w:tcPr>
                  <w:tcW w:w="453" w:type="pct"/>
                  <w:tcBorders>
                    <w:tl2br w:val="nil"/>
                    <w:tr2bl w:val="nil"/>
                  </w:tcBorders>
                  <w:noWrap w:val="0"/>
                  <w:vAlign w:val="center"/>
                </w:tcPr>
                <w:p w14:paraId="0C6A74E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cs="Times New Roman"/>
                      <w:b/>
                      <w:bCs/>
                      <w:color w:val="auto"/>
                      <w:kern w:val="0"/>
                      <w:sz w:val="21"/>
                      <w:szCs w:val="20"/>
                      <w:lang w:val="en-US" w:eastAsia="zh-CN" w:bidi="ar-SA"/>
                    </w:rPr>
                    <w:t>危险废物</w:t>
                  </w:r>
                  <w:r>
                    <w:rPr>
                      <w:rFonts w:hint="eastAsia" w:ascii="Times New Roman" w:hAnsi="Times New Roman" w:eastAsia="宋体" w:cs="Times New Roman"/>
                      <w:b/>
                      <w:bCs/>
                      <w:color w:val="auto"/>
                      <w:kern w:val="0"/>
                      <w:sz w:val="21"/>
                      <w:szCs w:val="20"/>
                      <w:lang w:val="en-US" w:eastAsia="zh-CN" w:bidi="ar-SA"/>
                    </w:rPr>
                    <w:t>类别</w:t>
                  </w:r>
                </w:p>
              </w:tc>
              <w:tc>
                <w:tcPr>
                  <w:tcW w:w="699" w:type="pct"/>
                  <w:tcBorders>
                    <w:tl2br w:val="nil"/>
                    <w:tr2bl w:val="nil"/>
                  </w:tcBorders>
                  <w:noWrap w:val="0"/>
                  <w:vAlign w:val="center"/>
                </w:tcPr>
                <w:p w14:paraId="200009D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cs="Times New Roman"/>
                      <w:b/>
                      <w:bCs/>
                      <w:color w:val="auto"/>
                      <w:kern w:val="0"/>
                      <w:sz w:val="21"/>
                      <w:szCs w:val="20"/>
                      <w:lang w:val="en-US" w:eastAsia="zh-CN" w:bidi="ar-SA"/>
                    </w:rPr>
                    <w:t>危险废物</w:t>
                  </w:r>
                  <w:r>
                    <w:rPr>
                      <w:rFonts w:hint="eastAsia" w:ascii="Times New Roman" w:hAnsi="Times New Roman" w:eastAsia="宋体" w:cs="Times New Roman"/>
                      <w:b/>
                      <w:bCs/>
                      <w:color w:val="auto"/>
                      <w:kern w:val="0"/>
                      <w:sz w:val="21"/>
                      <w:szCs w:val="20"/>
                      <w:lang w:val="en-US" w:eastAsia="zh-CN" w:bidi="ar-SA"/>
                    </w:rPr>
                    <w:t>代码</w:t>
                  </w:r>
                </w:p>
              </w:tc>
              <w:tc>
                <w:tcPr>
                  <w:tcW w:w="469" w:type="pct"/>
                  <w:tcBorders>
                    <w:tl2br w:val="nil"/>
                    <w:tr2bl w:val="nil"/>
                  </w:tcBorders>
                  <w:noWrap w:val="0"/>
                  <w:vAlign w:val="center"/>
                </w:tcPr>
                <w:p w14:paraId="40AEE3D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产生环节</w:t>
                  </w:r>
                </w:p>
              </w:tc>
              <w:tc>
                <w:tcPr>
                  <w:tcW w:w="374" w:type="pct"/>
                  <w:tcBorders>
                    <w:tl2br w:val="nil"/>
                    <w:tr2bl w:val="nil"/>
                  </w:tcBorders>
                  <w:noWrap w:val="0"/>
                  <w:vAlign w:val="center"/>
                </w:tcPr>
                <w:p w14:paraId="2F59AF9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状态</w:t>
                  </w:r>
                </w:p>
              </w:tc>
              <w:tc>
                <w:tcPr>
                  <w:tcW w:w="393" w:type="pct"/>
                  <w:tcBorders>
                    <w:tl2br w:val="nil"/>
                    <w:tr2bl w:val="nil"/>
                  </w:tcBorders>
                  <w:noWrap w:val="0"/>
                  <w:vAlign w:val="center"/>
                </w:tcPr>
                <w:p w14:paraId="2DAF6FB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主要成分</w:t>
                  </w:r>
                </w:p>
              </w:tc>
              <w:tc>
                <w:tcPr>
                  <w:tcW w:w="384" w:type="pct"/>
                  <w:tcBorders>
                    <w:tl2br w:val="nil"/>
                    <w:tr2bl w:val="nil"/>
                  </w:tcBorders>
                  <w:noWrap w:val="0"/>
                  <w:vAlign w:val="center"/>
                </w:tcPr>
                <w:p w14:paraId="771F81C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危险特性</w:t>
                  </w:r>
                </w:p>
              </w:tc>
              <w:tc>
                <w:tcPr>
                  <w:tcW w:w="604" w:type="pct"/>
                  <w:tcBorders>
                    <w:tl2br w:val="nil"/>
                    <w:tr2bl w:val="nil"/>
                  </w:tcBorders>
                  <w:noWrap w:val="0"/>
                  <w:vAlign w:val="center"/>
                </w:tcPr>
                <w:p w14:paraId="1F25162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产生量</w:t>
                  </w:r>
                </w:p>
              </w:tc>
              <w:tc>
                <w:tcPr>
                  <w:tcW w:w="609" w:type="pct"/>
                  <w:tcBorders>
                    <w:tl2br w:val="nil"/>
                    <w:tr2bl w:val="nil"/>
                  </w:tcBorders>
                  <w:noWrap w:val="0"/>
                  <w:vAlign w:val="center"/>
                </w:tcPr>
                <w:p w14:paraId="19AC8FA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处置措施</w:t>
                  </w:r>
                </w:p>
              </w:tc>
            </w:tr>
            <w:tr w14:paraId="521F6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8" w:hRule="atLeast"/>
                <w:jc w:val="center"/>
              </w:trPr>
              <w:tc>
                <w:tcPr>
                  <w:tcW w:w="300" w:type="pct"/>
                  <w:tcBorders>
                    <w:tl2br w:val="nil"/>
                    <w:tr2bl w:val="nil"/>
                  </w:tcBorders>
                  <w:noWrap w:val="0"/>
                  <w:vAlign w:val="center"/>
                </w:tcPr>
                <w:p w14:paraId="79280C1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w:t>
                  </w:r>
                </w:p>
              </w:tc>
              <w:tc>
                <w:tcPr>
                  <w:tcW w:w="711" w:type="pct"/>
                  <w:tcBorders>
                    <w:tl2br w:val="nil"/>
                    <w:tr2bl w:val="nil"/>
                  </w:tcBorders>
                  <w:noWrap w:val="0"/>
                  <w:vAlign w:val="center"/>
                </w:tcPr>
                <w:p w14:paraId="7FB7F24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废活性炭</w:t>
                  </w:r>
                </w:p>
              </w:tc>
              <w:tc>
                <w:tcPr>
                  <w:tcW w:w="453" w:type="pct"/>
                  <w:tcBorders>
                    <w:tl2br w:val="nil"/>
                    <w:tr2bl w:val="nil"/>
                  </w:tcBorders>
                  <w:noWrap w:val="0"/>
                  <w:vAlign w:val="center"/>
                </w:tcPr>
                <w:p w14:paraId="283EC68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HW49</w:t>
                  </w:r>
                </w:p>
              </w:tc>
              <w:tc>
                <w:tcPr>
                  <w:tcW w:w="699" w:type="pct"/>
                  <w:tcBorders>
                    <w:tl2br w:val="nil"/>
                    <w:tr2bl w:val="nil"/>
                  </w:tcBorders>
                  <w:noWrap w:val="0"/>
                  <w:vAlign w:val="center"/>
                </w:tcPr>
                <w:p w14:paraId="6ACB45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900-039-49</w:t>
                  </w:r>
                </w:p>
              </w:tc>
              <w:tc>
                <w:tcPr>
                  <w:tcW w:w="469" w:type="pct"/>
                  <w:tcBorders>
                    <w:tl2br w:val="nil"/>
                    <w:tr2bl w:val="nil"/>
                  </w:tcBorders>
                  <w:noWrap w:val="0"/>
                  <w:vAlign w:val="center"/>
                </w:tcPr>
                <w:p w14:paraId="3587241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废气治理</w:t>
                  </w:r>
                </w:p>
              </w:tc>
              <w:tc>
                <w:tcPr>
                  <w:tcW w:w="374" w:type="pct"/>
                  <w:tcBorders>
                    <w:tl2br w:val="nil"/>
                    <w:tr2bl w:val="nil"/>
                  </w:tcBorders>
                  <w:noWrap w:val="0"/>
                  <w:vAlign w:val="center"/>
                </w:tcPr>
                <w:p w14:paraId="36BAF2C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393" w:type="pct"/>
                  <w:tcBorders>
                    <w:tl2br w:val="nil"/>
                    <w:tr2bl w:val="nil"/>
                  </w:tcBorders>
                  <w:noWrap w:val="0"/>
                  <w:vAlign w:val="center"/>
                </w:tcPr>
                <w:p w14:paraId="7FF61FE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饱和活性炭、非甲烷总烃</w:t>
                  </w:r>
                </w:p>
              </w:tc>
              <w:tc>
                <w:tcPr>
                  <w:tcW w:w="384" w:type="pct"/>
                  <w:tcBorders>
                    <w:tl2br w:val="nil"/>
                    <w:tr2bl w:val="nil"/>
                  </w:tcBorders>
                  <w:noWrap w:val="0"/>
                  <w:vAlign w:val="center"/>
                </w:tcPr>
                <w:p w14:paraId="4C71B52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T/In</w:t>
                  </w:r>
                </w:p>
              </w:tc>
              <w:tc>
                <w:tcPr>
                  <w:tcW w:w="604" w:type="pct"/>
                  <w:tcBorders>
                    <w:tl2br w:val="nil"/>
                    <w:tr2bl w:val="nil"/>
                  </w:tcBorders>
                  <w:noWrap w:val="0"/>
                  <w:vAlign w:val="center"/>
                </w:tcPr>
                <w:p w14:paraId="3BABFF89">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7.161t/a</w:t>
                  </w:r>
                </w:p>
              </w:tc>
              <w:tc>
                <w:tcPr>
                  <w:tcW w:w="609" w:type="pct"/>
                  <w:vMerge w:val="restart"/>
                  <w:tcBorders>
                    <w:tl2br w:val="nil"/>
                    <w:tr2bl w:val="nil"/>
                  </w:tcBorders>
                  <w:noWrap w:val="0"/>
                  <w:vAlign w:val="center"/>
                </w:tcPr>
                <w:p w14:paraId="0CD1C2A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收集后暂存至厂区的</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贮存库中，定期委托有</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处置资质单位进行处理</w:t>
                  </w:r>
                </w:p>
              </w:tc>
            </w:tr>
            <w:tr w14:paraId="353EB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5D770C0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w:t>
                  </w:r>
                </w:p>
              </w:tc>
              <w:tc>
                <w:tcPr>
                  <w:tcW w:w="711" w:type="pct"/>
                  <w:tcBorders>
                    <w:tl2br w:val="nil"/>
                    <w:tr2bl w:val="nil"/>
                  </w:tcBorders>
                  <w:noWrap w:val="0"/>
                  <w:vAlign w:val="center"/>
                </w:tcPr>
                <w:p w14:paraId="056DA7F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废布和废</w:t>
                  </w:r>
                  <w:r>
                    <w:rPr>
                      <w:rFonts w:hint="eastAsia" w:cs="Times New Roman"/>
                      <w:color w:val="auto"/>
                      <w:kern w:val="0"/>
                      <w:sz w:val="21"/>
                      <w:szCs w:val="20"/>
                      <w:lang w:val="en-US" w:eastAsia="zh-CN" w:bidi="ar-SA"/>
                    </w:rPr>
                    <w:t>擦拭纸</w:t>
                  </w:r>
                </w:p>
              </w:tc>
              <w:tc>
                <w:tcPr>
                  <w:tcW w:w="453" w:type="pct"/>
                  <w:tcBorders>
                    <w:tl2br w:val="nil"/>
                    <w:tr2bl w:val="nil"/>
                  </w:tcBorders>
                  <w:noWrap w:val="0"/>
                  <w:vAlign w:val="center"/>
                </w:tcPr>
                <w:p w14:paraId="7C19543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HW49</w:t>
                  </w:r>
                </w:p>
              </w:tc>
              <w:tc>
                <w:tcPr>
                  <w:tcW w:w="699" w:type="pct"/>
                  <w:tcBorders>
                    <w:tl2br w:val="nil"/>
                    <w:tr2bl w:val="nil"/>
                  </w:tcBorders>
                  <w:noWrap w:val="0"/>
                  <w:vAlign w:val="center"/>
                </w:tcPr>
                <w:p w14:paraId="2DA54A1E">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900-041-49</w:t>
                  </w:r>
                </w:p>
              </w:tc>
              <w:tc>
                <w:tcPr>
                  <w:tcW w:w="469" w:type="pct"/>
                  <w:tcBorders>
                    <w:tl2br w:val="nil"/>
                    <w:tr2bl w:val="nil"/>
                  </w:tcBorders>
                  <w:noWrap w:val="0"/>
                  <w:vAlign w:val="center"/>
                </w:tcPr>
                <w:p w14:paraId="59CCE0E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擦拭检测</w:t>
                  </w:r>
                </w:p>
              </w:tc>
              <w:tc>
                <w:tcPr>
                  <w:tcW w:w="374" w:type="pct"/>
                  <w:tcBorders>
                    <w:tl2br w:val="nil"/>
                    <w:tr2bl w:val="nil"/>
                  </w:tcBorders>
                  <w:noWrap w:val="0"/>
                  <w:vAlign w:val="center"/>
                </w:tcPr>
                <w:p w14:paraId="0986C753">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393" w:type="pct"/>
                  <w:tcBorders>
                    <w:tl2br w:val="nil"/>
                    <w:tr2bl w:val="nil"/>
                  </w:tcBorders>
                  <w:noWrap w:val="0"/>
                  <w:vAlign w:val="center"/>
                </w:tcPr>
                <w:p w14:paraId="3A3D48BE">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有机溶剂</w:t>
                  </w:r>
                </w:p>
              </w:tc>
              <w:tc>
                <w:tcPr>
                  <w:tcW w:w="384" w:type="pct"/>
                  <w:tcBorders>
                    <w:tl2br w:val="nil"/>
                    <w:tr2bl w:val="nil"/>
                  </w:tcBorders>
                  <w:noWrap w:val="0"/>
                  <w:vAlign w:val="center"/>
                </w:tcPr>
                <w:p w14:paraId="59AE925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T/In</w:t>
                  </w:r>
                </w:p>
              </w:tc>
              <w:tc>
                <w:tcPr>
                  <w:tcW w:w="604" w:type="pct"/>
                  <w:tcBorders>
                    <w:tl2br w:val="nil"/>
                    <w:tr2bl w:val="nil"/>
                  </w:tcBorders>
                  <w:noWrap w:val="0"/>
                  <w:vAlign w:val="center"/>
                </w:tcPr>
                <w:p w14:paraId="6E9A7EDE">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0.003t/a</w:t>
                  </w:r>
                </w:p>
              </w:tc>
              <w:tc>
                <w:tcPr>
                  <w:tcW w:w="609" w:type="pct"/>
                  <w:vMerge w:val="continue"/>
                  <w:tcBorders>
                    <w:tl2br w:val="nil"/>
                    <w:tr2bl w:val="nil"/>
                  </w:tcBorders>
                  <w:noWrap w:val="0"/>
                  <w:vAlign w:val="center"/>
                </w:tcPr>
                <w:p w14:paraId="12C13C3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4742B3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69F5ED8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w:t>
                  </w:r>
                </w:p>
              </w:tc>
              <w:tc>
                <w:tcPr>
                  <w:tcW w:w="711" w:type="pct"/>
                  <w:tcBorders>
                    <w:tl2br w:val="nil"/>
                    <w:tr2bl w:val="nil"/>
                  </w:tcBorders>
                  <w:noWrap w:val="0"/>
                  <w:vAlign w:val="center"/>
                </w:tcPr>
                <w:p w14:paraId="62A4173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废包装容器</w:t>
                  </w:r>
                </w:p>
              </w:tc>
              <w:tc>
                <w:tcPr>
                  <w:tcW w:w="453" w:type="pct"/>
                  <w:tcBorders>
                    <w:tl2br w:val="nil"/>
                    <w:tr2bl w:val="nil"/>
                  </w:tcBorders>
                  <w:noWrap w:val="0"/>
                  <w:vAlign w:val="center"/>
                </w:tcPr>
                <w:p w14:paraId="61FAFAC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HW49</w:t>
                  </w:r>
                </w:p>
              </w:tc>
              <w:tc>
                <w:tcPr>
                  <w:tcW w:w="699" w:type="pct"/>
                  <w:tcBorders>
                    <w:tl2br w:val="nil"/>
                    <w:tr2bl w:val="nil"/>
                  </w:tcBorders>
                  <w:noWrap w:val="0"/>
                  <w:vAlign w:val="center"/>
                </w:tcPr>
                <w:p w14:paraId="71D0E2E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900-041-49</w:t>
                  </w:r>
                </w:p>
              </w:tc>
              <w:tc>
                <w:tcPr>
                  <w:tcW w:w="469" w:type="pct"/>
                  <w:tcBorders>
                    <w:tl2br w:val="nil"/>
                    <w:tr2bl w:val="nil"/>
                  </w:tcBorders>
                  <w:noWrap w:val="0"/>
                  <w:vAlign w:val="center"/>
                </w:tcPr>
                <w:p w14:paraId="365522C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w:t>
                  </w:r>
                </w:p>
              </w:tc>
              <w:tc>
                <w:tcPr>
                  <w:tcW w:w="374" w:type="pct"/>
                  <w:tcBorders>
                    <w:tl2br w:val="nil"/>
                    <w:tr2bl w:val="nil"/>
                  </w:tcBorders>
                  <w:noWrap w:val="0"/>
                  <w:vAlign w:val="center"/>
                </w:tcPr>
                <w:p w14:paraId="3396835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393" w:type="pct"/>
                  <w:tcBorders>
                    <w:tl2br w:val="nil"/>
                    <w:tr2bl w:val="nil"/>
                  </w:tcBorders>
                  <w:noWrap w:val="0"/>
                  <w:vAlign w:val="center"/>
                </w:tcPr>
                <w:p w14:paraId="47E122C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有机溶剂</w:t>
                  </w:r>
                </w:p>
              </w:tc>
              <w:tc>
                <w:tcPr>
                  <w:tcW w:w="384" w:type="pct"/>
                  <w:tcBorders>
                    <w:tl2br w:val="nil"/>
                    <w:tr2bl w:val="nil"/>
                  </w:tcBorders>
                  <w:noWrap w:val="0"/>
                  <w:vAlign w:val="center"/>
                </w:tcPr>
                <w:p w14:paraId="25BB732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T/In</w:t>
                  </w:r>
                </w:p>
              </w:tc>
              <w:tc>
                <w:tcPr>
                  <w:tcW w:w="604" w:type="pct"/>
                  <w:tcBorders>
                    <w:tl2br w:val="nil"/>
                    <w:tr2bl w:val="nil"/>
                  </w:tcBorders>
                  <w:noWrap w:val="0"/>
                  <w:vAlign w:val="center"/>
                </w:tcPr>
                <w:p w14:paraId="590A457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0.</w:t>
                  </w:r>
                  <w:r>
                    <w:rPr>
                      <w:rFonts w:hint="eastAsia" w:cs="Times New Roman"/>
                      <w:color w:val="auto"/>
                      <w:kern w:val="0"/>
                      <w:sz w:val="21"/>
                      <w:szCs w:val="20"/>
                      <w:lang w:val="en-US" w:eastAsia="zh-CN" w:bidi="ar-SA"/>
                    </w:rPr>
                    <w:t>3</w:t>
                  </w:r>
                  <w:r>
                    <w:rPr>
                      <w:rFonts w:hint="eastAsia" w:ascii="Times New Roman" w:hAnsi="Times New Roman" w:eastAsia="宋体" w:cs="Times New Roman"/>
                      <w:color w:val="auto"/>
                      <w:kern w:val="0"/>
                      <w:sz w:val="21"/>
                      <w:szCs w:val="20"/>
                      <w:lang w:val="en-US" w:eastAsia="zh-CN" w:bidi="ar-SA"/>
                    </w:rPr>
                    <w:t>t/a</w:t>
                  </w:r>
                </w:p>
              </w:tc>
              <w:tc>
                <w:tcPr>
                  <w:tcW w:w="609" w:type="pct"/>
                  <w:vMerge w:val="continue"/>
                  <w:tcBorders>
                    <w:tl2br w:val="nil"/>
                    <w:tr2bl w:val="nil"/>
                  </w:tcBorders>
                  <w:noWrap w:val="0"/>
                  <w:vAlign w:val="center"/>
                </w:tcPr>
                <w:p w14:paraId="7D2F813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48904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19E3353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4</w:t>
                  </w:r>
                </w:p>
              </w:tc>
              <w:tc>
                <w:tcPr>
                  <w:tcW w:w="711" w:type="pct"/>
                  <w:tcBorders>
                    <w:tl2br w:val="nil"/>
                    <w:tr2bl w:val="nil"/>
                  </w:tcBorders>
                  <w:noWrap w:val="0"/>
                  <w:vAlign w:val="center"/>
                </w:tcPr>
                <w:p w14:paraId="3B93BE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w:t>
                  </w:r>
                  <w:r>
                    <w:rPr>
                      <w:rFonts w:hint="eastAsia" w:cs="Times New Roman"/>
                      <w:color w:val="auto"/>
                      <w:kern w:val="0"/>
                      <w:sz w:val="21"/>
                      <w:szCs w:val="20"/>
                      <w:lang w:val="en-US" w:eastAsia="zh-CN" w:bidi="ar-SA"/>
                    </w:rPr>
                    <w:t>磨削液及污泥</w:t>
                  </w:r>
                </w:p>
              </w:tc>
              <w:tc>
                <w:tcPr>
                  <w:tcW w:w="453" w:type="pct"/>
                  <w:tcBorders>
                    <w:tl2br w:val="nil"/>
                    <w:tr2bl w:val="nil"/>
                  </w:tcBorders>
                  <w:noWrap w:val="0"/>
                  <w:vAlign w:val="center"/>
                </w:tcPr>
                <w:p w14:paraId="57F9611D">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highlight w:val="none"/>
                      <w:lang w:val="en-US" w:eastAsia="zh-CN" w:bidi="ar-SA"/>
                    </w:rPr>
                    <w:t>HW09</w:t>
                  </w:r>
                </w:p>
              </w:tc>
              <w:tc>
                <w:tcPr>
                  <w:tcW w:w="699" w:type="pct"/>
                  <w:tcBorders>
                    <w:tl2br w:val="nil"/>
                    <w:tr2bl w:val="nil"/>
                  </w:tcBorders>
                  <w:noWrap w:val="0"/>
                  <w:vAlign w:val="center"/>
                </w:tcPr>
                <w:p w14:paraId="3EEA1F13">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highlight w:val="none"/>
                      <w:lang w:val="en-US" w:eastAsia="zh-CN" w:bidi="ar-SA"/>
                    </w:rPr>
                    <w:t>900-006-09</w:t>
                  </w:r>
                </w:p>
              </w:tc>
              <w:tc>
                <w:tcPr>
                  <w:tcW w:w="469" w:type="pct"/>
                  <w:tcBorders>
                    <w:tl2br w:val="nil"/>
                    <w:tr2bl w:val="nil"/>
                  </w:tcBorders>
                  <w:noWrap w:val="0"/>
                  <w:vAlign w:val="center"/>
                </w:tcPr>
                <w:p w14:paraId="111841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highlight w:val="none"/>
                      <w:lang w:val="en-US" w:eastAsia="zh-CN" w:bidi="ar-SA"/>
                    </w:rPr>
                    <w:t>切割、粗磨</w:t>
                  </w:r>
                </w:p>
              </w:tc>
              <w:tc>
                <w:tcPr>
                  <w:tcW w:w="374" w:type="pct"/>
                  <w:tcBorders>
                    <w:tl2br w:val="nil"/>
                    <w:tr2bl w:val="nil"/>
                  </w:tcBorders>
                  <w:noWrap w:val="0"/>
                  <w:vAlign w:val="center"/>
                </w:tcPr>
                <w:p w14:paraId="0DA3BD39">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highlight w:val="none"/>
                      <w:lang w:val="en-US" w:eastAsia="zh-CN" w:bidi="ar-SA"/>
                    </w:rPr>
                    <w:t>液态</w:t>
                  </w:r>
                </w:p>
              </w:tc>
              <w:tc>
                <w:tcPr>
                  <w:tcW w:w="393" w:type="pct"/>
                  <w:tcBorders>
                    <w:tl2br w:val="nil"/>
                    <w:tr2bl w:val="nil"/>
                  </w:tcBorders>
                  <w:noWrap w:val="0"/>
                  <w:vAlign w:val="center"/>
                </w:tcPr>
                <w:p w14:paraId="6EBF3B0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废磨削液</w:t>
                  </w:r>
                </w:p>
              </w:tc>
              <w:tc>
                <w:tcPr>
                  <w:tcW w:w="384" w:type="pct"/>
                  <w:tcBorders>
                    <w:tl2br w:val="nil"/>
                    <w:tr2bl w:val="nil"/>
                  </w:tcBorders>
                  <w:noWrap w:val="0"/>
                  <w:vAlign w:val="center"/>
                </w:tcPr>
                <w:p w14:paraId="7519E19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highlight w:val="none"/>
                      <w:lang w:val="en-US" w:eastAsia="zh-CN" w:bidi="ar-SA"/>
                    </w:rPr>
                    <w:t>T/C</w:t>
                  </w:r>
                </w:p>
              </w:tc>
              <w:tc>
                <w:tcPr>
                  <w:tcW w:w="604" w:type="pct"/>
                  <w:tcBorders>
                    <w:tl2br w:val="nil"/>
                    <w:tr2bl w:val="nil"/>
                  </w:tcBorders>
                  <w:noWrap w:val="0"/>
                  <w:vAlign w:val="center"/>
                </w:tcPr>
                <w:p w14:paraId="7E556415">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highlight w:val="none"/>
                      <w:lang w:val="en-US" w:eastAsia="zh-CN" w:bidi="ar-SA"/>
                    </w:rPr>
                    <w:t>0.05t/a</w:t>
                  </w:r>
                </w:p>
              </w:tc>
              <w:tc>
                <w:tcPr>
                  <w:tcW w:w="609" w:type="pct"/>
                  <w:vMerge w:val="continue"/>
                  <w:tcBorders>
                    <w:tl2br w:val="nil"/>
                    <w:tr2bl w:val="nil"/>
                  </w:tcBorders>
                  <w:noWrap w:val="0"/>
                  <w:vAlign w:val="center"/>
                </w:tcPr>
                <w:p w14:paraId="7E3C62E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31B13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7407984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5</w:t>
                  </w:r>
                </w:p>
              </w:tc>
              <w:tc>
                <w:tcPr>
                  <w:tcW w:w="711" w:type="pct"/>
                  <w:tcBorders>
                    <w:tl2br w:val="nil"/>
                    <w:tr2bl w:val="nil"/>
                  </w:tcBorders>
                  <w:noWrap w:val="0"/>
                  <w:vAlign w:val="center"/>
                </w:tcPr>
                <w:p w14:paraId="08BF8FE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炉渣</w:t>
                  </w:r>
                </w:p>
              </w:tc>
              <w:tc>
                <w:tcPr>
                  <w:tcW w:w="726" w:type="dxa"/>
                  <w:tcBorders>
                    <w:tl2br w:val="nil"/>
                    <w:tr2bl w:val="nil"/>
                  </w:tcBorders>
                  <w:noWrap w:val="0"/>
                  <w:vAlign w:val="center"/>
                </w:tcPr>
                <w:p w14:paraId="1B2721A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HW47</w:t>
                  </w:r>
                </w:p>
              </w:tc>
              <w:tc>
                <w:tcPr>
                  <w:tcW w:w="1120" w:type="dxa"/>
                  <w:tcBorders>
                    <w:tl2br w:val="nil"/>
                    <w:tr2bl w:val="nil"/>
                  </w:tcBorders>
                  <w:noWrap w:val="0"/>
                  <w:vAlign w:val="center"/>
                </w:tcPr>
                <w:p w14:paraId="20C6BEB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261-088-47</w:t>
                  </w:r>
                </w:p>
              </w:tc>
              <w:tc>
                <w:tcPr>
                  <w:tcW w:w="752" w:type="dxa"/>
                  <w:tcBorders>
                    <w:tl2br w:val="nil"/>
                    <w:tr2bl w:val="nil"/>
                  </w:tcBorders>
                  <w:noWrap w:val="0"/>
                  <w:vAlign w:val="center"/>
                </w:tcPr>
                <w:p w14:paraId="7C1E3A2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晶体生长</w:t>
                  </w:r>
                </w:p>
              </w:tc>
              <w:tc>
                <w:tcPr>
                  <w:tcW w:w="599" w:type="dxa"/>
                  <w:tcBorders>
                    <w:tl2br w:val="nil"/>
                    <w:tr2bl w:val="nil"/>
                  </w:tcBorders>
                  <w:noWrap w:val="0"/>
                  <w:vAlign w:val="center"/>
                </w:tcPr>
                <w:p w14:paraId="002800A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固态</w:t>
                  </w:r>
                </w:p>
              </w:tc>
              <w:tc>
                <w:tcPr>
                  <w:tcW w:w="630" w:type="dxa"/>
                  <w:tcBorders>
                    <w:tl2br w:val="nil"/>
                    <w:tr2bl w:val="nil"/>
                  </w:tcBorders>
                  <w:noWrap w:val="0"/>
                  <w:vAlign w:val="center"/>
                </w:tcPr>
                <w:p w14:paraId="24FA8562">
                  <w:pPr>
                    <w:widowControl w:val="0"/>
                    <w:bidi w:val="0"/>
                    <w:adjustRightInd w:val="0"/>
                    <w:snapToGrid w:val="0"/>
                    <w:spacing w:before="10" w:beforeLines="10" w:after="10" w:afterLines="10" w:line="240" w:lineRule="auto"/>
                    <w:jc w:val="center"/>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废渣</w:t>
                  </w:r>
                </w:p>
              </w:tc>
              <w:tc>
                <w:tcPr>
                  <w:tcW w:w="384" w:type="pct"/>
                  <w:tcBorders>
                    <w:tl2br w:val="nil"/>
                    <w:tr2bl w:val="nil"/>
                  </w:tcBorders>
                  <w:noWrap w:val="0"/>
                  <w:vAlign w:val="center"/>
                </w:tcPr>
                <w:p w14:paraId="685C827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T</w:t>
                  </w:r>
                </w:p>
              </w:tc>
              <w:tc>
                <w:tcPr>
                  <w:tcW w:w="604" w:type="pct"/>
                  <w:tcBorders>
                    <w:tl2br w:val="nil"/>
                    <w:tr2bl w:val="nil"/>
                  </w:tcBorders>
                  <w:noWrap w:val="0"/>
                  <w:vAlign w:val="center"/>
                </w:tcPr>
                <w:p w14:paraId="3B33A38B">
                  <w:pPr>
                    <w:widowControl w:val="0"/>
                    <w:bidi w:val="0"/>
                    <w:adjustRightInd w:val="0"/>
                    <w:snapToGrid w:val="0"/>
                    <w:spacing w:before="10" w:beforeLines="10" w:after="10" w:afterLines="10" w:line="240" w:lineRule="auto"/>
                    <w:jc w:val="center"/>
                    <w:rPr>
                      <w:rFonts w:hint="default"/>
                      <w:color w:val="auto"/>
                      <w:lang w:val="en-US" w:eastAsia="zh-CN"/>
                    </w:rPr>
                  </w:pPr>
                  <w:r>
                    <w:rPr>
                      <w:rFonts w:hint="eastAsia" w:cs="Times New Roman"/>
                      <w:color w:val="auto"/>
                      <w:kern w:val="0"/>
                      <w:sz w:val="21"/>
                      <w:szCs w:val="20"/>
                      <w:highlight w:val="none"/>
                      <w:lang w:val="en-US" w:eastAsia="zh-CN" w:bidi="ar-SA"/>
                    </w:rPr>
                    <w:t>0.05t/a</w:t>
                  </w:r>
                </w:p>
              </w:tc>
              <w:tc>
                <w:tcPr>
                  <w:tcW w:w="609" w:type="pct"/>
                  <w:vMerge w:val="continue"/>
                  <w:tcBorders>
                    <w:tl2br w:val="nil"/>
                    <w:tr2bl w:val="nil"/>
                  </w:tcBorders>
                  <w:noWrap w:val="0"/>
                  <w:vAlign w:val="center"/>
                </w:tcPr>
                <w:p w14:paraId="0FB09A8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0E965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311B11A6">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6</w:t>
                  </w:r>
                </w:p>
              </w:tc>
              <w:tc>
                <w:tcPr>
                  <w:tcW w:w="711" w:type="pct"/>
                  <w:tcBorders>
                    <w:tl2br w:val="nil"/>
                    <w:tr2bl w:val="nil"/>
                  </w:tcBorders>
                  <w:noWrap w:val="0"/>
                  <w:vAlign w:val="center"/>
                </w:tcPr>
                <w:p w14:paraId="32B4B138">
                  <w:pPr>
                    <w:widowControl w:val="0"/>
                    <w:bidi w:val="0"/>
                    <w:adjustRightInd w:val="0"/>
                    <w:snapToGrid w:val="0"/>
                    <w:spacing w:before="10" w:beforeLines="10" w:after="10" w:afterLines="10" w:line="240" w:lineRule="auto"/>
                    <w:jc w:val="center"/>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废机油</w:t>
                  </w:r>
                </w:p>
              </w:tc>
              <w:tc>
                <w:tcPr>
                  <w:tcW w:w="453" w:type="pct"/>
                  <w:tcBorders>
                    <w:tl2br w:val="nil"/>
                    <w:tr2bl w:val="nil"/>
                  </w:tcBorders>
                  <w:noWrap w:val="0"/>
                  <w:vAlign w:val="center"/>
                </w:tcPr>
                <w:p w14:paraId="7282FBA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HW08</w:t>
                  </w:r>
                </w:p>
              </w:tc>
              <w:tc>
                <w:tcPr>
                  <w:tcW w:w="699" w:type="pct"/>
                  <w:tcBorders>
                    <w:tl2br w:val="nil"/>
                    <w:tr2bl w:val="nil"/>
                  </w:tcBorders>
                  <w:noWrap w:val="0"/>
                  <w:vAlign w:val="center"/>
                </w:tcPr>
                <w:p w14:paraId="233B80D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900-214-08</w:t>
                  </w:r>
                </w:p>
              </w:tc>
              <w:tc>
                <w:tcPr>
                  <w:tcW w:w="469" w:type="pct"/>
                  <w:tcBorders>
                    <w:tl2br w:val="nil"/>
                    <w:tr2bl w:val="nil"/>
                  </w:tcBorders>
                  <w:noWrap w:val="0"/>
                  <w:vAlign w:val="center"/>
                </w:tcPr>
                <w:p w14:paraId="2B206934">
                  <w:pPr>
                    <w:widowControl w:val="0"/>
                    <w:bidi w:val="0"/>
                    <w:adjustRightInd w:val="0"/>
                    <w:snapToGrid w:val="0"/>
                    <w:spacing w:before="10" w:beforeLines="10" w:after="10" w:afterLines="10" w:line="240" w:lineRule="auto"/>
                    <w:jc w:val="center"/>
                    <w:rPr>
                      <w:rFonts w:hint="eastAsia"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设备检修</w:t>
                  </w:r>
                </w:p>
              </w:tc>
              <w:tc>
                <w:tcPr>
                  <w:tcW w:w="374" w:type="pct"/>
                  <w:tcBorders>
                    <w:tl2br w:val="nil"/>
                    <w:tr2bl w:val="nil"/>
                  </w:tcBorders>
                  <w:noWrap w:val="0"/>
                  <w:vAlign w:val="center"/>
                </w:tcPr>
                <w:p w14:paraId="0944FD26">
                  <w:pPr>
                    <w:widowControl w:val="0"/>
                    <w:bidi w:val="0"/>
                    <w:adjustRightInd w:val="0"/>
                    <w:snapToGrid w:val="0"/>
                    <w:spacing w:before="10" w:beforeLines="10" w:after="10" w:afterLines="10" w:line="240" w:lineRule="auto"/>
                    <w:jc w:val="center"/>
                    <w:rPr>
                      <w:rFonts w:hint="eastAsia"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液态</w:t>
                  </w:r>
                </w:p>
              </w:tc>
              <w:tc>
                <w:tcPr>
                  <w:tcW w:w="393" w:type="pct"/>
                  <w:tcBorders>
                    <w:tl2br w:val="nil"/>
                    <w:tr2bl w:val="nil"/>
                  </w:tcBorders>
                  <w:noWrap w:val="0"/>
                  <w:vAlign w:val="center"/>
                </w:tcPr>
                <w:p w14:paraId="0E9463EB">
                  <w:pPr>
                    <w:widowControl w:val="0"/>
                    <w:bidi w:val="0"/>
                    <w:adjustRightInd w:val="0"/>
                    <w:snapToGrid w:val="0"/>
                    <w:spacing w:before="10" w:beforeLines="10" w:after="10" w:afterLines="10" w:line="240" w:lineRule="auto"/>
                    <w:jc w:val="center"/>
                    <w:rPr>
                      <w:rFonts w:hint="eastAsia"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机油</w:t>
                  </w:r>
                </w:p>
              </w:tc>
              <w:tc>
                <w:tcPr>
                  <w:tcW w:w="384" w:type="pct"/>
                  <w:tcBorders>
                    <w:tl2br w:val="nil"/>
                    <w:tr2bl w:val="nil"/>
                  </w:tcBorders>
                  <w:noWrap w:val="0"/>
                  <w:vAlign w:val="center"/>
                </w:tcPr>
                <w:p w14:paraId="66C61A66">
                  <w:pPr>
                    <w:widowControl w:val="0"/>
                    <w:bidi w:val="0"/>
                    <w:adjustRightInd w:val="0"/>
                    <w:snapToGrid w:val="0"/>
                    <w:spacing w:before="10" w:beforeLines="10" w:after="10" w:afterLines="10" w:line="240" w:lineRule="auto"/>
                    <w:jc w:val="center"/>
                    <w:rPr>
                      <w:rFonts w:hint="eastAsia"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T，I</w:t>
                  </w:r>
                </w:p>
              </w:tc>
              <w:tc>
                <w:tcPr>
                  <w:tcW w:w="604" w:type="pct"/>
                  <w:tcBorders>
                    <w:tl2br w:val="nil"/>
                    <w:tr2bl w:val="nil"/>
                  </w:tcBorders>
                  <w:noWrap w:val="0"/>
                  <w:vAlign w:val="center"/>
                </w:tcPr>
                <w:p w14:paraId="06471209">
                  <w:pPr>
                    <w:widowControl w:val="0"/>
                    <w:bidi w:val="0"/>
                    <w:adjustRightInd w:val="0"/>
                    <w:snapToGrid w:val="0"/>
                    <w:spacing w:before="10" w:beforeLines="10" w:after="10" w:afterLines="10" w:line="240" w:lineRule="auto"/>
                    <w:jc w:val="center"/>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0.05t/a</w:t>
                  </w:r>
                </w:p>
              </w:tc>
              <w:tc>
                <w:tcPr>
                  <w:tcW w:w="609" w:type="pct"/>
                  <w:tcBorders>
                    <w:tl2br w:val="nil"/>
                    <w:tr2bl w:val="nil"/>
                  </w:tcBorders>
                  <w:noWrap w:val="0"/>
                  <w:vAlign w:val="center"/>
                </w:tcPr>
                <w:p w14:paraId="4D256FF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由设备厂商进行委托有危废处置资质的单位进行处置</w:t>
                  </w:r>
                </w:p>
              </w:tc>
            </w:tr>
            <w:tr w14:paraId="77AFE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5000" w:type="pct"/>
                  <w:gridSpan w:val="10"/>
                  <w:tcBorders>
                    <w:tl2br w:val="nil"/>
                    <w:tr2bl w:val="nil"/>
                  </w:tcBorders>
                  <w:noWrap w:val="0"/>
                  <w:vAlign w:val="center"/>
                </w:tcPr>
                <w:p w14:paraId="0048A3C1">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18"/>
                      <w:szCs w:val="18"/>
                      <w:lang w:val="en-US" w:eastAsia="zh-CN" w:bidi="ar-SA"/>
                    </w:rPr>
                    <w:t>注：</w:t>
                  </w:r>
                  <w:r>
                    <w:rPr>
                      <w:rFonts w:ascii="Times New Roman" w:hAnsi="Times New Roman" w:eastAsia="宋体" w:cs="宋体"/>
                      <w:color w:val="auto"/>
                      <w:sz w:val="18"/>
                      <w:szCs w:val="18"/>
                    </w:rPr>
                    <w:t>本项目危险废物年产生总量</w:t>
                  </w:r>
                  <w:r>
                    <w:rPr>
                      <w:rFonts w:hint="eastAsia" w:cs="宋体"/>
                      <w:color w:val="auto"/>
                      <w:sz w:val="18"/>
                      <w:szCs w:val="18"/>
                      <w:lang w:val="en-US" w:eastAsia="zh-CN"/>
                    </w:rPr>
                    <w:t>7.614</w:t>
                  </w:r>
                  <w:r>
                    <w:rPr>
                      <w:rFonts w:ascii="Times New Roman" w:hAnsi="Times New Roman" w:eastAsia="宋体" w:cs="宋体"/>
                      <w:color w:val="auto"/>
                      <w:sz w:val="18"/>
                      <w:szCs w:val="18"/>
                    </w:rPr>
                    <w:t>t，其中固态危废</w:t>
                  </w:r>
                  <w:r>
                    <w:rPr>
                      <w:rFonts w:hint="eastAsia" w:cs="宋体"/>
                      <w:color w:val="auto"/>
                      <w:sz w:val="18"/>
                      <w:szCs w:val="18"/>
                      <w:lang w:val="en-US" w:eastAsia="zh-CN"/>
                    </w:rPr>
                    <w:t>7.514</w:t>
                  </w:r>
                  <w:r>
                    <w:rPr>
                      <w:rFonts w:ascii="Times New Roman" w:hAnsi="Times New Roman" w:eastAsia="宋体" w:cs="宋体"/>
                      <w:color w:val="auto"/>
                      <w:sz w:val="18"/>
                      <w:szCs w:val="18"/>
                    </w:rPr>
                    <w:t>t、液态危废</w:t>
                  </w:r>
                  <w:r>
                    <w:rPr>
                      <w:rFonts w:hint="eastAsia" w:cs="宋体"/>
                      <w:color w:val="auto"/>
                      <w:sz w:val="18"/>
                      <w:szCs w:val="18"/>
                      <w:lang w:val="en-US" w:eastAsia="zh-CN"/>
                    </w:rPr>
                    <w:t>0.05</w:t>
                  </w:r>
                  <w:r>
                    <w:rPr>
                      <w:rFonts w:ascii="Times New Roman" w:hAnsi="Times New Roman" w:eastAsia="宋体" w:cs="宋体"/>
                      <w:color w:val="auto"/>
                      <w:sz w:val="18"/>
                      <w:szCs w:val="18"/>
                    </w:rPr>
                    <w:t>t；经体积核算，危废贮存所需有效容积约</w:t>
                  </w:r>
                  <w:r>
                    <w:rPr>
                      <w:rFonts w:hint="eastAsia" w:cs="宋体"/>
                      <w:color w:val="auto"/>
                      <w:sz w:val="18"/>
                      <w:szCs w:val="18"/>
                      <w:lang w:val="en-US" w:eastAsia="zh-CN"/>
                    </w:rPr>
                    <w:t>6</w:t>
                  </w:r>
                  <w:r>
                    <w:rPr>
                      <w:rFonts w:ascii="Times New Roman" w:hAnsi="Times New Roman" w:eastAsia="宋体" w:cs="宋体"/>
                      <w:color w:val="auto"/>
                      <w:sz w:val="18"/>
                      <w:szCs w:val="18"/>
                    </w:rPr>
                    <w:t>m³。拟建</w:t>
                  </w:r>
                  <w:r>
                    <w:rPr>
                      <w:rFonts w:hint="eastAsia" w:cs="宋体"/>
                      <w:color w:val="auto"/>
                      <w:sz w:val="18"/>
                      <w:szCs w:val="18"/>
                      <w:lang w:val="en-US" w:eastAsia="zh-CN"/>
                    </w:rPr>
                    <w:t>10</w:t>
                  </w:r>
                  <w:r>
                    <w:rPr>
                      <w:rFonts w:ascii="Times New Roman" w:hAnsi="Times New Roman" w:eastAsia="宋体" w:cs="宋体"/>
                      <w:color w:val="auto"/>
                      <w:sz w:val="18"/>
                      <w:szCs w:val="18"/>
                    </w:rPr>
                    <w:t>㎡危废暂存间，库房常规净高2.2m，扣除人行通道、防渗围堰、分区隔离等无效空间后有效可用容积约6m³，满足项目危险废物分区暂存需求。建设单位严格执行危废定期外运处置制度（贮存周期不超过6个月），可保障危废贮存库库容满足生产配套要求。</w:t>
                  </w:r>
                </w:p>
              </w:tc>
            </w:tr>
          </w:tbl>
          <w:p w14:paraId="224D1AF2">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106" w:name="_Toc20459"/>
            <w:r>
              <w:rPr>
                <w:rFonts w:hint="eastAsia" w:ascii="Times New Roman" w:hAnsi="Times New Roman" w:eastAsia="宋体" w:cs="Times New Roman"/>
                <w:b/>
                <w:color w:val="auto"/>
                <w:kern w:val="2"/>
                <w:sz w:val="24"/>
                <w:szCs w:val="24"/>
                <w:lang w:val="en-US" w:eastAsia="zh-CN" w:bidi="ar-SA"/>
              </w:rPr>
              <w:t>4.4.3固体废物管理措施及环境影响分析</w:t>
            </w:r>
            <w:bookmarkEnd w:id="106"/>
          </w:p>
          <w:p w14:paraId="0C621745">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（1）一般工业固体废物贮存要求</w:t>
            </w:r>
          </w:p>
          <w:p w14:paraId="329841E4">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国家《一般工业固体废物贮存和填埋污染控制标准》（GB18599-2020），一般工业固体废物的贮存和管理应做到：在生产过程中应加强一般工业固体废物贮存规范化管理，固体废物分类定点堆放。确保固体废物贮存过程满足防渗漏、防雨淋和防扬尘等环境保护要求。</w:t>
            </w:r>
          </w:p>
          <w:p w14:paraId="40640400">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（2）一般工业固体废物转移和管理要求</w:t>
            </w:r>
          </w:p>
          <w:p w14:paraId="70D60B20">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①采取防扬散、防流失、防渗漏或者其他防止固体废物污染环境的措施，不得擅自倾倒、堆放、丢弃、遗撒固体废物。</w:t>
            </w:r>
          </w:p>
          <w:p w14:paraId="1A4A4AD7">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②禁止向江河、湖泊、运河、渠道、水库及其最高水位线以下的滩地和岸坡以及法律法规规定的其他地点倾倒、堆放、贮存固体废物。</w:t>
            </w:r>
          </w:p>
          <w:p w14:paraId="08455FF3">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转移固体废物出省、自治区、直辖市行政区域利用的，应当报固体废物移出地的省、自治区、直辖市人民政府生态环境主管部门备案。移出地的省、自治区、直辖市人民政府生态环境主管部门应当将备案信息通报</w:t>
            </w:r>
            <w:r>
              <w:rPr>
                <w:rFonts w:hint="eastAsia" w:cs="宋体"/>
                <w:color w:val="auto"/>
                <w:kern w:val="2"/>
                <w:sz w:val="24"/>
                <w:szCs w:val="24"/>
                <w:lang w:val="en-US" w:eastAsia="zh-CN" w:bidi="ar-SA"/>
              </w:rPr>
              <w:t>接收</w:t>
            </w:r>
            <w:r>
              <w:rPr>
                <w:rFonts w:hint="eastAsia" w:ascii="Times New Roman" w:hAnsi="Times New Roman" w:eastAsia="宋体" w:cs="宋体"/>
                <w:color w:val="auto"/>
                <w:kern w:val="2"/>
                <w:sz w:val="24"/>
                <w:szCs w:val="24"/>
                <w:lang w:val="en-US" w:eastAsia="zh-CN" w:bidi="ar-SA"/>
              </w:rPr>
              <w:t>地的省、自治区、直辖市人民政府生态环境主管部门。</w:t>
            </w:r>
          </w:p>
          <w:p w14:paraId="0931FD4E">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7C81350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⑤禁止向生活垃圾收集设施中投放工业固体废物。</w:t>
            </w:r>
          </w:p>
          <w:p w14:paraId="442DF6C4">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（3）生活垃圾</w:t>
            </w:r>
          </w:p>
          <w:p w14:paraId="1FA1834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生活垃圾极易腐败发臭，必须按照垃圾分类要求对生活垃圾进行分类，定点收集，及时清运或处理，做到日产日清。项目在厂区生产区和办公生活区分别设置一些垃圾收集桶。项目配备专职的清洁人员和必要的工具，负责清扫厂区，维持清洁卫生，生活垃圾收集后委托当地环卫部门统一清运。</w:t>
            </w:r>
          </w:p>
          <w:p w14:paraId="430C686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4</w:t>
            </w:r>
            <w:r>
              <w:rPr>
                <w:rFonts w:hint="default" w:ascii="Times New Roman" w:hAnsi="Times New Roman" w:eastAsia="宋体" w:cs="宋体"/>
                <w:color w:val="auto"/>
                <w:kern w:val="2"/>
                <w:sz w:val="24"/>
                <w:szCs w:val="24"/>
                <w:lang w:val="en-US" w:eastAsia="zh-CN" w:bidi="ar-SA"/>
              </w:rPr>
              <w:t>）危险废物暂存</w:t>
            </w:r>
            <w:r>
              <w:rPr>
                <w:rFonts w:hint="eastAsia" w:ascii="Times New Roman" w:hAnsi="Times New Roman" w:eastAsia="宋体" w:cs="宋体"/>
                <w:color w:val="auto"/>
                <w:kern w:val="2"/>
                <w:sz w:val="24"/>
                <w:szCs w:val="24"/>
                <w:lang w:val="en-US" w:eastAsia="zh-CN" w:bidi="ar-SA"/>
              </w:rPr>
              <w:t>贮存管理要求</w:t>
            </w:r>
          </w:p>
          <w:p w14:paraId="5AA4C5E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厂区内建1个危险废物暂存间</w:t>
            </w:r>
            <w:r>
              <w:rPr>
                <w:rFonts w:hint="eastAsia" w:cs="宋体"/>
                <w:color w:val="auto"/>
                <w:kern w:val="2"/>
                <w:sz w:val="24"/>
                <w:szCs w:val="24"/>
                <w:lang w:val="en-US" w:eastAsia="zh-CN" w:bidi="ar-SA"/>
              </w:rPr>
              <w:t>（10m</w:t>
            </w:r>
            <w:r>
              <w:rPr>
                <w:rFonts w:hint="eastAsia" w:cs="宋体"/>
                <w:color w:val="auto"/>
                <w:kern w:val="2"/>
                <w:sz w:val="24"/>
                <w:szCs w:val="24"/>
                <w:vertAlign w:val="superscript"/>
                <w:lang w:val="en-US" w:eastAsia="zh-CN" w:bidi="ar-SA"/>
              </w:rPr>
              <w:t>2</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，对厂区内产生的危险废物进行暂存；</w:t>
            </w:r>
            <w:r>
              <w:rPr>
                <w:rFonts w:hint="eastAsia" w:cs="宋体"/>
                <w:color w:val="auto"/>
                <w:kern w:val="2"/>
                <w:sz w:val="24"/>
                <w:szCs w:val="24"/>
                <w:lang w:val="en-US" w:eastAsia="zh-CN" w:bidi="ar-SA"/>
              </w:rPr>
              <w:t>危险废物</w:t>
            </w:r>
            <w:r>
              <w:rPr>
                <w:rFonts w:hint="default" w:ascii="Times New Roman" w:hAnsi="Times New Roman" w:eastAsia="宋体" w:cs="宋体"/>
                <w:color w:val="auto"/>
                <w:kern w:val="2"/>
                <w:sz w:val="24"/>
                <w:szCs w:val="24"/>
                <w:lang w:val="en-US" w:eastAsia="zh-CN" w:bidi="ar-SA"/>
              </w:rPr>
              <w:t>均交由有资质单位处置。厂区内设置的</w:t>
            </w:r>
            <w:r>
              <w:rPr>
                <w:rFonts w:hint="eastAsia" w:cs="宋体"/>
                <w:color w:val="auto"/>
                <w:kern w:val="2"/>
                <w:sz w:val="24"/>
                <w:szCs w:val="24"/>
                <w:lang w:val="en-US" w:eastAsia="zh-CN" w:bidi="ar-SA"/>
              </w:rPr>
              <w:t>危险废物</w:t>
            </w:r>
            <w:r>
              <w:rPr>
                <w:rFonts w:hint="default" w:ascii="Times New Roman" w:hAnsi="Times New Roman" w:eastAsia="宋体" w:cs="宋体"/>
                <w:color w:val="auto"/>
                <w:kern w:val="2"/>
                <w:sz w:val="24"/>
                <w:szCs w:val="24"/>
                <w:lang w:val="en-US" w:eastAsia="zh-CN" w:bidi="ar-SA"/>
              </w:rPr>
              <w:t>暂存间应按照</w:t>
            </w:r>
            <w:r>
              <w:rPr>
                <w:rFonts w:hint="eastAsia" w:cs="宋体"/>
                <w:color w:val="auto"/>
                <w:kern w:val="2"/>
                <w:sz w:val="24"/>
                <w:szCs w:val="24"/>
                <w:lang w:val="en-US" w:eastAsia="zh-CN" w:bidi="ar-SA"/>
              </w:rPr>
              <w:t>《危险废物贮存污染控制标准》（GB18597-2023）</w:t>
            </w:r>
            <w:r>
              <w:rPr>
                <w:rFonts w:hint="default" w:ascii="Times New Roman" w:hAnsi="Times New Roman" w:eastAsia="宋体" w:cs="宋体"/>
                <w:color w:val="auto"/>
                <w:kern w:val="2"/>
                <w:sz w:val="24"/>
                <w:szCs w:val="24"/>
                <w:lang w:val="en-US" w:eastAsia="zh-CN" w:bidi="ar-SA"/>
              </w:rPr>
              <w:t>。</w:t>
            </w:r>
          </w:p>
          <w:p w14:paraId="368D19D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A</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危险废物贮存</w:t>
            </w:r>
            <w:r>
              <w:rPr>
                <w:rFonts w:hint="eastAsia" w:ascii="Times New Roman" w:hAnsi="Times New Roman" w:eastAsia="宋体" w:cs="宋体"/>
                <w:color w:val="auto"/>
                <w:kern w:val="2"/>
                <w:sz w:val="24"/>
                <w:szCs w:val="24"/>
                <w:lang w:val="en-US" w:eastAsia="zh-CN" w:bidi="ar-SA"/>
              </w:rPr>
              <w:t>设施污染控制要求一般规定</w:t>
            </w:r>
          </w:p>
          <w:p w14:paraId="4D3614D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①贮存设施应根据危险废物的形态、物理化学性质、包装形式和污染物迁移途径，采取必要的防风、防晒、防雨、防漏、防渗、防腐以及其他环境污染防治措施，不应露天堆放危险废物</w:t>
            </w:r>
            <w:r>
              <w:rPr>
                <w:rFonts w:hint="eastAsia" w:ascii="Times New Roman" w:hAnsi="Times New Roman" w:eastAsia="宋体" w:cs="宋体"/>
                <w:color w:val="auto"/>
                <w:kern w:val="2"/>
                <w:sz w:val="24"/>
                <w:szCs w:val="24"/>
                <w:lang w:val="en-US" w:eastAsia="zh-CN" w:bidi="ar-SA"/>
              </w:rPr>
              <w:t>；</w:t>
            </w:r>
          </w:p>
          <w:p w14:paraId="2C37AD7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w:t>
            </w:r>
            <w:r>
              <w:rPr>
                <w:rFonts w:ascii="Times New Roman" w:hAnsi="Times New Roman" w:eastAsia="宋体" w:cs="宋体"/>
                <w:color w:val="auto"/>
                <w:kern w:val="2"/>
                <w:sz w:val="24"/>
                <w:szCs w:val="24"/>
                <w:lang w:val="en-US" w:eastAsia="zh-CN" w:bidi="ar-SA"/>
              </w:rPr>
              <w:t>贮存设施应根据危险废物的类别、数量、形态、物理化学性质和污染防治等要求设置必要的贮存分区，避免不相容的危险废物接触、混合</w:t>
            </w:r>
            <w:r>
              <w:rPr>
                <w:rFonts w:hint="eastAsia" w:ascii="Times New Roman" w:hAnsi="Times New Roman" w:eastAsia="宋体" w:cs="宋体"/>
                <w:color w:val="auto"/>
                <w:kern w:val="2"/>
                <w:sz w:val="24"/>
                <w:szCs w:val="24"/>
                <w:lang w:val="en-US" w:eastAsia="zh-CN" w:bidi="ar-SA"/>
              </w:rPr>
              <w:t>；</w:t>
            </w:r>
          </w:p>
          <w:p w14:paraId="6C266E8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w:t>
            </w:r>
            <w:r>
              <w:rPr>
                <w:rFonts w:ascii="Times New Roman" w:hAnsi="Times New Roman" w:eastAsia="宋体" w:cs="宋体"/>
                <w:color w:val="auto"/>
                <w:kern w:val="2"/>
                <w:sz w:val="24"/>
                <w:szCs w:val="24"/>
                <w:lang w:val="en-US" w:eastAsia="zh-CN" w:bidi="ar-SA"/>
              </w:rPr>
              <w:t>贮存设施或贮存分区内地面、墙面</w:t>
            </w:r>
            <w:r>
              <w:rPr>
                <w:rFonts w:hint="eastAsia" w:cs="宋体"/>
                <w:color w:val="auto"/>
                <w:kern w:val="2"/>
                <w:sz w:val="24"/>
                <w:szCs w:val="24"/>
                <w:lang w:val="en-US" w:eastAsia="zh-CN" w:bidi="ar-SA"/>
              </w:rPr>
              <w:t>裙角</w:t>
            </w:r>
            <w:r>
              <w:rPr>
                <w:rFonts w:ascii="Times New Roman" w:hAnsi="Times New Roman" w:eastAsia="宋体" w:cs="宋体"/>
                <w:color w:val="auto"/>
                <w:kern w:val="2"/>
                <w:sz w:val="24"/>
                <w:szCs w:val="24"/>
                <w:lang w:val="en-US" w:eastAsia="zh-CN" w:bidi="ar-SA"/>
              </w:rPr>
              <w:t>、堵截泄漏的围堰、接触危险废物的隔板和墙体等应采用坚固的材料建造，表面无裂缝</w:t>
            </w:r>
            <w:r>
              <w:rPr>
                <w:rFonts w:hint="eastAsia" w:ascii="Times New Roman" w:hAnsi="Times New Roman" w:eastAsia="宋体" w:cs="宋体"/>
                <w:color w:val="auto"/>
                <w:kern w:val="2"/>
                <w:sz w:val="24"/>
                <w:szCs w:val="24"/>
                <w:lang w:val="en-US" w:eastAsia="zh-CN" w:bidi="ar-SA"/>
              </w:rPr>
              <w:t>；</w:t>
            </w:r>
          </w:p>
          <w:p w14:paraId="1BE9957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④</w:t>
            </w:r>
            <w:r>
              <w:rPr>
                <w:rFonts w:ascii="Times New Roman" w:hAnsi="Times New Roman" w:eastAsia="宋体" w:cs="宋体"/>
                <w:color w:val="auto"/>
                <w:kern w:val="2"/>
                <w:sz w:val="24"/>
                <w:szCs w:val="24"/>
                <w:lang w:val="en-US" w:eastAsia="zh-CN" w:bidi="ar-SA"/>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ascii="Times New Roman" w:hAnsi="Times New Roman" w:eastAsia="宋体" w:cs="宋体"/>
                <w:color w:val="auto"/>
                <w:kern w:val="2"/>
                <w:sz w:val="24"/>
                <w:szCs w:val="24"/>
                <w:vertAlign w:val="superscript"/>
                <w:lang w:val="en-US" w:eastAsia="zh-CN" w:bidi="ar-SA"/>
              </w:rPr>
              <w:t>-7</w:t>
            </w:r>
            <w:r>
              <w:rPr>
                <w:rFonts w:ascii="Times New Roman" w:hAnsi="Times New Roman" w:eastAsia="宋体" w:cs="宋体"/>
                <w:color w:val="auto"/>
                <w:kern w:val="2"/>
                <w:sz w:val="24"/>
                <w:szCs w:val="24"/>
                <w:lang w:val="en-US" w:eastAsia="zh-CN" w:bidi="ar-SA"/>
              </w:rPr>
              <w:t>cm/s），或至少2mm厚高密度聚乙烯膜等人工防渗材料（渗透系数不大于10</w:t>
            </w:r>
            <w:r>
              <w:rPr>
                <w:rFonts w:ascii="Times New Roman" w:hAnsi="Times New Roman" w:eastAsia="宋体" w:cs="宋体"/>
                <w:color w:val="auto"/>
                <w:kern w:val="2"/>
                <w:sz w:val="24"/>
                <w:szCs w:val="24"/>
                <w:vertAlign w:val="superscript"/>
                <w:lang w:val="en-US" w:eastAsia="zh-CN" w:bidi="ar-SA"/>
              </w:rPr>
              <w:t>-10</w:t>
            </w:r>
            <w:r>
              <w:rPr>
                <w:rFonts w:ascii="Times New Roman" w:hAnsi="Times New Roman" w:eastAsia="宋体" w:cs="宋体"/>
                <w:color w:val="auto"/>
                <w:kern w:val="2"/>
                <w:sz w:val="24"/>
                <w:szCs w:val="24"/>
                <w:lang w:val="en-US" w:eastAsia="zh-CN" w:bidi="ar-SA"/>
              </w:rPr>
              <w:t>cm/s），或其他防渗性能等效的材料</w:t>
            </w:r>
            <w:r>
              <w:rPr>
                <w:rFonts w:hint="eastAsia" w:ascii="Times New Roman" w:hAnsi="Times New Roman" w:eastAsia="宋体" w:cs="宋体"/>
                <w:color w:val="auto"/>
                <w:kern w:val="2"/>
                <w:sz w:val="24"/>
                <w:szCs w:val="24"/>
                <w:lang w:val="en-US" w:eastAsia="zh-CN" w:bidi="ar-SA"/>
              </w:rPr>
              <w:t>；</w:t>
            </w:r>
          </w:p>
          <w:p w14:paraId="3E192B7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⑤</w:t>
            </w:r>
            <w:r>
              <w:rPr>
                <w:rFonts w:ascii="Times New Roman" w:hAnsi="Times New Roman" w:eastAsia="宋体" w:cs="宋体"/>
                <w:color w:val="auto"/>
                <w:kern w:val="2"/>
                <w:sz w:val="24"/>
                <w:szCs w:val="24"/>
                <w:lang w:val="en-US" w:eastAsia="zh-CN" w:bidi="ar-SA"/>
              </w:rPr>
              <w:t>同一贮存设施宜采用相同的防渗、防腐工艺（包括防渗、防腐结构或材料），防渗、防腐材料应覆盖所有可能与废物及其渗滤液、渗漏液等接触的构筑物表面；采用不同防渗、防腐工艺应分别建设贮存分区</w:t>
            </w:r>
            <w:r>
              <w:rPr>
                <w:rFonts w:hint="eastAsia" w:ascii="Times New Roman" w:hAnsi="Times New Roman" w:eastAsia="宋体" w:cs="宋体"/>
                <w:color w:val="auto"/>
                <w:kern w:val="2"/>
                <w:sz w:val="24"/>
                <w:szCs w:val="24"/>
                <w:lang w:val="en-US" w:eastAsia="zh-CN" w:bidi="ar-SA"/>
              </w:rPr>
              <w:t>；</w:t>
            </w:r>
          </w:p>
          <w:p w14:paraId="56E8042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w:t>
            </w:r>
            <w:r>
              <w:rPr>
                <w:rFonts w:ascii="Times New Roman" w:hAnsi="Times New Roman" w:eastAsia="宋体" w:cs="宋体"/>
                <w:color w:val="auto"/>
                <w:kern w:val="2"/>
                <w:sz w:val="24"/>
                <w:szCs w:val="24"/>
                <w:lang w:val="en-US" w:eastAsia="zh-CN" w:bidi="ar-SA"/>
              </w:rPr>
              <w:t>贮存设施应采取技术和管理措施防止无关人员进入</w:t>
            </w:r>
            <w:r>
              <w:rPr>
                <w:rFonts w:hint="eastAsia" w:ascii="Times New Roman" w:hAnsi="Times New Roman" w:eastAsia="宋体" w:cs="宋体"/>
                <w:color w:val="auto"/>
                <w:kern w:val="2"/>
                <w:sz w:val="24"/>
                <w:szCs w:val="24"/>
                <w:lang w:val="en-US" w:eastAsia="zh-CN" w:bidi="ar-SA"/>
              </w:rPr>
              <w:t>。</w:t>
            </w:r>
          </w:p>
          <w:p w14:paraId="3B8BB02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B</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危险废物</w:t>
            </w:r>
            <w:r>
              <w:rPr>
                <w:rFonts w:hint="eastAsia" w:ascii="Times New Roman" w:hAnsi="Times New Roman" w:eastAsia="宋体" w:cs="宋体"/>
                <w:color w:val="auto"/>
                <w:kern w:val="2"/>
                <w:sz w:val="24"/>
                <w:szCs w:val="24"/>
                <w:lang w:val="en-US" w:eastAsia="zh-CN" w:bidi="ar-SA"/>
              </w:rPr>
              <w:t>容器和包装物污染控制要求</w:t>
            </w:r>
          </w:p>
          <w:p w14:paraId="6814D76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w:t>
            </w:r>
            <w:r>
              <w:rPr>
                <w:rFonts w:ascii="Times New Roman" w:hAnsi="Times New Roman" w:eastAsia="宋体" w:cs="宋体"/>
                <w:color w:val="auto"/>
                <w:kern w:val="2"/>
                <w:sz w:val="24"/>
                <w:szCs w:val="24"/>
                <w:lang w:val="en-US" w:eastAsia="zh-CN" w:bidi="ar-SA"/>
              </w:rPr>
              <w:t>容器和包装物材质、内衬应与盛装的危险废物相容</w:t>
            </w:r>
            <w:r>
              <w:rPr>
                <w:rFonts w:hint="eastAsia" w:ascii="Times New Roman" w:hAnsi="Times New Roman" w:eastAsia="宋体" w:cs="宋体"/>
                <w:color w:val="auto"/>
                <w:kern w:val="2"/>
                <w:sz w:val="24"/>
                <w:szCs w:val="24"/>
                <w:lang w:val="en-US" w:eastAsia="zh-CN" w:bidi="ar-SA"/>
              </w:rPr>
              <w:t>；</w:t>
            </w:r>
          </w:p>
          <w:p w14:paraId="669D6FD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w:t>
            </w:r>
            <w:r>
              <w:rPr>
                <w:rFonts w:ascii="Times New Roman" w:hAnsi="Times New Roman" w:eastAsia="宋体" w:cs="宋体"/>
                <w:color w:val="auto"/>
                <w:kern w:val="2"/>
                <w:sz w:val="24"/>
                <w:szCs w:val="24"/>
                <w:lang w:val="en-US" w:eastAsia="zh-CN" w:bidi="ar-SA"/>
              </w:rPr>
              <w:t>针对不同类别、形态、物理化学性质的危险废物，其容器和包装物应满足相应的防渗、防漏、防腐和强度等要求</w:t>
            </w:r>
            <w:r>
              <w:rPr>
                <w:rFonts w:hint="eastAsia" w:ascii="Times New Roman" w:hAnsi="Times New Roman" w:eastAsia="宋体" w:cs="宋体"/>
                <w:color w:val="auto"/>
                <w:kern w:val="2"/>
                <w:sz w:val="24"/>
                <w:szCs w:val="24"/>
                <w:lang w:val="en-US" w:eastAsia="zh-CN" w:bidi="ar-SA"/>
              </w:rPr>
              <w:t>；</w:t>
            </w:r>
          </w:p>
          <w:p w14:paraId="20C5FB8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③硬质容器和包装物及其支护结构堆叠码放时不应有明显变形，无破损泄漏；</w:t>
            </w:r>
          </w:p>
          <w:p w14:paraId="3E7A12C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④柔性容器和包装物堆叠码放时应封口严密，无破损泄漏；</w:t>
            </w:r>
          </w:p>
          <w:p w14:paraId="0E06907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⑤使用容器盛装液态、半固态危险废物时，容器内部应留有适当的空间，以适应因温度变化等可能引发的收缩和膨胀，防止其导致容器渗漏或永久变形；</w:t>
            </w:r>
          </w:p>
          <w:p w14:paraId="347EFC3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w:t>
            </w:r>
            <w:r>
              <w:rPr>
                <w:rFonts w:ascii="Times New Roman" w:hAnsi="Times New Roman" w:eastAsia="宋体" w:cs="宋体"/>
                <w:color w:val="auto"/>
                <w:kern w:val="2"/>
                <w:sz w:val="24"/>
                <w:szCs w:val="24"/>
                <w:lang w:val="en-US" w:eastAsia="zh-CN" w:bidi="ar-SA"/>
              </w:rPr>
              <w:t>容器和包装物外表面应保持清洁。</w:t>
            </w:r>
          </w:p>
          <w:p w14:paraId="0941D0E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C</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危险废物贮存</w:t>
            </w:r>
            <w:r>
              <w:rPr>
                <w:rFonts w:hint="eastAsia" w:ascii="Times New Roman" w:hAnsi="Times New Roman" w:eastAsia="宋体" w:cs="宋体"/>
                <w:color w:val="auto"/>
                <w:kern w:val="2"/>
                <w:sz w:val="24"/>
                <w:szCs w:val="24"/>
                <w:lang w:val="en-US" w:eastAsia="zh-CN" w:bidi="ar-SA"/>
              </w:rPr>
              <w:t>过程污染控制要求一般规定</w:t>
            </w:r>
          </w:p>
          <w:p w14:paraId="7E1E7F1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①在常温常压下不易水解、不易挥发的固态危险废物可分类堆放贮存，其他固态危险废物应装入容器或包装物内贮存</w:t>
            </w:r>
            <w:r>
              <w:rPr>
                <w:rFonts w:hint="eastAsia" w:ascii="Times New Roman" w:hAnsi="Times New Roman" w:eastAsia="宋体" w:cs="宋体"/>
                <w:color w:val="auto"/>
                <w:kern w:val="2"/>
                <w:sz w:val="24"/>
                <w:szCs w:val="24"/>
                <w:lang w:val="en-US" w:eastAsia="zh-CN" w:bidi="ar-SA"/>
              </w:rPr>
              <w:t>；</w:t>
            </w:r>
          </w:p>
          <w:p w14:paraId="481EF52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②液态危险废物应装入容器内贮存，或直接采用贮存池、贮存罐区贮存</w:t>
            </w:r>
            <w:r>
              <w:rPr>
                <w:rFonts w:hint="eastAsia" w:ascii="Times New Roman" w:hAnsi="Times New Roman" w:eastAsia="宋体" w:cs="宋体"/>
                <w:color w:val="auto"/>
                <w:kern w:val="2"/>
                <w:sz w:val="24"/>
                <w:szCs w:val="24"/>
                <w:lang w:val="en-US" w:eastAsia="zh-CN" w:bidi="ar-SA"/>
              </w:rPr>
              <w:t>；</w:t>
            </w:r>
          </w:p>
          <w:p w14:paraId="3B95F694">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③半固态危险废物应装入容器或包装袋内贮存，或直接采用贮存池贮存</w:t>
            </w:r>
            <w:r>
              <w:rPr>
                <w:rFonts w:hint="eastAsia" w:ascii="Times New Roman" w:hAnsi="Times New Roman" w:eastAsia="宋体" w:cs="宋体"/>
                <w:color w:val="auto"/>
                <w:kern w:val="2"/>
                <w:sz w:val="24"/>
                <w:szCs w:val="24"/>
                <w:lang w:val="en-US" w:eastAsia="zh-CN" w:bidi="ar-SA"/>
              </w:rPr>
              <w:t>；</w:t>
            </w:r>
          </w:p>
          <w:p w14:paraId="42BFCF9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④具有热塑性的危险废物应装入容器或包装袋内进行贮存；</w:t>
            </w:r>
          </w:p>
          <w:p w14:paraId="5BFC581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⑤易产生粉尘、VOCs、酸雾、有毒有害大气污染物和刺激性气味气体的危险废物应装入闭口容器或包装物内贮存；</w:t>
            </w:r>
          </w:p>
          <w:p w14:paraId="7A5AEC1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⑥危险废物贮存过程中易产生粉尘等无组织排放的，应采取抑尘等有效措施。</w:t>
            </w:r>
          </w:p>
          <w:p w14:paraId="29FE88C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D</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贮存设施运行环境管理要求</w:t>
            </w:r>
          </w:p>
          <w:p w14:paraId="42A0696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w:t>
            </w:r>
            <w:r>
              <w:rPr>
                <w:rFonts w:hint="default" w:ascii="Times New Roman" w:hAnsi="Times New Roman" w:eastAsia="宋体" w:cs="宋体"/>
                <w:color w:val="auto"/>
                <w:kern w:val="2"/>
                <w:sz w:val="24"/>
                <w:szCs w:val="24"/>
                <w:lang w:val="en-US" w:eastAsia="zh-CN" w:bidi="ar-SA"/>
              </w:rPr>
              <w:t>危险废物存入贮存设施前应对危险废物类别和特性与危险废物标签等危险废物识别标志的一致性进行核验，不一致的或类别、特性不明的不应存入</w:t>
            </w:r>
            <w:r>
              <w:rPr>
                <w:rFonts w:hint="eastAsia" w:ascii="Times New Roman" w:hAnsi="Times New Roman" w:eastAsia="宋体" w:cs="宋体"/>
                <w:color w:val="auto"/>
                <w:kern w:val="2"/>
                <w:sz w:val="24"/>
                <w:szCs w:val="24"/>
                <w:lang w:val="en-US" w:eastAsia="zh-CN" w:bidi="ar-SA"/>
              </w:rPr>
              <w:t>；</w:t>
            </w:r>
          </w:p>
          <w:p w14:paraId="05E20A0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②应定期检查危险废物的贮存状况，及时清理贮存设施地面，更换破损泄漏的危险废物贮存容器和包装物，保证堆存危险废物的防雨、防风、防扬尘等设施功能完好；</w:t>
            </w:r>
          </w:p>
          <w:p w14:paraId="2F1E8E6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③作业设备及车辆等结束作业离开贮存设施时，应对其残留的危险废物进行清理，清理的废物或清洗废水应收集处理；</w:t>
            </w:r>
          </w:p>
          <w:p w14:paraId="6DA05EC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④贮存设施运行期间，应按国家有关标准和规定建立危险废物管理台账并保存；</w:t>
            </w:r>
          </w:p>
          <w:p w14:paraId="697F50C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⑤贮存设施所有者或运营者应建立贮存设施环境管理制度、管理人员岗位职责制度、设施运行操作制度、人员岗位培训制度等；</w:t>
            </w:r>
          </w:p>
          <w:p w14:paraId="35226BE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⑥贮存设施所有者或运营者应依据国家土壤和地下水污染防治的有关规定，结合贮存设施特点建立土壤和地下水污染隐患排查制度，并定期开展隐患排查；发现隐患应及时采取措施消除隐患，并建立档案；</w:t>
            </w:r>
          </w:p>
          <w:p w14:paraId="0FE6E00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⑦贮存设施所有者或运营者应建立贮存设施全部档案，包括设计、施工、验收、运行、监测和环境应急等，应按国家有关档案管理的法律法规进行整理和归档。</w:t>
            </w:r>
          </w:p>
          <w:p w14:paraId="196A9AC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E</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污染物排放控制要求</w:t>
            </w:r>
          </w:p>
          <w:p w14:paraId="18ACAB5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①贮存设施产生的废水（包括贮存设施、作业设备、车辆等清洗废水，贮存罐区积存雨水，贮存事故废水等）应进行收集处理，废水排放应符合GB 8978规定的要求</w:t>
            </w:r>
            <w:r>
              <w:rPr>
                <w:rFonts w:hint="eastAsia" w:ascii="Times New Roman" w:hAnsi="Times New Roman" w:eastAsia="宋体" w:cs="宋体"/>
                <w:color w:val="auto"/>
                <w:kern w:val="2"/>
                <w:sz w:val="24"/>
                <w:szCs w:val="24"/>
                <w:lang w:val="en-US" w:eastAsia="zh-CN" w:bidi="ar-SA"/>
              </w:rPr>
              <w:t>；</w:t>
            </w:r>
          </w:p>
          <w:p w14:paraId="75E779E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②贮存设施产生的废气（含无组织废气）的排放应符合GB 16297和GB 37822规定的要求</w:t>
            </w:r>
            <w:r>
              <w:rPr>
                <w:rFonts w:hint="eastAsia" w:ascii="Times New Roman" w:hAnsi="Times New Roman" w:eastAsia="宋体" w:cs="宋体"/>
                <w:color w:val="auto"/>
                <w:kern w:val="2"/>
                <w:sz w:val="24"/>
                <w:szCs w:val="24"/>
                <w:lang w:val="en-US" w:eastAsia="zh-CN" w:bidi="ar-SA"/>
              </w:rPr>
              <w:t>；</w:t>
            </w:r>
          </w:p>
          <w:p w14:paraId="5FB63D9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③贮存设施产生的恶臭气体的排放应符合GB14554规定的要求</w:t>
            </w:r>
            <w:r>
              <w:rPr>
                <w:rFonts w:hint="eastAsia" w:ascii="Times New Roman" w:hAnsi="Times New Roman" w:eastAsia="宋体" w:cs="宋体"/>
                <w:color w:val="auto"/>
                <w:kern w:val="2"/>
                <w:sz w:val="24"/>
                <w:szCs w:val="24"/>
                <w:lang w:val="en-US" w:eastAsia="zh-CN" w:bidi="ar-SA"/>
              </w:rPr>
              <w:t>；</w:t>
            </w:r>
          </w:p>
          <w:p w14:paraId="1529F90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④贮存设施内产生以及清理的固体废物应按固体废物分类管理要求妥善处理；</w:t>
            </w:r>
          </w:p>
          <w:p w14:paraId="364D713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⑤贮存设施排放的环境噪声应符合GB12348规定的要求。</w:t>
            </w:r>
          </w:p>
          <w:p w14:paraId="0C57D7B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5</w:t>
            </w:r>
            <w:r>
              <w:rPr>
                <w:rFonts w:hint="default" w:ascii="Times New Roman" w:hAnsi="Times New Roman" w:eastAsia="宋体" w:cs="宋体"/>
                <w:color w:val="auto"/>
                <w:kern w:val="2"/>
                <w:sz w:val="24"/>
                <w:szCs w:val="24"/>
                <w:lang w:val="en-US" w:eastAsia="zh-CN" w:bidi="ar-SA"/>
              </w:rPr>
              <w:t>）危险废物运输过程环境管理要求</w:t>
            </w:r>
          </w:p>
          <w:p w14:paraId="1A87DB4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危险废物在收集时，应清楚废物的类别及</w:t>
            </w:r>
            <w:r>
              <w:rPr>
                <w:rFonts w:hint="eastAsia" w:cs="宋体"/>
                <w:color w:val="auto"/>
                <w:kern w:val="2"/>
                <w:sz w:val="24"/>
                <w:szCs w:val="24"/>
                <w:lang w:val="en-US" w:eastAsia="zh-CN" w:bidi="ar-SA"/>
              </w:rPr>
              <w:t>主要成分</w:t>
            </w:r>
            <w:r>
              <w:rPr>
                <w:rFonts w:hint="default" w:ascii="Times New Roman" w:hAnsi="Times New Roman" w:eastAsia="宋体" w:cs="宋体"/>
                <w:color w:val="auto"/>
                <w:kern w:val="2"/>
                <w:sz w:val="24"/>
                <w:szCs w:val="24"/>
                <w:lang w:val="en-US" w:eastAsia="zh-CN" w:bidi="ar-SA"/>
              </w:rPr>
              <w:t>，以方便委托处理单位处理，根据危险废物的性质和形态，可采用不同大小和不同材质的容器进行包装，所有包装容器应足够安全，并经过周密检查，严防在装载、搬移或运输途中出现渗漏、溢出、抛洒或挥发等情况。最后</w:t>
            </w:r>
            <w:r>
              <w:rPr>
                <w:rFonts w:hint="eastAsia" w:cs="宋体"/>
                <w:color w:val="auto"/>
                <w:kern w:val="2"/>
                <w:sz w:val="24"/>
                <w:szCs w:val="24"/>
                <w:lang w:val="en-US" w:eastAsia="zh-CN" w:bidi="ar-SA"/>
              </w:rPr>
              <w:t>按照</w:t>
            </w:r>
            <w:r>
              <w:rPr>
                <w:rFonts w:hint="default" w:ascii="Times New Roman" w:hAnsi="Times New Roman" w:eastAsia="宋体" w:cs="宋体"/>
                <w:color w:val="auto"/>
                <w:kern w:val="2"/>
                <w:sz w:val="24"/>
                <w:szCs w:val="24"/>
                <w:lang w:val="en-US" w:eastAsia="zh-CN" w:bidi="ar-SA"/>
              </w:rPr>
              <w:t>危险废物交换和转移管理工作的有关要求，对危险废物进行安全包装，并在包装的明显位置附上危险废物标签。</w:t>
            </w:r>
          </w:p>
          <w:p w14:paraId="43EB896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厂内转运时，危险废物产生后放入专门盛装危险废物的容器或防漏胶袋中，由带有防漏托盘的车辆转运至</w:t>
            </w:r>
            <w:r>
              <w:rPr>
                <w:rFonts w:hint="eastAsia" w:cs="宋体"/>
                <w:color w:val="auto"/>
                <w:kern w:val="2"/>
                <w:sz w:val="24"/>
                <w:szCs w:val="24"/>
                <w:lang w:val="en-US" w:eastAsia="zh-CN" w:bidi="ar-SA"/>
              </w:rPr>
              <w:t>危险废物</w:t>
            </w:r>
            <w:r>
              <w:rPr>
                <w:rFonts w:hint="default" w:ascii="Times New Roman" w:hAnsi="Times New Roman" w:eastAsia="宋体" w:cs="宋体"/>
                <w:color w:val="auto"/>
                <w:kern w:val="2"/>
                <w:sz w:val="24"/>
                <w:szCs w:val="24"/>
                <w:lang w:val="en-US" w:eastAsia="zh-CN" w:bidi="ar-SA"/>
              </w:rPr>
              <w:t>暂存间，转运过程中由于人为操作失误造成的容器倒翻、胶袋破损等情况时，泄漏的危险废物大部分会进入托盘中，极少情况下会出现托盘满溢泄漏情况。由于本项目危险废物产生点距离厂内</w:t>
            </w:r>
            <w:r>
              <w:rPr>
                <w:rFonts w:hint="eastAsia" w:cs="宋体"/>
                <w:color w:val="auto"/>
                <w:kern w:val="2"/>
                <w:sz w:val="24"/>
                <w:szCs w:val="24"/>
                <w:lang w:val="en-US" w:eastAsia="zh-CN" w:bidi="ar-SA"/>
              </w:rPr>
              <w:t>危险废物</w:t>
            </w:r>
            <w:r>
              <w:rPr>
                <w:rFonts w:hint="default" w:ascii="Times New Roman" w:hAnsi="Times New Roman" w:eastAsia="宋体" w:cs="宋体"/>
                <w:color w:val="auto"/>
                <w:kern w:val="2"/>
                <w:sz w:val="24"/>
                <w:szCs w:val="24"/>
                <w:lang w:val="en-US" w:eastAsia="zh-CN" w:bidi="ar-SA"/>
              </w:rPr>
              <w:t>暂存间较近，因此企业在加强管理的情况下，厂内转运过程中出现散落、泄漏概率很小，不会产生二次污染。</w:t>
            </w:r>
          </w:p>
          <w:p w14:paraId="1632B286">
            <w:pPr>
              <w:keepNext/>
              <w:keepLines/>
              <w:widowControl w:val="0"/>
              <w:bidi w:val="0"/>
              <w:spacing w:beforeLines="0" w:beforeAutospacing="0" w:afterLines="0" w:afterAutospacing="0" w:line="360" w:lineRule="auto"/>
              <w:ind w:firstLine="562" w:firstLineChars="200"/>
              <w:jc w:val="left"/>
              <w:outlineLvl w:val="1"/>
              <w:rPr>
                <w:rFonts w:hint="eastAsia" w:ascii="Times New Roman" w:hAnsi="Times New Roman" w:eastAsia="宋体" w:cs="Times New Roman"/>
                <w:b/>
                <w:color w:val="auto"/>
                <w:kern w:val="2"/>
                <w:sz w:val="28"/>
                <w:szCs w:val="24"/>
                <w:lang w:val="en-US" w:eastAsia="zh-CN" w:bidi="ar-SA"/>
              </w:rPr>
            </w:pPr>
            <w:bookmarkStart w:id="107" w:name="_Toc19078"/>
            <w:bookmarkStart w:id="108" w:name="_Toc23624"/>
            <w:r>
              <w:rPr>
                <w:rFonts w:hint="eastAsia" w:ascii="Times New Roman" w:hAnsi="Times New Roman" w:eastAsia="宋体" w:cs="Times New Roman"/>
                <w:b/>
                <w:color w:val="auto"/>
                <w:kern w:val="2"/>
                <w:sz w:val="28"/>
                <w:szCs w:val="24"/>
                <w:lang w:val="en-US" w:eastAsia="zh-CN" w:bidi="ar-SA"/>
              </w:rPr>
              <w:t>4.5运营期地下水、土壤环境影响和保护措施</w:t>
            </w:r>
            <w:bookmarkEnd w:id="107"/>
            <w:bookmarkEnd w:id="108"/>
          </w:p>
          <w:p w14:paraId="2B9C5AFF">
            <w:pPr>
              <w:keepNext/>
              <w:keepLines/>
              <w:widowControl w:val="0"/>
              <w:bidi w:val="0"/>
              <w:spacing w:beforeLines="0" w:beforeAutospacing="0" w:afterLines="0" w:afterAutospacing="0" w:line="360" w:lineRule="auto"/>
              <w:ind w:firstLine="482" w:firstLineChars="200"/>
              <w:jc w:val="left"/>
              <w:outlineLvl w:val="2"/>
              <w:rPr>
                <w:rFonts w:ascii="Times New Roman" w:hAnsi="Times New Roman" w:eastAsia="宋体" w:cs="Times New Roman"/>
                <w:b/>
                <w:color w:val="auto"/>
                <w:kern w:val="2"/>
                <w:sz w:val="24"/>
                <w:szCs w:val="24"/>
                <w:lang w:val="en-US" w:eastAsia="zh-CN" w:bidi="ar-SA"/>
              </w:rPr>
            </w:pPr>
            <w:bookmarkStart w:id="109" w:name="_Toc15845"/>
            <w:r>
              <w:rPr>
                <w:rFonts w:hint="eastAsia" w:ascii="Times New Roman" w:hAnsi="Times New Roman" w:eastAsia="宋体" w:cs="Times New Roman"/>
                <w:b/>
                <w:color w:val="auto"/>
                <w:kern w:val="2"/>
                <w:sz w:val="24"/>
                <w:szCs w:val="24"/>
                <w:lang w:val="en-US" w:eastAsia="zh-CN" w:bidi="ar-SA"/>
              </w:rPr>
              <w:t>4.5.1</w:t>
            </w:r>
            <w:r>
              <w:rPr>
                <w:rFonts w:ascii="Times New Roman" w:hAnsi="Times New Roman" w:eastAsia="宋体" w:cs="Times New Roman"/>
                <w:b/>
                <w:color w:val="auto"/>
                <w:kern w:val="2"/>
                <w:sz w:val="24"/>
                <w:szCs w:val="24"/>
                <w:lang w:val="en-US" w:eastAsia="zh-CN" w:bidi="ar-SA"/>
              </w:rPr>
              <w:t>地下水、土壤环境影响分析</w:t>
            </w:r>
            <w:bookmarkEnd w:id="109"/>
          </w:p>
          <w:p w14:paraId="2C06799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（1）地下水环境</w:t>
            </w:r>
          </w:p>
          <w:p w14:paraId="43F9737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厂区雨水经雨水管网收集后，通过厂区雨水排放口排入镇区雨水排水系统</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循环冷却水塔的冷却水循环使用，定期补充，不外排</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生活污水经化粪池处理达标后，</w:t>
            </w:r>
            <w:r>
              <w:rPr>
                <w:rFonts w:hint="eastAsia" w:ascii="Times New Roman" w:hAnsi="Times New Roman" w:eastAsia="宋体" w:cs="宋体"/>
                <w:color w:val="auto"/>
                <w:kern w:val="2"/>
                <w:sz w:val="24"/>
                <w:szCs w:val="24"/>
                <w:lang w:val="en-US" w:eastAsia="zh-CN" w:bidi="ar-SA"/>
              </w:rPr>
              <w:t>与处理达标的生产废水一同</w:t>
            </w:r>
            <w:r>
              <w:rPr>
                <w:rFonts w:hint="default" w:ascii="Times New Roman" w:hAnsi="Times New Roman" w:eastAsia="宋体" w:cs="宋体"/>
                <w:color w:val="auto"/>
                <w:kern w:val="2"/>
                <w:sz w:val="24"/>
                <w:szCs w:val="24"/>
                <w:lang w:val="en-US" w:eastAsia="zh-CN" w:bidi="ar-SA"/>
              </w:rPr>
              <w:t>排入市政污水管网，纳入</w:t>
            </w:r>
            <w:r>
              <w:rPr>
                <w:rFonts w:hint="eastAsia" w:ascii="Times New Roman" w:hAnsi="Times New Roman" w:eastAsia="宋体" w:cs="宋体"/>
                <w:color w:val="auto"/>
                <w:kern w:val="2"/>
                <w:sz w:val="24"/>
                <w:szCs w:val="24"/>
                <w:lang w:val="en-US" w:eastAsia="zh-CN" w:bidi="ar-SA"/>
              </w:rPr>
              <w:t>大学城</w:t>
            </w:r>
            <w:r>
              <w:rPr>
                <w:rFonts w:hint="default" w:ascii="Times New Roman" w:hAnsi="Times New Roman" w:eastAsia="宋体" w:cs="宋体"/>
                <w:color w:val="auto"/>
                <w:kern w:val="2"/>
                <w:sz w:val="24"/>
                <w:szCs w:val="24"/>
                <w:lang w:val="en-US" w:eastAsia="zh-CN" w:bidi="ar-SA"/>
              </w:rPr>
              <w:t>污水处理厂</w:t>
            </w:r>
            <w:r>
              <w:rPr>
                <w:rFonts w:hint="eastAsia" w:ascii="Times New Roman" w:hAnsi="Times New Roman" w:eastAsia="宋体" w:cs="宋体"/>
                <w:color w:val="auto"/>
                <w:kern w:val="2"/>
                <w:sz w:val="24"/>
                <w:szCs w:val="24"/>
                <w:lang w:val="en-US" w:eastAsia="zh-CN" w:bidi="ar-SA"/>
              </w:rPr>
              <w:t>。</w:t>
            </w:r>
          </w:p>
          <w:p w14:paraId="7FCE807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正常工况下化粪池及污水管道均采取严格的防渗、防溢流等措施，废水不易渗漏和进入地下水。</w:t>
            </w:r>
          </w:p>
          <w:p w14:paraId="152A35D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企业严格按照《一般工业固体废物贮存和填埋污染控制标准》（GB 18599-2020）中固废临时贮存场所要求进行建设，具备防风、防雨、防晒、防渗漏等要求。在正常工况，不会对评价区地下水产生明显影响，其影响程度是可接受的。</w:t>
            </w:r>
          </w:p>
          <w:p w14:paraId="7C6440F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项目使用的原料均属于无毒或低毒的原料，在做好厂房防渗情况下，不会产生原料进入地下污染地下水的情况。</w:t>
            </w:r>
          </w:p>
          <w:p w14:paraId="23F9C5F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cs="宋体"/>
                <w:color w:val="auto"/>
                <w:kern w:val="2"/>
                <w:sz w:val="24"/>
                <w:szCs w:val="24"/>
                <w:lang w:val="en-US" w:eastAsia="zh-CN" w:bidi="ar-SA"/>
              </w:rPr>
              <w:t>综上所述</w:t>
            </w:r>
            <w:r>
              <w:rPr>
                <w:rFonts w:hint="default" w:ascii="Times New Roman" w:hAnsi="Times New Roman" w:eastAsia="宋体" w:cs="宋体"/>
                <w:color w:val="auto"/>
                <w:kern w:val="2"/>
                <w:sz w:val="24"/>
                <w:szCs w:val="24"/>
                <w:lang w:val="en-US" w:eastAsia="zh-CN" w:bidi="ar-SA"/>
              </w:rPr>
              <w:t>，项目在正常运行工况下，项目对地下水影响不大。但公司应加强管理，杜绝防渗层破裂等事故影响。</w:t>
            </w:r>
          </w:p>
          <w:p w14:paraId="26F637B0">
            <w:pPr>
              <w:keepNext/>
              <w:keepLines/>
              <w:widowControl w:val="0"/>
              <w:bidi w:val="0"/>
              <w:spacing w:beforeLines="0" w:beforeAutospacing="0" w:afterLines="0" w:afterAutospacing="0" w:line="360" w:lineRule="auto"/>
              <w:ind w:firstLine="482" w:firstLineChars="200"/>
              <w:jc w:val="left"/>
              <w:outlineLvl w:val="2"/>
              <w:rPr>
                <w:rFonts w:ascii="Times New Roman" w:hAnsi="Times New Roman" w:eastAsia="宋体" w:cs="Times New Roman"/>
                <w:b/>
                <w:color w:val="auto"/>
                <w:kern w:val="2"/>
                <w:sz w:val="24"/>
                <w:szCs w:val="24"/>
                <w:lang w:val="en-US" w:eastAsia="zh-CN" w:bidi="ar-SA"/>
              </w:rPr>
            </w:pPr>
            <w:bookmarkStart w:id="110" w:name="_Toc20446"/>
            <w:r>
              <w:rPr>
                <w:rFonts w:ascii="Times New Roman" w:hAnsi="Times New Roman" w:eastAsia="宋体" w:cs="Times New Roman"/>
                <w:b/>
                <w:color w:val="auto"/>
                <w:kern w:val="2"/>
                <w:sz w:val="24"/>
                <w:szCs w:val="24"/>
                <w:lang w:val="en-US" w:eastAsia="zh-CN" w:bidi="ar-SA"/>
              </w:rPr>
              <w:t>4.</w:t>
            </w:r>
            <w:r>
              <w:rPr>
                <w:rFonts w:hint="eastAsia" w:ascii="Times New Roman" w:hAnsi="Times New Roman" w:eastAsia="宋体" w:cs="Times New Roman"/>
                <w:b/>
                <w:color w:val="auto"/>
                <w:kern w:val="2"/>
                <w:sz w:val="24"/>
                <w:szCs w:val="24"/>
                <w:lang w:val="en-US" w:eastAsia="zh-CN" w:bidi="ar-SA"/>
              </w:rPr>
              <w:t>5</w:t>
            </w:r>
            <w:r>
              <w:rPr>
                <w:rFonts w:ascii="Times New Roman" w:hAnsi="Times New Roman" w:eastAsia="宋体" w:cs="Times New Roman"/>
                <w:b/>
                <w:color w:val="auto"/>
                <w:kern w:val="2"/>
                <w:sz w:val="24"/>
                <w:szCs w:val="24"/>
                <w:lang w:val="en-US" w:eastAsia="zh-CN" w:bidi="ar-SA"/>
              </w:rPr>
              <w:t>.2地下水、土壤环境防控措施</w:t>
            </w:r>
            <w:bookmarkEnd w:id="110"/>
          </w:p>
          <w:p w14:paraId="1EFA1B34">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防渗措施</w:t>
            </w:r>
          </w:p>
          <w:p w14:paraId="3C002EAE">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①合理进行防渗区域划分</w:t>
            </w:r>
          </w:p>
          <w:p w14:paraId="0EBC74C6">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本项目位于</w:t>
            </w:r>
            <w:r>
              <w:rPr>
                <w:rFonts w:hint="eastAsia" w:cs="宋体"/>
                <w:color w:val="auto"/>
                <w:kern w:val="2"/>
                <w:sz w:val="24"/>
                <w:szCs w:val="24"/>
                <w:lang w:val="en-US" w:eastAsia="zh-CN" w:bidi="ar-SA"/>
              </w:rPr>
              <w:t>福建省福州市闽侯县上街镇高新大道巨泽中心1号楼2层、2号楼2-3层和3号楼2、4层</w:t>
            </w:r>
            <w:r>
              <w:rPr>
                <w:rFonts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本项目涉及生产废水的产生与排放，产生的固体废物包括一般工业固体废物和危险废物。生产废水的排放、危险废物的产生和贮存存在对地下水和土壤污染途径。根据《环境影响评价技术导则地下水环境》（HJ610-2016）以及结合</w:t>
            </w:r>
            <w:r>
              <w:rPr>
                <w:rFonts w:ascii="Times New Roman" w:hAnsi="Times New Roman" w:eastAsia="宋体" w:cs="宋体"/>
                <w:color w:val="auto"/>
                <w:kern w:val="2"/>
                <w:sz w:val="24"/>
                <w:szCs w:val="24"/>
                <w:lang w:val="en-US" w:eastAsia="zh-CN" w:bidi="ar-SA"/>
              </w:rPr>
              <w:t>实际情况考虑根据本项目厂区可能泄漏至地面区域污染物的性质和生产单元的构筑方式，将厂区划分为一般污染防治区</w:t>
            </w:r>
            <w:r>
              <w:rPr>
                <w:rFonts w:hint="eastAsia" w:ascii="Times New Roman" w:hAnsi="Times New Roman" w:eastAsia="宋体" w:cs="宋体"/>
                <w:color w:val="auto"/>
                <w:kern w:val="2"/>
                <w:sz w:val="24"/>
                <w:szCs w:val="24"/>
                <w:lang w:val="en-US" w:eastAsia="zh-CN" w:bidi="ar-SA"/>
              </w:rPr>
              <w:t>和重点污染防治区</w:t>
            </w:r>
            <w:r>
              <w:rPr>
                <w:rFonts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并</w:t>
            </w:r>
            <w:r>
              <w:rPr>
                <w:rFonts w:ascii="Times New Roman" w:hAnsi="Times New Roman" w:eastAsia="宋体" w:cs="宋体"/>
                <w:color w:val="auto"/>
                <w:kern w:val="2"/>
                <w:sz w:val="24"/>
                <w:szCs w:val="24"/>
                <w:lang w:val="en-US" w:eastAsia="zh-CN" w:bidi="ar-SA"/>
              </w:rPr>
              <w:t>提出相应的防渗要求。结合项目的特点，项目防渗防治分区见表4.5-1。</w:t>
            </w:r>
          </w:p>
          <w:p w14:paraId="3F1E7BAF">
            <w:pPr>
              <w:widowControl w:val="0"/>
              <w:bidi w:val="0"/>
              <w:adjustRightInd w:val="0"/>
              <w:snapToGrid w:val="0"/>
              <w:spacing w:before="10" w:beforeLines="10" w:after="10" w:afterLines="10"/>
              <w:ind w:firstLine="482" w:firstLineChars="200"/>
              <w:jc w:val="center"/>
              <w:rPr>
                <w:rFonts w:ascii="Times New Roman" w:hAnsi="Times New Roman" w:eastAsia="宋体" w:cs="Times New Roman"/>
                <w:b/>
                <w:color w:val="auto"/>
                <w:kern w:val="0"/>
                <w:sz w:val="24"/>
                <w:szCs w:val="20"/>
                <w:lang w:val="en-US" w:eastAsia="zh-CN" w:bidi="ar-SA"/>
              </w:rPr>
            </w:pPr>
            <w:r>
              <w:rPr>
                <w:rFonts w:ascii="Times New Roman" w:hAnsi="Times New Roman" w:eastAsia="宋体" w:cs="Times New Roman"/>
                <w:b/>
                <w:color w:val="auto"/>
                <w:kern w:val="0"/>
                <w:sz w:val="24"/>
                <w:szCs w:val="20"/>
                <w:lang w:val="en-US" w:eastAsia="zh-CN" w:bidi="ar-SA"/>
              </w:rPr>
              <w:t>表4.</w:t>
            </w:r>
            <w:r>
              <w:rPr>
                <w:rFonts w:hint="eastAsia" w:ascii="Times New Roman" w:hAnsi="Times New Roman" w:eastAsia="宋体" w:cs="Times New Roman"/>
                <w:b/>
                <w:color w:val="auto"/>
                <w:kern w:val="0"/>
                <w:sz w:val="24"/>
                <w:szCs w:val="20"/>
                <w:lang w:val="en-US" w:eastAsia="zh-CN" w:bidi="ar-SA"/>
              </w:rPr>
              <w:t>5</w:t>
            </w:r>
            <w:r>
              <w:rPr>
                <w:rFonts w:ascii="Times New Roman" w:hAnsi="Times New Roman" w:eastAsia="宋体" w:cs="Times New Roman"/>
                <w:b/>
                <w:color w:val="auto"/>
                <w:kern w:val="0"/>
                <w:sz w:val="24"/>
                <w:szCs w:val="20"/>
                <w:lang w:val="en-US" w:eastAsia="zh-CN" w:bidi="ar-SA"/>
              </w:rPr>
              <w:t>-1</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地下水、</w:t>
            </w:r>
            <w:r>
              <w:rPr>
                <w:rFonts w:ascii="Times New Roman" w:hAnsi="Times New Roman" w:eastAsia="宋体" w:cs="Times New Roman"/>
                <w:b/>
                <w:color w:val="auto"/>
                <w:kern w:val="0"/>
                <w:sz w:val="24"/>
                <w:szCs w:val="20"/>
                <w:lang w:val="en-US" w:eastAsia="zh-CN" w:bidi="ar-SA"/>
              </w:rPr>
              <w:t>土壤污染防治分区一览表</w:t>
            </w:r>
          </w:p>
          <w:tbl>
            <w:tblPr>
              <w:tblStyle w:val="18"/>
              <w:tblW w:w="7777" w:type="dxa"/>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2156"/>
              <w:gridCol w:w="814"/>
              <w:gridCol w:w="3457"/>
              <w:gridCol w:w="1350"/>
            </w:tblGrid>
            <w:tr w14:paraId="25A2FA8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2156" w:type="dxa"/>
                  <w:tcBorders>
                    <w:tl2br w:val="nil"/>
                    <w:tr2bl w:val="nil"/>
                  </w:tcBorders>
                  <w:noWrap w:val="0"/>
                  <w:vAlign w:val="center"/>
                </w:tcPr>
                <w:p w14:paraId="15EB506E">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防治分区</w:t>
                  </w:r>
                </w:p>
              </w:tc>
              <w:tc>
                <w:tcPr>
                  <w:tcW w:w="814" w:type="dxa"/>
                  <w:tcBorders>
                    <w:tl2br w:val="nil"/>
                    <w:tr2bl w:val="nil"/>
                  </w:tcBorders>
                  <w:noWrap w:val="0"/>
                  <w:vAlign w:val="center"/>
                </w:tcPr>
                <w:p w14:paraId="610B87EC">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序号</w:t>
                  </w:r>
                </w:p>
              </w:tc>
              <w:tc>
                <w:tcPr>
                  <w:tcW w:w="3457" w:type="dxa"/>
                  <w:tcBorders>
                    <w:tl2br w:val="nil"/>
                    <w:tr2bl w:val="nil"/>
                  </w:tcBorders>
                  <w:noWrap w:val="0"/>
                  <w:vAlign w:val="center"/>
                </w:tcPr>
                <w:p w14:paraId="73D0878E">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装置或者构筑物名称</w:t>
                  </w:r>
                </w:p>
              </w:tc>
              <w:tc>
                <w:tcPr>
                  <w:tcW w:w="1350" w:type="dxa"/>
                  <w:tcBorders>
                    <w:tl2br w:val="nil"/>
                    <w:tr2bl w:val="nil"/>
                  </w:tcBorders>
                  <w:noWrap w:val="0"/>
                  <w:vAlign w:val="center"/>
                </w:tcPr>
                <w:p w14:paraId="3EBCCC5B">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防渗区域</w:t>
                  </w:r>
                </w:p>
              </w:tc>
            </w:tr>
            <w:tr w14:paraId="31EE679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37" w:hRule="atLeast"/>
                <w:jc w:val="center"/>
              </w:trPr>
              <w:tc>
                <w:tcPr>
                  <w:tcW w:w="2156" w:type="dxa"/>
                  <w:tcBorders>
                    <w:tl2br w:val="nil"/>
                    <w:tr2bl w:val="nil"/>
                  </w:tcBorders>
                  <w:noWrap w:val="0"/>
                  <w:vAlign w:val="center"/>
                </w:tcPr>
                <w:p w14:paraId="7CEFB4E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重点污染防治区</w:t>
                  </w:r>
                </w:p>
              </w:tc>
              <w:tc>
                <w:tcPr>
                  <w:tcW w:w="814" w:type="dxa"/>
                  <w:tcBorders>
                    <w:tl2br w:val="nil"/>
                    <w:tr2bl w:val="nil"/>
                  </w:tcBorders>
                  <w:noWrap w:val="0"/>
                  <w:vAlign w:val="center"/>
                </w:tcPr>
                <w:p w14:paraId="4FDBB42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w:t>
                  </w:r>
                </w:p>
              </w:tc>
              <w:tc>
                <w:tcPr>
                  <w:tcW w:w="3457" w:type="dxa"/>
                  <w:tcBorders>
                    <w:tl2br w:val="nil"/>
                    <w:tr2bl w:val="nil"/>
                  </w:tcBorders>
                  <w:noWrap w:val="0"/>
                  <w:vAlign w:val="center"/>
                </w:tcPr>
                <w:p w14:paraId="6314DA7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危险废物暂存间</w:t>
                  </w:r>
                </w:p>
              </w:tc>
              <w:tc>
                <w:tcPr>
                  <w:tcW w:w="1350" w:type="dxa"/>
                  <w:tcBorders>
                    <w:tl2br w:val="nil"/>
                    <w:tr2bl w:val="nil"/>
                  </w:tcBorders>
                  <w:noWrap w:val="0"/>
                  <w:vAlign w:val="center"/>
                </w:tcPr>
                <w:p w14:paraId="3806AF1D">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车间地面</w:t>
                  </w:r>
                </w:p>
              </w:tc>
            </w:tr>
            <w:tr w14:paraId="2144049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37" w:hRule="atLeast"/>
                <w:jc w:val="center"/>
              </w:trPr>
              <w:tc>
                <w:tcPr>
                  <w:tcW w:w="2156" w:type="dxa"/>
                  <w:tcBorders>
                    <w:tl2br w:val="nil"/>
                    <w:tr2bl w:val="nil"/>
                  </w:tcBorders>
                  <w:noWrap w:val="0"/>
                  <w:vAlign w:val="center"/>
                </w:tcPr>
                <w:p w14:paraId="069A770C">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一般污染防治区</w:t>
                  </w:r>
                </w:p>
              </w:tc>
              <w:tc>
                <w:tcPr>
                  <w:tcW w:w="814" w:type="dxa"/>
                  <w:tcBorders>
                    <w:tl2br w:val="nil"/>
                    <w:tr2bl w:val="nil"/>
                  </w:tcBorders>
                  <w:noWrap w:val="0"/>
                  <w:vAlign w:val="center"/>
                </w:tcPr>
                <w:p w14:paraId="145272C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w:t>
                  </w:r>
                </w:p>
              </w:tc>
              <w:tc>
                <w:tcPr>
                  <w:tcW w:w="3457" w:type="dxa"/>
                  <w:tcBorders>
                    <w:tl2br w:val="nil"/>
                    <w:tr2bl w:val="nil"/>
                  </w:tcBorders>
                  <w:noWrap w:val="0"/>
                  <w:vAlign w:val="center"/>
                </w:tcPr>
                <w:p w14:paraId="61691467">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color w:val="auto"/>
                      <w:lang w:val="en-US" w:eastAsia="zh-CN"/>
                    </w:rPr>
                    <w:t>污水处理构筑物</w:t>
                  </w:r>
                </w:p>
              </w:tc>
              <w:tc>
                <w:tcPr>
                  <w:tcW w:w="1350" w:type="dxa"/>
                  <w:tcBorders>
                    <w:tl2br w:val="nil"/>
                    <w:tr2bl w:val="nil"/>
                  </w:tcBorders>
                  <w:noWrap w:val="0"/>
                  <w:vAlign w:val="center"/>
                </w:tcPr>
                <w:p w14:paraId="4F815895">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车间地面</w:t>
                  </w:r>
                </w:p>
              </w:tc>
            </w:tr>
            <w:tr w14:paraId="11C9DB3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37" w:hRule="atLeast"/>
                <w:jc w:val="center"/>
              </w:trPr>
              <w:tc>
                <w:tcPr>
                  <w:tcW w:w="2156" w:type="dxa"/>
                  <w:tcBorders>
                    <w:tl2br w:val="nil"/>
                    <w:tr2bl w:val="nil"/>
                  </w:tcBorders>
                  <w:noWrap w:val="0"/>
                  <w:vAlign w:val="center"/>
                </w:tcPr>
                <w:p w14:paraId="4782315E">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一般污染防治区</w:t>
                  </w:r>
                </w:p>
              </w:tc>
              <w:tc>
                <w:tcPr>
                  <w:tcW w:w="814" w:type="dxa"/>
                  <w:tcBorders>
                    <w:tl2br w:val="nil"/>
                    <w:tr2bl w:val="nil"/>
                  </w:tcBorders>
                  <w:noWrap w:val="0"/>
                  <w:vAlign w:val="center"/>
                </w:tcPr>
                <w:p w14:paraId="4FD8298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w:t>
                  </w:r>
                </w:p>
              </w:tc>
              <w:tc>
                <w:tcPr>
                  <w:tcW w:w="3457" w:type="dxa"/>
                  <w:tcBorders>
                    <w:tl2br w:val="nil"/>
                    <w:tr2bl w:val="nil"/>
                  </w:tcBorders>
                  <w:noWrap w:val="0"/>
                  <w:vAlign w:val="center"/>
                </w:tcPr>
                <w:p w14:paraId="77EF126F">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color w:val="auto"/>
                      <w:lang w:val="en-US" w:eastAsia="zh-CN"/>
                    </w:rPr>
                    <w:t>化学品贮存间</w:t>
                  </w:r>
                </w:p>
              </w:tc>
              <w:tc>
                <w:tcPr>
                  <w:tcW w:w="1350" w:type="dxa"/>
                  <w:tcBorders>
                    <w:tl2br w:val="nil"/>
                    <w:tr2bl w:val="nil"/>
                  </w:tcBorders>
                  <w:noWrap w:val="0"/>
                  <w:vAlign w:val="center"/>
                </w:tcPr>
                <w:p w14:paraId="460208E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车间地面</w:t>
                  </w:r>
                </w:p>
              </w:tc>
            </w:tr>
            <w:tr w14:paraId="7955C2E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37" w:hRule="atLeast"/>
                <w:jc w:val="center"/>
              </w:trPr>
              <w:tc>
                <w:tcPr>
                  <w:tcW w:w="2156" w:type="dxa"/>
                  <w:tcBorders>
                    <w:tl2br w:val="nil"/>
                    <w:tr2bl w:val="nil"/>
                  </w:tcBorders>
                  <w:noWrap w:val="0"/>
                  <w:vAlign w:val="center"/>
                </w:tcPr>
                <w:p w14:paraId="723028B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一般污染防治区</w:t>
                  </w:r>
                </w:p>
              </w:tc>
              <w:tc>
                <w:tcPr>
                  <w:tcW w:w="814" w:type="dxa"/>
                  <w:tcBorders>
                    <w:tl2br w:val="nil"/>
                    <w:tr2bl w:val="nil"/>
                  </w:tcBorders>
                  <w:noWrap w:val="0"/>
                  <w:vAlign w:val="center"/>
                </w:tcPr>
                <w:p w14:paraId="0DE5071F">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4</w:t>
                  </w:r>
                </w:p>
              </w:tc>
              <w:tc>
                <w:tcPr>
                  <w:tcW w:w="3457" w:type="dxa"/>
                  <w:tcBorders>
                    <w:tl2br w:val="nil"/>
                    <w:tr2bl w:val="nil"/>
                  </w:tcBorders>
                  <w:noWrap w:val="0"/>
                  <w:vAlign w:val="center"/>
                </w:tcPr>
                <w:p w14:paraId="0C38741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项目生产车间</w:t>
                  </w:r>
                </w:p>
              </w:tc>
              <w:tc>
                <w:tcPr>
                  <w:tcW w:w="1350" w:type="dxa"/>
                  <w:tcBorders>
                    <w:tl2br w:val="nil"/>
                    <w:tr2bl w:val="nil"/>
                  </w:tcBorders>
                  <w:noWrap w:val="0"/>
                  <w:vAlign w:val="center"/>
                </w:tcPr>
                <w:p w14:paraId="6302C5F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w:t>
                  </w:r>
                  <w:r>
                    <w:rPr>
                      <w:rFonts w:ascii="Times New Roman" w:hAnsi="Times New Roman" w:eastAsia="宋体" w:cs="Times New Roman"/>
                      <w:color w:val="auto"/>
                      <w:kern w:val="0"/>
                      <w:sz w:val="21"/>
                      <w:szCs w:val="20"/>
                      <w:lang w:val="en-US" w:eastAsia="zh-CN" w:bidi="ar-SA"/>
                    </w:rPr>
                    <w:t>地面</w:t>
                  </w:r>
                </w:p>
              </w:tc>
            </w:tr>
          </w:tbl>
          <w:p w14:paraId="6754EF8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②</w:t>
            </w:r>
            <w:r>
              <w:rPr>
                <w:rFonts w:hint="eastAsia" w:ascii="Times New Roman" w:hAnsi="Times New Roman" w:eastAsia="宋体" w:cs="宋体"/>
                <w:color w:val="auto"/>
                <w:kern w:val="2"/>
                <w:sz w:val="24"/>
                <w:szCs w:val="24"/>
                <w:lang w:val="en-US" w:eastAsia="zh-CN" w:bidi="ar-SA"/>
              </w:rPr>
              <w:t>防渗要求</w:t>
            </w:r>
          </w:p>
          <w:p w14:paraId="55D58EB7">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重点污染区防渗要求：根据《环境影响评价技术导则地下水环境》（HJ610-2016）的要求，重点防治区的防渗性能应等效黏土防渗层≥6.0m，渗透系数≤1.0×10</w:t>
            </w:r>
            <w:r>
              <w:rPr>
                <w:rFonts w:hint="eastAsia" w:cs="宋体"/>
                <w:color w:val="auto"/>
                <w:kern w:val="2"/>
                <w:sz w:val="24"/>
                <w:szCs w:val="24"/>
                <w:lang w:val="en-US" w:eastAsia="zh-CN" w:bidi="ar-SA"/>
              </w:rPr>
              <w:t>—</w:t>
            </w:r>
            <w:r>
              <w:rPr>
                <w:rFonts w:ascii="Times New Roman" w:hAnsi="Times New Roman" w:eastAsia="宋体" w:cs="宋体"/>
                <w:color w:val="auto"/>
                <w:kern w:val="2"/>
                <w:sz w:val="24"/>
                <w:szCs w:val="24"/>
                <w:vertAlign w:val="superscript"/>
                <w:lang w:val="en-US" w:eastAsia="zh-CN" w:bidi="ar-SA"/>
              </w:rPr>
              <w:t>7</w:t>
            </w:r>
            <w:r>
              <w:rPr>
                <w:rFonts w:ascii="Times New Roman" w:hAnsi="Times New Roman" w:eastAsia="宋体" w:cs="宋体"/>
                <w:color w:val="auto"/>
                <w:kern w:val="2"/>
                <w:sz w:val="24"/>
                <w:szCs w:val="24"/>
                <w:lang w:val="en-US" w:eastAsia="zh-CN" w:bidi="ar-SA"/>
              </w:rPr>
              <w:t>cm/s。危险废物暂存场重点防渗区应按照《危险废物污染防治技术政策》</w:t>
            </w:r>
            <w:r>
              <w:rPr>
                <w:rFonts w:hint="eastAsia" w:ascii="Times New Roman" w:hAnsi="Times New Roman" w:eastAsia="宋体" w:cs="宋体"/>
                <w:color w:val="auto"/>
                <w:kern w:val="2"/>
                <w:sz w:val="24"/>
                <w:szCs w:val="24"/>
                <w:lang w:val="en-US" w:eastAsia="zh-CN" w:bidi="ar-SA"/>
              </w:rPr>
              <w:t>及</w:t>
            </w:r>
            <w:r>
              <w:rPr>
                <w:rFonts w:hint="eastAsia" w:cs="宋体"/>
                <w:color w:val="auto"/>
                <w:kern w:val="2"/>
                <w:sz w:val="24"/>
                <w:szCs w:val="24"/>
                <w:lang w:val="en-US" w:eastAsia="zh-CN" w:bidi="ar-SA"/>
              </w:rPr>
              <w:t>《危险废物贮存污染控制标准》（GB18597-2023）</w:t>
            </w:r>
            <w:r>
              <w:rPr>
                <w:rFonts w:ascii="Times New Roman" w:hAnsi="Times New Roman" w:eastAsia="宋体" w:cs="宋体"/>
                <w:color w:val="auto"/>
                <w:kern w:val="2"/>
                <w:sz w:val="24"/>
                <w:szCs w:val="24"/>
                <w:lang w:val="en-US" w:eastAsia="zh-CN" w:bidi="ar-SA"/>
              </w:rPr>
              <w:t>等危险废物处理的相关标准、法律法规的要求。</w:t>
            </w:r>
          </w:p>
          <w:p w14:paraId="78D45B4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一般污染防治区防渗要求：</w:t>
            </w:r>
            <w:r>
              <w:rPr>
                <w:rFonts w:ascii="Times New Roman" w:hAnsi="Times New Roman" w:eastAsia="宋体" w:cs="宋体"/>
                <w:color w:val="auto"/>
                <w:kern w:val="2"/>
                <w:sz w:val="24"/>
                <w:szCs w:val="24"/>
                <w:lang w:val="en-US" w:eastAsia="zh-CN" w:bidi="ar-SA"/>
              </w:rPr>
              <w:t>根据《环境影响评价技术导则地下水环境》（HJ610-2016）的要求，</w:t>
            </w:r>
            <w:r>
              <w:rPr>
                <w:rFonts w:hint="eastAsia" w:ascii="Times New Roman" w:hAnsi="Times New Roman" w:eastAsia="宋体" w:cs="宋体"/>
                <w:color w:val="auto"/>
                <w:kern w:val="2"/>
                <w:sz w:val="24"/>
                <w:szCs w:val="24"/>
                <w:lang w:val="en-US" w:eastAsia="zh-CN" w:bidi="ar-SA"/>
              </w:rPr>
              <w:t>等效黏土防渗层Mb≥1.5m，K≤1.0×10</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vertAlign w:val="superscript"/>
                <w:lang w:val="en-US" w:eastAsia="zh-CN" w:bidi="ar-SA"/>
              </w:rPr>
              <w:t>7</w:t>
            </w:r>
            <w:r>
              <w:rPr>
                <w:rFonts w:hint="eastAsia" w:ascii="Times New Roman" w:hAnsi="Times New Roman" w:eastAsia="宋体" w:cs="宋体"/>
                <w:color w:val="auto"/>
                <w:kern w:val="2"/>
                <w:sz w:val="24"/>
                <w:szCs w:val="24"/>
                <w:lang w:val="en-US" w:eastAsia="zh-CN" w:bidi="ar-SA"/>
              </w:rPr>
              <w:t>cm/s；或参照《生活垃圾填埋场污染控制标准》（GB 16889-2008）执行。</w:t>
            </w:r>
          </w:p>
          <w:p w14:paraId="603C1B0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（2）监控措施</w:t>
            </w:r>
          </w:p>
          <w:p w14:paraId="3B0FEE1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①项目危险废物暂存间等四周建设导流沟装置，防止危险废物等泄漏时四处扩散，并可</w:t>
            </w:r>
            <w:r>
              <w:rPr>
                <w:rFonts w:ascii="Times New Roman" w:hAnsi="Times New Roman" w:eastAsia="宋体" w:cs="宋体"/>
                <w:color w:val="auto"/>
                <w:kern w:val="2"/>
                <w:sz w:val="24"/>
                <w:szCs w:val="24"/>
                <w:lang w:val="en-US" w:eastAsia="zh-CN" w:bidi="ar-SA"/>
              </w:rPr>
              <w:t>及时移除或者清理污染源</w:t>
            </w:r>
            <w:r>
              <w:rPr>
                <w:rFonts w:hint="eastAsia" w:ascii="Times New Roman" w:hAnsi="Times New Roman" w:eastAsia="宋体" w:cs="宋体"/>
                <w:color w:val="auto"/>
                <w:kern w:val="2"/>
                <w:sz w:val="24"/>
                <w:szCs w:val="24"/>
                <w:lang w:val="en-US" w:eastAsia="zh-CN" w:bidi="ar-SA"/>
              </w:rPr>
              <w:t>；</w:t>
            </w:r>
          </w:p>
          <w:p w14:paraId="78FBBB9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②建立健全环境管理和监测制度，保证各环保设施正常运转，同时强化风险防范意识，如遇环保设施不能正常运转，应立即停产检修；</w:t>
            </w:r>
          </w:p>
          <w:p w14:paraId="54F1289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③若发生危险废物泄漏等，必要时委托有资质的单位对厂址周边地下水、土壤等进行跟踪监测，掌握厂址周边污染变化趋势。</w:t>
            </w:r>
          </w:p>
          <w:p w14:paraId="7649BF1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在今后的生产活动中，做好设备的维护、检修，杜绝跑、冒、滴、漏现象。同时，加强污染物产生主要环节的收集治理，加强厂区的安全防护、环境风险防范措施，以便及时发现事故隐患，及时采取有效的应对措施。</w:t>
            </w:r>
          </w:p>
          <w:p w14:paraId="6CB70C8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⑤项目生产经营用地的用途变更或者在其土地使用权收回、转让前，应当由土地使用权人按照规定进行土壤污染状况调查。</w:t>
            </w:r>
          </w:p>
          <w:p w14:paraId="6D9AD6A3">
            <w:pPr>
              <w:pStyle w:val="4"/>
              <w:bidi w:val="0"/>
              <w:ind w:firstLine="482" w:firstLineChars="200"/>
              <w:rPr>
                <w:rFonts w:ascii="Times New Roman" w:hAnsi="Times New Roman"/>
                <w:color w:val="auto"/>
                <w:lang w:val="en-US" w:eastAsia="zh-CN"/>
              </w:rPr>
            </w:pPr>
            <w:bookmarkStart w:id="111" w:name="_Toc21689"/>
            <w:r>
              <w:rPr>
                <w:rFonts w:ascii="Times New Roman" w:hAnsi="Times New Roman"/>
                <w:color w:val="auto"/>
                <w:lang w:val="en-US" w:eastAsia="zh-CN"/>
              </w:rPr>
              <w:t>4.</w:t>
            </w:r>
            <w:r>
              <w:rPr>
                <w:rFonts w:hint="eastAsia" w:ascii="Times New Roman" w:hAnsi="Times New Roman"/>
                <w:color w:val="auto"/>
                <w:lang w:val="en-US" w:eastAsia="zh-CN"/>
              </w:rPr>
              <w:t>5</w:t>
            </w:r>
            <w:r>
              <w:rPr>
                <w:rFonts w:ascii="Times New Roman" w:hAnsi="Times New Roman"/>
                <w:color w:val="auto"/>
                <w:lang w:val="en-US" w:eastAsia="zh-CN"/>
              </w:rPr>
              <w:t>.3跟踪监测要求</w:t>
            </w:r>
            <w:bookmarkEnd w:id="111"/>
          </w:p>
          <w:p w14:paraId="7487467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本项目选址于</w:t>
            </w:r>
            <w:r>
              <w:rPr>
                <w:rFonts w:hint="eastAsia" w:cs="宋体"/>
                <w:color w:val="auto"/>
                <w:kern w:val="2"/>
                <w:sz w:val="24"/>
                <w:szCs w:val="24"/>
                <w:lang w:val="en-US" w:eastAsia="zh-CN" w:bidi="ar-SA"/>
              </w:rPr>
              <w:t>福建省福州市闽侯县上街镇高新大道巨泽中心1号楼2层、2号楼2-3层和3号楼2、4层</w:t>
            </w:r>
            <w:r>
              <w:rPr>
                <w:rFonts w:hint="eastAsia" w:ascii="Times New Roman" w:hAnsi="Times New Roman" w:eastAsia="宋体" w:cs="宋体"/>
                <w:color w:val="auto"/>
                <w:kern w:val="2"/>
                <w:sz w:val="24"/>
                <w:szCs w:val="24"/>
                <w:lang w:val="en-US" w:eastAsia="zh-CN" w:bidi="ar-SA"/>
              </w:rPr>
              <w:t>，项目周边地下水、土壤环境相对不敏感，采取有效的防渗措施后，项目对地下水、土壤环境影响很小，本评价不对项目地下水、土壤环境进行跟踪监测。</w:t>
            </w:r>
          </w:p>
          <w:p w14:paraId="77901317">
            <w:pPr>
              <w:keepNext/>
              <w:keepLines/>
              <w:widowControl w:val="0"/>
              <w:bidi w:val="0"/>
              <w:spacing w:beforeLines="0" w:beforeAutospacing="0" w:afterLines="0" w:afterAutospacing="0" w:line="360" w:lineRule="auto"/>
              <w:ind w:firstLine="562" w:firstLineChars="200"/>
              <w:jc w:val="left"/>
              <w:textAlignment w:val="center"/>
              <w:outlineLvl w:val="1"/>
              <w:rPr>
                <w:rFonts w:hint="default" w:ascii="Times New Roman" w:hAnsi="Times New Roman" w:eastAsia="宋体" w:cs="Times New Roman"/>
                <w:b/>
                <w:color w:val="auto"/>
                <w:kern w:val="2"/>
                <w:sz w:val="28"/>
                <w:szCs w:val="24"/>
                <w:lang w:val="en-US" w:eastAsia="zh-CN" w:bidi="ar-SA"/>
              </w:rPr>
            </w:pPr>
            <w:bookmarkStart w:id="112" w:name="_Toc2949"/>
            <w:bookmarkStart w:id="113" w:name="_Toc18681"/>
            <w:bookmarkStart w:id="114" w:name="_Toc14406"/>
            <w:bookmarkStart w:id="115" w:name="_Toc15005"/>
            <w:r>
              <w:rPr>
                <w:rFonts w:hint="eastAsia" w:ascii="Times New Roman" w:hAnsi="Times New Roman" w:eastAsia="宋体" w:cs="Times New Roman"/>
                <w:b/>
                <w:color w:val="auto"/>
                <w:kern w:val="2"/>
                <w:sz w:val="28"/>
                <w:szCs w:val="24"/>
                <w:lang w:val="en-US" w:eastAsia="zh-CN" w:bidi="ar-SA"/>
              </w:rPr>
              <w:t>4.6运营期环境风险影响和保护措施</w:t>
            </w:r>
            <w:bookmarkEnd w:id="112"/>
            <w:bookmarkEnd w:id="113"/>
            <w:bookmarkEnd w:id="114"/>
            <w:bookmarkEnd w:id="115"/>
          </w:p>
          <w:p w14:paraId="49CDF1A1">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116" w:name="_Toc4084"/>
            <w:bookmarkStart w:id="117" w:name="_Toc32683"/>
            <w:r>
              <w:rPr>
                <w:rFonts w:hint="eastAsia" w:ascii="Times New Roman" w:hAnsi="Times New Roman" w:eastAsia="宋体" w:cs="Times New Roman"/>
                <w:b/>
                <w:color w:val="auto"/>
                <w:kern w:val="2"/>
                <w:sz w:val="24"/>
                <w:szCs w:val="24"/>
                <w:lang w:val="en-US" w:eastAsia="zh-CN" w:bidi="ar-SA"/>
              </w:rPr>
              <w:t>4.6.1风险调查</w:t>
            </w:r>
            <w:bookmarkEnd w:id="116"/>
            <w:bookmarkEnd w:id="117"/>
          </w:p>
          <w:p w14:paraId="35021C7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所使用的原辅材料包括乙醚、乙醇、丙酮等，根据《建设项目环境风险评价技术导则》（HJ169-2018）、《企业突发环境事件风险分级方法》（HJ941-2018）和《危险化学品目录》（2015版），原辅材料中乙醚、乙醇、丙酮</w:t>
            </w:r>
            <w:r>
              <w:rPr>
                <w:rFonts w:hint="eastAsia" w:cs="宋体"/>
                <w:color w:val="auto"/>
                <w:kern w:val="2"/>
                <w:sz w:val="24"/>
                <w:szCs w:val="24"/>
                <w:lang w:val="en-US" w:eastAsia="zh-CN" w:bidi="ar-SA"/>
              </w:rPr>
              <w:t>属于</w:t>
            </w:r>
            <w:r>
              <w:rPr>
                <w:rFonts w:hint="eastAsia" w:ascii="Times New Roman" w:hAnsi="Times New Roman" w:eastAsia="宋体" w:cs="宋体"/>
                <w:color w:val="auto"/>
                <w:kern w:val="2"/>
                <w:sz w:val="24"/>
                <w:szCs w:val="24"/>
                <w:lang w:val="en-US" w:eastAsia="zh-CN" w:bidi="ar-SA"/>
              </w:rPr>
              <w:t>风险物质。</w:t>
            </w:r>
          </w:p>
          <w:p w14:paraId="5F8DC53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zh-CN" w:eastAsia="zh-CN" w:bidi="ar-SA"/>
              </w:rPr>
              <w:t>根据</w:t>
            </w:r>
            <w:r>
              <w:rPr>
                <w:rFonts w:hint="default" w:ascii="Times New Roman" w:hAnsi="Times New Roman" w:eastAsia="宋体" w:cs="宋体"/>
                <w:color w:val="auto"/>
                <w:kern w:val="2"/>
                <w:sz w:val="24"/>
                <w:szCs w:val="24"/>
                <w:lang w:val="en-US" w:eastAsia="zh-CN" w:bidi="ar-SA"/>
              </w:rPr>
              <w:t>《建设项目环境风险评价技术导则》（HJ169-2018）附录C，计算所涉及的每种危险物质在厂界内的最大存在总量与其在《建设项目环境风险评价技术导则》（HJ169-2018）附录B中对应临界量的比值Q。在不同厂区的同一种物质，按其在厂界内的最大存在总量计算。当企业只涉及一种风险物质时，该物质的数量与其临界量的比值，即为Q。当企业存在多种化学物质时，则按下式计算物质总量与其临界量比值（Q）：</w:t>
            </w:r>
          </w:p>
          <w:p w14:paraId="76A5FB2C">
            <w:pPr>
              <w:widowControl w:val="0"/>
              <w:bidi w:val="0"/>
              <w:spacing w:line="360" w:lineRule="auto"/>
              <w:ind w:firstLine="480" w:firstLineChars="200"/>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903730" cy="464185"/>
                  <wp:effectExtent l="0" t="0" r="1270" b="12065"/>
                  <wp:docPr id="264" name="图片 17" descr="C:\Users\admin\AppData\Roaming\Tencent\Users\506048567\QQ\WinTemp\RichOle\`_O{@QX45~6E2EU4~BK~(Z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17" descr="C:\Users\admin\AppData\Roaming\Tencent\Users\506048567\QQ\WinTemp\RichOle\`_O{@QX45~6E2EU4~BK~(ZR.png"/>
                          <pic:cNvPicPr>
                            <a:picLocks noChangeAspect="1"/>
                          </pic:cNvPicPr>
                        </pic:nvPicPr>
                        <pic:blipFill>
                          <a:blip r:embed="rId29"/>
                          <a:stretch>
                            <a:fillRect/>
                          </a:stretch>
                        </pic:blipFill>
                        <pic:spPr>
                          <a:xfrm>
                            <a:off x="0" y="0"/>
                            <a:ext cx="1903730" cy="464185"/>
                          </a:xfrm>
                          <a:prstGeom prst="rect">
                            <a:avLst/>
                          </a:prstGeom>
                          <a:noFill/>
                          <a:ln>
                            <a:noFill/>
                          </a:ln>
                        </pic:spPr>
                      </pic:pic>
                    </a:graphicData>
                  </a:graphic>
                </wp:inline>
              </w:drawing>
            </w:r>
          </w:p>
          <w:p w14:paraId="4975EB6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式中：q</w:t>
            </w:r>
            <w:r>
              <w:rPr>
                <w:rFonts w:hint="default" w:ascii="Times New Roman" w:hAnsi="Times New Roman" w:eastAsia="宋体" w:cs="宋体"/>
                <w:color w:val="auto"/>
                <w:kern w:val="2"/>
                <w:sz w:val="24"/>
                <w:szCs w:val="24"/>
                <w:vertAlign w:val="subscript"/>
                <w:lang w:val="en-US" w:eastAsia="zh-CN" w:bidi="ar-SA"/>
              </w:rPr>
              <w:t>1</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2</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n</w:t>
            </w:r>
            <w:r>
              <w:rPr>
                <w:rFonts w:hint="default" w:ascii="Times New Roman" w:hAnsi="Times New Roman" w:eastAsia="宋体" w:cs="宋体"/>
                <w:color w:val="auto"/>
                <w:kern w:val="2"/>
                <w:sz w:val="24"/>
                <w:szCs w:val="24"/>
                <w:lang w:val="en-US" w:eastAsia="zh-CN" w:bidi="ar-SA"/>
              </w:rPr>
              <w:t>——每种风险物质的存在量，t；</w:t>
            </w:r>
          </w:p>
          <w:p w14:paraId="24F43FE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1</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2</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n</w:t>
            </w:r>
            <w:r>
              <w:rPr>
                <w:rFonts w:hint="default" w:ascii="Times New Roman" w:hAnsi="Times New Roman" w:eastAsia="宋体" w:cs="宋体"/>
                <w:color w:val="auto"/>
                <w:kern w:val="2"/>
                <w:sz w:val="24"/>
                <w:szCs w:val="24"/>
                <w:lang w:val="en-US" w:eastAsia="zh-CN" w:bidi="ar-SA"/>
              </w:rPr>
              <w:t>——每种风险物质的临界量，t。</w:t>
            </w:r>
          </w:p>
          <w:p w14:paraId="146A588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当Q＜1时，该项目环境风险潜势为</w:t>
            </w:r>
            <w:r>
              <w:rPr>
                <w:rFonts w:hint="default" w:ascii="Times New Roman" w:hAnsi="Times New Roman" w:eastAsia="宋体" w:cs="宋体"/>
                <w:color w:val="auto"/>
                <w:kern w:val="2"/>
                <w:sz w:val="24"/>
                <w:szCs w:val="24"/>
                <w:lang w:val="en-US" w:eastAsia="zh-CN" w:bidi="ar-SA"/>
              </w:rPr>
              <w:fldChar w:fldCharType="begin"/>
            </w:r>
            <w:r>
              <w:rPr>
                <w:rFonts w:hint="default" w:ascii="Times New Roman" w:hAnsi="Times New Roman" w:eastAsia="宋体" w:cs="宋体"/>
                <w:color w:val="auto"/>
                <w:kern w:val="2"/>
                <w:sz w:val="24"/>
                <w:szCs w:val="24"/>
                <w:lang w:val="en-US" w:eastAsia="zh-CN" w:bidi="ar-SA"/>
              </w:rPr>
              <w:instrText xml:space="preserve"> = 1 \* ROMAN </w:instrText>
            </w:r>
            <w:r>
              <w:rPr>
                <w:rFonts w:hint="default" w:ascii="Times New Roman" w:hAnsi="Times New Roman" w:eastAsia="宋体" w:cs="宋体"/>
                <w:color w:val="auto"/>
                <w:kern w:val="2"/>
                <w:sz w:val="24"/>
                <w:szCs w:val="24"/>
                <w:lang w:val="en-US" w:eastAsia="zh-CN" w:bidi="ar-SA"/>
              </w:rPr>
              <w:fldChar w:fldCharType="separate"/>
            </w:r>
            <w:r>
              <w:rPr>
                <w:rFonts w:hint="default" w:ascii="Times New Roman" w:hAnsi="Times New Roman" w:eastAsia="宋体" w:cs="宋体"/>
                <w:color w:val="auto"/>
                <w:kern w:val="2"/>
                <w:sz w:val="24"/>
                <w:szCs w:val="24"/>
                <w:lang w:val="en-US" w:eastAsia="zh-CN" w:bidi="ar-SA"/>
              </w:rPr>
              <w:t>I</w:t>
            </w:r>
            <w:r>
              <w:rPr>
                <w:rFonts w:hint="default" w:ascii="Times New Roman" w:hAnsi="Times New Roman" w:eastAsia="宋体" w:cs="宋体"/>
                <w:color w:val="auto"/>
                <w:kern w:val="2"/>
                <w:sz w:val="24"/>
                <w:szCs w:val="24"/>
                <w:lang w:val="en-US" w:eastAsia="zh-CN" w:bidi="ar-SA"/>
              </w:rPr>
              <w:fldChar w:fldCharType="end"/>
            </w:r>
            <w:r>
              <w:rPr>
                <w:rFonts w:hint="default" w:ascii="Times New Roman" w:hAnsi="Times New Roman" w:eastAsia="宋体" w:cs="宋体"/>
                <w:color w:val="auto"/>
                <w:kern w:val="2"/>
                <w:sz w:val="24"/>
                <w:szCs w:val="24"/>
                <w:lang w:val="en-US" w:eastAsia="zh-CN" w:bidi="ar-SA"/>
              </w:rPr>
              <w:t>。</w:t>
            </w:r>
          </w:p>
          <w:p w14:paraId="32400AB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当Q≥1时，将Q值划分为：（1）1≤Q＜10；（2）10≤Q＜100；（3）Q≥100。</w:t>
            </w:r>
          </w:p>
          <w:p w14:paraId="69FF098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zh-CN" w:eastAsia="zh-CN" w:bidi="ar-SA"/>
              </w:rPr>
              <w:t>本项目涉及的危险物质情况及临界量比值详见表</w:t>
            </w:r>
            <w:r>
              <w:rPr>
                <w:rFonts w:hint="default" w:ascii="Times New Roman" w:hAnsi="Times New Roman" w:eastAsia="宋体" w:cs="宋体"/>
                <w:color w:val="auto"/>
                <w:kern w:val="2"/>
                <w:sz w:val="24"/>
                <w:szCs w:val="24"/>
                <w:lang w:val="en-US" w:eastAsia="zh-CN" w:bidi="ar-SA"/>
              </w:rPr>
              <w:t>4.</w:t>
            </w:r>
            <w:r>
              <w:rPr>
                <w:rFonts w:hint="eastAsia" w:ascii="Times New Roman" w:hAnsi="Times New Roman" w:eastAsia="宋体" w:cs="宋体"/>
                <w:color w:val="auto"/>
                <w:kern w:val="2"/>
                <w:sz w:val="24"/>
                <w:szCs w:val="24"/>
                <w:lang w:val="en-US" w:eastAsia="zh-CN" w:bidi="ar-SA"/>
              </w:rPr>
              <w:t>6</w:t>
            </w:r>
            <w:r>
              <w:rPr>
                <w:rFonts w:hint="default"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1</w:t>
            </w:r>
            <w:r>
              <w:rPr>
                <w:rFonts w:hint="default" w:ascii="Times New Roman" w:hAnsi="Times New Roman" w:eastAsia="宋体" w:cs="宋体"/>
                <w:color w:val="auto"/>
                <w:kern w:val="2"/>
                <w:sz w:val="24"/>
                <w:szCs w:val="24"/>
                <w:lang w:val="zh-CN" w:eastAsia="zh-CN" w:bidi="ar-SA"/>
              </w:rPr>
              <w:t>。</w:t>
            </w:r>
          </w:p>
          <w:p w14:paraId="0C1DBFE3">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vertAlign w:val="baseline"/>
                <w:lang w:val="en-US" w:eastAsia="zh-CN" w:bidi="ar-SA"/>
              </w:rPr>
            </w:pPr>
            <w:r>
              <w:rPr>
                <w:rFonts w:hint="eastAsia" w:ascii="Times New Roman" w:hAnsi="Times New Roman" w:eastAsia="宋体" w:cs="Times New Roman"/>
                <w:b/>
                <w:color w:val="auto"/>
                <w:kern w:val="0"/>
                <w:sz w:val="24"/>
                <w:szCs w:val="20"/>
                <w:lang w:val="en-US" w:eastAsia="zh-CN" w:bidi="ar-SA"/>
              </w:rPr>
              <w:t>表4.6-1</w:t>
            </w:r>
            <w:r>
              <w:rPr>
                <w:rFonts w:hint="eastAsia" w:cs="Times New Roman"/>
                <w:b/>
                <w:color w:val="auto"/>
                <w:kern w:val="0"/>
                <w:sz w:val="24"/>
                <w:szCs w:val="20"/>
                <w:lang w:val="en-US" w:eastAsia="zh-CN" w:bidi="ar-SA"/>
              </w:rPr>
              <w:t xml:space="preserve">  项目全厂</w:t>
            </w:r>
            <w:r>
              <w:rPr>
                <w:rFonts w:hint="eastAsia" w:ascii="Times New Roman" w:hAnsi="Times New Roman" w:eastAsia="宋体" w:cs="Times New Roman"/>
                <w:b/>
                <w:color w:val="auto"/>
                <w:kern w:val="0"/>
                <w:sz w:val="24"/>
                <w:szCs w:val="20"/>
                <w:lang w:val="en-US" w:eastAsia="zh-CN" w:bidi="ar-SA"/>
              </w:rPr>
              <w:t>危险物质储存情况及临界量比值</w:t>
            </w:r>
          </w:p>
          <w:tbl>
            <w:tblPr>
              <w:tblStyle w:val="19"/>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317"/>
              <w:gridCol w:w="1190"/>
              <w:gridCol w:w="1556"/>
              <w:gridCol w:w="1207"/>
              <w:gridCol w:w="1231"/>
              <w:gridCol w:w="1207"/>
            </w:tblGrid>
            <w:tr w14:paraId="791103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tcBorders>
                    <w:tl2br w:val="nil"/>
                    <w:tr2bl w:val="nil"/>
                  </w:tcBorders>
                  <w:noWrap w:val="0"/>
                  <w:vAlign w:val="center"/>
                </w:tcPr>
                <w:p w14:paraId="0904F35B">
                  <w:pPr>
                    <w:pStyle w:val="30"/>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序号</w:t>
                  </w:r>
                </w:p>
              </w:tc>
              <w:tc>
                <w:tcPr>
                  <w:tcW w:w="778" w:type="pct"/>
                  <w:tcBorders>
                    <w:tl2br w:val="nil"/>
                    <w:tr2bl w:val="nil"/>
                  </w:tcBorders>
                  <w:noWrap w:val="0"/>
                  <w:vAlign w:val="center"/>
                </w:tcPr>
                <w:p w14:paraId="00C8EEF0">
                  <w:pPr>
                    <w:pStyle w:val="30"/>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风险物质</w:t>
                  </w:r>
                </w:p>
              </w:tc>
              <w:tc>
                <w:tcPr>
                  <w:tcW w:w="703" w:type="pct"/>
                  <w:tcBorders>
                    <w:tl2br w:val="nil"/>
                    <w:tr2bl w:val="nil"/>
                  </w:tcBorders>
                  <w:noWrap w:val="0"/>
                  <w:vAlign w:val="center"/>
                </w:tcPr>
                <w:p w14:paraId="5E9CA87E">
                  <w:pPr>
                    <w:pStyle w:val="30"/>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CAS号</w:t>
                  </w:r>
                </w:p>
              </w:tc>
              <w:tc>
                <w:tcPr>
                  <w:tcW w:w="919" w:type="pct"/>
                  <w:tcBorders>
                    <w:tl2br w:val="nil"/>
                    <w:tr2bl w:val="nil"/>
                  </w:tcBorders>
                  <w:noWrap w:val="0"/>
                  <w:vAlign w:val="center"/>
                </w:tcPr>
                <w:p w14:paraId="1647D1B7">
                  <w:pPr>
                    <w:pStyle w:val="30"/>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最大贮存量/最大在线量（折算浓度）</w:t>
                  </w:r>
                </w:p>
              </w:tc>
              <w:tc>
                <w:tcPr>
                  <w:tcW w:w="713" w:type="pct"/>
                  <w:tcBorders>
                    <w:tl2br w:val="nil"/>
                    <w:tr2bl w:val="nil"/>
                  </w:tcBorders>
                  <w:noWrap w:val="0"/>
                  <w:vAlign w:val="center"/>
                </w:tcPr>
                <w:p w14:paraId="6C23C7AE">
                  <w:pPr>
                    <w:pStyle w:val="30"/>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贮存位置</w:t>
                  </w:r>
                </w:p>
              </w:tc>
              <w:tc>
                <w:tcPr>
                  <w:tcW w:w="725" w:type="pct"/>
                  <w:tcBorders>
                    <w:tl2br w:val="nil"/>
                    <w:tr2bl w:val="nil"/>
                  </w:tcBorders>
                  <w:noWrap w:val="0"/>
                  <w:vAlign w:val="center"/>
                </w:tcPr>
                <w:p w14:paraId="54C6B340">
                  <w:pPr>
                    <w:pStyle w:val="30"/>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临界量</w:t>
                  </w:r>
                </w:p>
              </w:tc>
              <w:tc>
                <w:tcPr>
                  <w:tcW w:w="713" w:type="pct"/>
                  <w:tcBorders>
                    <w:tl2br w:val="nil"/>
                    <w:tr2bl w:val="nil"/>
                  </w:tcBorders>
                  <w:noWrap w:val="0"/>
                  <w:vAlign w:val="center"/>
                </w:tcPr>
                <w:p w14:paraId="1E99419A">
                  <w:pPr>
                    <w:pStyle w:val="30"/>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临界量比值</w:t>
                  </w:r>
                </w:p>
              </w:tc>
            </w:tr>
            <w:tr w14:paraId="1FAC1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tcBorders>
                    <w:tl2br w:val="nil"/>
                    <w:tr2bl w:val="nil"/>
                  </w:tcBorders>
                  <w:noWrap w:val="0"/>
                  <w:vAlign w:val="center"/>
                </w:tcPr>
                <w:p w14:paraId="45A40489">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c>
                <w:tcPr>
                  <w:tcW w:w="778" w:type="pct"/>
                  <w:tcBorders>
                    <w:tl2br w:val="nil"/>
                    <w:tr2bl w:val="nil"/>
                  </w:tcBorders>
                  <w:noWrap w:val="0"/>
                  <w:vAlign w:val="center"/>
                </w:tcPr>
                <w:p w14:paraId="08E101E3">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乙醚</w:t>
                  </w:r>
                </w:p>
              </w:tc>
              <w:tc>
                <w:tcPr>
                  <w:tcW w:w="703" w:type="pct"/>
                  <w:tcBorders>
                    <w:tl2br w:val="nil"/>
                    <w:tr2bl w:val="nil"/>
                  </w:tcBorders>
                  <w:noWrap w:val="0"/>
                  <w:vAlign w:val="center"/>
                </w:tcPr>
                <w:p w14:paraId="5EE9C2CB">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60-29-7</w:t>
                  </w:r>
                </w:p>
              </w:tc>
              <w:tc>
                <w:tcPr>
                  <w:tcW w:w="919" w:type="pct"/>
                  <w:tcBorders>
                    <w:tl2br w:val="nil"/>
                    <w:tr2bl w:val="nil"/>
                  </w:tcBorders>
                  <w:noWrap w:val="0"/>
                  <w:vAlign w:val="center"/>
                </w:tcPr>
                <w:p w14:paraId="108BCE76">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0.01</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4EE3599F">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25" w:type="pct"/>
                  <w:tcBorders>
                    <w:tl2br w:val="nil"/>
                    <w:tr2bl w:val="nil"/>
                  </w:tcBorders>
                  <w:noWrap w:val="0"/>
                  <w:vAlign w:val="center"/>
                </w:tcPr>
                <w:p w14:paraId="029FB998">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10t</w:t>
                  </w:r>
                </w:p>
              </w:tc>
              <w:tc>
                <w:tcPr>
                  <w:tcW w:w="713" w:type="pct"/>
                  <w:tcBorders>
                    <w:tl2br w:val="nil"/>
                    <w:tr2bl w:val="nil"/>
                  </w:tcBorders>
                  <w:noWrap w:val="0"/>
                  <w:vAlign w:val="center"/>
                </w:tcPr>
                <w:p w14:paraId="370DA21D">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0.001</w:t>
                  </w:r>
                </w:p>
              </w:tc>
            </w:tr>
            <w:tr w14:paraId="2CAB2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tcBorders>
                    <w:tl2br w:val="nil"/>
                    <w:tr2bl w:val="nil"/>
                  </w:tcBorders>
                  <w:noWrap w:val="0"/>
                  <w:vAlign w:val="center"/>
                </w:tcPr>
                <w:p w14:paraId="711CB88C">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w:t>
                  </w:r>
                </w:p>
              </w:tc>
              <w:tc>
                <w:tcPr>
                  <w:tcW w:w="778" w:type="pct"/>
                  <w:tcBorders>
                    <w:tl2br w:val="nil"/>
                    <w:tr2bl w:val="nil"/>
                  </w:tcBorders>
                  <w:noWrap w:val="0"/>
                  <w:vAlign w:val="center"/>
                </w:tcPr>
                <w:p w14:paraId="749411AD">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无水乙醇</w:t>
                  </w:r>
                </w:p>
              </w:tc>
              <w:tc>
                <w:tcPr>
                  <w:tcW w:w="703" w:type="pct"/>
                  <w:tcBorders>
                    <w:tl2br w:val="nil"/>
                    <w:tr2bl w:val="nil"/>
                  </w:tcBorders>
                  <w:noWrap w:val="0"/>
                  <w:vAlign w:val="center"/>
                </w:tcPr>
                <w:p w14:paraId="1DEBF0A5">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64-17-5</w:t>
                  </w:r>
                </w:p>
              </w:tc>
              <w:tc>
                <w:tcPr>
                  <w:tcW w:w="919" w:type="pct"/>
                  <w:tcBorders>
                    <w:tl2br w:val="nil"/>
                    <w:tr2bl w:val="nil"/>
                  </w:tcBorders>
                  <w:noWrap w:val="0"/>
                  <w:vAlign w:val="center"/>
                </w:tcPr>
                <w:p w14:paraId="1AD68D91">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0.01</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36ED216E">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25" w:type="pct"/>
                  <w:tcBorders>
                    <w:tl2br w:val="nil"/>
                    <w:tr2bl w:val="nil"/>
                  </w:tcBorders>
                  <w:noWrap w:val="0"/>
                  <w:vAlign w:val="center"/>
                </w:tcPr>
                <w:p w14:paraId="741630BD">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500t</w:t>
                  </w:r>
                </w:p>
              </w:tc>
              <w:tc>
                <w:tcPr>
                  <w:tcW w:w="713" w:type="pct"/>
                  <w:tcBorders>
                    <w:tl2br w:val="nil"/>
                    <w:tr2bl w:val="nil"/>
                  </w:tcBorders>
                  <w:noWrap w:val="0"/>
                  <w:vAlign w:val="center"/>
                </w:tcPr>
                <w:p w14:paraId="07CBC1BE">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0.00002</w:t>
                  </w:r>
                </w:p>
              </w:tc>
            </w:tr>
            <w:tr w14:paraId="76F0E0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tcBorders>
                    <w:tl2br w:val="nil"/>
                    <w:tr2bl w:val="nil"/>
                  </w:tcBorders>
                  <w:noWrap w:val="0"/>
                  <w:vAlign w:val="center"/>
                </w:tcPr>
                <w:p w14:paraId="7B184E16">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w:t>
                  </w:r>
                </w:p>
              </w:tc>
              <w:tc>
                <w:tcPr>
                  <w:tcW w:w="778" w:type="pct"/>
                  <w:tcBorders>
                    <w:tl2br w:val="nil"/>
                    <w:tr2bl w:val="nil"/>
                  </w:tcBorders>
                  <w:noWrap w:val="0"/>
                  <w:vAlign w:val="center"/>
                </w:tcPr>
                <w:p w14:paraId="79097619">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丙酮</w:t>
                  </w:r>
                </w:p>
              </w:tc>
              <w:tc>
                <w:tcPr>
                  <w:tcW w:w="703" w:type="pct"/>
                  <w:tcBorders>
                    <w:tl2br w:val="nil"/>
                    <w:tr2bl w:val="nil"/>
                  </w:tcBorders>
                  <w:noWrap w:val="0"/>
                  <w:vAlign w:val="center"/>
                </w:tcPr>
                <w:p w14:paraId="7AE2F6E1">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67-64-1</w:t>
                  </w:r>
                </w:p>
              </w:tc>
              <w:tc>
                <w:tcPr>
                  <w:tcW w:w="919" w:type="pct"/>
                  <w:tcBorders>
                    <w:tl2br w:val="nil"/>
                    <w:tr2bl w:val="nil"/>
                  </w:tcBorders>
                  <w:noWrap w:val="0"/>
                  <w:vAlign w:val="center"/>
                </w:tcPr>
                <w:p w14:paraId="2C7231AA">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0.01t</w:t>
                  </w:r>
                </w:p>
              </w:tc>
              <w:tc>
                <w:tcPr>
                  <w:tcW w:w="713" w:type="pct"/>
                  <w:tcBorders>
                    <w:tl2br w:val="nil"/>
                    <w:tr2bl w:val="nil"/>
                  </w:tcBorders>
                  <w:noWrap w:val="0"/>
                  <w:vAlign w:val="center"/>
                </w:tcPr>
                <w:p w14:paraId="40A9CA38">
                  <w:pPr>
                    <w:pStyle w:val="30"/>
                    <w:bidi w:val="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25" w:type="pct"/>
                  <w:tcBorders>
                    <w:tl2br w:val="nil"/>
                    <w:tr2bl w:val="nil"/>
                  </w:tcBorders>
                  <w:noWrap w:val="0"/>
                  <w:vAlign w:val="center"/>
                </w:tcPr>
                <w:p w14:paraId="04A5710B">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10t</w:t>
                  </w:r>
                </w:p>
              </w:tc>
              <w:tc>
                <w:tcPr>
                  <w:tcW w:w="713" w:type="pct"/>
                  <w:tcBorders>
                    <w:tl2br w:val="nil"/>
                    <w:tr2bl w:val="nil"/>
                  </w:tcBorders>
                  <w:noWrap w:val="0"/>
                  <w:vAlign w:val="center"/>
                </w:tcPr>
                <w:p w14:paraId="42B154F5">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0.001</w:t>
                  </w:r>
                </w:p>
              </w:tc>
            </w:tr>
            <w:tr w14:paraId="58445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tcBorders>
                    <w:tl2br w:val="nil"/>
                    <w:tr2bl w:val="nil"/>
                  </w:tcBorders>
                  <w:noWrap w:val="0"/>
                  <w:vAlign w:val="center"/>
                </w:tcPr>
                <w:p w14:paraId="277E9E58">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w:t>
                  </w:r>
                </w:p>
              </w:tc>
              <w:tc>
                <w:tcPr>
                  <w:tcW w:w="778" w:type="pct"/>
                  <w:tcBorders>
                    <w:tl2br w:val="nil"/>
                    <w:tr2bl w:val="nil"/>
                  </w:tcBorders>
                  <w:noWrap w:val="0"/>
                  <w:vAlign w:val="center"/>
                </w:tcPr>
                <w:p w14:paraId="17C114DB">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磨削液</w:t>
                  </w:r>
                </w:p>
              </w:tc>
              <w:tc>
                <w:tcPr>
                  <w:tcW w:w="703" w:type="pct"/>
                  <w:tcBorders>
                    <w:tl2br w:val="nil"/>
                    <w:tr2bl w:val="nil"/>
                  </w:tcBorders>
                  <w:noWrap w:val="0"/>
                  <w:vAlign w:val="center"/>
                </w:tcPr>
                <w:p w14:paraId="4503954E">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919" w:type="pct"/>
                  <w:tcBorders>
                    <w:tl2br w:val="nil"/>
                    <w:tr2bl w:val="nil"/>
                  </w:tcBorders>
                  <w:noWrap w:val="0"/>
                  <w:vAlign w:val="center"/>
                </w:tcPr>
                <w:p w14:paraId="445AF214">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0.01t</w:t>
                  </w:r>
                </w:p>
              </w:tc>
              <w:tc>
                <w:tcPr>
                  <w:tcW w:w="713" w:type="pct"/>
                  <w:tcBorders>
                    <w:tl2br w:val="nil"/>
                    <w:tr2bl w:val="nil"/>
                  </w:tcBorders>
                  <w:noWrap w:val="0"/>
                  <w:vAlign w:val="center"/>
                </w:tcPr>
                <w:p w14:paraId="33B2F841">
                  <w:pPr>
                    <w:pStyle w:val="30"/>
                    <w:bidi w:val="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25" w:type="pct"/>
                  <w:tcBorders>
                    <w:tl2br w:val="nil"/>
                    <w:tr2bl w:val="nil"/>
                  </w:tcBorders>
                  <w:noWrap w:val="0"/>
                  <w:vAlign w:val="center"/>
                </w:tcPr>
                <w:p w14:paraId="5507EA01">
                  <w:pPr>
                    <w:pStyle w:val="30"/>
                    <w:bidi w:val="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2500t</w:t>
                  </w:r>
                </w:p>
              </w:tc>
              <w:tc>
                <w:tcPr>
                  <w:tcW w:w="713" w:type="pct"/>
                  <w:tcBorders>
                    <w:tl2br w:val="nil"/>
                    <w:tr2bl w:val="nil"/>
                  </w:tcBorders>
                  <w:noWrap w:val="0"/>
                  <w:vAlign w:val="center"/>
                </w:tcPr>
                <w:p w14:paraId="691EBCBF">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0.0002</w:t>
                  </w:r>
                </w:p>
              </w:tc>
            </w:tr>
            <w:tr w14:paraId="1BEA8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6" w:type="pct"/>
                  <w:tcBorders>
                    <w:tl2br w:val="nil"/>
                    <w:tr2bl w:val="nil"/>
                  </w:tcBorders>
                  <w:noWrap w:val="0"/>
                  <w:vAlign w:val="center"/>
                </w:tcPr>
                <w:p w14:paraId="1A587819">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778" w:type="pct"/>
                  <w:tcBorders>
                    <w:tl2br w:val="nil"/>
                    <w:tr2bl w:val="nil"/>
                  </w:tcBorders>
                  <w:noWrap w:val="0"/>
                  <w:vAlign w:val="center"/>
                </w:tcPr>
                <w:p w14:paraId="25AFAD92">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危险废物</w:t>
                  </w:r>
                </w:p>
              </w:tc>
              <w:tc>
                <w:tcPr>
                  <w:tcW w:w="703" w:type="pct"/>
                  <w:tcBorders>
                    <w:tl2br w:val="nil"/>
                    <w:tr2bl w:val="nil"/>
                  </w:tcBorders>
                  <w:noWrap w:val="0"/>
                  <w:vAlign w:val="center"/>
                </w:tcPr>
                <w:p w14:paraId="08C0ACAA">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w:t>
                  </w:r>
                </w:p>
              </w:tc>
              <w:tc>
                <w:tcPr>
                  <w:tcW w:w="919" w:type="pct"/>
                  <w:tcBorders>
                    <w:tl2br w:val="nil"/>
                    <w:tr2bl w:val="nil"/>
                  </w:tcBorders>
                  <w:noWrap w:val="0"/>
                  <w:vAlign w:val="center"/>
                </w:tcPr>
                <w:p w14:paraId="5BA39709">
                  <w:pPr>
                    <w:pStyle w:val="30"/>
                    <w:bidi w:val="0"/>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7.614</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710B0C8F">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危废贮存库</w:t>
                  </w:r>
                </w:p>
              </w:tc>
              <w:tc>
                <w:tcPr>
                  <w:tcW w:w="725" w:type="pct"/>
                  <w:tcBorders>
                    <w:tl2br w:val="nil"/>
                    <w:tr2bl w:val="nil"/>
                  </w:tcBorders>
                  <w:noWrap w:val="0"/>
                  <w:vAlign w:val="center"/>
                </w:tcPr>
                <w:p w14:paraId="7D6F4568">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50t</w:t>
                  </w:r>
                </w:p>
              </w:tc>
              <w:tc>
                <w:tcPr>
                  <w:tcW w:w="713" w:type="pct"/>
                  <w:tcBorders>
                    <w:tl2br w:val="nil"/>
                    <w:tr2bl w:val="nil"/>
                  </w:tcBorders>
                  <w:noWrap w:val="0"/>
                  <w:vAlign w:val="center"/>
                </w:tcPr>
                <w:p w14:paraId="3CC17183">
                  <w:pPr>
                    <w:pStyle w:val="30"/>
                    <w:bidi w:val="0"/>
                    <w:rPr>
                      <w:rFonts w:hint="default"/>
                      <w:color w:val="auto"/>
                      <w:sz w:val="21"/>
                      <w:szCs w:val="21"/>
                      <w:lang w:val="en-US" w:eastAsia="zh-CN"/>
                    </w:rPr>
                  </w:pPr>
                  <w:r>
                    <w:rPr>
                      <w:rFonts w:hint="eastAsia"/>
                      <w:color w:val="auto"/>
                      <w:sz w:val="21"/>
                      <w:szCs w:val="21"/>
                      <w:lang w:val="en-US" w:eastAsia="zh-CN"/>
                    </w:rPr>
                    <w:t>0.15228</w:t>
                  </w:r>
                </w:p>
              </w:tc>
            </w:tr>
            <w:tr w14:paraId="70901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86" w:type="pct"/>
                  <w:gridSpan w:val="6"/>
                  <w:tcBorders>
                    <w:tl2br w:val="nil"/>
                    <w:tr2bl w:val="nil"/>
                  </w:tcBorders>
                  <w:noWrap w:val="0"/>
                  <w:vAlign w:val="center"/>
                </w:tcPr>
                <w:p w14:paraId="2ACF6937">
                  <w:pPr>
                    <w:pStyle w:val="30"/>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总计</w:t>
                  </w:r>
                </w:p>
              </w:tc>
              <w:tc>
                <w:tcPr>
                  <w:tcW w:w="713" w:type="pct"/>
                  <w:tcBorders>
                    <w:tl2br w:val="nil"/>
                    <w:tr2bl w:val="nil"/>
                  </w:tcBorders>
                  <w:noWrap w:val="0"/>
                  <w:vAlign w:val="center"/>
                </w:tcPr>
                <w:p w14:paraId="16B1E673">
                  <w:pPr>
                    <w:pStyle w:val="30"/>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0.1543</w:t>
                  </w:r>
                </w:p>
              </w:tc>
            </w:tr>
          </w:tbl>
          <w:p w14:paraId="0777211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由表可知项目危险物质的临界量比值Q=0.1543＜1，项目环境风险潜势为</w:t>
            </w:r>
            <w:r>
              <w:rPr>
                <w:rFonts w:hint="default" w:ascii="Times New Roman" w:hAnsi="Times New Roman" w:eastAsia="宋体" w:cs="Times New Roman"/>
                <w:color w:val="auto"/>
                <w:kern w:val="2"/>
                <w:sz w:val="24"/>
                <w:szCs w:val="24"/>
                <w:lang w:val="en-US" w:eastAsia="zh-CN" w:bidi="ar-SA"/>
              </w:rPr>
              <w:t>Ⅰ</w:t>
            </w:r>
            <w:r>
              <w:rPr>
                <w:rFonts w:hint="eastAsia" w:ascii="Times New Roman" w:hAnsi="Times New Roman" w:eastAsia="宋体" w:cs="宋体"/>
                <w:color w:val="auto"/>
                <w:kern w:val="2"/>
                <w:sz w:val="24"/>
                <w:szCs w:val="24"/>
                <w:lang w:val="en-US" w:eastAsia="zh-CN" w:bidi="ar-SA"/>
              </w:rPr>
              <w:t>。</w:t>
            </w:r>
          </w:p>
          <w:p w14:paraId="5963570E">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118" w:name="_Toc14298"/>
            <w:bookmarkStart w:id="119" w:name="_Toc23165"/>
            <w:r>
              <w:rPr>
                <w:rFonts w:hint="eastAsia" w:ascii="Times New Roman" w:hAnsi="Times New Roman" w:eastAsia="宋体" w:cs="Times New Roman"/>
                <w:b/>
                <w:color w:val="auto"/>
                <w:kern w:val="2"/>
                <w:sz w:val="24"/>
                <w:szCs w:val="24"/>
                <w:lang w:val="en-US" w:eastAsia="zh-CN" w:bidi="ar-SA"/>
              </w:rPr>
              <w:t>4.6.2环境风险潜势初判</w:t>
            </w:r>
            <w:bookmarkEnd w:id="118"/>
            <w:bookmarkEnd w:id="119"/>
          </w:p>
          <w:p w14:paraId="54CD43F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根据《建设项目环境风险评价技术导则》（HJ 169-2018），环境风险评价工作等级划分详见下表4.6-2。</w:t>
            </w:r>
          </w:p>
          <w:p w14:paraId="6F6F2E95">
            <w:pPr>
              <w:widowControl w:val="0"/>
              <w:bidi w:val="0"/>
              <w:adjustRightInd w:val="0"/>
              <w:snapToGrid w:val="0"/>
              <w:spacing w:before="10" w:beforeLines="10" w:after="10" w:afterLines="10"/>
              <w:ind w:firstLine="482" w:firstLineChars="20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表4.6-2</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评价工作等级划分</w:t>
            </w:r>
          </w:p>
          <w:tbl>
            <w:tblPr>
              <w:tblStyle w:val="19"/>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1692"/>
              <w:gridCol w:w="1694"/>
              <w:gridCol w:w="1694"/>
              <w:gridCol w:w="1694"/>
            </w:tblGrid>
            <w:tr w14:paraId="5E2B2F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shd w:val="clear" w:color="auto" w:fill="auto"/>
                  <w:noWrap w:val="0"/>
                  <w:vAlign w:val="center"/>
                </w:tcPr>
                <w:p w14:paraId="1E8E53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环境风险潜势</w:t>
                  </w:r>
                </w:p>
              </w:tc>
              <w:tc>
                <w:tcPr>
                  <w:tcW w:w="999" w:type="pct"/>
                  <w:tcBorders>
                    <w:tl2br w:val="nil"/>
                    <w:tr2bl w:val="nil"/>
                  </w:tcBorders>
                  <w:shd w:val="clear" w:color="auto" w:fill="auto"/>
                  <w:noWrap w:val="0"/>
                  <w:vAlign w:val="center"/>
                </w:tcPr>
                <w:p w14:paraId="6DF1E3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IV、IV</w:t>
                  </w:r>
                  <w:r>
                    <w:rPr>
                      <w:rFonts w:hint="eastAsia" w:ascii="Times New Roman" w:hAnsi="Times New Roman" w:eastAsia="宋体" w:cs="Times New Roman"/>
                      <w:b/>
                      <w:bCs/>
                      <w:color w:val="auto"/>
                      <w:kern w:val="0"/>
                      <w:sz w:val="21"/>
                      <w:szCs w:val="20"/>
                      <w:vertAlign w:val="superscript"/>
                      <w:lang w:val="en-US" w:eastAsia="zh-CN" w:bidi="ar-SA"/>
                    </w:rPr>
                    <w:t>+</w:t>
                  </w:r>
                </w:p>
              </w:tc>
              <w:tc>
                <w:tcPr>
                  <w:tcW w:w="1000" w:type="pct"/>
                  <w:tcBorders>
                    <w:tl2br w:val="nil"/>
                    <w:tr2bl w:val="nil"/>
                  </w:tcBorders>
                  <w:shd w:val="clear" w:color="auto" w:fill="auto"/>
                  <w:noWrap w:val="0"/>
                  <w:vAlign w:val="center"/>
                </w:tcPr>
                <w:p w14:paraId="0453AE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III</w:t>
                  </w:r>
                </w:p>
              </w:tc>
              <w:tc>
                <w:tcPr>
                  <w:tcW w:w="1000" w:type="pct"/>
                  <w:tcBorders>
                    <w:tl2br w:val="nil"/>
                    <w:tr2bl w:val="nil"/>
                  </w:tcBorders>
                  <w:shd w:val="clear" w:color="auto" w:fill="auto"/>
                  <w:noWrap w:val="0"/>
                  <w:vAlign w:val="center"/>
                </w:tcPr>
                <w:p w14:paraId="0658E7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II</w:t>
                  </w:r>
                </w:p>
              </w:tc>
              <w:tc>
                <w:tcPr>
                  <w:tcW w:w="1000" w:type="pct"/>
                  <w:tcBorders>
                    <w:tl2br w:val="nil"/>
                    <w:tr2bl w:val="nil"/>
                  </w:tcBorders>
                  <w:shd w:val="clear" w:color="auto" w:fill="BEBEBE"/>
                  <w:noWrap w:val="0"/>
                  <w:vAlign w:val="center"/>
                </w:tcPr>
                <w:p w14:paraId="73EE9B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I</w:t>
                  </w:r>
                </w:p>
              </w:tc>
            </w:tr>
            <w:tr w14:paraId="3D8FB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shd w:val="clear" w:color="auto" w:fill="auto"/>
                  <w:noWrap w:val="0"/>
                  <w:vAlign w:val="center"/>
                </w:tcPr>
                <w:p w14:paraId="2A2AF1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评价工作等级</w:t>
                  </w:r>
                </w:p>
              </w:tc>
              <w:tc>
                <w:tcPr>
                  <w:tcW w:w="999" w:type="pct"/>
                  <w:tcBorders>
                    <w:tl2br w:val="nil"/>
                    <w:tr2bl w:val="nil"/>
                  </w:tcBorders>
                  <w:shd w:val="clear" w:color="auto" w:fill="auto"/>
                  <w:noWrap w:val="0"/>
                  <w:vAlign w:val="center"/>
                </w:tcPr>
                <w:p w14:paraId="37562C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w:t>
                  </w:r>
                </w:p>
              </w:tc>
              <w:tc>
                <w:tcPr>
                  <w:tcW w:w="1000" w:type="pct"/>
                  <w:tcBorders>
                    <w:tl2br w:val="nil"/>
                    <w:tr2bl w:val="nil"/>
                  </w:tcBorders>
                  <w:shd w:val="clear" w:color="auto" w:fill="auto"/>
                  <w:noWrap w:val="0"/>
                  <w:vAlign w:val="center"/>
                </w:tcPr>
                <w:p w14:paraId="46D915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二</w:t>
                  </w:r>
                </w:p>
              </w:tc>
              <w:tc>
                <w:tcPr>
                  <w:tcW w:w="1000" w:type="pct"/>
                  <w:tcBorders>
                    <w:tl2br w:val="nil"/>
                    <w:tr2bl w:val="nil"/>
                  </w:tcBorders>
                  <w:shd w:val="clear" w:color="auto" w:fill="auto"/>
                  <w:noWrap w:val="0"/>
                  <w:vAlign w:val="center"/>
                </w:tcPr>
                <w:p w14:paraId="4DF292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三</w:t>
                  </w:r>
                </w:p>
              </w:tc>
              <w:tc>
                <w:tcPr>
                  <w:tcW w:w="1000" w:type="pct"/>
                  <w:tcBorders>
                    <w:tl2br w:val="nil"/>
                    <w:tr2bl w:val="nil"/>
                  </w:tcBorders>
                  <w:shd w:val="clear" w:color="auto" w:fill="BEBEBE"/>
                  <w:noWrap w:val="0"/>
                  <w:vAlign w:val="center"/>
                </w:tcPr>
                <w:p w14:paraId="080BF4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简单分析</w:t>
                  </w:r>
                </w:p>
              </w:tc>
            </w:tr>
          </w:tbl>
          <w:p w14:paraId="3C8F19C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简单分析是相对于详细评价工作内容而言，在描述危险物质、环境影响途径、环境危害后果、风险防范措施等方面给出定性的说明。</w:t>
            </w:r>
          </w:p>
          <w:p w14:paraId="021D4ECD">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120" w:name="_Toc4675"/>
            <w:bookmarkStart w:id="121" w:name="_Toc20867"/>
            <w:r>
              <w:rPr>
                <w:rFonts w:hint="eastAsia" w:ascii="Times New Roman" w:hAnsi="Times New Roman" w:eastAsia="宋体" w:cs="Times New Roman"/>
                <w:b/>
                <w:color w:val="auto"/>
                <w:kern w:val="2"/>
                <w:sz w:val="24"/>
                <w:szCs w:val="24"/>
                <w:lang w:val="en-US" w:eastAsia="zh-CN" w:bidi="ar-SA"/>
              </w:rPr>
              <w:t>4.6.3环境风险识别</w:t>
            </w:r>
            <w:bookmarkEnd w:id="120"/>
            <w:bookmarkEnd w:id="121"/>
          </w:p>
          <w:p w14:paraId="01A0A87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本项目可能发生的事故主要有：</w:t>
            </w:r>
            <w:r>
              <w:rPr>
                <w:rFonts w:hint="eastAsia" w:ascii="Times New Roman" w:hAnsi="Times New Roman" w:eastAsia="宋体" w:cs="宋体"/>
                <w:color w:val="auto"/>
                <w:kern w:val="2"/>
                <w:sz w:val="24"/>
                <w:szCs w:val="24"/>
                <w:lang w:val="en-US" w:eastAsia="zh-CN" w:bidi="ar-SA"/>
              </w:rPr>
              <w:t>火灾爆炸事故、废水事故性排放等。</w:t>
            </w:r>
            <w:r>
              <w:rPr>
                <w:rFonts w:hint="default" w:ascii="Times New Roman" w:hAnsi="Times New Roman" w:eastAsia="宋体" w:cs="宋体"/>
                <w:color w:val="auto"/>
                <w:kern w:val="2"/>
                <w:sz w:val="24"/>
                <w:szCs w:val="24"/>
                <w:lang w:val="en-US" w:eastAsia="zh-CN" w:bidi="ar-SA"/>
              </w:rPr>
              <w:t>根据风险识别，本项目主要存在的事故类型有：</w:t>
            </w:r>
          </w:p>
          <w:p w14:paraId="5092358F">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易燃易爆化学品</w:t>
            </w:r>
            <w:r>
              <w:rPr>
                <w:rFonts w:hint="eastAsia" w:cs="宋体"/>
                <w:color w:val="auto"/>
                <w:kern w:val="2"/>
                <w:sz w:val="24"/>
                <w:szCs w:val="24"/>
                <w:lang w:val="en-US" w:eastAsia="zh-CN" w:bidi="ar-SA"/>
              </w:rPr>
              <w:t>泄漏</w:t>
            </w:r>
            <w:r>
              <w:rPr>
                <w:rFonts w:hint="default" w:ascii="Times New Roman" w:hAnsi="Times New Roman" w:eastAsia="宋体" w:cs="宋体"/>
                <w:color w:val="auto"/>
                <w:kern w:val="2"/>
                <w:sz w:val="24"/>
                <w:szCs w:val="24"/>
                <w:lang w:val="en-US" w:eastAsia="zh-CN" w:bidi="ar-SA"/>
              </w:rPr>
              <w:t>后遇明火发生火灾、爆炸事故</w:t>
            </w:r>
            <w:r>
              <w:rPr>
                <w:rFonts w:hint="eastAsia" w:ascii="Times New Roman" w:hAnsi="Times New Roman" w:eastAsia="宋体" w:cs="宋体"/>
                <w:color w:val="auto"/>
                <w:kern w:val="2"/>
                <w:sz w:val="24"/>
                <w:szCs w:val="24"/>
                <w:lang w:val="en-US" w:eastAsia="zh-CN" w:bidi="ar-SA"/>
              </w:rPr>
              <w:t>。</w:t>
            </w:r>
          </w:p>
          <w:p w14:paraId="70ED9AF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（2）生产废水事故性排放。</w:t>
            </w:r>
          </w:p>
          <w:p w14:paraId="147F36ED">
            <w:pPr>
              <w:keepNext/>
              <w:keepLines/>
              <w:widowControl w:val="0"/>
              <w:bidi w:val="0"/>
              <w:spacing w:beforeLines="0" w:beforeAutospacing="0" w:afterLines="0" w:afterAutospacing="0" w:line="360" w:lineRule="auto"/>
              <w:ind w:firstLine="482" w:firstLineChars="200"/>
              <w:jc w:val="left"/>
              <w:outlineLvl w:val="2"/>
              <w:rPr>
                <w:rFonts w:hint="eastAsia" w:ascii="Times New Roman" w:hAnsi="Times New Roman" w:eastAsia="宋体" w:cs="Times New Roman"/>
                <w:b/>
                <w:color w:val="auto"/>
                <w:kern w:val="2"/>
                <w:sz w:val="24"/>
                <w:szCs w:val="24"/>
                <w:lang w:val="en-US" w:eastAsia="zh-CN" w:bidi="ar-SA"/>
              </w:rPr>
            </w:pPr>
            <w:bookmarkStart w:id="122" w:name="_Toc32684"/>
            <w:bookmarkStart w:id="123" w:name="_Toc13801"/>
            <w:r>
              <w:rPr>
                <w:rFonts w:hint="eastAsia" w:ascii="Times New Roman" w:hAnsi="Times New Roman" w:eastAsia="宋体" w:cs="Times New Roman"/>
                <w:b/>
                <w:color w:val="auto"/>
                <w:kern w:val="2"/>
                <w:sz w:val="24"/>
                <w:szCs w:val="24"/>
                <w:lang w:val="en-US" w:eastAsia="zh-CN" w:bidi="ar-SA"/>
              </w:rPr>
              <w:t>4.6.4环境风险分析</w:t>
            </w:r>
            <w:bookmarkEnd w:id="122"/>
            <w:bookmarkEnd w:id="123"/>
          </w:p>
          <w:p w14:paraId="7C65487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泄漏后果分析</w:t>
            </w:r>
          </w:p>
          <w:p w14:paraId="6D6B873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由于</w:t>
            </w:r>
            <w:r>
              <w:rPr>
                <w:rFonts w:hint="eastAsia" w:ascii="Times New Roman" w:hAnsi="Times New Roman" w:eastAsia="宋体" w:cs="宋体"/>
                <w:color w:val="auto"/>
                <w:kern w:val="2"/>
                <w:sz w:val="24"/>
                <w:szCs w:val="24"/>
                <w:lang w:val="en-US" w:eastAsia="zh-CN" w:bidi="ar-SA"/>
              </w:rPr>
              <w:t>设备</w:t>
            </w:r>
            <w:r>
              <w:rPr>
                <w:rFonts w:hint="default" w:ascii="Times New Roman" w:hAnsi="Times New Roman" w:eastAsia="宋体" w:cs="宋体"/>
                <w:color w:val="auto"/>
                <w:kern w:val="2"/>
                <w:sz w:val="24"/>
                <w:szCs w:val="24"/>
                <w:lang w:val="en-US" w:eastAsia="zh-CN" w:bidi="ar-SA"/>
              </w:rPr>
              <w:t>失灵</w:t>
            </w:r>
            <w:r>
              <w:rPr>
                <w:rFonts w:hint="eastAsia" w:ascii="Times New Roman" w:hAnsi="Times New Roman" w:eastAsia="宋体" w:cs="宋体"/>
                <w:color w:val="auto"/>
                <w:kern w:val="2"/>
                <w:sz w:val="24"/>
                <w:szCs w:val="24"/>
                <w:lang w:val="en-US" w:eastAsia="zh-CN" w:bidi="ar-SA"/>
              </w:rPr>
              <w:t>、原辅材料转运</w:t>
            </w:r>
            <w:r>
              <w:rPr>
                <w:rFonts w:hint="default" w:ascii="Times New Roman" w:hAnsi="Times New Roman" w:eastAsia="宋体" w:cs="宋体"/>
                <w:color w:val="auto"/>
                <w:kern w:val="2"/>
                <w:sz w:val="24"/>
                <w:szCs w:val="24"/>
                <w:lang w:val="en-US" w:eastAsia="zh-CN" w:bidi="ar-SA"/>
              </w:rPr>
              <w:t>操作失误等原因都可造成</w:t>
            </w: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泄漏事故，造成项目周围的大气烃类污染。发生</w:t>
            </w: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泄漏时，由于</w:t>
            </w:r>
            <w:r>
              <w:rPr>
                <w:rFonts w:hint="eastAsia" w:ascii="Times New Roman" w:hAnsi="Times New Roman" w:eastAsia="宋体" w:cs="宋体"/>
                <w:color w:val="auto"/>
                <w:kern w:val="2"/>
                <w:sz w:val="24"/>
                <w:szCs w:val="24"/>
                <w:lang w:val="en-US" w:eastAsia="zh-CN" w:bidi="ar-SA"/>
              </w:rPr>
              <w:t>味道</w:t>
            </w:r>
            <w:r>
              <w:rPr>
                <w:rFonts w:hint="default" w:ascii="Times New Roman" w:hAnsi="Times New Roman" w:eastAsia="宋体" w:cs="宋体"/>
                <w:color w:val="auto"/>
                <w:kern w:val="2"/>
                <w:sz w:val="24"/>
                <w:szCs w:val="24"/>
                <w:lang w:val="en-US" w:eastAsia="zh-CN" w:bidi="ar-SA"/>
              </w:rPr>
              <w:t>比较容易发现，若采取必要措施就可将污染控制在</w:t>
            </w:r>
            <w:r>
              <w:rPr>
                <w:rFonts w:hint="eastAsia" w:ascii="Times New Roman" w:hAnsi="Times New Roman" w:eastAsia="宋体" w:cs="宋体"/>
                <w:color w:val="auto"/>
                <w:kern w:val="2"/>
                <w:sz w:val="24"/>
                <w:szCs w:val="24"/>
                <w:lang w:val="en-US" w:eastAsia="zh-CN" w:bidi="ar-SA"/>
              </w:rPr>
              <w:t>泄漏的</w:t>
            </w:r>
            <w:r>
              <w:rPr>
                <w:rFonts w:hint="default" w:ascii="Times New Roman" w:hAnsi="Times New Roman" w:eastAsia="宋体" w:cs="宋体"/>
                <w:color w:val="auto"/>
                <w:kern w:val="2"/>
                <w:sz w:val="24"/>
                <w:szCs w:val="24"/>
                <w:lang w:val="en-US" w:eastAsia="zh-CN" w:bidi="ar-SA"/>
              </w:rPr>
              <w:t>局部区域，不致形成大面积的区域性污染。</w:t>
            </w:r>
          </w:p>
          <w:p w14:paraId="13E6C02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（2）火灾、爆炸后果分析</w:t>
            </w:r>
          </w:p>
          <w:p w14:paraId="5A6D45D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泄漏后一旦发生火灾、爆炸事故，对</w:t>
            </w:r>
            <w:r>
              <w:rPr>
                <w:rFonts w:hint="eastAsia" w:ascii="Times New Roman" w:hAnsi="Times New Roman" w:eastAsia="宋体" w:cs="宋体"/>
                <w:color w:val="auto"/>
                <w:kern w:val="2"/>
                <w:sz w:val="24"/>
                <w:szCs w:val="24"/>
                <w:lang w:val="en-US" w:eastAsia="zh-CN" w:bidi="ar-SA"/>
              </w:rPr>
              <w:t>生产</w:t>
            </w:r>
            <w:r>
              <w:rPr>
                <w:rFonts w:hint="default" w:ascii="Times New Roman" w:hAnsi="Times New Roman" w:eastAsia="宋体" w:cs="宋体"/>
                <w:color w:val="auto"/>
                <w:kern w:val="2"/>
                <w:sz w:val="24"/>
                <w:szCs w:val="24"/>
                <w:lang w:val="en-US" w:eastAsia="zh-CN" w:bidi="ar-SA"/>
              </w:rPr>
              <w:t>区域、现场工作人员和过往车辆将产生较为严重的损害。通过类比分析，发生火灾爆炸后，其影响范围相对主要集中在</w:t>
            </w:r>
            <w:r>
              <w:rPr>
                <w:rFonts w:hint="eastAsia" w:ascii="Times New Roman" w:hAnsi="Times New Roman" w:eastAsia="宋体" w:cs="宋体"/>
                <w:color w:val="auto"/>
                <w:kern w:val="2"/>
                <w:sz w:val="24"/>
                <w:szCs w:val="24"/>
                <w:lang w:val="en-US" w:eastAsia="zh-CN" w:bidi="ar-SA"/>
              </w:rPr>
              <w:t>厂</w:t>
            </w:r>
            <w:r>
              <w:rPr>
                <w:rFonts w:hint="default" w:ascii="Times New Roman" w:hAnsi="Times New Roman" w:eastAsia="宋体" w:cs="宋体"/>
                <w:color w:val="auto"/>
                <w:kern w:val="2"/>
                <w:sz w:val="24"/>
                <w:szCs w:val="24"/>
                <w:lang w:val="en-US" w:eastAsia="zh-CN" w:bidi="ar-SA"/>
              </w:rPr>
              <w:t>内，也可能会危害周围的居民，应制定紧急预案，保证危害半径内的居民、重要设施得到迅速救助、撤离或保护。</w:t>
            </w:r>
          </w:p>
          <w:p w14:paraId="5223553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火灾热辐射影响主要在</w:t>
            </w:r>
            <w:r>
              <w:rPr>
                <w:rFonts w:hint="eastAsia" w:ascii="Times New Roman" w:hAnsi="Times New Roman" w:eastAsia="宋体" w:cs="宋体"/>
                <w:color w:val="auto"/>
                <w:kern w:val="2"/>
                <w:sz w:val="24"/>
                <w:szCs w:val="24"/>
                <w:lang w:val="en-US" w:eastAsia="zh-CN" w:bidi="ar-SA"/>
              </w:rPr>
              <w:t>厂</w:t>
            </w:r>
            <w:r>
              <w:rPr>
                <w:rFonts w:hint="default" w:ascii="Times New Roman" w:hAnsi="Times New Roman" w:eastAsia="宋体" w:cs="宋体"/>
                <w:color w:val="auto"/>
                <w:kern w:val="2"/>
                <w:sz w:val="24"/>
                <w:szCs w:val="24"/>
                <w:lang w:val="en-US" w:eastAsia="zh-CN" w:bidi="ar-SA"/>
              </w:rPr>
              <w:t>区范围，而火灾燃烧过程中同时会伴生大量的烟尘、CO、SO</w:t>
            </w:r>
            <w:r>
              <w:rPr>
                <w:rFonts w:hint="default" w:ascii="Times New Roman" w:hAnsi="Times New Roman" w:eastAsia="宋体" w:cs="宋体"/>
                <w:color w:val="auto"/>
                <w:kern w:val="2"/>
                <w:sz w:val="24"/>
                <w:szCs w:val="24"/>
                <w:vertAlign w:val="subscript"/>
                <w:lang w:val="en-US" w:eastAsia="zh-CN" w:bidi="ar-SA"/>
              </w:rPr>
              <w:t>2</w:t>
            </w:r>
            <w:r>
              <w:rPr>
                <w:rFonts w:hint="default" w:ascii="Times New Roman" w:hAnsi="Times New Roman" w:eastAsia="宋体" w:cs="宋体"/>
                <w:color w:val="auto"/>
                <w:kern w:val="2"/>
                <w:sz w:val="24"/>
                <w:szCs w:val="24"/>
                <w:lang w:val="en-US" w:eastAsia="zh-CN" w:bidi="ar-SA"/>
              </w:rPr>
              <w:t>和NO</w:t>
            </w:r>
            <w:r>
              <w:rPr>
                <w:rFonts w:hint="default" w:ascii="Times New Roman" w:hAnsi="Times New Roman" w:eastAsia="宋体" w:cs="宋体"/>
                <w:color w:val="auto"/>
                <w:kern w:val="2"/>
                <w:sz w:val="24"/>
                <w:szCs w:val="24"/>
                <w:vertAlign w:val="subscript"/>
                <w:lang w:val="en-US" w:eastAsia="zh-CN" w:bidi="ar-SA"/>
              </w:rPr>
              <w:t>2</w:t>
            </w:r>
            <w:r>
              <w:rPr>
                <w:rFonts w:hint="default" w:ascii="Times New Roman" w:hAnsi="Times New Roman" w:eastAsia="宋体" w:cs="宋体"/>
                <w:color w:val="auto"/>
                <w:kern w:val="2"/>
                <w:sz w:val="24"/>
                <w:szCs w:val="24"/>
                <w:lang w:val="en-US" w:eastAsia="zh-CN" w:bidi="ar-SA"/>
              </w:rPr>
              <w:t>等污染物，将对周围大气环境产生影响。由于</w:t>
            </w:r>
            <w:r>
              <w:rPr>
                <w:rFonts w:hint="eastAsia" w:ascii="Times New Roman" w:hAnsi="Times New Roman" w:eastAsia="宋体" w:cs="宋体"/>
                <w:color w:val="auto"/>
                <w:kern w:val="2"/>
                <w:sz w:val="24"/>
                <w:szCs w:val="24"/>
                <w:lang w:val="en-US" w:eastAsia="zh-CN" w:bidi="ar-SA"/>
              </w:rPr>
              <w:t>生产设备</w:t>
            </w:r>
            <w:r>
              <w:rPr>
                <w:rFonts w:hint="default" w:ascii="Times New Roman" w:hAnsi="Times New Roman" w:eastAsia="宋体" w:cs="宋体"/>
                <w:color w:val="auto"/>
                <w:kern w:val="2"/>
                <w:sz w:val="24"/>
                <w:szCs w:val="24"/>
                <w:lang w:val="en-US" w:eastAsia="zh-CN" w:bidi="ar-SA"/>
              </w:rPr>
              <w:t>发生火灾和爆炸后，急剧燃烧所需的供氧量不足，属于典型的不完全燃烧，燃烧过程中产生的CO量很大。污染物影响范围较大，一般都到了几百米以外，尤其是有风的条件下，污染范围更广。</w:t>
            </w:r>
          </w:p>
          <w:p w14:paraId="18547C5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故在发生着火事故的情况下可能出现大面积的严重污染。本</w:t>
            </w:r>
            <w:r>
              <w:rPr>
                <w:rFonts w:hint="eastAsia" w:ascii="Times New Roman" w:hAnsi="Times New Roman" w:eastAsia="宋体" w:cs="宋体"/>
                <w:color w:val="auto"/>
                <w:kern w:val="2"/>
                <w:sz w:val="24"/>
                <w:szCs w:val="24"/>
                <w:lang w:val="en-US" w:eastAsia="zh-CN" w:bidi="ar-SA"/>
              </w:rPr>
              <w:t>厂区</w:t>
            </w:r>
            <w:r>
              <w:rPr>
                <w:rFonts w:hint="default" w:ascii="Times New Roman" w:hAnsi="Times New Roman" w:eastAsia="宋体" w:cs="宋体"/>
                <w:color w:val="auto"/>
                <w:kern w:val="2"/>
                <w:sz w:val="24"/>
                <w:szCs w:val="24"/>
                <w:lang w:val="en-US" w:eastAsia="zh-CN" w:bidi="ar-SA"/>
              </w:rPr>
              <w:t>的平面设计符合《城镇燃气设计规范》（GB50028-20</w:t>
            </w:r>
            <w:r>
              <w:rPr>
                <w:rFonts w:hint="eastAsia" w:ascii="Times New Roman" w:hAnsi="Times New Roman" w:cs="宋体"/>
                <w:color w:val="auto"/>
                <w:kern w:val="2"/>
                <w:sz w:val="24"/>
                <w:szCs w:val="24"/>
                <w:lang w:val="en-US" w:eastAsia="zh-CN" w:bidi="ar-SA"/>
              </w:rPr>
              <w:t>22</w:t>
            </w:r>
            <w:r>
              <w:rPr>
                <w:rFonts w:hint="default" w:ascii="Times New Roman" w:hAnsi="Times New Roman" w:eastAsia="宋体" w:cs="宋体"/>
                <w:color w:val="auto"/>
                <w:kern w:val="2"/>
                <w:sz w:val="24"/>
                <w:szCs w:val="24"/>
                <w:lang w:val="en-US" w:eastAsia="zh-CN" w:bidi="ar-SA"/>
              </w:rPr>
              <w:t>）等设计规范中的相关规定，建设方还应该采取严密的防范措施，严防事故的发生，同时应该制定详尽的事故应急预案，确保一旦发生事故可以行之有效的办法进行处理。则项目发生火灾、爆炸的危害程度可得到控制。</w:t>
            </w:r>
          </w:p>
          <w:p w14:paraId="1C546ABD">
            <w:pPr>
              <w:keepNext/>
              <w:keepLines/>
              <w:widowControl w:val="0"/>
              <w:bidi w:val="0"/>
              <w:spacing w:beforeLines="0" w:beforeAutospacing="0" w:afterLines="0" w:afterAutospacing="0" w:line="360" w:lineRule="auto"/>
              <w:ind w:firstLine="482" w:firstLineChars="200"/>
              <w:jc w:val="left"/>
              <w:outlineLvl w:val="2"/>
              <w:rPr>
                <w:rFonts w:hint="default" w:ascii="Times New Roman" w:hAnsi="Times New Roman" w:eastAsia="宋体" w:cs="Times New Roman"/>
                <w:b/>
                <w:color w:val="auto"/>
                <w:kern w:val="2"/>
                <w:sz w:val="24"/>
                <w:szCs w:val="24"/>
                <w:lang w:val="en-US" w:eastAsia="zh-CN" w:bidi="ar-SA"/>
              </w:rPr>
            </w:pPr>
            <w:r>
              <w:rPr>
                <w:rFonts w:hint="default" w:ascii="Times New Roman" w:hAnsi="Times New Roman" w:eastAsia="宋体" w:cs="Times New Roman"/>
                <w:b/>
                <w:color w:val="auto"/>
                <w:kern w:val="2"/>
                <w:sz w:val="24"/>
                <w:szCs w:val="24"/>
                <w:lang w:val="en-US" w:eastAsia="zh-CN" w:bidi="ar-SA"/>
              </w:rPr>
              <w:t xml:space="preserve"> </w:t>
            </w:r>
            <w:bookmarkStart w:id="124" w:name="_Toc28914"/>
            <w:bookmarkStart w:id="125" w:name="_Toc1094"/>
            <w:r>
              <w:rPr>
                <w:rFonts w:hint="default" w:ascii="Times New Roman" w:hAnsi="Times New Roman" w:eastAsia="宋体" w:cs="Times New Roman"/>
                <w:b/>
                <w:color w:val="auto"/>
                <w:kern w:val="2"/>
                <w:sz w:val="24"/>
                <w:szCs w:val="24"/>
                <w:lang w:val="en-US" w:eastAsia="zh-CN" w:bidi="ar-SA"/>
              </w:rPr>
              <w:t>4.6.</w:t>
            </w:r>
            <w:r>
              <w:rPr>
                <w:rFonts w:hint="eastAsia" w:ascii="Times New Roman" w:hAnsi="Times New Roman" w:eastAsia="宋体" w:cs="Times New Roman"/>
                <w:b/>
                <w:color w:val="auto"/>
                <w:kern w:val="2"/>
                <w:sz w:val="24"/>
                <w:szCs w:val="24"/>
                <w:lang w:val="en-US" w:eastAsia="zh-CN" w:bidi="ar-SA"/>
              </w:rPr>
              <w:t>5</w:t>
            </w:r>
            <w:r>
              <w:rPr>
                <w:rFonts w:hint="default" w:ascii="Times New Roman" w:hAnsi="Times New Roman" w:eastAsia="宋体" w:cs="Times New Roman"/>
                <w:b/>
                <w:color w:val="auto"/>
                <w:kern w:val="2"/>
                <w:sz w:val="24"/>
                <w:szCs w:val="24"/>
                <w:lang w:val="en-US" w:eastAsia="zh-CN" w:bidi="ar-SA"/>
              </w:rPr>
              <w:t>环境风险防范措施和事故应急措施</w:t>
            </w:r>
            <w:bookmarkEnd w:id="124"/>
            <w:bookmarkEnd w:id="125"/>
          </w:p>
          <w:p w14:paraId="30094A7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（1）火灾、爆炸的防控措施</w:t>
            </w:r>
          </w:p>
          <w:p w14:paraId="184CE0E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①设置应急物资准备条件：如消防沙堆、干粉灭火器、灭火毯等消防器具，事故一旦发生可立即利用上述设备，将事故造成的影响降至最低。要定期对消防设施进行检查和维护保养，确保消防设施完好有效。</w:t>
            </w:r>
          </w:p>
          <w:p w14:paraId="732E5EC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②加强安全检查，实行以防火为中心的安全管理。</w:t>
            </w:r>
            <w:r>
              <w:rPr>
                <w:rFonts w:hint="eastAsia" w:ascii="Times New Roman" w:hAnsi="Times New Roman" w:eastAsia="宋体" w:cs="宋体"/>
                <w:color w:val="auto"/>
                <w:kern w:val="2"/>
                <w:sz w:val="24"/>
                <w:szCs w:val="24"/>
                <w:lang w:val="en-US" w:eastAsia="zh-CN" w:bidi="ar-SA"/>
              </w:rPr>
              <w:t>危险化学品仓库、生产设备</w:t>
            </w:r>
            <w:r>
              <w:rPr>
                <w:rFonts w:hint="default" w:ascii="Times New Roman" w:hAnsi="Times New Roman" w:eastAsia="宋体" w:cs="宋体"/>
                <w:color w:val="auto"/>
                <w:kern w:val="2"/>
                <w:sz w:val="24"/>
                <w:szCs w:val="24"/>
                <w:lang w:val="en-US" w:eastAsia="zh-CN" w:bidi="ar-SA"/>
              </w:rPr>
              <w:t>周围要坚决杜绝明火，及时清理厂区内可燃杂物，保持消防通道畅通。特别要注意防止电火花引起火灾及爆炸。同时做好检查记录，发现问题和隐患及时进行整改。</w:t>
            </w:r>
          </w:p>
          <w:p w14:paraId="335DD44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③加强对公司职工的教育培训，实行上岗证制度，增强职工风险意识，提高事故自救能力，制定和强化各种安全管理、安全运营的规程，减少人为风险事故（如误操作）的发生。</w:t>
            </w:r>
          </w:p>
          <w:p w14:paraId="544F538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（2）危化品储运安全防范措施</w:t>
            </w:r>
          </w:p>
          <w:p w14:paraId="1745989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的危险化学品根据用途和类型不同，分别贮存。项目应严格按《危险化学品安全管理条例》的要求，加强对危险化学品的管理；制定危险化学品安全操作规程，要求操作人员严格按操作规程作业；对从事危险化学作业人员定期进行安全培训教育；经常性对危险化学品作业场所进行安全检查。</w:t>
            </w:r>
          </w:p>
          <w:p w14:paraId="436435E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原料储存需符合储存危险化学品的相关条件（如防晒、防潮、通风、防雷、防静电等），实施危险化学品的储存和使用。建立健全安全规程及值勤制度设置通讯、报警装置，确保其处于完好状态；对储存危险化学品的容器，应经有关检验部门定期检验合格后，才能使用，并设置明显的标识及警示牌；对使用危险化学品的名称、数量进行严格登记：凡储存、使用危险化学品的岗位，都应配置合格的防毒器材、消防器材，并确保其处于完好状态</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所有进入储存、使用危险化学品的人员，都必须严格遵守《危险化学品管理制度》。采购危险化学品时，应到已获得危险化学品经营许可证的企业进行采购，并要求供应商提供技术说明书及相关技术资料；采购人员必须进行专业培训并取证：危险化学品的包装物、容器必须有专业检测机构检验合格才能使用：从事危险化学品运输、押运人员，应经有关培训并取证后才能从事危险化学品运输、押运工作；运输危险化学品的车、船应悬挂危险化学品标志不得在人口稠密地停留；危险化学品的运输、押运人员，应配置合格的防护器材。建设单位在储运过程中应小心谨慎，熟知每种物料的性质和储运注意事项。</w:t>
            </w:r>
          </w:p>
          <w:p w14:paraId="13A6CFF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（3）危险化学品间建设要求</w:t>
            </w:r>
          </w:p>
          <w:p w14:paraId="61DCA8F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本项目危险化学品仓库的建设应参考《危险化学品经营企业安全技术基本</w:t>
            </w:r>
            <w:r>
              <w:rPr>
                <w:rFonts w:hint="eastAsia" w:cs="宋体"/>
                <w:color w:val="auto"/>
                <w:kern w:val="2"/>
                <w:sz w:val="24"/>
                <w:szCs w:val="24"/>
                <w:lang w:val="en-US" w:eastAsia="zh-CN" w:bidi="ar-SA"/>
              </w:rPr>
              <w:t>要求</w:t>
            </w:r>
            <w:r>
              <w:rPr>
                <w:rFonts w:hint="eastAsia" w:ascii="Times New Roman" w:hAnsi="Times New Roman" w:eastAsia="宋体" w:cs="宋体"/>
                <w:color w:val="auto"/>
                <w:kern w:val="2"/>
                <w:sz w:val="24"/>
                <w:szCs w:val="24"/>
                <w:lang w:val="en-US" w:eastAsia="zh-CN" w:bidi="ar-SA"/>
              </w:rPr>
              <w:t>》（GB18265-2019）和《建筑设计防火规范》（GB50016-2022）的建设要求，危险化学品仓库应防潮、平整、坚实、易于清扫，项目采用乙醇等易燃的有机溶剂，采用不发生火花的地面，采用防腐材料，减少火灾隐患。项目采用的胶水，根据建设单位提供的MSDS，具有毒性，因此危险化学品仓库需设置防液体液体流散措施和通风设备。</w:t>
            </w:r>
          </w:p>
          <w:p w14:paraId="7AE13A80">
            <w:pPr>
              <w:keepNext/>
              <w:keepLines/>
              <w:widowControl w:val="0"/>
              <w:bidi w:val="0"/>
              <w:spacing w:beforeLines="0" w:beforeAutospacing="0" w:afterLines="0" w:afterAutospacing="0" w:line="360" w:lineRule="auto"/>
              <w:ind w:firstLine="562" w:firstLineChars="200"/>
              <w:jc w:val="left"/>
              <w:outlineLvl w:val="1"/>
              <w:rPr>
                <w:rFonts w:hint="default" w:ascii="Times New Roman" w:hAnsi="Times New Roman" w:eastAsia="宋体" w:cs="Times New Roman"/>
                <w:b/>
                <w:color w:val="auto"/>
                <w:kern w:val="2"/>
                <w:sz w:val="28"/>
                <w:szCs w:val="24"/>
                <w:lang w:val="en-US" w:eastAsia="zh-CN" w:bidi="ar-SA"/>
              </w:rPr>
            </w:pPr>
            <w:bookmarkStart w:id="126" w:name="_Toc14193"/>
            <w:bookmarkStart w:id="127" w:name="_Toc3479"/>
            <w:r>
              <w:rPr>
                <w:rFonts w:hint="eastAsia" w:ascii="Times New Roman" w:hAnsi="Times New Roman" w:eastAsia="宋体" w:cs="Times New Roman"/>
                <w:b/>
                <w:color w:val="auto"/>
                <w:kern w:val="2"/>
                <w:sz w:val="28"/>
                <w:szCs w:val="24"/>
                <w:lang w:val="en-US" w:eastAsia="zh-CN" w:bidi="ar-SA"/>
              </w:rPr>
              <w:t>4.</w:t>
            </w:r>
            <w:r>
              <w:rPr>
                <w:rFonts w:hint="eastAsia" w:cs="Times New Roman"/>
                <w:b/>
                <w:color w:val="auto"/>
                <w:kern w:val="2"/>
                <w:sz w:val="28"/>
                <w:szCs w:val="24"/>
                <w:lang w:val="en-US" w:eastAsia="zh-CN" w:bidi="ar-SA"/>
              </w:rPr>
              <w:t>7</w:t>
            </w:r>
            <w:r>
              <w:rPr>
                <w:rFonts w:hint="eastAsia" w:ascii="Times New Roman" w:hAnsi="Times New Roman" w:eastAsia="宋体" w:cs="Times New Roman"/>
                <w:b/>
                <w:color w:val="auto"/>
                <w:kern w:val="2"/>
                <w:sz w:val="28"/>
                <w:szCs w:val="24"/>
                <w:lang w:val="en-US" w:eastAsia="zh-CN" w:bidi="ar-SA"/>
              </w:rPr>
              <w:t>环保投资估算</w:t>
            </w:r>
            <w:bookmarkEnd w:id="126"/>
            <w:bookmarkEnd w:id="127"/>
          </w:p>
          <w:p w14:paraId="47FB866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本项目环保措施包括废水、废气、噪声治理措施、固体废物收集场所等。具体见表4.</w:t>
            </w:r>
            <w:r>
              <w:rPr>
                <w:rFonts w:hint="eastAsia" w:cs="宋体"/>
                <w:color w:val="auto"/>
                <w:kern w:val="2"/>
                <w:sz w:val="24"/>
                <w:szCs w:val="24"/>
                <w:lang w:val="en-US" w:eastAsia="zh-CN" w:bidi="ar-SA"/>
              </w:rPr>
              <w:t>7</w:t>
            </w:r>
            <w:r>
              <w:rPr>
                <w:rFonts w:hint="eastAsia" w:ascii="Times New Roman" w:hAnsi="Times New Roman" w:eastAsia="宋体" w:cs="宋体"/>
                <w:color w:val="auto"/>
                <w:kern w:val="2"/>
                <w:sz w:val="24"/>
                <w:szCs w:val="24"/>
                <w:lang w:val="en-US" w:eastAsia="zh-CN" w:bidi="ar-SA"/>
              </w:rPr>
              <w:t>-1。</w:t>
            </w:r>
          </w:p>
          <w:p w14:paraId="1E90BC3E">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w:t>
            </w:r>
            <w:r>
              <w:rPr>
                <w:rFonts w:hint="eastAsia" w:cs="Times New Roman"/>
                <w:b/>
                <w:color w:val="auto"/>
                <w:kern w:val="0"/>
                <w:sz w:val="24"/>
                <w:szCs w:val="20"/>
                <w:lang w:val="en-US" w:eastAsia="zh-CN" w:bidi="ar-SA"/>
              </w:rPr>
              <w:t>.7</w:t>
            </w:r>
            <w:r>
              <w:rPr>
                <w:rFonts w:hint="eastAsia" w:ascii="Times New Roman" w:hAnsi="Times New Roman" w:eastAsia="宋体" w:cs="Times New Roman"/>
                <w:b/>
                <w:color w:val="auto"/>
                <w:kern w:val="0"/>
                <w:sz w:val="24"/>
                <w:szCs w:val="20"/>
                <w:lang w:val="en-US" w:eastAsia="zh-CN" w:bidi="ar-SA"/>
              </w:rPr>
              <w:t>-1  环保投资估算</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893"/>
              <w:gridCol w:w="5774"/>
              <w:gridCol w:w="1113"/>
            </w:tblGrid>
            <w:tr w14:paraId="636CA5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7" w:type="pct"/>
                  <w:tcBorders>
                    <w:tl2br w:val="nil"/>
                    <w:tr2bl w:val="nil"/>
                  </w:tcBorders>
                  <w:noWrap w:val="0"/>
                  <w:vAlign w:val="center"/>
                </w:tcPr>
                <w:p w14:paraId="2F53E0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序号</w:t>
                  </w:r>
                </w:p>
              </w:tc>
              <w:tc>
                <w:tcPr>
                  <w:tcW w:w="527" w:type="pct"/>
                  <w:tcBorders>
                    <w:tl2br w:val="nil"/>
                    <w:tr2bl w:val="nil"/>
                  </w:tcBorders>
                  <w:noWrap w:val="0"/>
                  <w:vAlign w:val="center"/>
                </w:tcPr>
                <w:p w14:paraId="27B912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污染源</w:t>
                  </w:r>
                </w:p>
              </w:tc>
              <w:tc>
                <w:tcPr>
                  <w:tcW w:w="3407" w:type="pct"/>
                  <w:tcBorders>
                    <w:tl2br w:val="nil"/>
                    <w:tr2bl w:val="nil"/>
                  </w:tcBorders>
                  <w:noWrap w:val="0"/>
                  <w:vAlign w:val="center"/>
                </w:tcPr>
                <w:p w14:paraId="5E48FF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措施</w:t>
                  </w:r>
                </w:p>
              </w:tc>
              <w:tc>
                <w:tcPr>
                  <w:tcW w:w="657" w:type="pct"/>
                  <w:tcBorders>
                    <w:tl2br w:val="nil"/>
                    <w:tr2bl w:val="nil"/>
                  </w:tcBorders>
                  <w:noWrap w:val="0"/>
                  <w:vAlign w:val="center"/>
                </w:tcPr>
                <w:p w14:paraId="042E9A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投资</w:t>
                  </w:r>
                </w:p>
              </w:tc>
            </w:tr>
            <w:tr w14:paraId="5ECCA2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7" w:type="pct"/>
                  <w:tcBorders>
                    <w:tl2br w:val="nil"/>
                    <w:tr2bl w:val="nil"/>
                  </w:tcBorders>
                  <w:noWrap w:val="0"/>
                  <w:vAlign w:val="center"/>
                </w:tcPr>
                <w:p w14:paraId="39959B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w:t>
                  </w:r>
                </w:p>
              </w:tc>
              <w:tc>
                <w:tcPr>
                  <w:tcW w:w="527" w:type="pct"/>
                  <w:tcBorders>
                    <w:tl2br w:val="nil"/>
                    <w:tr2bl w:val="nil"/>
                  </w:tcBorders>
                  <w:noWrap w:val="0"/>
                  <w:vAlign w:val="center"/>
                </w:tcPr>
                <w:p w14:paraId="33BCDB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废水</w:t>
                  </w:r>
                </w:p>
              </w:tc>
              <w:tc>
                <w:tcPr>
                  <w:tcW w:w="3407" w:type="pct"/>
                  <w:tcBorders>
                    <w:tl2br w:val="nil"/>
                    <w:tr2bl w:val="nil"/>
                  </w:tcBorders>
                  <w:noWrap w:val="0"/>
                  <w:vAlign w:val="center"/>
                </w:tcPr>
                <w:p w14:paraId="718CBB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lang w:val="en-US" w:eastAsia="zh-CN"/>
                    </w:rPr>
                    <w:t>切割、</w:t>
                  </w:r>
                  <w:r>
                    <w:rPr>
                      <w:rFonts w:hint="eastAsia"/>
                    </w:rPr>
                    <w:t>抛光、</w:t>
                  </w:r>
                  <w:r>
                    <w:rPr>
                      <w:rFonts w:hint="eastAsia"/>
                      <w:lang w:val="en-US" w:eastAsia="zh-CN"/>
                    </w:rPr>
                    <w:t>粗磨</w:t>
                  </w:r>
                  <w:r>
                    <w:rPr>
                      <w:rFonts w:hint="eastAsia"/>
                    </w:rPr>
                    <w:t>塔废水经过三格沉淀处理后进入调节池，再经过混凝沉淀废水处理设施处理达标后排入市政管网，纳入大学城污水处理厂；清洗废水进入集水调节池，再经过混凝沉淀废水处理设施处理达标后排入市政管网，纳入大学城污水处理厂；纯水槽的纯净废水与纯水制备的非纯净废水排入市政管网，纳入大学城污水处理厂；生活污水经化粪池处理达标后排入市政管网，纳入大学城污水处理厂</w:t>
                  </w:r>
                </w:p>
              </w:tc>
              <w:tc>
                <w:tcPr>
                  <w:tcW w:w="657" w:type="pct"/>
                  <w:tcBorders>
                    <w:tl2br w:val="nil"/>
                    <w:tr2bl w:val="nil"/>
                  </w:tcBorders>
                  <w:noWrap w:val="0"/>
                  <w:vAlign w:val="center"/>
                </w:tcPr>
                <w:p w14:paraId="76D118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6</w:t>
                  </w:r>
                  <w:r>
                    <w:rPr>
                      <w:rFonts w:hint="eastAsia" w:ascii="Times New Roman" w:hAnsi="Times New Roman" w:eastAsia="宋体" w:cs="Times New Roman"/>
                      <w:color w:val="auto"/>
                      <w:kern w:val="0"/>
                      <w:sz w:val="21"/>
                      <w:szCs w:val="20"/>
                      <w:lang w:val="en-US" w:eastAsia="zh-CN" w:bidi="ar-SA"/>
                    </w:rPr>
                    <w:t>万元</w:t>
                  </w:r>
                </w:p>
              </w:tc>
            </w:tr>
            <w:tr w14:paraId="2E6F84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407" w:type="pct"/>
                  <w:tcBorders>
                    <w:tl2br w:val="nil"/>
                    <w:tr2bl w:val="nil"/>
                  </w:tcBorders>
                  <w:noWrap w:val="0"/>
                  <w:vAlign w:val="center"/>
                </w:tcPr>
                <w:p w14:paraId="42A957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w:t>
                  </w:r>
                </w:p>
              </w:tc>
              <w:tc>
                <w:tcPr>
                  <w:tcW w:w="527" w:type="pct"/>
                  <w:tcBorders>
                    <w:tl2br w:val="nil"/>
                    <w:tr2bl w:val="nil"/>
                  </w:tcBorders>
                  <w:noWrap w:val="0"/>
                  <w:vAlign w:val="center"/>
                </w:tcPr>
                <w:p w14:paraId="4AAA80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废气</w:t>
                  </w:r>
                </w:p>
              </w:tc>
              <w:tc>
                <w:tcPr>
                  <w:tcW w:w="3407" w:type="pct"/>
                  <w:tcBorders>
                    <w:tl2br w:val="nil"/>
                    <w:tr2bl w:val="nil"/>
                  </w:tcBorders>
                  <w:noWrap w:val="0"/>
                  <w:vAlign w:val="center"/>
                </w:tcPr>
                <w:p w14:paraId="74E054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擦拭废气、超洗废气经密闭车间负压收集后通过二级活性炭吸附装置处理达标后由20m高的DA001排气筒排放；切割废气通过设备密闭管道收集后通过二级活性炭吸附装置处理达标后通过20m高的DA002排气筒排放</w:t>
                  </w:r>
                </w:p>
              </w:tc>
              <w:tc>
                <w:tcPr>
                  <w:tcW w:w="657" w:type="pct"/>
                  <w:tcBorders>
                    <w:tl2br w:val="nil"/>
                    <w:tr2bl w:val="nil"/>
                  </w:tcBorders>
                  <w:noWrap w:val="0"/>
                  <w:vAlign w:val="center"/>
                </w:tcPr>
                <w:p w14:paraId="7EA903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3万元</w:t>
                  </w:r>
                </w:p>
              </w:tc>
            </w:tr>
            <w:tr w14:paraId="2CD02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7" w:type="pct"/>
                  <w:tcBorders>
                    <w:tl2br w:val="nil"/>
                    <w:tr2bl w:val="nil"/>
                  </w:tcBorders>
                  <w:noWrap w:val="0"/>
                  <w:vAlign w:val="center"/>
                </w:tcPr>
                <w:p w14:paraId="647D93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w:t>
                  </w:r>
                </w:p>
              </w:tc>
              <w:tc>
                <w:tcPr>
                  <w:tcW w:w="527" w:type="pct"/>
                  <w:tcBorders>
                    <w:tl2br w:val="nil"/>
                    <w:tr2bl w:val="nil"/>
                  </w:tcBorders>
                  <w:noWrap w:val="0"/>
                  <w:vAlign w:val="center"/>
                </w:tcPr>
                <w:p w14:paraId="04D283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噪声</w:t>
                  </w:r>
                </w:p>
              </w:tc>
              <w:tc>
                <w:tcPr>
                  <w:tcW w:w="3407" w:type="pct"/>
                  <w:tcBorders>
                    <w:tl2br w:val="nil"/>
                    <w:tr2bl w:val="nil"/>
                  </w:tcBorders>
                  <w:noWrap w:val="0"/>
                  <w:vAlign w:val="center"/>
                </w:tcPr>
                <w:p w14:paraId="7F916A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优先选用先进、低噪声设备；对高噪声设备采取减振基础、安装减振垫圈等减震措施；对各类机械设备定期检修、维护，防止设备异常噪声产生；优化平面布局，合理布置高噪声设备于远离声环境敏感点位置</w:t>
                  </w:r>
                </w:p>
              </w:tc>
              <w:tc>
                <w:tcPr>
                  <w:tcW w:w="657" w:type="pct"/>
                  <w:tcBorders>
                    <w:tl2br w:val="nil"/>
                    <w:tr2bl w:val="nil"/>
                  </w:tcBorders>
                  <w:noWrap w:val="0"/>
                  <w:vAlign w:val="center"/>
                </w:tcPr>
                <w:p w14:paraId="7DE8AD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18</w:t>
                  </w:r>
                  <w:r>
                    <w:rPr>
                      <w:rFonts w:hint="eastAsia" w:ascii="Times New Roman" w:hAnsi="Times New Roman" w:eastAsia="宋体" w:cs="Times New Roman"/>
                      <w:color w:val="auto"/>
                      <w:kern w:val="0"/>
                      <w:sz w:val="21"/>
                      <w:szCs w:val="20"/>
                      <w:lang w:val="en-US" w:eastAsia="zh-CN" w:bidi="ar-SA"/>
                    </w:rPr>
                    <w:t>万元</w:t>
                  </w:r>
                </w:p>
              </w:tc>
            </w:tr>
            <w:tr w14:paraId="39859C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07" w:type="pct"/>
                  <w:tcBorders>
                    <w:tl2br w:val="nil"/>
                    <w:tr2bl w:val="nil"/>
                  </w:tcBorders>
                  <w:noWrap w:val="0"/>
                  <w:vAlign w:val="center"/>
                </w:tcPr>
                <w:p w14:paraId="1B92E1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4</w:t>
                  </w:r>
                </w:p>
              </w:tc>
              <w:tc>
                <w:tcPr>
                  <w:tcW w:w="527" w:type="pct"/>
                  <w:tcBorders>
                    <w:tl2br w:val="nil"/>
                    <w:tr2bl w:val="nil"/>
                  </w:tcBorders>
                  <w:noWrap w:val="0"/>
                  <w:vAlign w:val="center"/>
                </w:tcPr>
                <w:p w14:paraId="31C89E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固体废物</w:t>
                  </w:r>
                </w:p>
              </w:tc>
              <w:tc>
                <w:tcPr>
                  <w:tcW w:w="3407" w:type="pct"/>
                  <w:tcBorders>
                    <w:tl2br w:val="nil"/>
                    <w:tr2bl w:val="nil"/>
                  </w:tcBorders>
                  <w:noWrap w:val="0"/>
                  <w:vAlign w:val="center"/>
                </w:tcPr>
                <w:p w14:paraId="23F477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一般工业固体废物定期外售给其他企业综合利用；设置垃圾桶存放生活垃圾，并委托环卫部门定期清运；危险废物存放于危险废物暂存间，定期委托有处置危险废物资质的单位处置</w:t>
                  </w:r>
                </w:p>
              </w:tc>
              <w:tc>
                <w:tcPr>
                  <w:tcW w:w="657" w:type="pct"/>
                  <w:tcBorders>
                    <w:tl2br w:val="nil"/>
                    <w:tr2bl w:val="nil"/>
                  </w:tcBorders>
                  <w:noWrap w:val="0"/>
                  <w:vAlign w:val="center"/>
                </w:tcPr>
                <w:p w14:paraId="3EB515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w:t>
                  </w:r>
                  <w:r>
                    <w:rPr>
                      <w:rFonts w:hint="eastAsia" w:ascii="Times New Roman" w:hAnsi="Times New Roman" w:eastAsia="宋体" w:cs="Times New Roman"/>
                      <w:color w:val="auto"/>
                      <w:kern w:val="0"/>
                      <w:sz w:val="21"/>
                      <w:szCs w:val="20"/>
                      <w:lang w:val="en-US" w:eastAsia="zh-CN" w:bidi="ar-SA"/>
                    </w:rPr>
                    <w:t>万元</w:t>
                  </w:r>
                </w:p>
              </w:tc>
            </w:tr>
            <w:tr w14:paraId="645595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42" w:type="pct"/>
                  <w:gridSpan w:val="3"/>
                  <w:tcBorders>
                    <w:tl2br w:val="nil"/>
                    <w:tr2bl w:val="nil"/>
                  </w:tcBorders>
                  <w:noWrap w:val="0"/>
                  <w:vAlign w:val="center"/>
                </w:tcPr>
                <w:p w14:paraId="054BC2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合计</w:t>
                  </w:r>
                </w:p>
              </w:tc>
              <w:tc>
                <w:tcPr>
                  <w:tcW w:w="657" w:type="pct"/>
                  <w:tcBorders>
                    <w:tl2br w:val="nil"/>
                    <w:tr2bl w:val="nil"/>
                  </w:tcBorders>
                  <w:noWrap w:val="0"/>
                  <w:vAlign w:val="center"/>
                </w:tcPr>
                <w:p w14:paraId="06FF78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30</w:t>
                  </w:r>
                  <w:r>
                    <w:rPr>
                      <w:rFonts w:hint="eastAsia" w:ascii="Times New Roman" w:hAnsi="Times New Roman" w:eastAsia="宋体" w:cs="Times New Roman"/>
                      <w:color w:val="auto"/>
                      <w:kern w:val="0"/>
                      <w:sz w:val="21"/>
                      <w:szCs w:val="20"/>
                      <w:lang w:val="en-US" w:eastAsia="zh-CN" w:bidi="ar-SA"/>
                    </w:rPr>
                    <w:t>万元</w:t>
                  </w:r>
                </w:p>
              </w:tc>
            </w:tr>
          </w:tbl>
          <w:p w14:paraId="35D59C3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p>
        </w:tc>
      </w:tr>
    </w:tbl>
    <w:p w14:paraId="516AAC53">
      <w:pPr>
        <w:pStyle w:val="5"/>
        <w:bidi w:val="0"/>
        <w:rPr>
          <w:rFonts w:hint="eastAsia" w:ascii="Times New Roman" w:hAnsi="Times New Roman"/>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773B4C42">
      <w:pPr>
        <w:pStyle w:val="2"/>
        <w:bidi w:val="0"/>
        <w:ind w:firstLine="602" w:firstLineChars="200"/>
        <w:jc w:val="center"/>
        <w:outlineLvl w:val="0"/>
        <w:rPr>
          <w:rFonts w:hint="eastAsia" w:ascii="Times New Roman" w:hAnsi="Times New Roman"/>
          <w:color w:val="auto"/>
        </w:rPr>
      </w:pPr>
      <w:r>
        <w:rPr>
          <w:rFonts w:hint="eastAsia" w:ascii="Times New Roman" w:hAnsi="Times New Roman"/>
          <w:color w:val="auto"/>
        </w:rPr>
        <w:t>五、</w:t>
      </w:r>
      <w:bookmarkStart w:id="128" w:name="_Hlk54167917"/>
      <w:r>
        <w:rPr>
          <w:rFonts w:hint="eastAsia" w:ascii="Times New Roman" w:hAnsi="Times New Roman"/>
          <w:color w:val="auto"/>
        </w:rPr>
        <w:t>环境保护措施监督检查清单</w:t>
      </w:r>
      <w:bookmarkEnd w:id="128"/>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755"/>
        <w:gridCol w:w="1757"/>
      </w:tblGrid>
      <w:tr w14:paraId="3F20D2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21F07A68">
            <w:pPr>
              <w:adjustRightInd w:val="0"/>
              <w:snapToGrid w:val="0"/>
              <w:ind w:firstLine="482" w:firstLineChars="200"/>
              <w:rPr>
                <w:rFonts w:hint="eastAsia" w:ascii="Times New Roman" w:hAnsi="Times New Roman" w:cs="宋体"/>
                <w:b/>
                <w:bCs/>
                <w:color w:val="auto"/>
                <w:sz w:val="24"/>
                <w:szCs w:val="24"/>
              </w:rPr>
            </w:pPr>
            <w:r>
              <w:rPr>
                <w:rFonts w:hint="eastAsia" w:ascii="Times New Roman" w:hAnsi="Times New Roman" w:cs="宋体"/>
                <w:b/>
                <w:bCs/>
                <w:color w:val="auto"/>
                <w:sz w:val="24"/>
                <w:szCs w:val="24"/>
              </w:rPr>
              <w:t>内容</w:t>
            </w:r>
          </w:p>
          <w:p w14:paraId="1977BE5D">
            <w:pPr>
              <w:adjustRightInd w:val="0"/>
              <w:snapToGrid w:val="0"/>
              <w:ind w:firstLine="482" w:firstLineChars="200"/>
              <w:rPr>
                <w:rFonts w:hint="eastAsia" w:ascii="Times New Roman" w:hAnsi="Times New Roman" w:cs="宋体"/>
                <w:b/>
                <w:bCs/>
                <w:color w:val="auto"/>
                <w:sz w:val="24"/>
                <w:szCs w:val="24"/>
              </w:rPr>
            </w:pPr>
            <w:r>
              <w:rPr>
                <w:rFonts w:hint="eastAsia" w:ascii="Times New Roman" w:hAnsi="Times New Roman" w:cs="宋体"/>
                <w:b/>
                <w:bCs/>
                <w:color w:val="auto"/>
                <w:sz w:val="24"/>
                <w:szCs w:val="24"/>
              </w:rPr>
              <w:t>要素</w:t>
            </w:r>
          </w:p>
        </w:tc>
        <w:tc>
          <w:tcPr>
            <w:tcW w:w="1755" w:type="dxa"/>
            <w:noWrap w:val="0"/>
            <w:vAlign w:val="center"/>
          </w:tcPr>
          <w:p w14:paraId="3A525012">
            <w:pPr>
              <w:adjustRightInd w:val="0"/>
              <w:snapToGrid w:val="0"/>
              <w:jc w:val="both"/>
              <w:rPr>
                <w:rFonts w:hint="eastAsia" w:ascii="Times New Roman" w:hAnsi="Times New Roman" w:cs="宋体"/>
                <w:b/>
                <w:bCs/>
                <w:color w:val="auto"/>
                <w:sz w:val="24"/>
                <w:szCs w:val="24"/>
              </w:rPr>
            </w:pPr>
            <w:r>
              <w:rPr>
                <w:rFonts w:hint="eastAsia" w:ascii="Times New Roman" w:hAnsi="Times New Roman" w:cs="宋体"/>
                <w:b/>
                <w:bCs/>
                <w:color w:val="auto"/>
                <w:sz w:val="24"/>
                <w:szCs w:val="24"/>
              </w:rPr>
              <w:t>排放口</w:t>
            </w:r>
            <w:r>
              <w:rPr>
                <w:rFonts w:hint="eastAsia" w:cs="宋体"/>
                <w:b/>
                <w:bCs/>
                <w:color w:val="auto"/>
                <w:sz w:val="24"/>
                <w:szCs w:val="24"/>
                <w:lang w:eastAsia="zh-CN"/>
              </w:rPr>
              <w:t>（</w:t>
            </w:r>
            <w:r>
              <w:rPr>
                <w:rFonts w:hint="eastAsia" w:ascii="Times New Roman" w:hAnsi="Times New Roman" w:cs="宋体"/>
                <w:b/>
                <w:bCs/>
                <w:color w:val="auto"/>
                <w:sz w:val="24"/>
                <w:szCs w:val="24"/>
              </w:rPr>
              <w:t>编号、</w:t>
            </w:r>
          </w:p>
          <w:p w14:paraId="62B529BB">
            <w:pPr>
              <w:adjustRightInd w:val="0"/>
              <w:snapToGrid w:val="0"/>
              <w:jc w:val="both"/>
              <w:rPr>
                <w:rFonts w:hint="eastAsia" w:ascii="Times New Roman" w:hAnsi="Times New Roman" w:cs="宋体"/>
                <w:b/>
                <w:bCs/>
                <w:color w:val="auto"/>
                <w:sz w:val="24"/>
                <w:szCs w:val="24"/>
              </w:rPr>
            </w:pPr>
            <w:r>
              <w:rPr>
                <w:rFonts w:hint="eastAsia" w:ascii="Times New Roman" w:hAnsi="Times New Roman" w:cs="宋体"/>
                <w:b/>
                <w:bCs/>
                <w:color w:val="auto"/>
                <w:sz w:val="24"/>
                <w:szCs w:val="24"/>
              </w:rPr>
              <w:t>名称</w:t>
            </w:r>
            <w:r>
              <w:rPr>
                <w:rFonts w:hint="eastAsia" w:cs="宋体"/>
                <w:b/>
                <w:bCs/>
                <w:color w:val="auto"/>
                <w:sz w:val="24"/>
                <w:szCs w:val="24"/>
                <w:lang w:eastAsia="zh-CN"/>
              </w:rPr>
              <w:t>）</w:t>
            </w:r>
            <w:r>
              <w:rPr>
                <w:rFonts w:hint="eastAsia" w:ascii="Times New Roman" w:hAnsi="Times New Roman" w:cs="宋体"/>
                <w:b/>
                <w:bCs/>
                <w:color w:val="auto"/>
                <w:sz w:val="24"/>
                <w:szCs w:val="24"/>
              </w:rPr>
              <w:t>/污染源</w:t>
            </w:r>
          </w:p>
        </w:tc>
        <w:tc>
          <w:tcPr>
            <w:tcW w:w="1755" w:type="dxa"/>
            <w:noWrap w:val="0"/>
            <w:vAlign w:val="center"/>
          </w:tcPr>
          <w:p w14:paraId="01D65D8D">
            <w:pPr>
              <w:adjustRightInd w:val="0"/>
              <w:snapToGrid w:val="0"/>
              <w:jc w:val="center"/>
              <w:rPr>
                <w:rFonts w:hint="eastAsia" w:ascii="Times New Roman" w:hAnsi="Times New Roman" w:cs="宋体"/>
                <w:b/>
                <w:bCs/>
                <w:color w:val="auto"/>
                <w:sz w:val="24"/>
                <w:szCs w:val="24"/>
              </w:rPr>
            </w:pPr>
            <w:r>
              <w:rPr>
                <w:rFonts w:hint="eastAsia" w:ascii="Times New Roman" w:hAnsi="Times New Roman" w:cs="宋体"/>
                <w:b/>
                <w:bCs/>
                <w:color w:val="auto"/>
                <w:sz w:val="24"/>
                <w:szCs w:val="24"/>
              </w:rPr>
              <w:t>污染物项目</w:t>
            </w:r>
          </w:p>
        </w:tc>
        <w:tc>
          <w:tcPr>
            <w:tcW w:w="1755" w:type="dxa"/>
            <w:noWrap w:val="0"/>
            <w:vAlign w:val="center"/>
          </w:tcPr>
          <w:p w14:paraId="6E0F1476">
            <w:pPr>
              <w:adjustRightInd w:val="0"/>
              <w:snapToGrid w:val="0"/>
              <w:jc w:val="center"/>
              <w:rPr>
                <w:rFonts w:hint="eastAsia" w:ascii="Times New Roman" w:hAnsi="Times New Roman" w:cs="宋体"/>
                <w:b/>
                <w:bCs/>
                <w:color w:val="auto"/>
                <w:sz w:val="24"/>
                <w:szCs w:val="24"/>
              </w:rPr>
            </w:pPr>
            <w:r>
              <w:rPr>
                <w:rFonts w:hint="eastAsia" w:ascii="Times New Roman" w:hAnsi="Times New Roman" w:cs="宋体"/>
                <w:b/>
                <w:bCs/>
                <w:color w:val="auto"/>
                <w:sz w:val="24"/>
                <w:szCs w:val="24"/>
              </w:rPr>
              <w:t>环境保护措施</w:t>
            </w:r>
          </w:p>
        </w:tc>
        <w:tc>
          <w:tcPr>
            <w:tcW w:w="1757" w:type="dxa"/>
            <w:noWrap w:val="0"/>
            <w:vAlign w:val="center"/>
          </w:tcPr>
          <w:p w14:paraId="10966B63">
            <w:pPr>
              <w:adjustRightInd w:val="0"/>
              <w:snapToGrid w:val="0"/>
              <w:jc w:val="center"/>
              <w:rPr>
                <w:rFonts w:hint="eastAsia" w:ascii="Times New Roman" w:hAnsi="Times New Roman" w:cs="宋体"/>
                <w:b/>
                <w:bCs/>
                <w:color w:val="auto"/>
                <w:sz w:val="24"/>
                <w:szCs w:val="24"/>
              </w:rPr>
            </w:pPr>
            <w:r>
              <w:rPr>
                <w:rFonts w:hint="eastAsia" w:ascii="Times New Roman" w:hAnsi="Times New Roman" w:cs="宋体"/>
                <w:b/>
                <w:bCs/>
                <w:color w:val="auto"/>
                <w:sz w:val="24"/>
                <w:szCs w:val="24"/>
              </w:rPr>
              <w:t>执行标准</w:t>
            </w:r>
          </w:p>
        </w:tc>
      </w:tr>
      <w:tr w14:paraId="536937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00F01861">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大气环境</w:t>
            </w:r>
          </w:p>
        </w:tc>
        <w:tc>
          <w:tcPr>
            <w:tcW w:w="1755" w:type="dxa"/>
            <w:noWrap w:val="0"/>
            <w:vAlign w:val="center"/>
          </w:tcPr>
          <w:p w14:paraId="5D1208B7">
            <w:pPr>
              <w:pStyle w:val="30"/>
              <w:bidi w:val="0"/>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lang w:val="en-US" w:eastAsia="zh-CN"/>
              </w:rPr>
              <w:t>有机废气排放口（D</w:t>
            </w:r>
            <w:r>
              <w:rPr>
                <w:rFonts w:hint="eastAsia" w:ascii="Times New Roman" w:hAnsi="Times New Roman" w:eastAsia="宋体" w:cs="Times New Roman"/>
                <w:color w:val="auto"/>
                <w:sz w:val="24"/>
                <w:szCs w:val="24"/>
                <w:lang w:val="en-US" w:eastAsia="zh-CN"/>
              </w:rPr>
              <w:t>A001）/擦拭废气、</w:t>
            </w:r>
            <w:r>
              <w:rPr>
                <w:rFonts w:hint="eastAsia" w:cs="Times New Roman"/>
                <w:color w:val="auto"/>
                <w:sz w:val="24"/>
                <w:szCs w:val="24"/>
                <w:lang w:val="en-US" w:eastAsia="zh-CN"/>
              </w:rPr>
              <w:t>清洗</w:t>
            </w:r>
            <w:r>
              <w:rPr>
                <w:rFonts w:hint="eastAsia" w:ascii="Times New Roman" w:hAnsi="Times New Roman" w:eastAsia="宋体" w:cs="Times New Roman"/>
                <w:color w:val="auto"/>
                <w:sz w:val="24"/>
                <w:szCs w:val="24"/>
                <w:lang w:val="en-US" w:eastAsia="zh-CN"/>
              </w:rPr>
              <w:t>废气</w:t>
            </w:r>
          </w:p>
        </w:tc>
        <w:tc>
          <w:tcPr>
            <w:tcW w:w="1755" w:type="dxa"/>
            <w:noWrap w:val="0"/>
            <w:vAlign w:val="center"/>
          </w:tcPr>
          <w:p w14:paraId="1F833121">
            <w:pPr>
              <w:pStyle w:val="59"/>
              <w:spacing w:line="242" w:lineRule="auto"/>
              <w:ind w:left="34" w:right="5" w:firstLine="69"/>
              <w:jc w:val="center"/>
              <w:rPr>
                <w:rFonts w:hint="eastAsia" w:ascii="Times New Roman" w:hAnsi="Times New Roman" w:eastAsia="宋体"/>
                <w:color w:val="auto"/>
                <w:kern w:val="0"/>
                <w:sz w:val="24"/>
                <w:szCs w:val="24"/>
                <w:lang w:val="en-US" w:eastAsia="zh-CN" w:bidi="ar-SA"/>
              </w:rPr>
            </w:pPr>
            <w:r>
              <w:rPr>
                <w:rFonts w:hint="eastAsia" w:ascii="Times New Roman" w:hAnsi="Times New Roman" w:cs="Times New Roman"/>
                <w:color w:val="auto"/>
                <w:kern w:val="0"/>
                <w:sz w:val="24"/>
                <w:szCs w:val="24"/>
                <w:highlight w:val="none"/>
                <w:lang w:val="en-US" w:eastAsia="zh-CN" w:bidi="ar-SA"/>
              </w:rPr>
              <w:t>VOCs、乙醇、乙醚、丙酮（以非甲烷总烃计）</w:t>
            </w:r>
          </w:p>
        </w:tc>
        <w:tc>
          <w:tcPr>
            <w:tcW w:w="1755" w:type="dxa"/>
            <w:noWrap w:val="0"/>
            <w:vAlign w:val="center"/>
          </w:tcPr>
          <w:p w14:paraId="3E9459C6">
            <w:pPr>
              <w:pStyle w:val="30"/>
              <w:bidi w:val="0"/>
              <w:rPr>
                <w:rFonts w:hint="eastAsia" w:ascii="Times New Roman" w:hAnsi="Times New Roman" w:eastAsia="宋体"/>
                <w:color w:val="auto"/>
                <w:kern w:val="0"/>
                <w:sz w:val="24"/>
                <w:szCs w:val="24"/>
                <w:lang w:val="en-US" w:eastAsia="zh-CN" w:bidi="ar-SA"/>
              </w:rPr>
            </w:pPr>
            <w:r>
              <w:rPr>
                <w:rFonts w:hint="eastAsia"/>
                <w:color w:val="auto"/>
                <w:sz w:val="24"/>
                <w:szCs w:val="24"/>
                <w:lang w:val="en-US" w:eastAsia="zh-CN"/>
              </w:rPr>
              <w:t>有机废气车间密闭负压收集废气，通过二级活性炭吸附装置处理达标后由20m高排气筒排放</w:t>
            </w:r>
          </w:p>
        </w:tc>
        <w:tc>
          <w:tcPr>
            <w:tcW w:w="1757" w:type="dxa"/>
            <w:noWrap w:val="0"/>
            <w:vAlign w:val="center"/>
          </w:tcPr>
          <w:p w14:paraId="5E0B11BB">
            <w:pPr>
              <w:pStyle w:val="30"/>
              <w:bidi w:val="0"/>
              <w:rPr>
                <w:rFonts w:hint="eastAsia" w:ascii="Times New Roman" w:hAnsi="Times New Roman" w:eastAsia="宋体"/>
                <w:color w:val="auto"/>
                <w:kern w:val="0"/>
                <w:sz w:val="24"/>
                <w:szCs w:val="24"/>
                <w:lang w:val="en-US" w:eastAsia="zh-CN" w:bidi="ar-SA"/>
              </w:rPr>
            </w:pPr>
            <w:r>
              <w:rPr>
                <w:rFonts w:hint="default" w:ascii="Times New Roman" w:hAnsi="Times New Roman" w:cs="Times New Roman"/>
                <w:color w:val="auto"/>
                <w:sz w:val="24"/>
                <w:szCs w:val="24"/>
                <w:highlight w:val="none"/>
                <w:lang w:val="en-US" w:eastAsia="zh-CN"/>
              </w:rPr>
              <w:t>《工业企业挥发性有机物排放标准》（DB35/1782-2018）表1中标准（非甲烷总烃最高允许排放浓度≤100mg/m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，排放速率≤</w:t>
            </w:r>
            <w:r>
              <w:rPr>
                <w:rFonts w:hint="eastAsia" w:cs="Times New Roman"/>
                <w:color w:val="auto"/>
                <w:sz w:val="24"/>
                <w:szCs w:val="24"/>
                <w:highlight w:val="none"/>
                <w:lang w:val="en-US" w:eastAsia="zh-CN"/>
              </w:rPr>
              <w:t>3.6</w:t>
            </w:r>
            <w:r>
              <w:rPr>
                <w:rFonts w:hint="eastAsia" w:ascii="Times New Roman" w:hAnsi="Times New Roman" w:cs="Times New Roman"/>
                <w:color w:val="auto"/>
                <w:sz w:val="24"/>
                <w:szCs w:val="24"/>
                <w:highlight w:val="none"/>
                <w:lang w:val="en-US" w:eastAsia="zh-CN"/>
              </w:rPr>
              <w:t>kg/</w:t>
            </w:r>
            <w:r>
              <w:rPr>
                <w:rFonts w:hint="eastAsia" w:ascii="Times New Roman" w:hAnsi="Times New Roman" w:eastAsia="宋体" w:cs="宋体"/>
                <w:color w:val="auto"/>
                <w:kern w:val="2"/>
                <w:sz w:val="24"/>
                <w:szCs w:val="24"/>
                <w:highlight w:val="none"/>
                <w:lang w:val="en-US" w:eastAsia="zh-CN" w:bidi="ar-SA"/>
              </w:rPr>
              <w:t>h</w:t>
            </w:r>
            <w:r>
              <w:rPr>
                <w:rFonts w:hint="default" w:ascii="Times New Roman" w:hAnsi="Times New Roman" w:cs="Times New Roman"/>
                <w:color w:val="auto"/>
                <w:sz w:val="24"/>
                <w:szCs w:val="24"/>
                <w:highlight w:val="none"/>
                <w:lang w:val="en-US" w:eastAsia="zh-CN"/>
              </w:rPr>
              <w:t>）</w:t>
            </w:r>
          </w:p>
        </w:tc>
      </w:tr>
      <w:tr w14:paraId="317066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9BE79C8">
            <w:pPr>
              <w:adjustRightInd w:val="0"/>
              <w:snapToGrid w:val="0"/>
              <w:jc w:val="center"/>
              <w:rPr>
                <w:rFonts w:hint="eastAsia" w:ascii="Times New Roman" w:hAnsi="Times New Roman" w:cs="宋体"/>
                <w:color w:val="auto"/>
                <w:sz w:val="24"/>
                <w:szCs w:val="24"/>
              </w:rPr>
            </w:pPr>
          </w:p>
        </w:tc>
        <w:tc>
          <w:tcPr>
            <w:tcW w:w="1755" w:type="dxa"/>
            <w:shd w:val="clear" w:color="auto" w:fill="auto"/>
            <w:noWrap w:val="0"/>
            <w:vAlign w:val="center"/>
          </w:tcPr>
          <w:p w14:paraId="2E8CA907">
            <w:pPr>
              <w:pStyle w:val="30"/>
              <w:bidi w:val="0"/>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color w:val="auto"/>
                <w:sz w:val="24"/>
                <w:szCs w:val="24"/>
                <w:lang w:val="en-US" w:eastAsia="zh-CN"/>
              </w:rPr>
              <w:t>有机废气排放口（D</w:t>
            </w:r>
            <w:r>
              <w:rPr>
                <w:rFonts w:hint="eastAsia" w:ascii="Times New Roman" w:hAnsi="Times New Roman" w:eastAsia="宋体" w:cs="Times New Roman"/>
                <w:color w:val="auto"/>
                <w:sz w:val="24"/>
                <w:szCs w:val="24"/>
                <w:lang w:val="en-US" w:eastAsia="zh-CN"/>
              </w:rPr>
              <w:t>A00</w:t>
            </w:r>
            <w:r>
              <w:rPr>
                <w:rFonts w:hint="eastAsia"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切割</w:t>
            </w:r>
            <w:r>
              <w:rPr>
                <w:rFonts w:hint="eastAsia" w:ascii="Times New Roman" w:hAnsi="Times New Roman" w:eastAsia="宋体" w:cs="Times New Roman"/>
                <w:color w:val="auto"/>
                <w:sz w:val="24"/>
                <w:szCs w:val="24"/>
                <w:lang w:val="en-US" w:eastAsia="zh-CN"/>
              </w:rPr>
              <w:t>废气</w:t>
            </w:r>
          </w:p>
        </w:tc>
        <w:tc>
          <w:tcPr>
            <w:tcW w:w="1755" w:type="dxa"/>
            <w:shd w:val="clear" w:color="auto" w:fill="auto"/>
            <w:noWrap w:val="0"/>
            <w:vAlign w:val="center"/>
          </w:tcPr>
          <w:p w14:paraId="12E652C8">
            <w:pPr>
              <w:pStyle w:val="59"/>
              <w:spacing w:line="242" w:lineRule="auto"/>
              <w:ind w:left="34" w:leftChars="0" w:right="5" w:rightChars="0" w:firstLine="69" w:firstLineChars="0"/>
              <w:jc w:val="center"/>
              <w:rPr>
                <w:rFonts w:hint="eastAsia" w:ascii="Times New Roman" w:hAnsi="Times New Roman" w:eastAsia="宋体" w:cs="宋体"/>
                <w:color w:val="auto"/>
                <w:kern w:val="0"/>
                <w:sz w:val="24"/>
                <w:szCs w:val="24"/>
                <w:lang w:val="en-US" w:eastAsia="zh-CN" w:bidi="ar-SA"/>
              </w:rPr>
            </w:pPr>
            <w:r>
              <w:rPr>
                <w:rFonts w:hint="eastAsia" w:ascii="Times New Roman" w:hAnsi="Times New Roman" w:cs="Times New Roman"/>
                <w:color w:val="auto"/>
                <w:kern w:val="0"/>
                <w:sz w:val="24"/>
                <w:szCs w:val="24"/>
                <w:highlight w:val="none"/>
                <w:lang w:val="en-US" w:eastAsia="zh-CN" w:bidi="ar-SA"/>
              </w:rPr>
              <w:t>VOCs（以非甲烷总烃计）</w:t>
            </w:r>
          </w:p>
        </w:tc>
        <w:tc>
          <w:tcPr>
            <w:tcW w:w="1755" w:type="dxa"/>
            <w:shd w:val="clear" w:color="auto" w:fill="auto"/>
            <w:noWrap w:val="0"/>
            <w:vAlign w:val="center"/>
          </w:tcPr>
          <w:p w14:paraId="457BF903">
            <w:pPr>
              <w:pStyle w:val="30"/>
              <w:bidi w:val="0"/>
              <w:rPr>
                <w:rFonts w:hint="eastAsia" w:ascii="Times New Roman" w:hAnsi="Times New Roman" w:eastAsia="宋体" w:cs="Times New Roman"/>
                <w:color w:val="auto"/>
                <w:kern w:val="0"/>
                <w:sz w:val="24"/>
                <w:szCs w:val="24"/>
                <w:lang w:val="en-US" w:eastAsia="zh-CN" w:bidi="ar-SA"/>
              </w:rPr>
            </w:pPr>
            <w:r>
              <w:rPr>
                <w:rFonts w:hint="eastAsia"/>
                <w:color w:val="auto"/>
                <w:sz w:val="24"/>
                <w:szCs w:val="24"/>
                <w:lang w:val="en-US" w:eastAsia="zh-CN"/>
              </w:rPr>
              <w:t>有机废气车间密闭负压收集废气，通过二级活性炭吸附装置处理达标后由20m高排气筒排放</w:t>
            </w:r>
          </w:p>
        </w:tc>
        <w:tc>
          <w:tcPr>
            <w:tcW w:w="1757" w:type="dxa"/>
            <w:shd w:val="clear" w:color="auto" w:fill="auto"/>
            <w:noWrap w:val="0"/>
            <w:vAlign w:val="center"/>
          </w:tcPr>
          <w:p w14:paraId="71B6FB06">
            <w:pPr>
              <w:pStyle w:val="30"/>
              <w:bidi w:val="0"/>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sz w:val="24"/>
                <w:szCs w:val="24"/>
                <w:highlight w:val="none"/>
                <w:lang w:val="en-US" w:eastAsia="zh-CN"/>
              </w:rPr>
              <w:t>《工业企业挥发性有机物排放标准》（DB35/1782-2018）表1中标准（非甲烷总烃最高允许排放浓度≤100mg/m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，排放速率≤</w:t>
            </w:r>
            <w:r>
              <w:rPr>
                <w:rFonts w:hint="eastAsia" w:cs="Times New Roman"/>
                <w:color w:val="auto"/>
                <w:sz w:val="24"/>
                <w:szCs w:val="24"/>
                <w:highlight w:val="none"/>
                <w:lang w:val="en-US" w:eastAsia="zh-CN"/>
              </w:rPr>
              <w:t>3.6</w:t>
            </w:r>
            <w:r>
              <w:rPr>
                <w:rFonts w:hint="eastAsia" w:ascii="Times New Roman" w:hAnsi="Times New Roman" w:cs="Times New Roman"/>
                <w:color w:val="auto"/>
                <w:sz w:val="24"/>
                <w:szCs w:val="24"/>
                <w:highlight w:val="none"/>
                <w:lang w:val="en-US" w:eastAsia="zh-CN"/>
              </w:rPr>
              <w:t>kg/</w:t>
            </w:r>
            <w:r>
              <w:rPr>
                <w:rFonts w:hint="eastAsia" w:ascii="Times New Roman" w:hAnsi="Times New Roman" w:eastAsia="宋体" w:cs="宋体"/>
                <w:color w:val="auto"/>
                <w:kern w:val="2"/>
                <w:sz w:val="24"/>
                <w:szCs w:val="24"/>
                <w:highlight w:val="none"/>
                <w:lang w:val="en-US" w:eastAsia="zh-CN" w:bidi="ar-SA"/>
              </w:rPr>
              <w:t>h</w:t>
            </w:r>
            <w:r>
              <w:rPr>
                <w:rFonts w:hint="default" w:ascii="Times New Roman" w:hAnsi="Times New Roman" w:cs="Times New Roman"/>
                <w:color w:val="auto"/>
                <w:sz w:val="24"/>
                <w:szCs w:val="24"/>
                <w:highlight w:val="none"/>
                <w:lang w:val="en-US" w:eastAsia="zh-CN"/>
              </w:rPr>
              <w:t>）</w:t>
            </w:r>
          </w:p>
        </w:tc>
      </w:tr>
      <w:tr w14:paraId="417EB5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230A584">
            <w:pPr>
              <w:adjustRightInd w:val="0"/>
              <w:snapToGrid w:val="0"/>
              <w:jc w:val="center"/>
              <w:rPr>
                <w:rFonts w:hint="eastAsia" w:ascii="Times New Roman" w:hAnsi="Times New Roman" w:cs="宋体"/>
                <w:color w:val="auto"/>
                <w:sz w:val="24"/>
                <w:szCs w:val="24"/>
              </w:rPr>
            </w:pPr>
          </w:p>
        </w:tc>
        <w:tc>
          <w:tcPr>
            <w:tcW w:w="1755" w:type="dxa"/>
            <w:vMerge w:val="restart"/>
            <w:noWrap w:val="0"/>
            <w:vAlign w:val="center"/>
          </w:tcPr>
          <w:p w14:paraId="2D858F42">
            <w:pPr>
              <w:pStyle w:val="30"/>
              <w:bidi w:val="0"/>
              <w:rPr>
                <w:rFonts w:hint="eastAsia" w:ascii="Times New Roman" w:hAnsi="Times New Roman" w:eastAsia="宋体"/>
                <w:color w:val="auto"/>
                <w:kern w:val="0"/>
                <w:sz w:val="24"/>
                <w:szCs w:val="24"/>
                <w:lang w:val="en-US" w:eastAsia="zh-CN" w:bidi="ar-SA"/>
              </w:rPr>
            </w:pPr>
            <w:r>
              <w:rPr>
                <w:rFonts w:hint="eastAsia"/>
                <w:color w:val="auto"/>
                <w:sz w:val="24"/>
                <w:szCs w:val="24"/>
                <w:highlight w:val="none"/>
                <w:lang w:val="en-US" w:eastAsia="zh-CN"/>
              </w:rPr>
              <w:t>厂界/</w:t>
            </w:r>
            <w:r>
              <w:rPr>
                <w:rFonts w:hint="eastAsia" w:ascii="Times New Roman" w:hAnsi="Times New Roman"/>
                <w:color w:val="auto"/>
                <w:sz w:val="24"/>
                <w:szCs w:val="24"/>
                <w:lang w:val="en-US" w:eastAsia="zh-CN"/>
              </w:rPr>
              <w:t>生产车间</w:t>
            </w:r>
          </w:p>
        </w:tc>
        <w:tc>
          <w:tcPr>
            <w:tcW w:w="1755" w:type="dxa"/>
            <w:noWrap w:val="0"/>
            <w:vAlign w:val="center"/>
          </w:tcPr>
          <w:p w14:paraId="47ACD170">
            <w:pPr>
              <w:pStyle w:val="30"/>
              <w:bidi w:val="0"/>
              <w:jc w:val="center"/>
              <w:rPr>
                <w:rFonts w:hint="eastAsia" w:ascii="Times New Roman" w:hAnsi="Times New Roman" w:eastAsia="宋体"/>
                <w:color w:val="auto"/>
                <w:kern w:val="0"/>
                <w:sz w:val="24"/>
                <w:szCs w:val="24"/>
                <w:lang w:val="en-US" w:eastAsia="zh-CN" w:bidi="ar-SA"/>
              </w:rPr>
            </w:pPr>
            <w:r>
              <w:rPr>
                <w:rFonts w:hint="eastAsia"/>
                <w:color w:val="auto"/>
                <w:sz w:val="24"/>
                <w:szCs w:val="24"/>
                <w:highlight w:val="none"/>
                <w:lang w:val="en-US" w:eastAsia="zh-CN"/>
              </w:rPr>
              <w:t>VOCs、乙醇、乙醚、丙酮（以非甲烷总烃计）</w:t>
            </w:r>
          </w:p>
        </w:tc>
        <w:tc>
          <w:tcPr>
            <w:tcW w:w="1755" w:type="dxa"/>
            <w:vMerge w:val="restart"/>
            <w:noWrap w:val="0"/>
            <w:vAlign w:val="center"/>
          </w:tcPr>
          <w:p w14:paraId="105E3CD2">
            <w:pPr>
              <w:pStyle w:val="30"/>
              <w:bidi w:val="0"/>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lang w:val="en-US" w:eastAsia="zh-CN"/>
              </w:rPr>
              <w:t>车间密闭，减少对外界大气环境造成影响</w:t>
            </w:r>
          </w:p>
        </w:tc>
        <w:tc>
          <w:tcPr>
            <w:tcW w:w="1757" w:type="dxa"/>
            <w:noWrap w:val="0"/>
            <w:vAlign w:val="center"/>
          </w:tcPr>
          <w:p w14:paraId="630BD496">
            <w:pPr>
              <w:pStyle w:val="30"/>
              <w:bidi w:val="0"/>
              <w:rPr>
                <w:rFonts w:hint="eastAsia" w:ascii="Times New Roman" w:hAnsi="Times New Roman" w:eastAsia="宋体"/>
                <w:color w:val="auto"/>
                <w:kern w:val="0"/>
                <w:sz w:val="24"/>
                <w:szCs w:val="24"/>
                <w:lang w:val="en-US" w:eastAsia="zh-CN" w:bidi="ar-SA"/>
              </w:rPr>
            </w:pPr>
            <w:r>
              <w:rPr>
                <w:rFonts w:hint="eastAsia"/>
                <w:color w:val="auto"/>
                <w:sz w:val="24"/>
                <w:szCs w:val="24"/>
                <w:highlight w:val="none"/>
                <w:lang w:val="en-US" w:eastAsia="zh-CN"/>
              </w:rPr>
              <w:t>《工业企业挥发性有机物排放标准》（DB35/1782-2018）表3标准（非甲烷总烃企业边界监控点浓度限值2.0mg/m</w:t>
            </w:r>
            <w:r>
              <w:rPr>
                <w:rFonts w:hint="eastAsia"/>
                <w:color w:val="auto"/>
                <w:sz w:val="24"/>
                <w:szCs w:val="24"/>
                <w:highlight w:val="none"/>
                <w:vertAlign w:val="superscript"/>
                <w:lang w:val="en-US" w:eastAsia="zh-CN"/>
              </w:rPr>
              <w:t>3</w:t>
            </w:r>
          </w:p>
        </w:tc>
      </w:tr>
      <w:tr w14:paraId="2B775B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12177166">
            <w:pPr>
              <w:adjustRightInd w:val="0"/>
              <w:snapToGrid w:val="0"/>
              <w:jc w:val="center"/>
              <w:rPr>
                <w:rFonts w:hint="eastAsia" w:ascii="Times New Roman" w:hAnsi="Times New Roman" w:cs="宋体"/>
                <w:color w:val="auto"/>
                <w:sz w:val="24"/>
                <w:szCs w:val="24"/>
              </w:rPr>
            </w:pPr>
          </w:p>
        </w:tc>
        <w:tc>
          <w:tcPr>
            <w:tcW w:w="1755" w:type="dxa"/>
            <w:vMerge w:val="continue"/>
            <w:noWrap w:val="0"/>
            <w:vAlign w:val="center"/>
          </w:tcPr>
          <w:p w14:paraId="17DE8A79">
            <w:pPr>
              <w:pStyle w:val="30"/>
              <w:bidi w:val="0"/>
              <w:rPr>
                <w:rFonts w:hint="eastAsia"/>
                <w:color w:val="auto"/>
                <w:sz w:val="24"/>
                <w:szCs w:val="24"/>
                <w:highlight w:val="none"/>
                <w:lang w:val="en-US" w:eastAsia="zh-CN"/>
              </w:rPr>
            </w:pPr>
          </w:p>
        </w:tc>
        <w:tc>
          <w:tcPr>
            <w:tcW w:w="1755" w:type="dxa"/>
            <w:noWrap w:val="0"/>
            <w:vAlign w:val="center"/>
          </w:tcPr>
          <w:p w14:paraId="2416B91F">
            <w:pPr>
              <w:pStyle w:val="30"/>
              <w:bidi w:val="0"/>
              <w:jc w:val="center"/>
              <w:rPr>
                <w:rFonts w:hint="default"/>
                <w:color w:val="auto"/>
                <w:sz w:val="24"/>
                <w:szCs w:val="24"/>
                <w:highlight w:val="none"/>
                <w:lang w:val="en-US" w:eastAsia="zh-CN"/>
              </w:rPr>
            </w:pPr>
            <w:r>
              <w:rPr>
                <w:rFonts w:hint="eastAsia"/>
                <w:color w:val="auto"/>
                <w:sz w:val="24"/>
                <w:szCs w:val="24"/>
                <w:highlight w:val="none"/>
                <w:lang w:val="en-US" w:eastAsia="zh-CN"/>
              </w:rPr>
              <w:t>颗粒物</w:t>
            </w:r>
          </w:p>
        </w:tc>
        <w:tc>
          <w:tcPr>
            <w:tcW w:w="1755" w:type="dxa"/>
            <w:vMerge w:val="continue"/>
            <w:noWrap w:val="0"/>
            <w:vAlign w:val="center"/>
          </w:tcPr>
          <w:p w14:paraId="7ED56ADF">
            <w:pPr>
              <w:pStyle w:val="30"/>
              <w:bidi w:val="0"/>
              <w:rPr>
                <w:rFonts w:hint="eastAsia" w:ascii="Times New Roman" w:hAnsi="Times New Roman"/>
                <w:color w:val="auto"/>
                <w:sz w:val="24"/>
                <w:szCs w:val="24"/>
                <w:lang w:val="en-US" w:eastAsia="zh-CN"/>
              </w:rPr>
            </w:pPr>
          </w:p>
        </w:tc>
        <w:tc>
          <w:tcPr>
            <w:tcW w:w="1757" w:type="dxa"/>
            <w:noWrap w:val="0"/>
            <w:vAlign w:val="center"/>
          </w:tcPr>
          <w:p w14:paraId="1E73B621">
            <w:pPr>
              <w:pStyle w:val="30"/>
              <w:bidi w:val="0"/>
              <w:rPr>
                <w:rFonts w:hint="eastAsia"/>
                <w:color w:val="auto"/>
                <w:sz w:val="24"/>
                <w:szCs w:val="24"/>
                <w:highlight w:val="none"/>
                <w:lang w:val="en-US" w:eastAsia="zh-CN"/>
              </w:rPr>
            </w:pPr>
            <w:r>
              <w:rPr>
                <w:rFonts w:hint="eastAsia"/>
                <w:color w:val="auto"/>
                <w:sz w:val="24"/>
                <w:szCs w:val="24"/>
                <w:highlight w:val="none"/>
                <w:lang w:val="en-US" w:eastAsia="zh-CN"/>
              </w:rPr>
              <w:t>《大气污染物综合排放标准》（GB 16297-1996）表2中无组织排放监控浓度限值1.0mg/m</w:t>
            </w:r>
            <w:r>
              <w:rPr>
                <w:rFonts w:hint="eastAsia"/>
                <w:color w:val="auto"/>
                <w:sz w:val="24"/>
                <w:szCs w:val="24"/>
                <w:highlight w:val="none"/>
                <w:vertAlign w:val="superscript"/>
                <w:lang w:val="en-US" w:eastAsia="zh-CN"/>
              </w:rPr>
              <w:t>3</w:t>
            </w:r>
          </w:p>
        </w:tc>
      </w:tr>
      <w:tr w14:paraId="5320E7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4E21A56D">
            <w:pPr>
              <w:adjustRightInd w:val="0"/>
              <w:snapToGrid w:val="0"/>
              <w:jc w:val="center"/>
              <w:rPr>
                <w:rFonts w:hint="eastAsia" w:ascii="Times New Roman" w:hAnsi="Times New Roman" w:cs="宋体"/>
                <w:color w:val="auto"/>
                <w:sz w:val="24"/>
                <w:szCs w:val="24"/>
              </w:rPr>
            </w:pPr>
          </w:p>
        </w:tc>
        <w:tc>
          <w:tcPr>
            <w:tcW w:w="1755" w:type="dxa"/>
            <w:noWrap w:val="0"/>
            <w:vAlign w:val="center"/>
          </w:tcPr>
          <w:p w14:paraId="5BBF54A2">
            <w:pPr>
              <w:pStyle w:val="30"/>
              <w:bidi w:val="0"/>
              <w:rPr>
                <w:rFonts w:hint="eastAsia"/>
                <w:color w:val="auto"/>
                <w:sz w:val="24"/>
                <w:szCs w:val="24"/>
                <w:highlight w:val="none"/>
                <w:lang w:val="en-US" w:eastAsia="zh-CN"/>
              </w:rPr>
            </w:pPr>
            <w:r>
              <w:rPr>
                <w:rFonts w:hint="eastAsia"/>
                <w:color w:val="auto"/>
                <w:sz w:val="24"/>
                <w:szCs w:val="24"/>
                <w:highlight w:val="none"/>
                <w:lang w:val="en-US" w:eastAsia="zh-CN"/>
              </w:rPr>
              <w:t>厂区内/生产车间</w:t>
            </w:r>
          </w:p>
        </w:tc>
        <w:tc>
          <w:tcPr>
            <w:tcW w:w="1755" w:type="dxa"/>
            <w:noWrap w:val="0"/>
            <w:vAlign w:val="center"/>
          </w:tcPr>
          <w:p w14:paraId="520BC87F">
            <w:pPr>
              <w:pStyle w:val="30"/>
              <w:bidi w:val="0"/>
              <w:rPr>
                <w:rFonts w:hint="eastAsia" w:ascii="Times New Roman" w:hAnsi="Times New Roman"/>
                <w:color w:val="auto"/>
                <w:sz w:val="24"/>
                <w:szCs w:val="24"/>
                <w:lang w:val="en-US" w:eastAsia="zh-CN"/>
              </w:rPr>
            </w:pPr>
            <w:r>
              <w:rPr>
                <w:rFonts w:hint="eastAsia"/>
                <w:color w:val="auto"/>
                <w:sz w:val="24"/>
                <w:szCs w:val="24"/>
                <w:highlight w:val="none"/>
                <w:lang w:val="en-US" w:eastAsia="zh-CN"/>
              </w:rPr>
              <w:t>VOCs、乙醇、乙醚、丙酮（以非甲烷总烃计）</w:t>
            </w:r>
          </w:p>
        </w:tc>
        <w:tc>
          <w:tcPr>
            <w:tcW w:w="1755" w:type="dxa"/>
            <w:noWrap w:val="0"/>
            <w:vAlign w:val="center"/>
          </w:tcPr>
          <w:p w14:paraId="5EE1521A">
            <w:pPr>
              <w:pStyle w:val="30"/>
              <w:bidi w:val="0"/>
              <w:rPr>
                <w:rFonts w:hint="eastAsia" w:ascii="Times New Roman" w:hAnsi="Times New Roman"/>
                <w:color w:val="auto"/>
                <w:sz w:val="24"/>
                <w:szCs w:val="24"/>
                <w:lang w:val="en-US" w:eastAsia="zh-CN"/>
              </w:rPr>
            </w:pPr>
            <w:r>
              <w:rPr>
                <w:rFonts w:hint="eastAsia"/>
                <w:color w:val="auto"/>
                <w:sz w:val="24"/>
                <w:szCs w:val="24"/>
                <w:highlight w:val="none"/>
                <w:lang w:val="en-US" w:eastAsia="zh-CN"/>
              </w:rPr>
              <w:t>车间密闭，减少对外界大气环境造成影响</w:t>
            </w:r>
          </w:p>
        </w:tc>
        <w:tc>
          <w:tcPr>
            <w:tcW w:w="1757" w:type="dxa"/>
            <w:noWrap w:val="0"/>
            <w:vAlign w:val="center"/>
          </w:tcPr>
          <w:p w14:paraId="25B70CEA">
            <w:pPr>
              <w:pStyle w:val="30"/>
              <w:bidi w:val="0"/>
              <w:ind w:firstLine="480" w:firstLineChars="200"/>
              <w:rPr>
                <w:rFonts w:hint="default"/>
                <w:color w:val="auto"/>
                <w:sz w:val="24"/>
                <w:szCs w:val="24"/>
                <w:highlight w:val="none"/>
                <w:lang w:val="en-US" w:eastAsia="zh-CN"/>
              </w:rPr>
            </w:pPr>
            <w:r>
              <w:rPr>
                <w:rFonts w:hint="eastAsia"/>
                <w:color w:val="auto"/>
                <w:sz w:val="24"/>
                <w:szCs w:val="24"/>
                <w:highlight w:val="none"/>
                <w:lang w:val="en-US" w:eastAsia="zh-CN"/>
              </w:rPr>
              <w:t>项目VOCs、乙醇、乙醚、丙酮（以非甲烷总烃计）厂区内无组织排放执行《挥发性有机物无组织排放控制标准》（GB37822-2019）中附录A表A.1无组织排放限值，监控点处1h平均浓度值≤10mg/m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w:t>
            </w:r>
          </w:p>
          <w:p w14:paraId="6C9CAB7A">
            <w:pPr>
              <w:pStyle w:val="30"/>
              <w:bidi w:val="0"/>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监控点处任意一次浓度值≤30mg/m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，《工业企业挥发性有机物排放标准》（DB35/1782-2018）表2中厂区内监控点浓度限值，浓度限值为8.0mg/m</w:t>
            </w:r>
            <w:r>
              <w:rPr>
                <w:rFonts w:hint="eastAsia"/>
                <w:color w:val="auto"/>
                <w:sz w:val="24"/>
                <w:szCs w:val="24"/>
                <w:highlight w:val="none"/>
                <w:vertAlign w:val="superscript"/>
                <w:lang w:val="en-US" w:eastAsia="zh-CN"/>
              </w:rPr>
              <w:t>3</w:t>
            </w:r>
          </w:p>
        </w:tc>
      </w:tr>
      <w:tr w14:paraId="46A9E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08F8C4AD">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地表水环境</w:t>
            </w:r>
          </w:p>
        </w:tc>
        <w:tc>
          <w:tcPr>
            <w:tcW w:w="1755" w:type="dxa"/>
            <w:noWrap w:val="0"/>
            <w:vAlign w:val="center"/>
          </w:tcPr>
          <w:p w14:paraId="585BC1DA">
            <w:pPr>
              <w:pStyle w:val="30"/>
              <w:bidi w:val="0"/>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lang w:val="en-US" w:eastAsia="zh-CN"/>
              </w:rPr>
              <w:t>生产废水排放口（DW001）/生产废水</w:t>
            </w:r>
          </w:p>
        </w:tc>
        <w:tc>
          <w:tcPr>
            <w:tcW w:w="1755" w:type="dxa"/>
            <w:noWrap w:val="0"/>
            <w:vAlign w:val="center"/>
          </w:tcPr>
          <w:p w14:paraId="198EA703">
            <w:pPr>
              <w:pStyle w:val="30"/>
              <w:bidi w:val="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pH值、COD、SS、NH</w:t>
            </w:r>
            <w:r>
              <w:rPr>
                <w:rFonts w:hint="eastAsia" w:ascii="Times New Roman" w:hAnsi="Times New Roman" w:eastAsia="宋体" w:cs="Times New Roman"/>
                <w:color w:val="auto"/>
                <w:sz w:val="24"/>
                <w:szCs w:val="24"/>
                <w:vertAlign w:val="subscript"/>
                <w:lang w:val="en-US" w:eastAsia="zh-CN"/>
              </w:rPr>
              <w:t>3</w:t>
            </w:r>
            <w:r>
              <w:rPr>
                <w:rFonts w:hint="eastAsia" w:ascii="Times New Roman" w:hAnsi="Times New Roman" w:eastAsia="宋体" w:cs="Times New Roman"/>
                <w:color w:val="auto"/>
                <w:sz w:val="24"/>
                <w:szCs w:val="24"/>
                <w:lang w:val="en-US" w:eastAsia="zh-CN"/>
              </w:rPr>
              <w:t>-N</w:t>
            </w:r>
            <w:r>
              <w:rPr>
                <w:rFonts w:hint="eastAsia" w:cs="Times New Roman"/>
                <w:color w:val="auto"/>
                <w:sz w:val="24"/>
                <w:szCs w:val="24"/>
                <w:lang w:val="en-US" w:eastAsia="zh-CN"/>
              </w:rPr>
              <w:t>、LAS</w:t>
            </w:r>
          </w:p>
        </w:tc>
        <w:tc>
          <w:tcPr>
            <w:tcW w:w="1755" w:type="dxa"/>
            <w:noWrap w:val="0"/>
            <w:vAlign w:val="center"/>
          </w:tcPr>
          <w:p w14:paraId="2C1AA0BF">
            <w:pPr>
              <w:pStyle w:val="30"/>
              <w:bidi w:val="0"/>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切割</w:t>
            </w:r>
            <w:r>
              <w:rPr>
                <w:rFonts w:hint="eastAsia" w:ascii="Times New Roman" w:hAnsi="Times New Roman" w:eastAsia="宋体" w:cs="Times New Roman"/>
                <w:color w:val="auto"/>
                <w:sz w:val="24"/>
                <w:szCs w:val="24"/>
                <w:lang w:val="en-US" w:eastAsia="zh-CN"/>
              </w:rPr>
              <w:t>废水、抛光废水、</w:t>
            </w:r>
            <w:r>
              <w:rPr>
                <w:rFonts w:hint="eastAsia" w:cs="Times New Roman"/>
                <w:color w:val="auto"/>
                <w:sz w:val="24"/>
                <w:szCs w:val="24"/>
                <w:lang w:val="en-US" w:eastAsia="zh-CN"/>
              </w:rPr>
              <w:t>粗磨</w:t>
            </w:r>
            <w:r>
              <w:rPr>
                <w:rFonts w:hint="eastAsia" w:ascii="Times New Roman" w:hAnsi="Times New Roman" w:eastAsia="宋体" w:cs="Times New Roman"/>
                <w:color w:val="auto"/>
                <w:sz w:val="24"/>
                <w:szCs w:val="24"/>
                <w:lang w:val="en-US" w:eastAsia="zh-CN"/>
              </w:rPr>
              <w:t>废水、</w:t>
            </w:r>
            <w:r>
              <w:rPr>
                <w:rFonts w:hint="eastAsia" w:cs="Times New Roman"/>
                <w:color w:val="auto"/>
                <w:sz w:val="24"/>
                <w:szCs w:val="24"/>
                <w:lang w:val="en-US" w:eastAsia="zh-CN"/>
              </w:rPr>
              <w:t>清洗</w:t>
            </w:r>
            <w:r>
              <w:rPr>
                <w:rFonts w:hint="eastAsia" w:ascii="Times New Roman" w:hAnsi="Times New Roman" w:eastAsia="宋体" w:cs="Times New Roman"/>
                <w:color w:val="auto"/>
                <w:sz w:val="24"/>
                <w:szCs w:val="24"/>
                <w:lang w:val="en-US" w:eastAsia="zh-CN"/>
              </w:rPr>
              <w:t>废水经过三级沉淀池沉淀处理达标后排入市政管网，纳入大学城污水处理厂；纯水槽的纯水与非纯净废水直接排入市政管网，纳入大学城污水处理</w:t>
            </w:r>
          </w:p>
        </w:tc>
        <w:tc>
          <w:tcPr>
            <w:tcW w:w="1757" w:type="dxa"/>
            <w:noWrap w:val="0"/>
            <w:vAlign w:val="center"/>
          </w:tcPr>
          <w:p w14:paraId="7E3E6297">
            <w:pPr>
              <w:pStyle w:val="30"/>
              <w:bidi w:val="0"/>
              <w:rPr>
                <w:rFonts w:hint="eastAsia" w:ascii="Times New Roman" w:hAnsi="Times New Roman" w:eastAsia="宋体"/>
                <w:color w:val="auto"/>
                <w:kern w:val="0"/>
                <w:sz w:val="24"/>
                <w:szCs w:val="24"/>
                <w:lang w:val="en-US" w:eastAsia="zh-CN" w:bidi="ar-SA"/>
              </w:rPr>
            </w:pPr>
            <w:r>
              <w:rPr>
                <w:rFonts w:ascii="宋体" w:hAnsi="宋体" w:eastAsia="宋体" w:cs="宋体"/>
                <w:color w:val="auto"/>
                <w:sz w:val="24"/>
                <w:szCs w:val="24"/>
              </w:rPr>
              <w:t>《电子工业水污染物排放标准》</w:t>
            </w:r>
            <w:r>
              <w:rPr>
                <w:rFonts w:hint="eastAsia" w:ascii="Times New Roman" w:hAnsi="Times New Roman" w:eastAsia="宋体" w:cs="宋体"/>
                <w:color w:val="auto"/>
                <w:kern w:val="2"/>
                <w:sz w:val="24"/>
                <w:szCs w:val="24"/>
                <w:lang w:val="en-US" w:eastAsia="zh-CN" w:bidi="ar-SA"/>
              </w:rPr>
              <w:t>（GB 39731-2020）表1规定的水污染物排放限值</w:t>
            </w:r>
            <w:r>
              <w:rPr>
                <w:rFonts w:hint="eastAsia" w:ascii="Times New Roman" w:hAnsi="Times New Roman" w:eastAsia="宋体"/>
                <w:color w:val="auto"/>
                <w:sz w:val="24"/>
                <w:szCs w:val="24"/>
                <w:lang w:val="en-US" w:eastAsia="zh-CN"/>
              </w:rPr>
              <w:t>（（pH值在6-9之间，COD≤500mg/L、SS≤400mg/L</w:t>
            </w:r>
            <w:r>
              <w:rPr>
                <w:rFonts w:hint="eastAsia"/>
                <w:color w:val="auto"/>
                <w:sz w:val="24"/>
                <w:szCs w:val="24"/>
                <w:lang w:val="en-US" w:eastAsia="zh-CN"/>
              </w:rPr>
              <w:t>、</w:t>
            </w:r>
            <w:r>
              <w:rPr>
                <w:rFonts w:hint="eastAsia" w:ascii="Times New Roman" w:hAnsi="Times New Roman" w:eastAsia="宋体"/>
                <w:color w:val="auto"/>
                <w:sz w:val="24"/>
                <w:szCs w:val="24"/>
                <w:lang w:val="en-US" w:eastAsia="zh-CN"/>
              </w:rPr>
              <w:t>NH</w:t>
            </w:r>
            <w:r>
              <w:rPr>
                <w:rFonts w:hint="eastAsia" w:ascii="Times New Roman" w:hAnsi="Times New Roman" w:eastAsia="宋体"/>
                <w:color w:val="auto"/>
                <w:sz w:val="24"/>
                <w:szCs w:val="24"/>
                <w:vertAlign w:val="subscript"/>
                <w:lang w:val="en-US" w:eastAsia="zh-CN"/>
              </w:rPr>
              <w:t>3</w:t>
            </w:r>
            <w:r>
              <w:rPr>
                <w:rFonts w:hint="eastAsia" w:ascii="Times New Roman" w:hAnsi="Times New Roman" w:eastAsia="宋体"/>
                <w:color w:val="auto"/>
                <w:sz w:val="24"/>
                <w:szCs w:val="24"/>
                <w:lang w:val="en-US" w:eastAsia="zh-CN"/>
              </w:rPr>
              <w:t>-N≤45mg/L）</w:t>
            </w:r>
            <w:r>
              <w:rPr>
                <w:rFonts w:hint="eastAsia"/>
                <w:color w:val="auto"/>
                <w:sz w:val="24"/>
                <w:szCs w:val="24"/>
                <w:lang w:val="en-US" w:eastAsia="zh-CN"/>
              </w:rPr>
              <w:t>、</w:t>
            </w:r>
            <w:r>
              <w:rPr>
                <w:color w:val="auto"/>
                <w:spacing w:val="6"/>
                <w:sz w:val="24"/>
                <w:szCs w:val="24"/>
                <w:lang w:eastAsia="zh-CN"/>
              </w:rPr>
              <w:t>阴离子表面活性剂</w:t>
            </w:r>
            <w:r>
              <w:rPr>
                <w:rFonts w:hint="eastAsia"/>
                <w:color w:val="auto"/>
                <w:sz w:val="24"/>
                <w:szCs w:val="24"/>
              </w:rPr>
              <w:t>≤</w:t>
            </w:r>
            <w:r>
              <w:rPr>
                <w:rFonts w:hint="eastAsia"/>
                <w:color w:val="auto"/>
                <w:sz w:val="24"/>
                <w:szCs w:val="24"/>
                <w:lang w:val="en-US" w:eastAsia="zh-CN"/>
              </w:rPr>
              <w:t>20</w:t>
            </w:r>
            <w:r>
              <w:rPr>
                <w:rFonts w:hint="eastAsia"/>
                <w:color w:val="auto"/>
                <w:sz w:val="24"/>
                <w:szCs w:val="24"/>
              </w:rPr>
              <w:t>mg/L</w:t>
            </w:r>
            <w:r>
              <w:rPr>
                <w:rFonts w:hint="eastAsia" w:ascii="Times New Roman" w:hAnsi="Times New Roman" w:eastAsia="宋体"/>
                <w:color w:val="auto"/>
                <w:sz w:val="24"/>
                <w:szCs w:val="24"/>
                <w:lang w:val="en-US" w:eastAsia="zh-CN"/>
              </w:rPr>
              <w:t>）</w:t>
            </w:r>
          </w:p>
        </w:tc>
      </w:tr>
      <w:tr w14:paraId="116F9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2C19C5AA">
            <w:pPr>
              <w:adjustRightInd w:val="0"/>
              <w:snapToGrid w:val="0"/>
              <w:jc w:val="center"/>
              <w:rPr>
                <w:rFonts w:hint="eastAsia" w:ascii="Times New Roman" w:hAnsi="Times New Roman" w:cs="宋体"/>
                <w:color w:val="auto"/>
                <w:sz w:val="24"/>
                <w:szCs w:val="24"/>
              </w:rPr>
            </w:pPr>
          </w:p>
        </w:tc>
        <w:tc>
          <w:tcPr>
            <w:tcW w:w="1755" w:type="dxa"/>
            <w:noWrap w:val="0"/>
            <w:vAlign w:val="center"/>
          </w:tcPr>
          <w:p w14:paraId="5BDF047A">
            <w:pPr>
              <w:pStyle w:val="30"/>
              <w:bidi w:val="0"/>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lang w:val="en-US" w:eastAsia="zh-CN"/>
              </w:rPr>
              <w:t>生活污水排放口（DW002）/生活污水</w:t>
            </w:r>
          </w:p>
        </w:tc>
        <w:tc>
          <w:tcPr>
            <w:tcW w:w="1755" w:type="dxa"/>
            <w:noWrap w:val="0"/>
            <w:vAlign w:val="center"/>
          </w:tcPr>
          <w:p w14:paraId="4CB54625">
            <w:pPr>
              <w:pStyle w:val="30"/>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pH值、COD、SS、BOD</w:t>
            </w:r>
            <w:r>
              <w:rPr>
                <w:rFonts w:hint="eastAsia" w:ascii="Times New Roman" w:hAnsi="Times New Roman" w:eastAsia="宋体"/>
                <w:color w:val="auto"/>
                <w:sz w:val="24"/>
                <w:szCs w:val="24"/>
                <w:vertAlign w:val="subscript"/>
                <w:lang w:val="en-US" w:eastAsia="zh-CN"/>
              </w:rPr>
              <w:t>5</w:t>
            </w:r>
            <w:r>
              <w:rPr>
                <w:rFonts w:hint="eastAsia" w:ascii="Times New Roman" w:hAnsi="Times New Roman" w:eastAsia="宋体"/>
                <w:color w:val="auto"/>
                <w:sz w:val="24"/>
                <w:szCs w:val="24"/>
                <w:lang w:val="en-US" w:eastAsia="zh-CN"/>
              </w:rPr>
              <w:t>、NH</w:t>
            </w:r>
            <w:r>
              <w:rPr>
                <w:rFonts w:hint="eastAsia" w:ascii="Times New Roman" w:hAnsi="Times New Roman" w:eastAsia="宋体"/>
                <w:color w:val="auto"/>
                <w:sz w:val="24"/>
                <w:szCs w:val="24"/>
                <w:vertAlign w:val="subscript"/>
                <w:lang w:val="en-US" w:eastAsia="zh-CN"/>
              </w:rPr>
              <w:t>3</w:t>
            </w:r>
            <w:r>
              <w:rPr>
                <w:rFonts w:hint="eastAsia" w:ascii="Times New Roman" w:hAnsi="Times New Roman" w:eastAsia="宋体"/>
                <w:color w:val="auto"/>
                <w:sz w:val="24"/>
                <w:szCs w:val="24"/>
                <w:lang w:val="en-US" w:eastAsia="zh-CN"/>
              </w:rPr>
              <w:t>-N</w:t>
            </w:r>
          </w:p>
        </w:tc>
        <w:tc>
          <w:tcPr>
            <w:tcW w:w="1755" w:type="dxa"/>
            <w:noWrap w:val="0"/>
            <w:vAlign w:val="center"/>
          </w:tcPr>
          <w:p w14:paraId="3D0ED7CC">
            <w:pPr>
              <w:pStyle w:val="30"/>
              <w:bidi w:val="0"/>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lang w:val="en-US" w:eastAsia="zh-CN"/>
              </w:rPr>
              <w:t>生活污水经化粪池处理达标后，排入市政污水管网，纳入大学城污水处理厂</w:t>
            </w:r>
          </w:p>
        </w:tc>
        <w:tc>
          <w:tcPr>
            <w:tcW w:w="1757" w:type="dxa"/>
            <w:noWrap w:val="0"/>
            <w:vAlign w:val="center"/>
          </w:tcPr>
          <w:p w14:paraId="249CBDB9">
            <w:pPr>
              <w:pStyle w:val="30"/>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污水综合排放标准</w:t>
            </w: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GB8978-1996</w:t>
            </w: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表4三级标准（（pH值在6-9之间，BOD</w:t>
            </w:r>
            <w:r>
              <w:rPr>
                <w:rFonts w:hint="eastAsia" w:ascii="Times New Roman" w:hAnsi="Times New Roman" w:eastAsia="宋体"/>
                <w:color w:val="auto"/>
                <w:sz w:val="24"/>
                <w:szCs w:val="24"/>
                <w:vertAlign w:val="subscript"/>
                <w:lang w:val="en-US" w:eastAsia="zh-CN"/>
              </w:rPr>
              <w:t>5</w:t>
            </w:r>
            <w:r>
              <w:rPr>
                <w:rFonts w:hint="eastAsia" w:ascii="Times New Roman" w:hAnsi="Times New Roman" w:eastAsia="宋体"/>
                <w:color w:val="auto"/>
                <w:sz w:val="24"/>
                <w:szCs w:val="24"/>
                <w:lang w:val="en-US" w:eastAsia="zh-CN"/>
              </w:rPr>
              <w:t>≤300mg/L，COD≤500mg/L、SS≤400mg/L），氨氮</w:t>
            </w:r>
            <w:r>
              <w:rPr>
                <w:rFonts w:hint="eastAsia"/>
                <w:color w:val="auto"/>
                <w:sz w:val="24"/>
                <w:szCs w:val="24"/>
                <w:lang w:val="en-US" w:eastAsia="zh-CN"/>
              </w:rPr>
              <w:t>参照</w:t>
            </w:r>
            <w:r>
              <w:rPr>
                <w:rFonts w:hint="eastAsia" w:ascii="Times New Roman" w:hAnsi="Times New Roman" w:eastAsia="宋体"/>
                <w:color w:val="auto"/>
                <w:sz w:val="24"/>
                <w:szCs w:val="24"/>
                <w:lang w:val="en-US" w:eastAsia="zh-CN"/>
              </w:rPr>
              <w:t>执行《污水排入城镇下水道水质标准》（GB/T31962-2015）一级B标准（NH</w:t>
            </w:r>
            <w:r>
              <w:rPr>
                <w:rFonts w:hint="eastAsia" w:ascii="Times New Roman" w:hAnsi="Times New Roman" w:eastAsia="宋体"/>
                <w:color w:val="auto"/>
                <w:sz w:val="24"/>
                <w:szCs w:val="24"/>
                <w:vertAlign w:val="subscript"/>
                <w:lang w:val="en-US" w:eastAsia="zh-CN"/>
              </w:rPr>
              <w:t>3</w:t>
            </w:r>
            <w:r>
              <w:rPr>
                <w:rFonts w:hint="eastAsia" w:ascii="Times New Roman" w:hAnsi="Times New Roman" w:eastAsia="宋体"/>
                <w:color w:val="auto"/>
                <w:sz w:val="24"/>
                <w:szCs w:val="24"/>
                <w:lang w:val="en-US" w:eastAsia="zh-CN"/>
              </w:rPr>
              <w:t>-N≤45mg/L））</w:t>
            </w:r>
          </w:p>
        </w:tc>
      </w:tr>
      <w:tr w14:paraId="0CDDD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F98F5A1">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声环境</w:t>
            </w:r>
          </w:p>
        </w:tc>
        <w:tc>
          <w:tcPr>
            <w:tcW w:w="1755" w:type="dxa"/>
            <w:noWrap w:val="0"/>
            <w:vAlign w:val="center"/>
          </w:tcPr>
          <w:p w14:paraId="3BF4585A">
            <w:pPr>
              <w:pStyle w:val="30"/>
              <w:bidi w:val="0"/>
              <w:jc w:val="center"/>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rPr>
              <w:t>厂界噪声/生产设备</w:t>
            </w:r>
          </w:p>
        </w:tc>
        <w:tc>
          <w:tcPr>
            <w:tcW w:w="1755" w:type="dxa"/>
            <w:noWrap w:val="0"/>
            <w:vAlign w:val="center"/>
          </w:tcPr>
          <w:p w14:paraId="28F54DEA">
            <w:pPr>
              <w:pStyle w:val="30"/>
              <w:bidi w:val="0"/>
              <w:jc w:val="center"/>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lang w:val="en-US" w:eastAsia="zh-CN"/>
              </w:rPr>
              <w:t>连续</w:t>
            </w:r>
            <w:r>
              <w:rPr>
                <w:rFonts w:hint="eastAsia" w:ascii="Times New Roman" w:hAnsi="Times New Roman"/>
                <w:color w:val="auto"/>
                <w:sz w:val="24"/>
                <w:szCs w:val="24"/>
              </w:rPr>
              <w:t>等效A声级Leq</w:t>
            </w:r>
          </w:p>
        </w:tc>
        <w:tc>
          <w:tcPr>
            <w:tcW w:w="1755" w:type="dxa"/>
            <w:noWrap w:val="0"/>
            <w:vAlign w:val="center"/>
          </w:tcPr>
          <w:p w14:paraId="7BF70FF1">
            <w:pPr>
              <w:pStyle w:val="30"/>
              <w:bidi w:val="0"/>
              <w:jc w:val="center"/>
              <w:rPr>
                <w:rFonts w:hint="eastAsia" w:ascii="Times New Roman" w:hAnsi="Times New Roman" w:eastAsia="宋体"/>
                <w:color w:val="auto"/>
                <w:kern w:val="0"/>
                <w:sz w:val="24"/>
                <w:szCs w:val="24"/>
                <w:lang w:val="en-US" w:eastAsia="zh-CN" w:bidi="ar-SA"/>
              </w:rPr>
            </w:pPr>
            <w:r>
              <w:rPr>
                <w:rFonts w:hint="eastAsia" w:ascii="Times New Roman" w:hAnsi="Times New Roman"/>
                <w:color w:val="auto"/>
                <w:sz w:val="24"/>
                <w:szCs w:val="24"/>
              </w:rPr>
              <w:t>优先选用先进、低噪声设备；对高噪声设备采取减振基础、安装减振垫圈等减震措施；对各类机械设备定期检修、维护，防止设备异常噪声产生；优化平面布局，合理布置高噪声设备于远离声环境敏感点位置</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夜间不生产</w:t>
            </w:r>
          </w:p>
        </w:tc>
        <w:tc>
          <w:tcPr>
            <w:tcW w:w="1757" w:type="dxa"/>
            <w:noWrap w:val="0"/>
            <w:vAlign w:val="center"/>
          </w:tcPr>
          <w:p w14:paraId="1B01D7FB">
            <w:pPr>
              <w:pStyle w:val="30"/>
              <w:bidi w:val="0"/>
              <w:jc w:val="center"/>
              <w:rPr>
                <w:rFonts w:hint="default" w:ascii="Times New Roman" w:hAnsi="Times New Roman" w:eastAsia="宋体"/>
                <w:color w:val="auto"/>
                <w:kern w:val="0"/>
                <w:sz w:val="24"/>
                <w:szCs w:val="24"/>
                <w:lang w:val="en-US" w:eastAsia="zh-CN" w:bidi="ar-SA"/>
              </w:rPr>
            </w:pPr>
            <w:r>
              <w:rPr>
                <w:rFonts w:hint="eastAsia" w:ascii="Times New Roman" w:hAnsi="Times New Roman"/>
                <w:color w:val="auto"/>
                <w:sz w:val="24"/>
                <w:szCs w:val="24"/>
              </w:rPr>
              <w:t>厂界</w:t>
            </w:r>
            <w:r>
              <w:rPr>
                <w:rFonts w:hint="eastAsia" w:ascii="Times New Roman" w:hAnsi="Times New Roman"/>
                <w:color w:val="auto"/>
                <w:sz w:val="24"/>
                <w:szCs w:val="24"/>
                <w:lang w:val="en-US" w:eastAsia="zh-CN"/>
              </w:rPr>
              <w:t>四周</w:t>
            </w:r>
            <w:r>
              <w:rPr>
                <w:rFonts w:hint="eastAsia" w:ascii="Times New Roman" w:hAnsi="Times New Roman"/>
                <w:color w:val="auto"/>
                <w:sz w:val="24"/>
                <w:szCs w:val="24"/>
              </w:rPr>
              <w:t>噪声执行《工业企业厂界环境噪声排放标准》（GB12348-2008）中</w:t>
            </w:r>
            <w:r>
              <w:rPr>
                <w:rFonts w:hint="eastAsia" w:ascii="Times New Roman" w:hAnsi="Times New Roman"/>
                <w:color w:val="auto"/>
                <w:sz w:val="24"/>
                <w:szCs w:val="24"/>
                <w:lang w:val="en-US" w:eastAsia="zh-CN"/>
              </w:rPr>
              <w:t>3</w:t>
            </w:r>
            <w:r>
              <w:rPr>
                <w:rFonts w:hint="eastAsia" w:ascii="Times New Roman" w:hAnsi="Times New Roman"/>
                <w:color w:val="auto"/>
                <w:sz w:val="24"/>
                <w:szCs w:val="24"/>
              </w:rPr>
              <w:t>类标准</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昼间噪声Leq≤65dB</w:t>
            </w:r>
            <w:r>
              <w:rPr>
                <w:rFonts w:hint="eastAsia" w:ascii="Times New Roman" w:hAnsi="Times New Roman"/>
                <w:color w:val="auto"/>
                <w:sz w:val="24"/>
                <w:szCs w:val="24"/>
                <w:lang w:eastAsia="zh-CN"/>
              </w:rPr>
              <w:t>）</w:t>
            </w:r>
            <w:r>
              <w:rPr>
                <w:rFonts w:hint="default" w:ascii="Times New Roman" w:hAnsi="Times New Roman" w:eastAsia="宋体" w:cs="Times New Roman"/>
                <w:color w:val="auto"/>
                <w:kern w:val="2"/>
                <w:sz w:val="24"/>
                <w:szCs w:val="24"/>
                <w:highlight w:val="none"/>
                <w:lang w:val="en-GB" w:eastAsia="zh-CN" w:bidi="ar-SA"/>
              </w:rPr>
              <w:t>)</w:t>
            </w:r>
          </w:p>
        </w:tc>
      </w:tr>
      <w:tr w14:paraId="746E3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0F7DA9C5">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电磁辐射</w:t>
            </w:r>
          </w:p>
        </w:tc>
        <w:tc>
          <w:tcPr>
            <w:tcW w:w="1755" w:type="dxa"/>
            <w:noWrap w:val="0"/>
            <w:vAlign w:val="center"/>
          </w:tcPr>
          <w:p w14:paraId="57F94791">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cs="宋体"/>
                <w:color w:val="auto"/>
                <w:sz w:val="24"/>
                <w:szCs w:val="24"/>
                <w:lang w:val="en-US" w:eastAsia="zh-CN"/>
              </w:rPr>
              <w:t>/</w:t>
            </w:r>
          </w:p>
        </w:tc>
        <w:tc>
          <w:tcPr>
            <w:tcW w:w="1755" w:type="dxa"/>
            <w:noWrap w:val="0"/>
            <w:vAlign w:val="center"/>
          </w:tcPr>
          <w:p w14:paraId="427AAFBE">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cs="宋体"/>
                <w:color w:val="auto"/>
                <w:sz w:val="24"/>
                <w:szCs w:val="24"/>
                <w:lang w:val="en-US" w:eastAsia="zh-CN"/>
              </w:rPr>
              <w:t>/</w:t>
            </w:r>
          </w:p>
        </w:tc>
        <w:tc>
          <w:tcPr>
            <w:tcW w:w="1755" w:type="dxa"/>
            <w:noWrap w:val="0"/>
            <w:vAlign w:val="center"/>
          </w:tcPr>
          <w:p w14:paraId="0D89C5F0">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cs="宋体"/>
                <w:color w:val="auto"/>
                <w:sz w:val="24"/>
                <w:szCs w:val="24"/>
                <w:lang w:val="en-US" w:eastAsia="zh-CN"/>
              </w:rPr>
              <w:t>/</w:t>
            </w:r>
          </w:p>
        </w:tc>
        <w:tc>
          <w:tcPr>
            <w:tcW w:w="1757" w:type="dxa"/>
            <w:noWrap w:val="0"/>
            <w:vAlign w:val="center"/>
          </w:tcPr>
          <w:p w14:paraId="20316BC6">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cs="宋体"/>
                <w:color w:val="auto"/>
                <w:sz w:val="24"/>
                <w:szCs w:val="24"/>
                <w:lang w:val="en-US" w:eastAsia="zh-CN"/>
              </w:rPr>
              <w:t>/</w:t>
            </w:r>
          </w:p>
        </w:tc>
      </w:tr>
      <w:tr w14:paraId="2C8AE0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289609CE">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固体废物</w:t>
            </w:r>
          </w:p>
        </w:tc>
        <w:tc>
          <w:tcPr>
            <w:tcW w:w="7022" w:type="dxa"/>
            <w:gridSpan w:val="4"/>
            <w:noWrap w:val="0"/>
            <w:vAlign w:val="center"/>
          </w:tcPr>
          <w:p w14:paraId="33CB6487">
            <w:pPr>
              <w:adjustRightInd w:val="0"/>
              <w:snapToGrid w:val="0"/>
              <w:jc w:val="left"/>
              <w:rPr>
                <w:rFonts w:hint="default" w:ascii="Times New Roman" w:hAnsi="Times New Roman" w:cs="宋体"/>
                <w:color w:val="auto"/>
                <w:sz w:val="24"/>
                <w:szCs w:val="24"/>
                <w:lang w:val="en-US"/>
              </w:rPr>
            </w:pPr>
            <w:r>
              <w:rPr>
                <w:rFonts w:hint="eastAsia" w:ascii="Times New Roman" w:hAnsi="Times New Roman" w:cs="宋体"/>
                <w:color w:val="auto"/>
                <w:sz w:val="24"/>
                <w:szCs w:val="24"/>
                <w:lang w:val="en-US" w:eastAsia="zh-CN"/>
              </w:rPr>
              <w:t>一般工业固体废物：</w:t>
            </w:r>
            <w:r>
              <w:rPr>
                <w:rFonts w:hint="default" w:ascii="Times New Roman" w:hAnsi="Times New Roman" w:cs="宋体"/>
                <w:color w:val="auto"/>
                <w:sz w:val="24"/>
                <w:szCs w:val="24"/>
                <w:lang w:val="en-US" w:eastAsia="zh-CN"/>
              </w:rPr>
              <w:t>抛光后产生的残渣、抛光污泥、</w:t>
            </w:r>
            <w:r>
              <w:rPr>
                <w:rFonts w:hint="eastAsia" w:ascii="Times New Roman" w:hAnsi="Times New Roman" w:cs="宋体"/>
                <w:color w:val="auto"/>
                <w:sz w:val="24"/>
                <w:szCs w:val="24"/>
                <w:lang w:val="en-US" w:eastAsia="zh-CN"/>
              </w:rPr>
              <w:t>擦拭检测产生的</w:t>
            </w:r>
            <w:r>
              <w:rPr>
                <w:rFonts w:hint="default" w:ascii="Times New Roman" w:hAnsi="Times New Roman" w:cs="宋体"/>
                <w:color w:val="auto"/>
                <w:sz w:val="24"/>
                <w:szCs w:val="24"/>
                <w:lang w:val="en-US" w:eastAsia="zh-CN"/>
              </w:rPr>
              <w:t>废边角料、不合格产品</w:t>
            </w:r>
            <w:r>
              <w:rPr>
                <w:rFonts w:hint="eastAsia" w:ascii="Times New Roman" w:hAnsi="Times New Roman" w:cs="宋体"/>
                <w:color w:val="auto"/>
                <w:sz w:val="24"/>
                <w:szCs w:val="24"/>
                <w:lang w:val="en-US" w:eastAsia="zh-CN"/>
              </w:rPr>
              <w:t>、废水处理产生的沉淀</w:t>
            </w:r>
            <w:r>
              <w:rPr>
                <w:rFonts w:hint="default" w:ascii="Times New Roman" w:hAnsi="Times New Roman" w:cs="宋体"/>
                <w:color w:val="auto"/>
                <w:sz w:val="24"/>
                <w:szCs w:val="24"/>
                <w:lang w:val="en-US" w:eastAsia="zh-CN"/>
              </w:rPr>
              <w:t>污泥</w:t>
            </w:r>
            <w:r>
              <w:rPr>
                <w:rFonts w:hint="eastAsia" w:ascii="Times New Roman" w:hAnsi="Times New Roman" w:cs="宋体"/>
                <w:color w:val="auto"/>
                <w:sz w:val="24"/>
                <w:szCs w:val="24"/>
                <w:lang w:val="en-US" w:eastAsia="zh-CN"/>
              </w:rPr>
              <w:t>妥善收集后外售给其他企业综合利用，一般固废贮存执行《一般工业固体废物贮存和填埋场污染控制标准》（GB18599-2020）相关要求；危险废物暂存于危险废物暂存间，定期委托有资质的单位进行处置，危险废物执行《危险废物贮存污染控制标准》（GB18597-2023）、《危险废物收集贮存运输技术规范》（HJ2025-2012）；生活垃圾委托当地环卫部门统一清运，生活垃圾处置执行《中华人民共和国固体废物污染环境防治法》（2020年4月29日修订版）的相关规定</w:t>
            </w:r>
          </w:p>
        </w:tc>
      </w:tr>
      <w:tr w14:paraId="3FBC0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02864BDF">
            <w:pPr>
              <w:adjustRightInd w:val="0"/>
              <w:snapToGrid w:val="0"/>
              <w:jc w:val="both"/>
              <w:rPr>
                <w:rFonts w:hint="eastAsia" w:ascii="Times New Roman" w:hAnsi="Times New Roman" w:cs="宋体"/>
                <w:color w:val="auto"/>
                <w:sz w:val="24"/>
                <w:szCs w:val="24"/>
              </w:rPr>
            </w:pPr>
            <w:r>
              <w:rPr>
                <w:rFonts w:hint="eastAsia" w:ascii="Times New Roman" w:hAnsi="Times New Roman" w:cs="宋体"/>
                <w:color w:val="auto"/>
                <w:sz w:val="24"/>
                <w:szCs w:val="24"/>
              </w:rPr>
              <w:t>土壤及地下水污染防治措施</w:t>
            </w:r>
          </w:p>
        </w:tc>
        <w:tc>
          <w:tcPr>
            <w:tcW w:w="7022" w:type="dxa"/>
            <w:gridSpan w:val="4"/>
            <w:noWrap w:val="0"/>
            <w:vAlign w:val="center"/>
          </w:tcPr>
          <w:p w14:paraId="13948826">
            <w:pPr>
              <w:adjustRightInd w:val="0"/>
              <w:snapToGrid w:val="0"/>
              <w:jc w:val="left"/>
              <w:rPr>
                <w:rFonts w:hint="eastAsia" w:ascii="Times New Roman" w:hAnsi="Times New Roman" w:cs="宋体"/>
                <w:color w:val="auto"/>
                <w:sz w:val="24"/>
                <w:szCs w:val="24"/>
              </w:rPr>
            </w:pPr>
            <w:r>
              <w:rPr>
                <w:rFonts w:hint="eastAsia" w:ascii="Times New Roman" w:hAnsi="Times New Roman" w:cs="宋体"/>
                <w:color w:val="auto"/>
                <w:sz w:val="24"/>
                <w:szCs w:val="24"/>
              </w:rPr>
              <w:t>合理进行防渗区域划分，危险暂存间四周设置导流沟，地面采取防渗，按重点污染区防渗要求进行建设；一般工业固废间、项目生产车间等按一般污染区防渗要求进行建设，且具有防雨、防渗、防风、防日晒等功能</w:t>
            </w:r>
          </w:p>
        </w:tc>
      </w:tr>
      <w:tr w14:paraId="61126B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7F86E79F">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生态保护措施</w:t>
            </w:r>
          </w:p>
        </w:tc>
        <w:tc>
          <w:tcPr>
            <w:tcW w:w="7022" w:type="dxa"/>
            <w:gridSpan w:val="4"/>
            <w:noWrap w:val="0"/>
            <w:vAlign w:val="center"/>
          </w:tcPr>
          <w:p w14:paraId="553671DB">
            <w:pPr>
              <w:adjustRightInd w:val="0"/>
              <w:snapToGrid w:val="0"/>
              <w:jc w:val="left"/>
              <w:rPr>
                <w:rFonts w:hint="default"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本项目不涉及</w:t>
            </w:r>
          </w:p>
        </w:tc>
      </w:tr>
      <w:tr w14:paraId="1B3F7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6E501E36">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环境风险</w:t>
            </w:r>
          </w:p>
          <w:p w14:paraId="6273DFF9">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防范措施</w:t>
            </w:r>
          </w:p>
        </w:tc>
        <w:tc>
          <w:tcPr>
            <w:tcW w:w="7022" w:type="dxa"/>
            <w:gridSpan w:val="4"/>
            <w:noWrap w:val="0"/>
            <w:vAlign w:val="center"/>
          </w:tcPr>
          <w:p w14:paraId="1EC20F57">
            <w:pPr>
              <w:adjustRightInd w:val="0"/>
              <w:snapToGrid w:val="0"/>
              <w:jc w:val="left"/>
              <w:rPr>
                <w:rFonts w:hint="eastAsia" w:ascii="Times New Roman" w:hAnsi="Times New Roman" w:cs="宋体"/>
                <w:color w:val="auto"/>
                <w:sz w:val="24"/>
                <w:szCs w:val="24"/>
              </w:rPr>
            </w:pPr>
            <w:r>
              <w:rPr>
                <w:rFonts w:hint="eastAsia" w:ascii="Times New Roman" w:hAnsi="Times New Roman" w:cs="宋体"/>
                <w:color w:val="auto"/>
                <w:sz w:val="24"/>
                <w:szCs w:val="24"/>
              </w:rPr>
              <w:t>危险暂存间四周设置导流沟，地面采取防渗、设置围堰等风险防范措施；厂区内严禁烟火，严格动火审批制度；配备相应的堵漏材料</w:t>
            </w:r>
            <w:r>
              <w:rPr>
                <w:rFonts w:hint="eastAsia" w:ascii="Times New Roman" w:hAnsi="Times New Roman" w:cs="宋体"/>
                <w:color w:val="auto"/>
                <w:sz w:val="24"/>
                <w:szCs w:val="24"/>
                <w:lang w:eastAsia="zh-CN"/>
              </w:rPr>
              <w:t>（沙袋</w:t>
            </w:r>
            <w:r>
              <w:rPr>
                <w:rFonts w:hint="eastAsia" w:ascii="Times New Roman" w:hAnsi="Times New Roman" w:cs="宋体"/>
                <w:color w:val="auto"/>
                <w:sz w:val="24"/>
                <w:szCs w:val="24"/>
              </w:rPr>
              <w:t>、吸油毡等</w:t>
            </w:r>
            <w:r>
              <w:rPr>
                <w:rFonts w:hint="eastAsia" w:ascii="Times New Roman" w:hAnsi="Times New Roman" w:cs="宋体"/>
                <w:color w:val="auto"/>
                <w:sz w:val="24"/>
                <w:szCs w:val="24"/>
                <w:lang w:eastAsia="zh-CN"/>
              </w:rPr>
              <w:t>）</w:t>
            </w:r>
          </w:p>
        </w:tc>
      </w:tr>
      <w:tr w14:paraId="33AA7E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56F7629A">
            <w:pPr>
              <w:adjustRightInd w:val="0"/>
              <w:snapToGrid w:val="0"/>
              <w:jc w:val="center"/>
              <w:rPr>
                <w:rFonts w:hint="eastAsia" w:ascii="Times New Roman" w:hAnsi="Times New Roman" w:cs="宋体"/>
                <w:color w:val="auto"/>
                <w:sz w:val="24"/>
                <w:szCs w:val="24"/>
              </w:rPr>
            </w:pPr>
            <w:r>
              <w:rPr>
                <w:rFonts w:hint="eastAsia" w:ascii="Times New Roman" w:hAnsi="Times New Roman" w:cs="宋体"/>
                <w:color w:val="auto"/>
                <w:sz w:val="24"/>
                <w:szCs w:val="24"/>
              </w:rPr>
              <w:t>其他环境</w:t>
            </w:r>
          </w:p>
          <w:p w14:paraId="5FF70414">
            <w:pPr>
              <w:adjustRightInd w:val="0"/>
              <w:snapToGrid w:val="0"/>
              <w:jc w:val="center"/>
              <w:rPr>
                <w:rFonts w:hint="eastAsia" w:ascii="Times New Roman" w:hAnsi="Times New Roman" w:cs="宋体"/>
                <w:color w:val="auto"/>
                <w:spacing w:val="-8"/>
                <w:sz w:val="24"/>
                <w:szCs w:val="24"/>
              </w:rPr>
            </w:pPr>
            <w:r>
              <w:rPr>
                <w:rFonts w:hint="eastAsia" w:ascii="Times New Roman" w:hAnsi="Times New Roman" w:cs="宋体"/>
                <w:color w:val="auto"/>
                <w:sz w:val="24"/>
                <w:szCs w:val="24"/>
              </w:rPr>
              <w:t>管理要求</w:t>
            </w:r>
          </w:p>
        </w:tc>
        <w:tc>
          <w:tcPr>
            <w:tcW w:w="7022" w:type="dxa"/>
            <w:gridSpan w:val="4"/>
            <w:noWrap w:val="0"/>
            <w:vAlign w:val="center"/>
          </w:tcPr>
          <w:p w14:paraId="0AB66765">
            <w:pPr>
              <w:pStyle w:val="3"/>
              <w:keepNext/>
              <w:keepLines/>
              <w:pageBreakBefore w:val="0"/>
              <w:widowControl w:val="0"/>
              <w:kinsoku/>
              <w:wordWrap/>
              <w:overflowPunct w:val="0"/>
              <w:topLinePunct w:val="0"/>
              <w:autoSpaceDE/>
              <w:autoSpaceDN/>
              <w:bidi w:val="0"/>
              <w:adjustRightInd/>
              <w:snapToGrid w:val="0"/>
              <w:spacing w:before="0" w:after="0"/>
              <w:ind w:left="431" w:firstLine="482" w:firstLineChars="200"/>
              <w:textAlignment w:val="auto"/>
              <w:rPr>
                <w:rFonts w:hint="eastAsia" w:ascii="Times New Roman" w:hAnsi="Times New Roman" w:eastAsia="宋体" w:cs="Times New Roman"/>
                <w:b/>
                <w:color w:val="auto"/>
                <w:kern w:val="2"/>
                <w:sz w:val="24"/>
                <w:szCs w:val="24"/>
                <w:lang w:val="en-US" w:eastAsia="zh-CN" w:bidi="ar-SA"/>
              </w:rPr>
            </w:pPr>
            <w:bookmarkStart w:id="129" w:name="_Toc22751"/>
            <w:bookmarkStart w:id="130" w:name="_Toc20570"/>
            <w:r>
              <w:rPr>
                <w:rFonts w:hint="eastAsia" w:ascii="Times New Roman" w:hAnsi="Times New Roman" w:eastAsia="宋体" w:cs="Times New Roman"/>
                <w:b/>
                <w:color w:val="auto"/>
                <w:kern w:val="2"/>
                <w:sz w:val="24"/>
                <w:szCs w:val="24"/>
                <w:lang w:val="en-US" w:eastAsia="zh-CN" w:bidi="ar-SA"/>
              </w:rPr>
              <w:t>5.1环境管理</w:t>
            </w:r>
            <w:bookmarkEnd w:id="129"/>
            <w:bookmarkEnd w:id="130"/>
          </w:p>
          <w:p w14:paraId="10323122">
            <w:pPr>
              <w:adjustRightInd w:val="0"/>
              <w:snapToGrid w:val="0"/>
              <w:ind w:firstLine="480" w:firstLineChars="200"/>
              <w:jc w:val="center"/>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根据《建设项目环境保护设计规定》的要求，拟建项目应在“三同时”的原则下配套建设相应的污染治理设施，一方面为有效保护区域环境提供良好的技术基础，另一方面科学地管理、监督这些环保设施的运行又是保证治理效果的必要手段。因此项目实施后，设置专职环保人员负责环境管理、环境监测和事故应急处理。 </w:t>
            </w:r>
          </w:p>
          <w:p w14:paraId="7C0A8C92">
            <w:pPr>
              <w:pStyle w:val="4"/>
              <w:bidi w:val="0"/>
              <w:ind w:firstLine="482" w:firstLineChars="200"/>
              <w:rPr>
                <w:rFonts w:hint="eastAsia" w:ascii="Times New Roman" w:hAnsi="Times New Roman"/>
                <w:color w:val="auto"/>
                <w:sz w:val="24"/>
                <w:szCs w:val="24"/>
                <w:lang w:val="en-US" w:eastAsia="zh-CN"/>
              </w:rPr>
            </w:pPr>
            <w:bookmarkStart w:id="131" w:name="_Toc1742"/>
            <w:r>
              <w:rPr>
                <w:rFonts w:hint="eastAsia" w:ascii="Times New Roman" w:hAnsi="Times New Roman"/>
                <w:color w:val="auto"/>
                <w:sz w:val="24"/>
                <w:szCs w:val="24"/>
                <w:lang w:val="en-US" w:eastAsia="zh-CN"/>
              </w:rPr>
              <w:t>5.1.1环境管理制度</w:t>
            </w:r>
            <w:bookmarkEnd w:id="131"/>
            <w:r>
              <w:rPr>
                <w:rFonts w:hint="eastAsia" w:ascii="Times New Roman" w:hAnsi="Times New Roman"/>
                <w:color w:val="auto"/>
                <w:sz w:val="24"/>
                <w:szCs w:val="24"/>
                <w:lang w:val="en-US" w:eastAsia="zh-CN"/>
              </w:rPr>
              <w:t xml:space="preserve"> </w:t>
            </w:r>
          </w:p>
          <w:p w14:paraId="172FC646">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（1）严格执行“三同时”制度，在项目筹备、实施、建设阶段，应严格执行“三同时”，确保污水处理设施和生产工艺“同时设计、同时施工、同时投产使用”。 </w:t>
            </w:r>
          </w:p>
          <w:p w14:paraId="769E0B47">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（2）建立排污定期报告制度 </w:t>
            </w:r>
          </w:p>
          <w:p w14:paraId="5C2AD072">
            <w:pPr>
              <w:adjustRightInd w:val="0"/>
              <w:snapToGrid w:val="0"/>
              <w:ind w:firstLine="480" w:firstLineChars="200"/>
              <w:jc w:val="left"/>
              <w:rPr>
                <w:rFonts w:hint="default"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按有关文件严格执行排污报告制度。每年向当地环保部门报告污染治理设施运行情况、污染物排放情况以及污染事故、污染纠纷等情况。监测数据经统计和汇总后每年上报当地环保主管部门存档。事故报告要及时上报备案。在企业产品结构和排污量发生重大变化、污染治理设施发生改变时，必须向当地环保主管部门申报。根据《固定污染源排污许可分类管理名录（2019年版）》（生态环境部第11号）可知，本项目应当进行登记管理，登记管理无自行监测要求。根据《关于印发〈固定污染源排污登记工作指南（试行）〉的通知》（环办环评函〔2020〕9号），登记管理内容不做台账管理、自行监测、执行报告的要求，因此企业无需自行监测。</w:t>
            </w:r>
          </w:p>
          <w:p w14:paraId="65F642EB">
            <w:pPr>
              <w:widowControl w:val="0"/>
              <w:bidi w:val="0"/>
              <w:adjustRightInd w:val="0"/>
              <w:snapToGrid w:val="0"/>
              <w:spacing w:before="10" w:beforeLines="10" w:after="10" w:afterLines="10"/>
              <w:ind w:firstLine="482" w:firstLineChars="200"/>
              <w:jc w:val="center"/>
              <w:rPr>
                <w:rFonts w:hint="default" w:ascii="Times New Roman" w:hAnsi="Times New Roman" w:eastAsia="宋体" w:cs="Times New Roman"/>
                <w:b/>
                <w:color w:val="auto"/>
                <w:kern w:val="0"/>
                <w:sz w:val="24"/>
                <w:szCs w:val="24"/>
                <w:lang w:val="en-US" w:eastAsia="zh-CN" w:bidi="ar-SA"/>
              </w:rPr>
            </w:pPr>
            <w:r>
              <w:rPr>
                <w:rFonts w:hint="eastAsia" w:ascii="Times New Roman" w:hAnsi="Times New Roman" w:eastAsia="宋体" w:cs="Times New Roman"/>
                <w:b/>
                <w:color w:val="auto"/>
                <w:kern w:val="0"/>
                <w:sz w:val="24"/>
                <w:szCs w:val="24"/>
                <w:lang w:val="en-US" w:eastAsia="zh-CN" w:bidi="ar-SA"/>
              </w:rPr>
              <w:t>表5.1-1固定污染源排污许可分类管理名录（摘录）</w:t>
            </w:r>
          </w:p>
          <w:tbl>
            <w:tblPr>
              <w:tblStyle w:val="19"/>
              <w:tblW w:w="687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91"/>
              <w:gridCol w:w="2362"/>
              <w:gridCol w:w="753"/>
              <w:gridCol w:w="2481"/>
              <w:gridCol w:w="790"/>
            </w:tblGrid>
            <w:tr w14:paraId="17A129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491" w:type="dxa"/>
                  <w:tcBorders>
                    <w:tl2br w:val="nil"/>
                    <w:tr2bl w:val="nil"/>
                  </w:tcBorders>
                  <w:shd w:val="clear" w:color="auto" w:fill="auto"/>
                  <w:noWrap w:val="0"/>
                  <w:vAlign w:val="center"/>
                </w:tcPr>
                <w:p w14:paraId="779E7FF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2"/>
                      <w:szCs w:val="22"/>
                      <w:lang w:val="en-US" w:eastAsia="zh-CN" w:bidi="ar-SA"/>
                    </w:rPr>
                  </w:pPr>
                  <w:r>
                    <w:rPr>
                      <w:rFonts w:hint="eastAsia" w:ascii="Times New Roman" w:hAnsi="Times New Roman" w:eastAsia="宋体" w:cs="Times New Roman"/>
                      <w:color w:val="auto"/>
                      <w:kern w:val="0"/>
                      <w:sz w:val="22"/>
                      <w:szCs w:val="22"/>
                      <w:lang w:val="en-US" w:eastAsia="zh-CN" w:bidi="ar-SA"/>
                    </w:rPr>
                    <w:t>序号</w:t>
                  </w:r>
                </w:p>
              </w:tc>
              <w:tc>
                <w:tcPr>
                  <w:tcW w:w="2362" w:type="dxa"/>
                  <w:tcBorders>
                    <w:tl2br w:val="nil"/>
                    <w:tr2bl w:val="nil"/>
                  </w:tcBorders>
                  <w:shd w:val="clear" w:color="auto" w:fill="auto"/>
                  <w:noWrap w:val="0"/>
                  <w:vAlign w:val="center"/>
                </w:tcPr>
                <w:p w14:paraId="081075A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2"/>
                      <w:szCs w:val="22"/>
                      <w:lang w:val="en-US" w:eastAsia="zh-CN" w:bidi="ar-SA"/>
                    </w:rPr>
                  </w:pPr>
                  <w:r>
                    <w:rPr>
                      <w:rFonts w:hint="eastAsia" w:ascii="Times New Roman" w:hAnsi="Times New Roman" w:eastAsia="宋体" w:cs="Times New Roman"/>
                      <w:color w:val="auto"/>
                      <w:kern w:val="0"/>
                      <w:sz w:val="22"/>
                      <w:szCs w:val="22"/>
                      <w:lang w:val="en-US" w:eastAsia="zh-CN" w:bidi="ar-SA"/>
                    </w:rPr>
                    <w:t>行业类别</w:t>
                  </w:r>
                </w:p>
              </w:tc>
              <w:tc>
                <w:tcPr>
                  <w:tcW w:w="753" w:type="dxa"/>
                  <w:tcBorders>
                    <w:tl2br w:val="nil"/>
                    <w:tr2bl w:val="nil"/>
                  </w:tcBorders>
                  <w:shd w:val="clear" w:color="auto" w:fill="auto"/>
                  <w:noWrap w:val="0"/>
                  <w:vAlign w:val="center"/>
                </w:tcPr>
                <w:p w14:paraId="696009C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2"/>
                      <w:szCs w:val="22"/>
                      <w:lang w:val="en-US" w:eastAsia="zh-CN" w:bidi="ar-SA"/>
                    </w:rPr>
                  </w:pPr>
                  <w:r>
                    <w:rPr>
                      <w:rFonts w:hint="eastAsia" w:ascii="Times New Roman" w:hAnsi="Times New Roman" w:eastAsia="宋体" w:cs="Times New Roman"/>
                      <w:color w:val="auto"/>
                      <w:kern w:val="0"/>
                      <w:sz w:val="22"/>
                      <w:szCs w:val="22"/>
                      <w:lang w:val="en-US" w:eastAsia="zh-CN" w:bidi="ar-SA"/>
                    </w:rPr>
                    <w:t>重点管理</w:t>
                  </w:r>
                </w:p>
              </w:tc>
              <w:tc>
                <w:tcPr>
                  <w:tcW w:w="2481" w:type="dxa"/>
                  <w:tcBorders>
                    <w:tl2br w:val="nil"/>
                    <w:tr2bl w:val="nil"/>
                  </w:tcBorders>
                  <w:shd w:val="clear" w:color="auto" w:fill="auto"/>
                  <w:noWrap w:val="0"/>
                  <w:vAlign w:val="center"/>
                </w:tcPr>
                <w:p w14:paraId="661A130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2"/>
                      <w:szCs w:val="22"/>
                      <w:lang w:val="en-US" w:eastAsia="zh-CN" w:bidi="ar-SA"/>
                    </w:rPr>
                  </w:pPr>
                  <w:r>
                    <w:rPr>
                      <w:rFonts w:hint="eastAsia" w:ascii="Times New Roman" w:hAnsi="Times New Roman" w:eastAsia="宋体" w:cs="Times New Roman"/>
                      <w:color w:val="auto"/>
                      <w:kern w:val="0"/>
                      <w:sz w:val="22"/>
                      <w:szCs w:val="22"/>
                      <w:lang w:val="en-US" w:eastAsia="zh-CN" w:bidi="ar-SA"/>
                    </w:rPr>
                    <w:t>简化管理</w:t>
                  </w:r>
                </w:p>
              </w:tc>
              <w:tc>
                <w:tcPr>
                  <w:tcW w:w="790" w:type="dxa"/>
                  <w:tcBorders>
                    <w:tl2br w:val="nil"/>
                    <w:tr2bl w:val="nil"/>
                  </w:tcBorders>
                  <w:shd w:val="clear" w:color="D7D7D7" w:fill="A4A4A4"/>
                  <w:noWrap w:val="0"/>
                  <w:vAlign w:val="center"/>
                </w:tcPr>
                <w:p w14:paraId="09B4840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2"/>
                      <w:szCs w:val="22"/>
                      <w:lang w:val="en-US" w:eastAsia="zh-CN" w:bidi="ar-SA"/>
                    </w:rPr>
                  </w:pPr>
                  <w:r>
                    <w:rPr>
                      <w:rFonts w:hint="eastAsia" w:ascii="Times New Roman" w:hAnsi="Times New Roman" w:eastAsia="宋体" w:cs="Times New Roman"/>
                      <w:color w:val="auto"/>
                      <w:kern w:val="0"/>
                      <w:sz w:val="22"/>
                      <w:szCs w:val="22"/>
                      <w:lang w:val="en-US" w:eastAsia="zh-CN" w:bidi="ar-SA"/>
                    </w:rPr>
                    <w:t>登记管理</w:t>
                  </w:r>
                </w:p>
              </w:tc>
            </w:tr>
            <w:tr w14:paraId="43D43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6877" w:type="dxa"/>
                  <w:gridSpan w:val="5"/>
                  <w:tcBorders>
                    <w:tl2br w:val="nil"/>
                    <w:tr2bl w:val="nil"/>
                  </w:tcBorders>
                  <w:shd w:val="clear" w:color="D7D7D7" w:fill="A4A4A4"/>
                  <w:noWrap w:val="0"/>
                  <w:vAlign w:val="center"/>
                </w:tcPr>
                <w:p w14:paraId="71742E2F">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三十四、计算机、通信和其他电子设备制造业 39</w:t>
                  </w:r>
                </w:p>
              </w:tc>
            </w:tr>
            <w:tr w14:paraId="06FADE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44" w:hRule="atLeast"/>
              </w:trPr>
              <w:tc>
                <w:tcPr>
                  <w:tcW w:w="491" w:type="dxa"/>
                  <w:tcBorders>
                    <w:tl2br w:val="nil"/>
                    <w:tr2bl w:val="nil"/>
                  </w:tcBorders>
                  <w:shd w:val="clear" w:color="auto" w:fill="auto"/>
                  <w:noWrap w:val="0"/>
                  <w:vAlign w:val="center"/>
                </w:tcPr>
                <w:p w14:paraId="5AC95E19">
                  <w:pPr>
                    <w:pStyle w:val="55"/>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2"/>
                      <w:szCs w:val="22"/>
                      <w:lang w:val="en-US" w:eastAsia="zh-CN" w:bidi="ar-SA"/>
                    </w:rPr>
                  </w:pPr>
                  <w:r>
                    <w:rPr>
                      <w:rFonts w:hint="eastAsia" w:ascii="Times New Roman" w:hAnsi="Times New Roman" w:eastAsia="宋体" w:cs="Times New Roman"/>
                      <w:color w:val="auto"/>
                      <w:kern w:val="0"/>
                      <w:sz w:val="22"/>
                      <w:szCs w:val="22"/>
                      <w:lang w:val="en-US" w:eastAsia="zh-CN" w:bidi="ar-SA"/>
                    </w:rPr>
                    <w:t>89</w:t>
                  </w:r>
                </w:p>
              </w:tc>
              <w:tc>
                <w:tcPr>
                  <w:tcW w:w="2362" w:type="dxa"/>
                  <w:tcBorders>
                    <w:tl2br w:val="nil"/>
                    <w:tr2bl w:val="nil"/>
                  </w:tcBorders>
                  <w:shd w:val="clear" w:color="auto" w:fill="auto"/>
                  <w:noWrap w:val="0"/>
                  <w:vAlign w:val="center"/>
                </w:tcPr>
                <w:p w14:paraId="71BA50D0">
                  <w:pPr>
                    <w:pStyle w:val="55"/>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计算机制造391，电子器件制造397，电子元件及电子专用材料制造 398，其他电子设备制造 399</w:t>
                  </w:r>
                </w:p>
              </w:tc>
              <w:tc>
                <w:tcPr>
                  <w:tcW w:w="753" w:type="dxa"/>
                  <w:tcBorders>
                    <w:tl2br w:val="nil"/>
                    <w:tr2bl w:val="nil"/>
                  </w:tcBorders>
                  <w:shd w:val="clear" w:color="auto" w:fill="auto"/>
                  <w:noWrap w:val="0"/>
                  <w:vAlign w:val="center"/>
                </w:tcPr>
                <w:p w14:paraId="7CFBFC92">
                  <w:pPr>
                    <w:pStyle w:val="55"/>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纳入重点排污单位名录的</w:t>
                  </w:r>
                </w:p>
              </w:tc>
              <w:tc>
                <w:tcPr>
                  <w:tcW w:w="2481" w:type="dxa"/>
                  <w:tcBorders>
                    <w:tl2br w:val="nil"/>
                    <w:tr2bl w:val="nil"/>
                  </w:tcBorders>
                  <w:shd w:val="clear" w:color="auto" w:fill="auto"/>
                  <w:noWrap w:val="0"/>
                  <w:vAlign w:val="center"/>
                </w:tcPr>
                <w:p w14:paraId="6E2E0F9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涉及通用工序</w:t>
                  </w:r>
                  <w:r>
                    <w:rPr>
                      <w:rFonts w:hint="eastAsia" w:ascii="Times New Roman" w:hAnsi="Times New Roman" w:eastAsia="宋体" w:cs="Times New Roman"/>
                      <w:color w:val="auto"/>
                      <w:kern w:val="0"/>
                      <w:sz w:val="22"/>
                      <w:szCs w:val="22"/>
                      <w:lang w:val="en-US" w:eastAsia="zh-CN" w:bidi="ar-SA"/>
                    </w:rPr>
                    <w:t>简化</w:t>
                  </w:r>
                  <w:r>
                    <w:rPr>
                      <w:rFonts w:hint="default" w:ascii="Times New Roman" w:hAnsi="Times New Roman" w:eastAsia="宋体" w:cs="Times New Roman"/>
                      <w:color w:val="auto"/>
                      <w:kern w:val="0"/>
                      <w:sz w:val="22"/>
                      <w:szCs w:val="22"/>
                      <w:lang w:val="en-US" w:eastAsia="zh-CN" w:bidi="ar-SA"/>
                    </w:rPr>
                    <w:t>管理的</w:t>
                  </w:r>
                </w:p>
              </w:tc>
              <w:tc>
                <w:tcPr>
                  <w:tcW w:w="790" w:type="dxa"/>
                  <w:tcBorders>
                    <w:tl2br w:val="nil"/>
                    <w:tr2bl w:val="nil"/>
                  </w:tcBorders>
                  <w:shd w:val="clear" w:color="D7D7D7" w:fill="A4A4A4"/>
                  <w:noWrap w:val="0"/>
                  <w:vAlign w:val="center"/>
                </w:tcPr>
                <w:p w14:paraId="09FC9C6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2"/>
                      <w:szCs w:val="22"/>
                      <w:lang w:val="en-US" w:eastAsia="zh-CN" w:bidi="ar-SA"/>
                    </w:rPr>
                  </w:pPr>
                  <w:r>
                    <w:rPr>
                      <w:rFonts w:hint="eastAsia" w:ascii="Times New Roman" w:hAnsi="Times New Roman" w:eastAsia="宋体" w:cs="Times New Roman"/>
                      <w:color w:val="auto"/>
                      <w:kern w:val="0"/>
                      <w:sz w:val="22"/>
                      <w:szCs w:val="22"/>
                      <w:lang w:val="en-US" w:eastAsia="zh-CN" w:bidi="ar-SA"/>
                    </w:rPr>
                    <w:t>其他</w:t>
                  </w:r>
                </w:p>
              </w:tc>
            </w:tr>
          </w:tbl>
          <w:p w14:paraId="2C234F95">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（3）健全污水处理设施管理制度 </w:t>
            </w:r>
          </w:p>
          <w:p w14:paraId="6D669890">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将污水处理设施的管理和生产经营活动一起纳入企业单位日常管理工作的范畴，落实责任人，同时制定各级岗位责任制，编制操作规程，建立管理台账，不得擅自拆除或闲置已有的污染处理设施，严禁故意不正常使用污染处理设施。 </w:t>
            </w:r>
          </w:p>
          <w:p w14:paraId="5661FDBB">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（4）环境目标管理责任制和环保奖惩条例 </w:t>
            </w:r>
          </w:p>
          <w:p w14:paraId="12B5A704">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建立并实施从总经理到班组各层次的环境目标管理责任制，把完成环境目标责任与奖惩制度结合起来。设置环境保护奖惩条例，对爱护环保设施、节能降耗、减少污染物排放、改善环境者实施奖励；对环保观念淡薄，不按环保要求管理，造成环保设施非正常损坏、发生污染事故以及浪费资源者一律予以重罚。 </w:t>
            </w:r>
          </w:p>
          <w:p w14:paraId="77AF4308">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 xml:space="preserve">（5）职工环保教育、培训制度 </w:t>
            </w:r>
          </w:p>
          <w:p w14:paraId="604745E7">
            <w:pPr>
              <w:adjustRightInd w:val="0"/>
              <w:snapToGrid w:val="0"/>
              <w:ind w:firstLine="480" w:firstLineChars="200"/>
              <w:jc w:val="left"/>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t>加强职工的环境保护知识教育，增强职工环保意识，增加对生产污染危害的认识，明白自身在劳动过程中的位置和责任。加强员工的上岗培训工作，严格执行培训考核制度，不合格人员绝不允许上岗操作。</w:t>
            </w:r>
          </w:p>
          <w:p w14:paraId="6F432558">
            <w:pPr>
              <w:pStyle w:val="4"/>
              <w:bidi w:val="0"/>
              <w:ind w:firstLine="482" w:firstLineChars="200"/>
              <w:rPr>
                <w:rFonts w:hint="eastAsia" w:ascii="Times New Roman" w:hAnsi="Times New Roman"/>
                <w:color w:val="auto"/>
                <w:sz w:val="24"/>
                <w:szCs w:val="24"/>
                <w:lang w:val="en-US" w:eastAsia="zh-CN"/>
              </w:rPr>
            </w:pPr>
            <w:bookmarkStart w:id="132" w:name="_Toc22169"/>
            <w:r>
              <w:rPr>
                <w:rFonts w:hint="eastAsia" w:ascii="Times New Roman" w:hAnsi="Times New Roman"/>
                <w:color w:val="auto"/>
                <w:sz w:val="24"/>
                <w:szCs w:val="24"/>
                <w:lang w:val="en-US" w:eastAsia="zh-CN"/>
              </w:rPr>
              <w:t>5.1.2排污口规范化管理</w:t>
            </w:r>
            <w:bookmarkEnd w:id="132"/>
          </w:p>
          <w:p w14:paraId="2B3506A0">
            <w:pPr>
              <w:adjustRightInd w:val="0"/>
              <w:snapToGrid w:val="0"/>
              <w:ind w:firstLine="480" w:firstLineChars="200"/>
              <w:jc w:val="center"/>
              <w:rPr>
                <w:rFonts w:hint="eastAsia" w:ascii="Times New Roman" w:hAnsi="Times New Roman" w:cs="宋体"/>
                <w:color w:val="auto"/>
                <w:sz w:val="24"/>
                <w:szCs w:val="24"/>
                <w:lang w:val="en-US" w:eastAsia="zh-CN"/>
              </w:rPr>
            </w:pPr>
            <w:r>
              <w:rPr>
                <w:rFonts w:hint="default" w:ascii="Times New Roman" w:hAnsi="Times New Roman" w:cs="宋体"/>
                <w:color w:val="auto"/>
                <w:sz w:val="24"/>
                <w:szCs w:val="24"/>
                <w:lang w:val="en-US" w:eastAsia="zh-CN"/>
              </w:rPr>
              <w:t>各污染源排放口应设置专项图标，执行《环境保护图形标志—排放口（源）》（GB15562.1-1995），要求各排放口（源）提示标志形状采用正方形边框，背景颜色采用绿色，图形颜色采用白色。标志牌应设在与之功能相应的醒目处，并保持清晰、完整，具体详见表</w:t>
            </w:r>
            <w:r>
              <w:rPr>
                <w:rFonts w:hint="eastAsia" w:ascii="Times New Roman" w:hAnsi="Times New Roman" w:cs="宋体"/>
                <w:color w:val="auto"/>
                <w:sz w:val="24"/>
                <w:szCs w:val="24"/>
                <w:lang w:val="en-US" w:eastAsia="zh-CN"/>
              </w:rPr>
              <w:t>5.1-1。</w:t>
            </w:r>
          </w:p>
          <w:p w14:paraId="4662D8F3">
            <w:pPr>
              <w:pStyle w:val="27"/>
              <w:bidi w:val="0"/>
              <w:ind w:firstLine="482" w:firstLineChars="200"/>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表5.1-1</w:t>
            </w:r>
            <w:r>
              <w:rPr>
                <w:rFonts w:hint="eastAsia"/>
                <w:color w:val="auto"/>
                <w:sz w:val="24"/>
                <w:szCs w:val="24"/>
                <w:lang w:val="en-US" w:eastAsia="zh-CN"/>
              </w:rPr>
              <w:t xml:space="preserve">  </w:t>
            </w:r>
            <w:r>
              <w:rPr>
                <w:rFonts w:hint="eastAsia" w:ascii="Times New Roman" w:hAnsi="Times New Roman"/>
                <w:color w:val="auto"/>
                <w:sz w:val="24"/>
                <w:szCs w:val="24"/>
                <w:lang w:val="en-US" w:eastAsia="zh-CN"/>
              </w:rPr>
              <w:t>排污口规范化图标</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696"/>
              <w:gridCol w:w="1698"/>
              <w:gridCol w:w="1702"/>
            </w:tblGrid>
            <w:tr w14:paraId="268A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248" w:type="pct"/>
                  <w:tcBorders>
                    <w:tl2br w:val="nil"/>
                    <w:tr2bl w:val="nil"/>
                  </w:tcBorders>
                  <w:noWrap w:val="0"/>
                  <w:tcMar>
                    <w:left w:w="28" w:type="dxa"/>
                    <w:right w:w="28" w:type="dxa"/>
                  </w:tcMar>
                  <w:vAlign w:val="center"/>
                </w:tcPr>
                <w:p w14:paraId="21E1218E">
                  <w:pPr>
                    <w:pStyle w:val="30"/>
                    <w:bidi w:val="0"/>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废水排放口</w:t>
                  </w:r>
                </w:p>
              </w:tc>
              <w:tc>
                <w:tcPr>
                  <w:tcW w:w="1248" w:type="pct"/>
                  <w:tcBorders>
                    <w:tl2br w:val="nil"/>
                    <w:tr2bl w:val="nil"/>
                  </w:tcBorders>
                  <w:noWrap w:val="0"/>
                  <w:tcMar>
                    <w:left w:w="28" w:type="dxa"/>
                    <w:right w:w="28" w:type="dxa"/>
                  </w:tcMar>
                  <w:vAlign w:val="center"/>
                </w:tcPr>
                <w:p w14:paraId="76E3C4F8">
                  <w:pPr>
                    <w:pStyle w:val="30"/>
                    <w:bidi w:val="0"/>
                    <w:rPr>
                      <w:rFonts w:hint="eastAsia" w:ascii="Times New Roman" w:hAnsi="Times New Roman"/>
                      <w:color w:val="auto"/>
                      <w:sz w:val="24"/>
                      <w:szCs w:val="24"/>
                    </w:rPr>
                  </w:pPr>
                  <w:r>
                    <w:rPr>
                      <w:rFonts w:hint="eastAsia" w:ascii="Times New Roman" w:hAnsi="Times New Roman"/>
                      <w:color w:val="auto"/>
                      <w:sz w:val="24"/>
                      <w:szCs w:val="24"/>
                    </w:rPr>
                    <w:t>废气排放口</w:t>
                  </w:r>
                </w:p>
              </w:tc>
              <w:tc>
                <w:tcPr>
                  <w:tcW w:w="1249" w:type="pct"/>
                  <w:tcBorders>
                    <w:tl2br w:val="nil"/>
                    <w:tr2bl w:val="nil"/>
                  </w:tcBorders>
                  <w:noWrap w:val="0"/>
                  <w:tcMar>
                    <w:left w:w="28" w:type="dxa"/>
                    <w:right w:w="28" w:type="dxa"/>
                  </w:tcMar>
                  <w:vAlign w:val="center"/>
                </w:tcPr>
                <w:p w14:paraId="293507DE">
                  <w:pPr>
                    <w:pStyle w:val="30"/>
                    <w:bidi w:val="0"/>
                    <w:rPr>
                      <w:rFonts w:hint="eastAsia" w:ascii="Times New Roman" w:hAnsi="Times New Roman"/>
                      <w:color w:val="auto"/>
                      <w:sz w:val="24"/>
                      <w:szCs w:val="24"/>
                    </w:rPr>
                  </w:pPr>
                  <w:r>
                    <w:rPr>
                      <w:rFonts w:hint="eastAsia" w:ascii="Times New Roman" w:hAnsi="Times New Roman"/>
                      <w:color w:val="auto"/>
                      <w:sz w:val="24"/>
                      <w:szCs w:val="24"/>
                    </w:rPr>
                    <w:t>噪声源</w:t>
                  </w:r>
                </w:p>
              </w:tc>
              <w:tc>
                <w:tcPr>
                  <w:tcW w:w="1253" w:type="pct"/>
                  <w:tcBorders>
                    <w:tl2br w:val="nil"/>
                    <w:tr2bl w:val="nil"/>
                  </w:tcBorders>
                  <w:noWrap w:val="0"/>
                  <w:tcMar>
                    <w:left w:w="28" w:type="dxa"/>
                    <w:right w:w="28" w:type="dxa"/>
                  </w:tcMar>
                  <w:vAlign w:val="center"/>
                </w:tcPr>
                <w:p w14:paraId="6C428621">
                  <w:pPr>
                    <w:pStyle w:val="30"/>
                    <w:bidi w:val="0"/>
                    <w:rPr>
                      <w:rFonts w:hint="default" w:ascii="Times New Roman" w:hAnsi="Times New Roman"/>
                      <w:color w:val="auto"/>
                      <w:sz w:val="24"/>
                      <w:szCs w:val="24"/>
                      <w:lang w:val="en-US" w:eastAsia="zh-CN"/>
                    </w:rPr>
                  </w:pPr>
                  <w:r>
                    <w:rPr>
                      <w:rFonts w:hint="eastAsia" w:ascii="Times New Roman" w:hAnsi="Times New Roman"/>
                      <w:color w:val="auto"/>
                      <w:sz w:val="24"/>
                      <w:szCs w:val="24"/>
                      <w:lang w:val="en-US" w:eastAsia="zh-CN"/>
                    </w:rPr>
                    <w:t>危险废物暂存间</w:t>
                  </w:r>
                </w:p>
              </w:tc>
            </w:tr>
            <w:tr w14:paraId="6FED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248" w:type="pct"/>
                  <w:tcBorders>
                    <w:tl2br w:val="nil"/>
                    <w:tr2bl w:val="nil"/>
                  </w:tcBorders>
                  <w:noWrap w:val="0"/>
                  <w:tcMar>
                    <w:left w:w="28" w:type="dxa"/>
                    <w:right w:w="28" w:type="dxa"/>
                  </w:tcMar>
                  <w:vAlign w:val="center"/>
                </w:tcPr>
                <w:p w14:paraId="19994818">
                  <w:pPr>
                    <w:pStyle w:val="30"/>
                    <w:bidi w:val="0"/>
                    <w:rPr>
                      <w:rFonts w:hint="eastAsia" w:ascii="Times New Roman" w:hAnsi="Times New Roman"/>
                      <w:color w:val="auto"/>
                      <w:sz w:val="24"/>
                      <w:szCs w:val="24"/>
                      <w:lang w:eastAsia="zh-CN"/>
                    </w:rPr>
                  </w:pPr>
                  <w:r>
                    <w:rPr>
                      <w:rFonts w:hint="eastAsia" w:ascii="Times New Roman" w:hAnsi="Times New Roman"/>
                      <w:color w:val="auto"/>
                      <w:sz w:val="24"/>
                      <w:szCs w:val="24"/>
                      <w:lang w:eastAsia="zh-CN"/>
                    </w:rPr>
                    <w:drawing>
                      <wp:inline distT="0" distB="0" distL="114300" distR="114300">
                        <wp:extent cx="762000" cy="733425"/>
                        <wp:effectExtent l="0" t="0" r="0" b="9525"/>
                        <wp:docPr id="29" name="图片 1" descr="194de620cd008fdffb49a09cbfefe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descr="194de620cd008fdffb49a09cbfefefc"/>
                                <pic:cNvPicPr>
                                  <a:picLocks noChangeAspect="1"/>
                                </pic:cNvPicPr>
                              </pic:nvPicPr>
                              <pic:blipFill>
                                <a:blip r:embed="rId30"/>
                                <a:stretch>
                                  <a:fillRect/>
                                </a:stretch>
                              </pic:blipFill>
                              <pic:spPr>
                                <a:xfrm>
                                  <a:off x="0" y="0"/>
                                  <a:ext cx="762000" cy="733425"/>
                                </a:xfrm>
                                <a:prstGeom prst="rect">
                                  <a:avLst/>
                                </a:prstGeom>
                                <a:noFill/>
                                <a:ln>
                                  <a:noFill/>
                                </a:ln>
                              </pic:spPr>
                            </pic:pic>
                          </a:graphicData>
                        </a:graphic>
                      </wp:inline>
                    </w:drawing>
                  </w:r>
                </w:p>
              </w:tc>
              <w:tc>
                <w:tcPr>
                  <w:tcW w:w="1248" w:type="pct"/>
                  <w:tcBorders>
                    <w:tl2br w:val="nil"/>
                    <w:tr2bl w:val="nil"/>
                  </w:tcBorders>
                  <w:noWrap w:val="0"/>
                  <w:tcMar>
                    <w:left w:w="28" w:type="dxa"/>
                    <w:right w:w="28" w:type="dxa"/>
                  </w:tcMar>
                  <w:vAlign w:val="center"/>
                </w:tcPr>
                <w:p w14:paraId="7DD25007">
                  <w:pPr>
                    <w:pStyle w:val="30"/>
                    <w:bidi w:val="0"/>
                    <w:rPr>
                      <w:rFonts w:hint="eastAsia" w:ascii="Times New Roman" w:hAnsi="Times New Roman"/>
                      <w:color w:val="auto"/>
                      <w:sz w:val="24"/>
                      <w:szCs w:val="24"/>
                    </w:rPr>
                  </w:pPr>
                  <w:r>
                    <w:rPr>
                      <w:rFonts w:hint="eastAsia" w:ascii="Times New Roman" w:hAnsi="Times New Roman"/>
                      <w:color w:val="auto"/>
                      <w:sz w:val="24"/>
                      <w:szCs w:val="24"/>
                    </w:rPr>
                    <w:drawing>
                      <wp:inline distT="0" distB="0" distL="114300" distR="114300">
                        <wp:extent cx="720090" cy="720090"/>
                        <wp:effectExtent l="0" t="0" r="3810" b="3810"/>
                        <wp:docPr id="30" name="图片 2"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descr="点击看大图及详细资料"/>
                                <pic:cNvPicPr>
                                  <a:picLocks noChangeAspect="1"/>
                                </pic:cNvPicPr>
                              </pic:nvPicPr>
                              <pic:blipFill>
                                <a:blip r:embed="rId31"/>
                                <a:stretch>
                                  <a:fillRect/>
                                </a:stretch>
                              </pic:blipFill>
                              <pic:spPr>
                                <a:xfrm>
                                  <a:off x="0" y="0"/>
                                  <a:ext cx="720090" cy="720090"/>
                                </a:xfrm>
                                <a:prstGeom prst="rect">
                                  <a:avLst/>
                                </a:prstGeom>
                                <a:noFill/>
                                <a:ln>
                                  <a:noFill/>
                                </a:ln>
                              </pic:spPr>
                            </pic:pic>
                          </a:graphicData>
                        </a:graphic>
                      </wp:inline>
                    </w:drawing>
                  </w:r>
                </w:p>
              </w:tc>
              <w:tc>
                <w:tcPr>
                  <w:tcW w:w="1249" w:type="pct"/>
                  <w:tcBorders>
                    <w:tl2br w:val="nil"/>
                    <w:tr2bl w:val="nil"/>
                  </w:tcBorders>
                  <w:noWrap w:val="0"/>
                  <w:tcMar>
                    <w:left w:w="28" w:type="dxa"/>
                    <w:right w:w="28" w:type="dxa"/>
                  </w:tcMar>
                  <w:vAlign w:val="center"/>
                </w:tcPr>
                <w:p w14:paraId="2901D901">
                  <w:pPr>
                    <w:pStyle w:val="30"/>
                    <w:bidi w:val="0"/>
                    <w:rPr>
                      <w:rFonts w:hint="eastAsia" w:ascii="Times New Roman" w:hAnsi="Times New Roman"/>
                      <w:color w:val="auto"/>
                      <w:sz w:val="24"/>
                      <w:szCs w:val="24"/>
                    </w:rPr>
                  </w:pPr>
                  <w:r>
                    <w:rPr>
                      <w:rFonts w:hint="eastAsia" w:ascii="Times New Roman" w:hAnsi="Times New Roman"/>
                      <w:color w:val="auto"/>
                      <w:sz w:val="24"/>
                      <w:szCs w:val="24"/>
                    </w:rPr>
                    <w:drawing>
                      <wp:inline distT="0" distB="0" distL="114300" distR="114300">
                        <wp:extent cx="720090" cy="720090"/>
                        <wp:effectExtent l="0" t="0" r="3810" b="3810"/>
                        <wp:docPr id="31" name="图片 3"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点击看大图及详细资料"/>
                                <pic:cNvPicPr>
                                  <a:picLocks noChangeAspect="1"/>
                                </pic:cNvPicPr>
                              </pic:nvPicPr>
                              <pic:blipFill>
                                <a:blip r:embed="rId32"/>
                                <a:stretch>
                                  <a:fillRect/>
                                </a:stretch>
                              </pic:blipFill>
                              <pic:spPr>
                                <a:xfrm>
                                  <a:off x="0" y="0"/>
                                  <a:ext cx="720090" cy="720090"/>
                                </a:xfrm>
                                <a:prstGeom prst="rect">
                                  <a:avLst/>
                                </a:prstGeom>
                                <a:noFill/>
                                <a:ln>
                                  <a:noFill/>
                                </a:ln>
                              </pic:spPr>
                            </pic:pic>
                          </a:graphicData>
                        </a:graphic>
                      </wp:inline>
                    </w:drawing>
                  </w:r>
                </w:p>
              </w:tc>
              <w:tc>
                <w:tcPr>
                  <w:tcW w:w="1253" w:type="pct"/>
                  <w:tcBorders>
                    <w:tl2br w:val="nil"/>
                    <w:tr2bl w:val="nil"/>
                  </w:tcBorders>
                  <w:noWrap w:val="0"/>
                  <w:tcMar>
                    <w:left w:w="28" w:type="dxa"/>
                    <w:right w:w="28" w:type="dxa"/>
                  </w:tcMar>
                  <w:vAlign w:val="center"/>
                </w:tcPr>
                <w:p w14:paraId="69D83DE9">
                  <w:pPr>
                    <w:pStyle w:val="30"/>
                    <w:bidi w:val="0"/>
                    <w:rPr>
                      <w:rFonts w:hint="eastAsia" w:ascii="Times New Roman" w:hAnsi="Times New Roman"/>
                      <w:color w:val="auto"/>
                      <w:sz w:val="24"/>
                      <w:szCs w:val="24"/>
                    </w:rPr>
                  </w:pPr>
                  <w:r>
                    <w:rPr>
                      <w:rFonts w:ascii="Times New Roman" w:hAnsi="Times New Roman"/>
                      <w:color w:val="auto"/>
                      <w:sz w:val="24"/>
                      <w:szCs w:val="24"/>
                    </w:rPr>
                    <w:drawing>
                      <wp:inline distT="0" distB="0" distL="114300" distR="114300">
                        <wp:extent cx="1041400" cy="659130"/>
                        <wp:effectExtent l="0" t="0" r="6350" b="7620"/>
                        <wp:docPr id="3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4"/>
                                <pic:cNvPicPr>
                                  <a:picLocks noChangeAspect="1"/>
                                </pic:cNvPicPr>
                              </pic:nvPicPr>
                              <pic:blipFill>
                                <a:blip r:embed="rId33"/>
                                <a:stretch>
                                  <a:fillRect/>
                                </a:stretch>
                              </pic:blipFill>
                              <pic:spPr>
                                <a:xfrm>
                                  <a:off x="0" y="0"/>
                                  <a:ext cx="1041400" cy="659130"/>
                                </a:xfrm>
                                <a:prstGeom prst="rect">
                                  <a:avLst/>
                                </a:prstGeom>
                                <a:noFill/>
                                <a:ln>
                                  <a:noFill/>
                                </a:ln>
                              </pic:spPr>
                            </pic:pic>
                          </a:graphicData>
                        </a:graphic>
                      </wp:inline>
                    </w:drawing>
                  </w:r>
                </w:p>
              </w:tc>
            </w:tr>
            <w:tr w14:paraId="08B3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746" w:type="pct"/>
                  <w:gridSpan w:val="3"/>
                  <w:tcBorders>
                    <w:tl2br w:val="nil"/>
                    <w:tr2bl w:val="nil"/>
                  </w:tcBorders>
                  <w:noWrap w:val="0"/>
                  <w:vAlign w:val="center"/>
                </w:tcPr>
                <w:p w14:paraId="6AED3B31">
                  <w:pPr>
                    <w:pStyle w:val="30"/>
                    <w:bidi w:val="0"/>
                    <w:rPr>
                      <w:rFonts w:hint="default" w:ascii="Times New Roman" w:hAnsi="Times New Roman"/>
                      <w:color w:val="auto"/>
                      <w:sz w:val="24"/>
                      <w:szCs w:val="24"/>
                      <w:lang w:val="en-US" w:eastAsia="zh-CN"/>
                    </w:rPr>
                  </w:pPr>
                  <w:r>
                    <w:rPr>
                      <w:rFonts w:hint="eastAsia" w:ascii="Times New Roman" w:hAnsi="Times New Roman"/>
                      <w:color w:val="auto"/>
                      <w:sz w:val="24"/>
                      <w:szCs w:val="24"/>
                    </w:rPr>
                    <w:t>背景颜色：绿色</w:t>
                  </w:r>
                  <w:r>
                    <w:rPr>
                      <w:rFonts w:hint="eastAsia" w:ascii="Times New Roman" w:hAnsi="Times New Roman"/>
                      <w:color w:val="auto"/>
                      <w:sz w:val="24"/>
                      <w:szCs w:val="24"/>
                      <w:lang w:eastAsia="zh-CN"/>
                    </w:rPr>
                    <w:t>，</w:t>
                  </w:r>
                  <w:r>
                    <w:rPr>
                      <w:rFonts w:hint="eastAsia" w:ascii="Times New Roman" w:hAnsi="Times New Roman"/>
                      <w:color w:val="auto"/>
                      <w:sz w:val="24"/>
                      <w:szCs w:val="24"/>
                    </w:rPr>
                    <w:t>图形颜色：白色</w:t>
                  </w:r>
                </w:p>
              </w:tc>
              <w:tc>
                <w:tcPr>
                  <w:tcW w:w="1253" w:type="pct"/>
                  <w:tcBorders>
                    <w:tl2br w:val="nil"/>
                    <w:tr2bl w:val="nil"/>
                  </w:tcBorders>
                  <w:noWrap w:val="0"/>
                  <w:vAlign w:val="center"/>
                </w:tcPr>
                <w:p w14:paraId="13F684BC">
                  <w:pPr>
                    <w:pStyle w:val="30"/>
                    <w:bidi w:val="0"/>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背景颜色：黄色，图形颜色：黑色</w:t>
                  </w:r>
                </w:p>
              </w:tc>
            </w:tr>
          </w:tbl>
          <w:p w14:paraId="60AAE45B">
            <w:pPr>
              <w:pStyle w:val="27"/>
              <w:bidi w:val="0"/>
              <w:rPr>
                <w:rFonts w:hint="eastAsia" w:ascii="Times New Roman" w:hAnsi="Times New Roman"/>
                <w:color w:val="auto"/>
                <w:sz w:val="24"/>
                <w:szCs w:val="24"/>
              </w:rPr>
            </w:pPr>
          </w:p>
        </w:tc>
      </w:tr>
    </w:tbl>
    <w:p w14:paraId="18AD6D34">
      <w:pPr>
        <w:ind w:firstLine="600" w:firstLineChars="200"/>
        <w:jc w:val="center"/>
        <w:outlineLvl w:val="9"/>
        <w:rPr>
          <w:rStyle w:val="26"/>
          <w:rFonts w:hint="eastAsia" w:ascii="Times New Roman" w:hAnsi="Times New Roman" w:eastAsia="黑体"/>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Style w:val="26"/>
          <w:rFonts w:hint="eastAsia" w:eastAsia="黑体"/>
          <w:color w:val="auto"/>
          <w:lang w:val="en-US" w:eastAsia="zh-CN"/>
        </w:rPr>
        <w:t xml:space="preserve"> </w:t>
      </w:r>
    </w:p>
    <w:p w14:paraId="75192E2A">
      <w:pPr>
        <w:pStyle w:val="2"/>
        <w:bidi w:val="0"/>
        <w:ind w:firstLine="602" w:firstLineChars="200"/>
        <w:jc w:val="center"/>
        <w:outlineLvl w:val="0"/>
        <w:rPr>
          <w:rFonts w:hint="eastAsia" w:ascii="Times New Roman" w:hAnsi="Times New Roman"/>
          <w:color w:val="auto"/>
        </w:rPr>
      </w:pPr>
      <w:r>
        <w:drawing>
          <wp:anchor distT="0" distB="0" distL="114300" distR="114300" simplePos="0" relativeHeight="251670528" behindDoc="0" locked="0" layoutInCell="1" allowOverlap="1">
            <wp:simplePos x="0" y="0"/>
            <wp:positionH relativeFrom="column">
              <wp:posOffset>-781685</wp:posOffset>
            </wp:positionH>
            <wp:positionV relativeFrom="paragraph">
              <wp:posOffset>-852170</wp:posOffset>
            </wp:positionV>
            <wp:extent cx="7301865" cy="10313670"/>
            <wp:effectExtent l="0" t="0" r="13335" b="11430"/>
            <wp:wrapNone/>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34"/>
                    <a:stretch>
                      <a:fillRect/>
                    </a:stretch>
                  </pic:blipFill>
                  <pic:spPr>
                    <a:xfrm>
                      <a:off x="0" y="0"/>
                      <a:ext cx="7301865" cy="10313670"/>
                    </a:xfrm>
                    <a:prstGeom prst="rect">
                      <a:avLst/>
                    </a:prstGeom>
                    <a:noFill/>
                    <a:ln>
                      <a:noFill/>
                    </a:ln>
                  </pic:spPr>
                </pic:pic>
              </a:graphicData>
            </a:graphic>
          </wp:anchor>
        </w:drawing>
      </w:r>
      <w:r>
        <w:rPr>
          <w:rFonts w:hint="eastAsia" w:ascii="Times New Roman" w:hAnsi="Times New Roman"/>
          <w:color w:val="auto"/>
        </w:rPr>
        <w:t>六、结论</w:t>
      </w:r>
    </w:p>
    <w:tbl>
      <w:tblPr>
        <w:tblStyle w:val="18"/>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865"/>
      </w:tblGrid>
      <w:tr w14:paraId="122F28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177AAA8A">
            <w:pPr>
              <w:keepNext/>
              <w:keepLines/>
              <w:widowControl w:val="0"/>
              <w:bidi w:val="0"/>
              <w:spacing w:beforeLines="0" w:beforeAutospacing="0" w:afterLines="0" w:afterAutospacing="0" w:line="360" w:lineRule="auto"/>
              <w:ind w:firstLine="562" w:firstLineChars="200"/>
              <w:jc w:val="left"/>
              <w:textAlignment w:val="center"/>
              <w:outlineLvl w:val="1"/>
              <w:rPr>
                <w:rFonts w:hint="eastAsia" w:ascii="Times New Roman" w:hAnsi="Times New Roman" w:eastAsia="宋体" w:cs="Times New Roman"/>
                <w:b/>
                <w:color w:val="auto"/>
                <w:kern w:val="2"/>
                <w:sz w:val="28"/>
                <w:szCs w:val="24"/>
                <w:lang w:val="en-US" w:eastAsia="zh-CN" w:bidi="ar-SA"/>
              </w:rPr>
            </w:pPr>
            <w:bookmarkStart w:id="133" w:name="_Toc27061"/>
            <w:r>
              <w:rPr>
                <w:rFonts w:hint="eastAsia" w:ascii="Times New Roman" w:hAnsi="Times New Roman" w:eastAsia="宋体" w:cs="Times New Roman"/>
                <w:b/>
                <w:color w:val="auto"/>
                <w:kern w:val="2"/>
                <w:sz w:val="28"/>
                <w:szCs w:val="24"/>
                <w:lang w:val="en-US" w:eastAsia="zh-CN" w:bidi="ar-SA"/>
              </w:rPr>
              <w:t>6.1总结论</w:t>
            </w:r>
            <w:bookmarkEnd w:id="133"/>
          </w:p>
          <w:p w14:paraId="1214597A">
            <w:pPr>
              <w:pStyle w:val="22"/>
              <w:bidi w:val="0"/>
              <w:ind w:firstLine="480" w:firstLineChars="200"/>
              <w:rPr>
                <w:rFonts w:hint="eastAsia" w:ascii="Times New Roman" w:hAnsi="Times New Roman"/>
                <w:color w:val="auto"/>
                <w:lang w:val="en-US" w:eastAsia="zh-CN"/>
              </w:rPr>
            </w:pPr>
            <w:r>
              <w:rPr>
                <w:rFonts w:hint="eastAsia" w:ascii="Times New Roman" w:hAnsi="Times New Roman"/>
                <w:color w:val="auto"/>
                <w:lang w:val="en-US" w:eastAsia="zh-CN"/>
              </w:rPr>
              <w:t>本项目符合国家产业政策，符合</w:t>
            </w:r>
            <w:r>
              <w:rPr>
                <w:rFonts w:hint="eastAsia"/>
                <w:color w:val="auto"/>
                <w:lang w:val="en-US" w:eastAsia="zh-CN"/>
              </w:rPr>
              <w:t>相关</w:t>
            </w:r>
            <w:r>
              <w:rPr>
                <w:rFonts w:hint="eastAsia" w:ascii="Times New Roman" w:hAnsi="Times New Roman"/>
                <w:color w:val="auto"/>
                <w:lang w:val="en-US" w:eastAsia="zh-CN"/>
              </w:rPr>
              <w:t>用地规划，符合生态环境分区管控要求。在认真执行建设项目环保“三同时”制度，切实落实各项</w:t>
            </w:r>
            <w:r>
              <w:rPr>
                <w:rFonts w:hint="eastAsia"/>
                <w:color w:val="auto"/>
                <w:lang w:val="en-US" w:eastAsia="zh-CN"/>
              </w:rPr>
              <w:t>污染防治措施和风险防范措施</w:t>
            </w:r>
            <w:r>
              <w:rPr>
                <w:rFonts w:hint="eastAsia" w:ascii="Times New Roman" w:hAnsi="Times New Roman"/>
                <w:color w:val="auto"/>
                <w:lang w:val="en-US" w:eastAsia="zh-CN"/>
              </w:rPr>
              <w:t>要求，确保各污染物达标排放</w:t>
            </w:r>
            <w:r>
              <w:rPr>
                <w:rFonts w:hint="eastAsia"/>
                <w:color w:val="auto"/>
                <w:lang w:val="en-US" w:eastAsia="zh-CN"/>
              </w:rPr>
              <w:t>后</w:t>
            </w:r>
            <w:r>
              <w:rPr>
                <w:rFonts w:hint="eastAsia" w:ascii="Times New Roman" w:hAnsi="Times New Roman"/>
                <w:color w:val="auto"/>
                <w:lang w:val="en-US" w:eastAsia="zh-CN"/>
              </w:rPr>
              <w:t>，</w:t>
            </w:r>
            <w:r>
              <w:rPr>
                <w:rFonts w:hint="eastAsia"/>
                <w:color w:val="auto"/>
                <w:lang w:val="en-US" w:eastAsia="zh-CN"/>
              </w:rPr>
              <w:t>本项目</w:t>
            </w:r>
            <w:r>
              <w:rPr>
                <w:rFonts w:hint="eastAsia" w:ascii="Times New Roman" w:hAnsi="Times New Roman"/>
                <w:color w:val="auto"/>
                <w:lang w:val="en-US" w:eastAsia="zh-CN"/>
              </w:rPr>
              <w:t>对周围环境影响较小。</w:t>
            </w:r>
            <w:r>
              <w:rPr>
                <w:rFonts w:hint="eastAsia"/>
                <w:color w:val="auto"/>
                <w:lang w:val="en-US" w:eastAsia="zh-CN"/>
              </w:rPr>
              <w:t>综上所述，</w:t>
            </w:r>
            <w:r>
              <w:rPr>
                <w:rFonts w:hint="eastAsia" w:ascii="Times New Roman" w:hAnsi="Times New Roman"/>
                <w:color w:val="auto"/>
                <w:lang w:val="en-US" w:eastAsia="zh-CN"/>
              </w:rPr>
              <w:t>从环境保护角度分析，该项目的建设是可行的。</w:t>
            </w:r>
          </w:p>
          <w:p w14:paraId="010091A5">
            <w:pPr>
              <w:pStyle w:val="22"/>
              <w:bidi w:val="0"/>
              <w:ind w:firstLine="562" w:firstLineChars="200"/>
              <w:rPr>
                <w:rFonts w:hint="eastAsia" w:ascii="Times New Roman" w:hAnsi="Times New Roman" w:eastAsia="宋体" w:cs="Times New Roman"/>
                <w:b/>
                <w:color w:val="auto"/>
                <w:kern w:val="2"/>
                <w:sz w:val="28"/>
                <w:szCs w:val="24"/>
                <w:lang w:val="en-US" w:eastAsia="zh-CN" w:bidi="ar-SA"/>
              </w:rPr>
            </w:pPr>
            <w:r>
              <w:rPr>
                <w:rFonts w:hint="eastAsia" w:ascii="Times New Roman" w:hAnsi="Times New Roman" w:eastAsia="宋体" w:cs="Times New Roman"/>
                <w:b/>
                <w:color w:val="auto"/>
                <w:kern w:val="2"/>
                <w:sz w:val="28"/>
                <w:szCs w:val="24"/>
                <w:lang w:val="en-US" w:eastAsia="zh-CN" w:bidi="ar-SA"/>
              </w:rPr>
              <w:t>6.2建议</w:t>
            </w:r>
          </w:p>
          <w:p w14:paraId="05867FD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（1）加强管理，保证生产设备正常运行，防止设备带故障使用，防止异常噪声的产生。</w:t>
            </w:r>
          </w:p>
          <w:p w14:paraId="3ED8A7F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（2）由厂内技术管理人员兼职环保工作负责环保设施的运行、检查、维护等工作。</w:t>
            </w:r>
          </w:p>
          <w:p w14:paraId="0B6EA0C4">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（3）加强职工的环保、安全教育，提高环保意识和安全生产意识。</w:t>
            </w:r>
          </w:p>
          <w:p w14:paraId="624C865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（4）项目建成投用后，不得新设对环境有污染的项目，项目若有变动，应办理审批手续。</w:t>
            </w:r>
          </w:p>
          <w:p w14:paraId="59C5720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（5）遵守国家关于环保治理措施管理的规定，定期提交设施运行及监测报告，接受环保管理部门的监督。</w:t>
            </w:r>
          </w:p>
          <w:p w14:paraId="5D2BCC8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（6）加强环保工作的管理，要认真落实环保“三同时”制度。</w:t>
            </w:r>
          </w:p>
          <w:p w14:paraId="0FD61906">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68979596">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19CB112D">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2B249670">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1A214464">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1F3AD26C">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0F72DEC2">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2E4B5504">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745BA0DB">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编制单位：福州朴诚至信环保科技有限公司</w:t>
            </w:r>
          </w:p>
          <w:p w14:paraId="63B1349E">
            <w:pPr>
              <w:spacing w:line="360" w:lineRule="auto"/>
              <w:ind w:firstLine="480" w:firstLineChars="200"/>
              <w:jc w:val="right"/>
              <w:rPr>
                <w:rFonts w:ascii="Times New Roman" w:hAnsi="Times New Roman" w:cs="宋体"/>
                <w:color w:val="auto"/>
                <w:sz w:val="24"/>
              </w:rPr>
            </w:pPr>
            <w:r>
              <w:rPr>
                <w:rFonts w:hint="eastAsia" w:ascii="Times New Roman" w:hAnsi="Times New Roman" w:eastAsia="宋体" w:cs="宋体"/>
                <w:color w:val="auto"/>
                <w:kern w:val="2"/>
                <w:sz w:val="24"/>
                <w:szCs w:val="24"/>
                <w:lang w:val="en-US" w:eastAsia="zh-CN" w:bidi="ar-SA"/>
              </w:rPr>
              <w:t>2026年</w:t>
            </w:r>
            <w:r>
              <w:rPr>
                <w:rFonts w:hint="eastAsia" w:cs="宋体"/>
                <w:color w:val="auto"/>
                <w:kern w:val="2"/>
                <w:sz w:val="24"/>
                <w:szCs w:val="24"/>
                <w:lang w:val="en-US" w:eastAsia="zh-CN" w:bidi="ar-SA"/>
              </w:rPr>
              <w:t>8</w:t>
            </w:r>
            <w:r>
              <w:rPr>
                <w:rFonts w:hint="eastAsia" w:ascii="Times New Roman" w:hAnsi="Times New Roman" w:eastAsia="宋体" w:cs="宋体"/>
                <w:color w:val="auto"/>
                <w:kern w:val="2"/>
                <w:sz w:val="24"/>
                <w:szCs w:val="24"/>
                <w:lang w:val="en-US" w:eastAsia="zh-CN" w:bidi="ar-SA"/>
              </w:rPr>
              <w:t>月</w:t>
            </w:r>
          </w:p>
        </w:tc>
      </w:tr>
    </w:tbl>
    <w:p w14:paraId="75AFC020">
      <w:pPr>
        <w:jc w:val="center"/>
        <w:outlineLvl w:val="9"/>
        <w:rPr>
          <w:rFonts w:ascii="Times New Roman" w:hAnsi="Times New Roman" w:eastAsia="黑体"/>
          <w:snapToGrid w:val="0"/>
          <w:color w:val="auto"/>
          <w:sz w:val="30"/>
          <w:szCs w:val="30"/>
        </w:rPr>
      </w:pPr>
    </w:p>
    <w:p w14:paraId="40EE1445">
      <w:pPr>
        <w:jc w:val="center"/>
        <w:rPr>
          <w:rFonts w:ascii="Times New Roman" w:hAnsi="Times New Roman"/>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D97B0D3">
      <w:pPr>
        <w:bidi w:val="0"/>
        <w:ind w:firstLine="442" w:firstLineChars="200"/>
        <w:jc w:val="center"/>
        <w:outlineLvl w:val="9"/>
        <w:rPr>
          <w:rFonts w:hint="eastAsia" w:ascii="Times New Roman" w:hAnsi="Times New Roman"/>
          <w:b/>
          <w:bCs/>
          <w:color w:val="auto"/>
          <w:sz w:val="22"/>
          <w:szCs w:val="28"/>
        </w:rPr>
      </w:pPr>
      <w:r>
        <w:rPr>
          <w:rFonts w:hint="eastAsia" w:ascii="Times New Roman" w:hAnsi="Times New Roman"/>
          <w:b/>
          <w:bCs/>
          <w:color w:val="auto"/>
          <w:sz w:val="22"/>
          <w:szCs w:val="28"/>
        </w:rPr>
        <w:t>建设项目污染物排放量汇总表</w:t>
      </w:r>
    </w:p>
    <w:tbl>
      <w:tblPr>
        <w:tblStyle w:val="18"/>
        <w:tblW w:w="1251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578"/>
        <w:gridCol w:w="1695"/>
      </w:tblGrid>
      <w:tr w14:paraId="61226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2087DD2D">
            <w:pPr>
              <w:pStyle w:val="30"/>
              <w:bidi w:val="0"/>
              <w:ind w:firstLine="420" w:firstLineChars="200"/>
              <w:jc w:val="right"/>
              <w:rPr>
                <w:rFonts w:hint="eastAsia" w:ascii="Times New Roman" w:hAnsi="Times New Roman"/>
                <w:color w:val="auto"/>
              </w:rPr>
            </w:pPr>
            <w:r>
              <w:rPr>
                <w:rFonts w:hint="eastAsia" w:ascii="Times New Roman" w:hAnsi="Times New Roman"/>
                <w:color w:val="auto"/>
              </w:rPr>
              <w:t>项目</w:t>
            </w:r>
          </w:p>
          <w:p w14:paraId="68A9B3A7">
            <w:pPr>
              <w:pStyle w:val="30"/>
              <w:bidi w:val="0"/>
              <w:ind w:firstLine="420" w:firstLineChars="200"/>
              <w:jc w:val="left"/>
              <w:rPr>
                <w:rFonts w:hint="eastAsia" w:ascii="Times New Roman" w:hAnsi="Times New Roman"/>
                <w:color w:val="auto"/>
              </w:rPr>
            </w:pPr>
            <w:r>
              <w:rPr>
                <w:rFonts w:hint="eastAsia" w:ascii="Times New Roman" w:hAnsi="Times New Roman"/>
                <w:color w:val="auto"/>
              </w:rPr>
              <w:t>分类</w:t>
            </w:r>
          </w:p>
        </w:tc>
        <w:tc>
          <w:tcPr>
            <w:tcW w:w="1417" w:type="dxa"/>
            <w:noWrap w:val="0"/>
            <w:tcMar>
              <w:left w:w="28" w:type="dxa"/>
              <w:right w:w="28" w:type="dxa"/>
            </w:tcMar>
            <w:vAlign w:val="center"/>
          </w:tcPr>
          <w:p w14:paraId="42AC1402">
            <w:pPr>
              <w:pStyle w:val="30"/>
              <w:bidi w:val="0"/>
              <w:rPr>
                <w:rFonts w:hint="eastAsia" w:ascii="Times New Roman" w:hAnsi="Times New Roman" w:eastAsia="宋体" w:cs="Times New Roman"/>
                <w:color w:val="auto"/>
              </w:rPr>
            </w:pPr>
            <w:r>
              <w:rPr>
                <w:rFonts w:hint="eastAsia" w:ascii="Times New Roman" w:hAnsi="Times New Roman" w:eastAsia="宋体" w:cs="Times New Roman"/>
                <w:color w:val="auto"/>
              </w:rPr>
              <w:t>污染物名称</w:t>
            </w:r>
          </w:p>
        </w:tc>
        <w:tc>
          <w:tcPr>
            <w:tcW w:w="1701" w:type="dxa"/>
            <w:noWrap w:val="0"/>
            <w:tcMar>
              <w:left w:w="28" w:type="dxa"/>
              <w:right w:w="28" w:type="dxa"/>
            </w:tcMar>
            <w:vAlign w:val="center"/>
          </w:tcPr>
          <w:p w14:paraId="48CA1DDA">
            <w:pPr>
              <w:pStyle w:val="30"/>
              <w:bidi w:val="0"/>
              <w:rPr>
                <w:rFonts w:hint="eastAsia" w:ascii="Times New Roman" w:hAnsi="Times New Roman" w:eastAsia="宋体" w:cs="Times New Roman"/>
                <w:color w:val="auto"/>
              </w:rPr>
            </w:pPr>
            <w:r>
              <w:rPr>
                <w:rFonts w:hint="eastAsia" w:ascii="Times New Roman" w:hAnsi="Times New Roman" w:eastAsia="宋体" w:cs="Times New Roman"/>
                <w:color w:val="auto"/>
              </w:rPr>
              <w:t>现有工程排放量（固体废物产生量）</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 1 \* GB3 \* MERGEFORMAT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①</w:t>
            </w:r>
            <w:r>
              <w:rPr>
                <w:rFonts w:hint="eastAsia" w:ascii="Times New Roman" w:hAnsi="Times New Roman" w:eastAsia="宋体" w:cs="Times New Roman"/>
                <w:color w:val="auto"/>
              </w:rPr>
              <w:fldChar w:fldCharType="end"/>
            </w:r>
          </w:p>
        </w:tc>
        <w:tc>
          <w:tcPr>
            <w:tcW w:w="1276" w:type="dxa"/>
            <w:noWrap w:val="0"/>
            <w:tcMar>
              <w:left w:w="28" w:type="dxa"/>
              <w:right w:w="28" w:type="dxa"/>
            </w:tcMar>
            <w:vAlign w:val="center"/>
          </w:tcPr>
          <w:p w14:paraId="564DAF40">
            <w:pPr>
              <w:pStyle w:val="30"/>
              <w:bidi w:val="0"/>
              <w:rPr>
                <w:rFonts w:hint="eastAsia" w:ascii="Times New Roman" w:hAnsi="Times New Roman" w:eastAsia="宋体" w:cs="Times New Roman"/>
                <w:color w:val="auto"/>
              </w:rPr>
            </w:pPr>
            <w:r>
              <w:rPr>
                <w:rFonts w:hint="eastAsia" w:ascii="Times New Roman" w:hAnsi="Times New Roman" w:eastAsia="宋体" w:cs="Times New Roman"/>
                <w:color w:val="auto"/>
              </w:rPr>
              <w:t>现有工程许可排放量</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 2 \* GB3 \* MERGEFORMAT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②</w:t>
            </w:r>
            <w:r>
              <w:rPr>
                <w:rFonts w:hint="eastAsia" w:ascii="Times New Roman" w:hAnsi="Times New Roman" w:eastAsia="宋体" w:cs="Times New Roman"/>
                <w:color w:val="auto"/>
              </w:rPr>
              <w:fldChar w:fldCharType="end"/>
            </w:r>
          </w:p>
        </w:tc>
        <w:tc>
          <w:tcPr>
            <w:tcW w:w="1701" w:type="dxa"/>
            <w:noWrap w:val="0"/>
            <w:tcMar>
              <w:left w:w="28" w:type="dxa"/>
              <w:right w:w="28" w:type="dxa"/>
            </w:tcMar>
            <w:vAlign w:val="center"/>
          </w:tcPr>
          <w:p w14:paraId="3B79E824">
            <w:pPr>
              <w:pStyle w:val="30"/>
              <w:bidi w:val="0"/>
              <w:rPr>
                <w:rFonts w:hint="eastAsia" w:ascii="Times New Roman" w:hAnsi="Times New Roman" w:eastAsia="宋体" w:cs="Times New Roman"/>
                <w:color w:val="auto"/>
              </w:rPr>
            </w:pPr>
            <w:r>
              <w:rPr>
                <w:rFonts w:hint="eastAsia" w:ascii="Times New Roman" w:hAnsi="Times New Roman" w:eastAsia="宋体" w:cs="Times New Roman"/>
                <w:color w:val="auto"/>
              </w:rPr>
              <w:t>在建工程排放量（固体废物产生量）</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 3 \* GB3 \* MERGEFORMAT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③</w:t>
            </w:r>
            <w:r>
              <w:rPr>
                <w:rFonts w:hint="eastAsia" w:ascii="Times New Roman" w:hAnsi="Times New Roman" w:eastAsia="宋体" w:cs="Times New Roman"/>
                <w:color w:val="auto"/>
              </w:rPr>
              <w:fldChar w:fldCharType="end"/>
            </w:r>
          </w:p>
        </w:tc>
        <w:tc>
          <w:tcPr>
            <w:tcW w:w="1559" w:type="dxa"/>
            <w:noWrap w:val="0"/>
            <w:tcMar>
              <w:left w:w="28" w:type="dxa"/>
              <w:right w:w="28" w:type="dxa"/>
            </w:tcMar>
            <w:vAlign w:val="center"/>
          </w:tcPr>
          <w:p w14:paraId="04940B8C">
            <w:pPr>
              <w:pStyle w:val="30"/>
              <w:bidi w:val="0"/>
              <w:rPr>
                <w:rFonts w:hint="eastAsia" w:ascii="Times New Roman" w:hAnsi="Times New Roman" w:eastAsia="宋体" w:cs="Times New Roman"/>
                <w:color w:val="auto"/>
              </w:rPr>
            </w:pPr>
            <w:r>
              <w:rPr>
                <w:rFonts w:hint="eastAsia" w:ascii="Times New Roman" w:hAnsi="Times New Roman" w:eastAsia="宋体" w:cs="Times New Roman"/>
                <w:color w:val="auto"/>
              </w:rPr>
              <w:t>本项目排放量（固体废物产生量）</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 4 \* GB3 \* MERGEFORMAT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④</w:t>
            </w:r>
            <w:r>
              <w:rPr>
                <w:rFonts w:hint="eastAsia" w:ascii="Times New Roman" w:hAnsi="Times New Roman" w:eastAsia="宋体" w:cs="Times New Roman"/>
                <w:color w:val="auto"/>
              </w:rPr>
              <w:fldChar w:fldCharType="end"/>
            </w:r>
          </w:p>
        </w:tc>
        <w:tc>
          <w:tcPr>
            <w:tcW w:w="1578" w:type="dxa"/>
            <w:noWrap w:val="0"/>
            <w:tcMar>
              <w:left w:w="28" w:type="dxa"/>
              <w:right w:w="28" w:type="dxa"/>
            </w:tcMar>
            <w:vAlign w:val="center"/>
          </w:tcPr>
          <w:p w14:paraId="7B8A48D6">
            <w:pPr>
              <w:pStyle w:val="30"/>
              <w:bidi w:val="0"/>
              <w:rPr>
                <w:rFonts w:hint="eastAsia" w:ascii="Times New Roman" w:hAnsi="Times New Roman" w:eastAsia="宋体" w:cs="Times New Roman"/>
                <w:color w:val="auto"/>
              </w:rPr>
            </w:pPr>
            <w:r>
              <w:rPr>
                <w:rFonts w:hint="eastAsia" w:ascii="Times New Roman" w:hAnsi="Times New Roman" w:eastAsia="宋体" w:cs="Times New Roman"/>
                <w:color w:val="auto"/>
              </w:rPr>
              <w:t>以新带老削减量（新建项目不填）</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 5 \* GB3 \* MERGEFORMAT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⑤</w:t>
            </w:r>
            <w:r>
              <w:rPr>
                <w:rFonts w:hint="eastAsia" w:ascii="Times New Roman" w:hAnsi="Times New Roman" w:eastAsia="宋体" w:cs="Times New Roman"/>
                <w:color w:val="auto"/>
              </w:rPr>
              <w:fldChar w:fldCharType="end"/>
            </w:r>
          </w:p>
        </w:tc>
        <w:tc>
          <w:tcPr>
            <w:tcW w:w="1695" w:type="dxa"/>
            <w:noWrap w:val="0"/>
            <w:tcMar>
              <w:left w:w="28" w:type="dxa"/>
              <w:right w:w="28" w:type="dxa"/>
            </w:tcMar>
            <w:vAlign w:val="center"/>
          </w:tcPr>
          <w:p w14:paraId="3C636AC6">
            <w:pPr>
              <w:pStyle w:val="30"/>
              <w:bidi w:val="0"/>
              <w:rPr>
                <w:rFonts w:hint="eastAsia" w:ascii="Times New Roman" w:hAnsi="Times New Roman" w:eastAsia="宋体" w:cs="Times New Roman"/>
                <w:color w:val="auto"/>
              </w:rPr>
            </w:pPr>
            <w:r>
              <w:rPr>
                <w:rFonts w:hint="eastAsia" w:ascii="Times New Roman" w:hAnsi="Times New Roman" w:eastAsia="宋体" w:cs="Times New Roman"/>
                <w:color w:val="auto"/>
              </w:rPr>
              <w:t>本项目建成后全厂排放量（固体废物产生量）</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 6 \* GB3 \* MERGEFORMAT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⑥</w:t>
            </w:r>
            <w:r>
              <w:rPr>
                <w:rFonts w:hint="eastAsia" w:ascii="Times New Roman" w:hAnsi="Times New Roman" w:eastAsia="宋体" w:cs="Times New Roman"/>
                <w:color w:val="auto"/>
              </w:rPr>
              <w:fldChar w:fldCharType="end"/>
            </w:r>
          </w:p>
        </w:tc>
      </w:tr>
      <w:tr w14:paraId="00479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5E73C5EA">
            <w:pPr>
              <w:pStyle w:val="30"/>
              <w:bidi w:val="0"/>
              <w:rPr>
                <w:rFonts w:hint="eastAsia" w:ascii="Times New Roman" w:hAnsi="Times New Roman"/>
                <w:color w:val="auto"/>
              </w:rPr>
            </w:pPr>
            <w:r>
              <w:rPr>
                <w:rFonts w:hint="eastAsia" w:ascii="Times New Roman" w:hAnsi="Times New Roman"/>
                <w:color w:val="auto"/>
              </w:rPr>
              <w:t>废气</w:t>
            </w:r>
          </w:p>
        </w:tc>
        <w:tc>
          <w:tcPr>
            <w:tcW w:w="1417" w:type="dxa"/>
            <w:noWrap w:val="0"/>
            <w:vAlign w:val="center"/>
          </w:tcPr>
          <w:p w14:paraId="5A6D285E">
            <w:pPr>
              <w:pStyle w:val="30"/>
              <w:bidi w:val="0"/>
              <w:rPr>
                <w:rFonts w:hint="default" w:ascii="Times New Roman" w:hAnsi="Times New Roman" w:eastAsia="宋体"/>
                <w:color w:val="auto"/>
                <w:lang w:val="en-US" w:eastAsia="zh-CN"/>
              </w:rPr>
            </w:pPr>
            <w:r>
              <w:rPr>
                <w:rFonts w:hint="eastAsia"/>
                <w:color w:val="auto"/>
                <w:lang w:val="en-US" w:eastAsia="zh-CN"/>
              </w:rPr>
              <w:t>VOCs、乙醇、乙醚、丙酮（以非甲烷总烃计）</w:t>
            </w:r>
            <w:r>
              <w:rPr>
                <w:rFonts w:hint="eastAsia"/>
                <w:color w:val="auto"/>
                <w:highlight w:val="none"/>
                <w:lang w:val="en-US" w:eastAsia="zh-CN"/>
              </w:rPr>
              <w:t>（t/a）</w:t>
            </w:r>
          </w:p>
        </w:tc>
        <w:tc>
          <w:tcPr>
            <w:tcW w:w="1701" w:type="dxa"/>
            <w:shd w:val="clear" w:color="auto" w:fill="auto"/>
            <w:noWrap w:val="0"/>
            <w:vAlign w:val="center"/>
          </w:tcPr>
          <w:p w14:paraId="39DBCF3E">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043D2FA3">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46114970">
            <w:pPr>
              <w:pStyle w:val="30"/>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w:t>
            </w:r>
          </w:p>
        </w:tc>
        <w:tc>
          <w:tcPr>
            <w:tcW w:w="1559" w:type="dxa"/>
            <w:noWrap w:val="0"/>
            <w:vAlign w:val="center"/>
          </w:tcPr>
          <w:p w14:paraId="0E53842B">
            <w:pPr>
              <w:pStyle w:val="30"/>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0.8151t/a</w:t>
            </w:r>
          </w:p>
        </w:tc>
        <w:tc>
          <w:tcPr>
            <w:tcW w:w="1578" w:type="dxa"/>
            <w:noWrap w:val="0"/>
            <w:vAlign w:val="center"/>
          </w:tcPr>
          <w:p w14:paraId="363803F0">
            <w:pPr>
              <w:pStyle w:val="30"/>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w:t>
            </w:r>
          </w:p>
        </w:tc>
        <w:tc>
          <w:tcPr>
            <w:tcW w:w="1695" w:type="dxa"/>
            <w:shd w:val="clear" w:color="auto" w:fill="auto"/>
            <w:noWrap w:val="0"/>
            <w:vAlign w:val="center"/>
          </w:tcPr>
          <w:p w14:paraId="3DF6C3F2">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+0.8151t/a</w:t>
            </w:r>
          </w:p>
        </w:tc>
      </w:tr>
      <w:tr w14:paraId="3A5C1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32501881">
            <w:pPr>
              <w:pStyle w:val="30"/>
              <w:bidi w:val="0"/>
              <w:rPr>
                <w:rFonts w:hint="eastAsia" w:ascii="Times New Roman" w:hAnsi="Times New Roman"/>
                <w:color w:val="auto"/>
              </w:rPr>
            </w:pPr>
          </w:p>
        </w:tc>
        <w:tc>
          <w:tcPr>
            <w:tcW w:w="1417" w:type="dxa"/>
            <w:noWrap w:val="0"/>
            <w:vAlign w:val="center"/>
          </w:tcPr>
          <w:p w14:paraId="50566D32">
            <w:pPr>
              <w:pStyle w:val="30"/>
              <w:bidi w:val="0"/>
              <w:rPr>
                <w:rFonts w:hint="default"/>
                <w:color w:val="auto"/>
                <w:lang w:val="en-US" w:eastAsia="zh-CN"/>
              </w:rPr>
            </w:pPr>
            <w:r>
              <w:rPr>
                <w:rFonts w:hint="eastAsia"/>
                <w:color w:val="auto"/>
                <w:lang w:val="en-US" w:eastAsia="zh-CN"/>
              </w:rPr>
              <w:t>颗粒物</w:t>
            </w:r>
          </w:p>
        </w:tc>
        <w:tc>
          <w:tcPr>
            <w:tcW w:w="1701" w:type="dxa"/>
            <w:shd w:val="clear" w:color="auto" w:fill="auto"/>
            <w:noWrap w:val="0"/>
            <w:vAlign w:val="center"/>
          </w:tcPr>
          <w:p w14:paraId="5C0DB09B">
            <w:pPr>
              <w:pStyle w:val="30"/>
              <w:bidi w:val="0"/>
              <w:rPr>
                <w:rFonts w:hint="default" w:ascii="Times New Roman" w:hAnsi="Times New Roman"/>
                <w:color w:val="auto"/>
                <w:lang w:val="en-US" w:eastAsia="zh-CN"/>
              </w:rPr>
            </w:pPr>
            <w:r>
              <w:rPr>
                <w:rFonts w:hint="eastAsia"/>
                <w:color w:val="auto"/>
                <w:lang w:val="en-US" w:eastAsia="zh-CN"/>
              </w:rPr>
              <w:t>/</w:t>
            </w:r>
          </w:p>
        </w:tc>
        <w:tc>
          <w:tcPr>
            <w:tcW w:w="1276" w:type="dxa"/>
            <w:shd w:val="clear" w:color="auto" w:fill="auto"/>
            <w:noWrap w:val="0"/>
            <w:vAlign w:val="center"/>
          </w:tcPr>
          <w:p w14:paraId="3EE1FFBB">
            <w:pPr>
              <w:pStyle w:val="30"/>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2BB5319B">
            <w:pPr>
              <w:pStyle w:val="30"/>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34B186D1">
            <w:pPr>
              <w:pStyle w:val="30"/>
              <w:bidi w:val="0"/>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0.00042t/a</w:t>
            </w:r>
          </w:p>
        </w:tc>
        <w:tc>
          <w:tcPr>
            <w:tcW w:w="1578" w:type="dxa"/>
            <w:noWrap w:val="0"/>
            <w:vAlign w:val="center"/>
          </w:tcPr>
          <w:p w14:paraId="4F520D90">
            <w:pPr>
              <w:pStyle w:val="30"/>
              <w:bidi w:val="0"/>
              <w:rPr>
                <w:rFonts w:hint="default" w:ascii="Times New Roman" w:hAnsi="Times New Roman"/>
                <w:color w:val="auto"/>
                <w:lang w:val="en-US" w:eastAsia="zh-CN"/>
              </w:rPr>
            </w:pPr>
            <w:r>
              <w:rPr>
                <w:rFonts w:hint="eastAsia"/>
                <w:color w:val="auto"/>
                <w:lang w:val="en-US" w:eastAsia="zh-CN"/>
              </w:rPr>
              <w:t>/</w:t>
            </w:r>
          </w:p>
        </w:tc>
        <w:tc>
          <w:tcPr>
            <w:tcW w:w="1695" w:type="dxa"/>
            <w:shd w:val="clear" w:color="auto" w:fill="auto"/>
            <w:noWrap w:val="0"/>
            <w:vAlign w:val="center"/>
          </w:tcPr>
          <w:p w14:paraId="3269F36F">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+0.00042t/a</w:t>
            </w:r>
          </w:p>
        </w:tc>
      </w:tr>
      <w:tr w14:paraId="4E06B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7AD0FA29">
            <w:pPr>
              <w:pStyle w:val="30"/>
              <w:bidi w:val="0"/>
              <w:rPr>
                <w:rFonts w:hint="eastAsia" w:ascii="Times New Roman" w:hAnsi="Times New Roman"/>
                <w:color w:val="auto"/>
              </w:rPr>
            </w:pPr>
            <w:r>
              <w:rPr>
                <w:rFonts w:hint="eastAsia" w:ascii="Times New Roman" w:hAnsi="Times New Roman"/>
                <w:color w:val="auto"/>
              </w:rPr>
              <w:t>废水</w:t>
            </w:r>
          </w:p>
        </w:tc>
        <w:tc>
          <w:tcPr>
            <w:tcW w:w="1417" w:type="dxa"/>
            <w:noWrap w:val="0"/>
            <w:vAlign w:val="center"/>
          </w:tcPr>
          <w:p w14:paraId="62A4EBA9">
            <w:pPr>
              <w:pStyle w:val="30"/>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SS</w:t>
            </w:r>
          </w:p>
        </w:tc>
        <w:tc>
          <w:tcPr>
            <w:tcW w:w="1701" w:type="dxa"/>
            <w:shd w:val="clear" w:color="auto" w:fill="auto"/>
            <w:noWrap w:val="0"/>
            <w:vAlign w:val="center"/>
          </w:tcPr>
          <w:p w14:paraId="746037E8">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19758A37">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0892AF0F">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3E67B5DF">
            <w:pPr>
              <w:pStyle w:val="30"/>
              <w:bidi w:val="0"/>
              <w:rPr>
                <w:rFonts w:hint="default" w:ascii="Times New Roman" w:hAnsi="Times New Roman" w:eastAsia="宋体"/>
                <w:color w:val="auto"/>
                <w:lang w:val="en-US" w:eastAsia="zh-CN"/>
              </w:rPr>
            </w:pPr>
            <w:r>
              <w:rPr>
                <w:rFonts w:hint="eastAsia"/>
                <w:color w:val="auto"/>
                <w:lang w:val="en-US" w:eastAsia="zh-CN"/>
              </w:rPr>
              <w:t>0.399</w:t>
            </w:r>
            <w:r>
              <w:rPr>
                <w:rFonts w:hint="eastAsia" w:cs="Times New Roman"/>
                <w:color w:val="auto"/>
                <w:sz w:val="21"/>
                <w:szCs w:val="22"/>
                <w:highlight w:val="none"/>
                <w:lang w:val="en-US" w:eastAsia="zh-CN"/>
              </w:rPr>
              <w:t>t/a</w:t>
            </w:r>
          </w:p>
        </w:tc>
        <w:tc>
          <w:tcPr>
            <w:tcW w:w="1578" w:type="dxa"/>
            <w:noWrap w:val="0"/>
            <w:vAlign w:val="center"/>
          </w:tcPr>
          <w:p w14:paraId="5CFA6A47">
            <w:pPr>
              <w:pStyle w:val="30"/>
              <w:bidi w:val="0"/>
              <w:rPr>
                <w:rFonts w:hint="eastAsia"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32ACEB73">
            <w:pPr>
              <w:pStyle w:val="30"/>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+0.399</w:t>
            </w:r>
            <w:r>
              <w:rPr>
                <w:rFonts w:hint="eastAsia" w:cs="Times New Roman"/>
                <w:color w:val="auto"/>
                <w:sz w:val="21"/>
                <w:szCs w:val="22"/>
                <w:highlight w:val="none"/>
                <w:lang w:val="en-US" w:eastAsia="zh-CN"/>
              </w:rPr>
              <w:t>t/a</w:t>
            </w:r>
          </w:p>
        </w:tc>
      </w:tr>
      <w:tr w14:paraId="7EA98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7773C696">
            <w:pPr>
              <w:pStyle w:val="30"/>
              <w:bidi w:val="0"/>
              <w:rPr>
                <w:rFonts w:hint="eastAsia" w:ascii="Times New Roman" w:hAnsi="Times New Roman"/>
                <w:color w:val="auto"/>
              </w:rPr>
            </w:pPr>
          </w:p>
        </w:tc>
        <w:tc>
          <w:tcPr>
            <w:tcW w:w="1417" w:type="dxa"/>
            <w:noWrap w:val="0"/>
            <w:vAlign w:val="center"/>
          </w:tcPr>
          <w:p w14:paraId="61165CD6">
            <w:pPr>
              <w:pStyle w:val="30"/>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COD</w:t>
            </w:r>
          </w:p>
        </w:tc>
        <w:tc>
          <w:tcPr>
            <w:tcW w:w="1701" w:type="dxa"/>
            <w:shd w:val="clear" w:color="auto" w:fill="auto"/>
            <w:noWrap w:val="0"/>
            <w:vAlign w:val="center"/>
          </w:tcPr>
          <w:p w14:paraId="437E3C8D">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051C349E">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5EE91830">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17FFC5E6">
            <w:pPr>
              <w:pStyle w:val="30"/>
              <w:bidi w:val="0"/>
              <w:rPr>
                <w:rFonts w:hint="default" w:ascii="Times New Roman" w:hAnsi="Times New Roman" w:eastAsia="宋体"/>
                <w:color w:val="auto"/>
                <w:lang w:val="en-US" w:eastAsia="zh-CN"/>
              </w:rPr>
            </w:pPr>
            <w:r>
              <w:rPr>
                <w:rFonts w:hint="eastAsia"/>
                <w:color w:val="auto"/>
                <w:lang w:val="en-US" w:eastAsia="zh-CN"/>
              </w:rPr>
              <w:t>0.8438</w:t>
            </w:r>
            <w:r>
              <w:rPr>
                <w:rFonts w:hint="eastAsia" w:cs="Times New Roman"/>
                <w:color w:val="auto"/>
                <w:sz w:val="21"/>
                <w:szCs w:val="22"/>
                <w:highlight w:val="none"/>
                <w:lang w:val="en-US" w:eastAsia="zh-CN"/>
              </w:rPr>
              <w:t>t/a</w:t>
            </w:r>
          </w:p>
        </w:tc>
        <w:tc>
          <w:tcPr>
            <w:tcW w:w="1578" w:type="dxa"/>
            <w:noWrap w:val="0"/>
            <w:vAlign w:val="center"/>
          </w:tcPr>
          <w:p w14:paraId="4263E479">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64859616">
            <w:pPr>
              <w:pStyle w:val="30"/>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+0.8438</w:t>
            </w:r>
            <w:r>
              <w:rPr>
                <w:rFonts w:hint="eastAsia" w:cs="Times New Roman"/>
                <w:color w:val="auto"/>
                <w:sz w:val="21"/>
                <w:szCs w:val="22"/>
                <w:highlight w:val="none"/>
                <w:lang w:val="en-US" w:eastAsia="zh-CN"/>
              </w:rPr>
              <w:t>t/a</w:t>
            </w:r>
          </w:p>
        </w:tc>
      </w:tr>
      <w:tr w14:paraId="1258E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3E79030">
            <w:pPr>
              <w:pStyle w:val="30"/>
              <w:bidi w:val="0"/>
              <w:rPr>
                <w:rFonts w:hint="eastAsia" w:ascii="Times New Roman" w:hAnsi="Times New Roman"/>
                <w:color w:val="auto"/>
              </w:rPr>
            </w:pPr>
          </w:p>
        </w:tc>
        <w:tc>
          <w:tcPr>
            <w:tcW w:w="1417" w:type="dxa"/>
            <w:noWrap w:val="0"/>
            <w:vAlign w:val="center"/>
          </w:tcPr>
          <w:p w14:paraId="512796B6">
            <w:pPr>
              <w:pStyle w:val="30"/>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BOD</w:t>
            </w:r>
            <w:r>
              <w:rPr>
                <w:rFonts w:hint="eastAsia" w:ascii="Times New Roman" w:hAnsi="Times New Roman"/>
                <w:color w:val="auto"/>
                <w:vertAlign w:val="subscript"/>
                <w:lang w:val="en-US" w:eastAsia="zh-CN"/>
              </w:rPr>
              <w:t>5</w:t>
            </w:r>
          </w:p>
        </w:tc>
        <w:tc>
          <w:tcPr>
            <w:tcW w:w="1701" w:type="dxa"/>
            <w:shd w:val="clear" w:color="auto" w:fill="auto"/>
            <w:noWrap w:val="0"/>
            <w:vAlign w:val="center"/>
          </w:tcPr>
          <w:p w14:paraId="00B54D89">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6BCF900">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077B8106">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4ABFA607">
            <w:pPr>
              <w:pStyle w:val="30"/>
              <w:bidi w:val="0"/>
              <w:rPr>
                <w:rFonts w:hint="default" w:ascii="Times New Roman" w:hAnsi="Times New Roman" w:eastAsia="宋体"/>
                <w:color w:val="auto"/>
                <w:lang w:val="en-US" w:eastAsia="zh-CN"/>
              </w:rPr>
            </w:pPr>
            <w:r>
              <w:rPr>
                <w:rFonts w:hint="eastAsia"/>
                <w:color w:val="auto"/>
                <w:lang w:val="en-US" w:eastAsia="zh-CN"/>
              </w:rPr>
              <w:t>0.3536</w:t>
            </w:r>
            <w:r>
              <w:rPr>
                <w:rFonts w:hint="eastAsia" w:cs="Times New Roman"/>
                <w:color w:val="auto"/>
                <w:sz w:val="21"/>
                <w:szCs w:val="22"/>
                <w:highlight w:val="none"/>
                <w:lang w:val="en-US" w:eastAsia="zh-CN"/>
              </w:rPr>
              <w:t>t/a</w:t>
            </w:r>
          </w:p>
        </w:tc>
        <w:tc>
          <w:tcPr>
            <w:tcW w:w="1578" w:type="dxa"/>
            <w:noWrap w:val="0"/>
            <w:vAlign w:val="center"/>
          </w:tcPr>
          <w:p w14:paraId="6A59EF9D">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343CF90B">
            <w:pPr>
              <w:pStyle w:val="30"/>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+0.3536</w:t>
            </w:r>
            <w:r>
              <w:rPr>
                <w:rFonts w:hint="eastAsia" w:cs="Times New Roman"/>
                <w:color w:val="auto"/>
                <w:sz w:val="21"/>
                <w:szCs w:val="22"/>
                <w:highlight w:val="none"/>
                <w:lang w:val="en-US" w:eastAsia="zh-CN"/>
              </w:rPr>
              <w:t>t/a</w:t>
            </w:r>
          </w:p>
        </w:tc>
      </w:tr>
      <w:tr w14:paraId="423B21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6E06D7F4">
            <w:pPr>
              <w:pStyle w:val="30"/>
              <w:bidi w:val="0"/>
              <w:rPr>
                <w:rFonts w:hint="eastAsia" w:ascii="Times New Roman" w:hAnsi="Times New Roman"/>
                <w:color w:val="auto"/>
              </w:rPr>
            </w:pPr>
          </w:p>
        </w:tc>
        <w:tc>
          <w:tcPr>
            <w:tcW w:w="1417" w:type="dxa"/>
            <w:noWrap w:val="0"/>
            <w:vAlign w:val="center"/>
          </w:tcPr>
          <w:p w14:paraId="4B76F1FC">
            <w:pPr>
              <w:pStyle w:val="30"/>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NH</w:t>
            </w:r>
            <w:r>
              <w:rPr>
                <w:rFonts w:hint="eastAsia" w:ascii="Times New Roman" w:hAnsi="Times New Roman"/>
                <w:color w:val="auto"/>
                <w:vertAlign w:val="subscript"/>
                <w:lang w:val="en-US" w:eastAsia="zh-CN"/>
              </w:rPr>
              <w:t>3</w:t>
            </w:r>
            <w:r>
              <w:rPr>
                <w:rFonts w:hint="eastAsia" w:ascii="Times New Roman" w:hAnsi="Times New Roman"/>
                <w:color w:val="auto"/>
                <w:lang w:val="en-US" w:eastAsia="zh-CN"/>
              </w:rPr>
              <w:t>-N</w:t>
            </w:r>
          </w:p>
        </w:tc>
        <w:tc>
          <w:tcPr>
            <w:tcW w:w="1701" w:type="dxa"/>
            <w:shd w:val="clear" w:color="auto" w:fill="auto"/>
            <w:noWrap w:val="0"/>
            <w:vAlign w:val="center"/>
          </w:tcPr>
          <w:p w14:paraId="379BB31C">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8A10E65">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6214AB51">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46F70322">
            <w:pPr>
              <w:pStyle w:val="30"/>
              <w:bidi w:val="0"/>
              <w:rPr>
                <w:rFonts w:hint="default" w:ascii="Times New Roman" w:hAnsi="Times New Roman" w:eastAsia="宋体"/>
                <w:color w:val="auto"/>
                <w:lang w:val="en-US" w:eastAsia="zh-CN"/>
              </w:rPr>
            </w:pPr>
            <w:r>
              <w:rPr>
                <w:rFonts w:hint="eastAsia"/>
                <w:color w:val="auto"/>
                <w:lang w:val="en-US" w:eastAsia="zh-CN"/>
              </w:rPr>
              <w:t>0.084</w:t>
            </w:r>
            <w:r>
              <w:rPr>
                <w:rFonts w:hint="eastAsia" w:cs="Times New Roman"/>
                <w:color w:val="auto"/>
                <w:sz w:val="21"/>
                <w:szCs w:val="22"/>
                <w:highlight w:val="none"/>
                <w:lang w:val="en-US" w:eastAsia="zh-CN"/>
              </w:rPr>
              <w:t>t/a</w:t>
            </w:r>
          </w:p>
        </w:tc>
        <w:tc>
          <w:tcPr>
            <w:tcW w:w="1578" w:type="dxa"/>
            <w:noWrap w:val="0"/>
            <w:vAlign w:val="center"/>
          </w:tcPr>
          <w:p w14:paraId="7CE247C3">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280251D5">
            <w:pPr>
              <w:pStyle w:val="30"/>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+0.084</w:t>
            </w:r>
            <w:r>
              <w:rPr>
                <w:rFonts w:hint="eastAsia" w:cs="Times New Roman"/>
                <w:color w:val="auto"/>
                <w:sz w:val="21"/>
                <w:szCs w:val="22"/>
                <w:highlight w:val="none"/>
                <w:lang w:val="en-US" w:eastAsia="zh-CN"/>
              </w:rPr>
              <w:t>t/a</w:t>
            </w:r>
          </w:p>
        </w:tc>
      </w:tr>
      <w:tr w14:paraId="044947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FE8E464">
            <w:pPr>
              <w:pStyle w:val="30"/>
              <w:bidi w:val="0"/>
              <w:rPr>
                <w:rFonts w:hint="eastAsia" w:ascii="Times New Roman" w:hAnsi="Times New Roman"/>
                <w:color w:val="auto"/>
              </w:rPr>
            </w:pPr>
          </w:p>
        </w:tc>
        <w:tc>
          <w:tcPr>
            <w:tcW w:w="1417" w:type="dxa"/>
            <w:noWrap w:val="0"/>
            <w:vAlign w:val="center"/>
          </w:tcPr>
          <w:p w14:paraId="03CE5149">
            <w:pPr>
              <w:pStyle w:val="30"/>
              <w:bidi w:val="0"/>
              <w:rPr>
                <w:rFonts w:hint="default" w:ascii="Times New Roman" w:hAnsi="Times New Roman"/>
                <w:color w:val="auto"/>
                <w:lang w:val="en-US" w:eastAsia="zh-CN"/>
              </w:rPr>
            </w:pPr>
            <w:r>
              <w:rPr>
                <w:rFonts w:hint="eastAsia"/>
                <w:color w:val="auto"/>
                <w:lang w:val="en-US" w:eastAsia="zh-CN"/>
              </w:rPr>
              <w:t>LAS</w:t>
            </w:r>
          </w:p>
        </w:tc>
        <w:tc>
          <w:tcPr>
            <w:tcW w:w="1701" w:type="dxa"/>
            <w:shd w:val="clear" w:color="auto" w:fill="auto"/>
            <w:noWrap w:val="0"/>
            <w:vAlign w:val="center"/>
          </w:tcPr>
          <w:p w14:paraId="56886AB0">
            <w:pPr>
              <w:pStyle w:val="30"/>
              <w:bidi w:val="0"/>
              <w:rPr>
                <w:rFonts w:hint="default" w:ascii="Times New Roman" w:hAnsi="Times New Roman"/>
                <w:color w:val="auto"/>
                <w:lang w:val="en-US" w:eastAsia="zh-CN"/>
              </w:rPr>
            </w:pPr>
            <w:r>
              <w:rPr>
                <w:rFonts w:hint="eastAsia"/>
                <w:color w:val="auto"/>
                <w:lang w:val="en-US" w:eastAsia="zh-CN"/>
              </w:rPr>
              <w:t>/</w:t>
            </w:r>
          </w:p>
        </w:tc>
        <w:tc>
          <w:tcPr>
            <w:tcW w:w="1276" w:type="dxa"/>
            <w:shd w:val="clear" w:color="auto" w:fill="auto"/>
            <w:noWrap w:val="0"/>
            <w:vAlign w:val="center"/>
          </w:tcPr>
          <w:p w14:paraId="5219F806">
            <w:pPr>
              <w:pStyle w:val="30"/>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07B5CEB4">
            <w:pPr>
              <w:pStyle w:val="30"/>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61754581">
            <w:pPr>
              <w:pStyle w:val="30"/>
              <w:bidi w:val="0"/>
              <w:rPr>
                <w:rFonts w:hint="default" w:ascii="Times New Roman" w:hAnsi="Times New Roman" w:eastAsia="宋体"/>
                <w:color w:val="auto"/>
                <w:lang w:val="en-US" w:eastAsia="zh-CN"/>
              </w:rPr>
            </w:pPr>
            <w:r>
              <w:rPr>
                <w:rFonts w:hint="eastAsia"/>
                <w:color w:val="auto"/>
                <w:lang w:val="en-US" w:eastAsia="zh-CN"/>
              </w:rPr>
              <w:t>0.0025t/a</w:t>
            </w:r>
          </w:p>
        </w:tc>
        <w:tc>
          <w:tcPr>
            <w:tcW w:w="1578" w:type="dxa"/>
            <w:noWrap w:val="0"/>
            <w:vAlign w:val="center"/>
          </w:tcPr>
          <w:p w14:paraId="64BFA033">
            <w:pPr>
              <w:pStyle w:val="30"/>
              <w:bidi w:val="0"/>
              <w:rPr>
                <w:rFonts w:hint="eastAsia" w:ascii="Times New Roman" w:hAnsi="Times New Roman"/>
                <w:color w:val="auto"/>
                <w:lang w:val="en-US" w:eastAsia="zh-CN"/>
              </w:rPr>
            </w:pPr>
          </w:p>
        </w:tc>
        <w:tc>
          <w:tcPr>
            <w:tcW w:w="1695" w:type="dxa"/>
            <w:shd w:val="clear" w:color="auto" w:fill="auto"/>
            <w:noWrap w:val="0"/>
            <w:vAlign w:val="center"/>
          </w:tcPr>
          <w:p w14:paraId="3B16E1C0">
            <w:pPr>
              <w:pStyle w:val="30"/>
              <w:bidi w:val="0"/>
              <w:rPr>
                <w:rFonts w:hint="eastAsia" w:ascii="Times New Roman" w:hAnsi="Times New Roman" w:eastAsia="宋体"/>
                <w:color w:val="auto"/>
                <w:lang w:val="en-US" w:eastAsia="zh-CN"/>
              </w:rPr>
            </w:pPr>
            <w:r>
              <w:rPr>
                <w:rFonts w:hint="eastAsia"/>
                <w:color w:val="auto"/>
                <w:lang w:val="en-US" w:eastAsia="zh-CN"/>
              </w:rPr>
              <w:t>+0.0025t/a</w:t>
            </w:r>
          </w:p>
        </w:tc>
      </w:tr>
      <w:tr w14:paraId="643F6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37660387">
            <w:pPr>
              <w:pStyle w:val="30"/>
              <w:bidi w:val="0"/>
              <w:ind w:firstLine="420" w:firstLineChars="200"/>
              <w:rPr>
                <w:rFonts w:ascii="Times New Roman" w:hAnsi="Times New Roman"/>
                <w:color w:val="auto"/>
              </w:rPr>
            </w:pPr>
            <w:r>
              <w:rPr>
                <w:rFonts w:hint="eastAsia" w:ascii="Times New Roman" w:hAnsi="Times New Roman"/>
                <w:color w:val="auto"/>
              </w:rPr>
              <w:t>一般工业</w:t>
            </w:r>
          </w:p>
          <w:p w14:paraId="288E714C">
            <w:pPr>
              <w:pStyle w:val="30"/>
              <w:bidi w:val="0"/>
              <w:ind w:firstLine="420" w:firstLineChars="200"/>
              <w:rPr>
                <w:rFonts w:hint="eastAsia" w:ascii="Times New Roman" w:hAnsi="Times New Roman"/>
                <w:color w:val="auto"/>
              </w:rPr>
            </w:pPr>
            <w:r>
              <w:rPr>
                <w:rFonts w:hint="eastAsia" w:ascii="Times New Roman" w:hAnsi="Times New Roman"/>
                <w:color w:val="auto"/>
              </w:rPr>
              <w:t>固体废物</w:t>
            </w:r>
          </w:p>
        </w:tc>
        <w:tc>
          <w:tcPr>
            <w:tcW w:w="1417" w:type="dxa"/>
            <w:noWrap w:val="0"/>
            <w:vAlign w:val="center"/>
          </w:tcPr>
          <w:p w14:paraId="41D30BB4">
            <w:pPr>
              <w:pStyle w:val="30"/>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抛光残渣</w:t>
            </w:r>
          </w:p>
        </w:tc>
        <w:tc>
          <w:tcPr>
            <w:tcW w:w="1701" w:type="dxa"/>
            <w:shd w:val="clear" w:color="auto" w:fill="auto"/>
            <w:noWrap w:val="0"/>
            <w:vAlign w:val="center"/>
          </w:tcPr>
          <w:p w14:paraId="24E67FE1">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AA372F3">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5A4F1E21">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0EE28F5B">
            <w:pPr>
              <w:pStyle w:val="30"/>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0.2t/a</w:t>
            </w:r>
          </w:p>
        </w:tc>
        <w:tc>
          <w:tcPr>
            <w:tcW w:w="1578" w:type="dxa"/>
            <w:noWrap w:val="0"/>
            <w:vAlign w:val="center"/>
          </w:tcPr>
          <w:p w14:paraId="008102BD">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60CED8CE">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+0.2t/a</w:t>
            </w:r>
          </w:p>
        </w:tc>
      </w:tr>
      <w:tr w14:paraId="77A01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4D8D11B5">
            <w:pPr>
              <w:pStyle w:val="30"/>
              <w:bidi w:val="0"/>
              <w:rPr>
                <w:rFonts w:ascii="Times New Roman" w:hAnsi="Times New Roman"/>
                <w:color w:val="auto"/>
              </w:rPr>
            </w:pPr>
          </w:p>
        </w:tc>
        <w:tc>
          <w:tcPr>
            <w:tcW w:w="1417" w:type="dxa"/>
            <w:noWrap w:val="0"/>
            <w:vAlign w:val="center"/>
          </w:tcPr>
          <w:p w14:paraId="1867ECC4">
            <w:pPr>
              <w:pStyle w:val="30"/>
              <w:bidi w:val="0"/>
              <w:rPr>
                <w:rFonts w:hint="eastAsia" w:ascii="Times New Roman" w:hAnsi="Times New Roman" w:eastAsia="宋体"/>
                <w:color w:val="auto"/>
                <w:lang w:val="en-US" w:eastAsia="zh-CN"/>
              </w:rPr>
            </w:pPr>
            <w:r>
              <w:rPr>
                <w:rFonts w:hint="eastAsia" w:ascii="Times New Roman" w:hAnsi="Times New Roman" w:eastAsia="宋体" w:cs="Times New Roman"/>
                <w:color w:val="auto"/>
                <w:kern w:val="0"/>
                <w:sz w:val="21"/>
                <w:szCs w:val="20"/>
                <w:lang w:val="en-US" w:eastAsia="zh-CN" w:bidi="ar-SA"/>
              </w:rPr>
              <w:t>废边角料</w:t>
            </w:r>
          </w:p>
        </w:tc>
        <w:tc>
          <w:tcPr>
            <w:tcW w:w="1701" w:type="dxa"/>
            <w:shd w:val="clear" w:color="auto" w:fill="auto"/>
            <w:noWrap w:val="0"/>
            <w:vAlign w:val="center"/>
          </w:tcPr>
          <w:p w14:paraId="74B71F71">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5E1D4E87">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70D8C14F">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0D4441D8">
            <w:pPr>
              <w:pStyle w:val="30"/>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0.2t/a</w:t>
            </w:r>
          </w:p>
        </w:tc>
        <w:tc>
          <w:tcPr>
            <w:tcW w:w="1578" w:type="dxa"/>
            <w:noWrap w:val="0"/>
            <w:vAlign w:val="center"/>
          </w:tcPr>
          <w:p w14:paraId="0436CD28">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79D10686">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+0.2t/a</w:t>
            </w:r>
          </w:p>
        </w:tc>
      </w:tr>
      <w:tr w14:paraId="3BCF2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28645262">
            <w:pPr>
              <w:pStyle w:val="30"/>
              <w:bidi w:val="0"/>
              <w:rPr>
                <w:rFonts w:ascii="Times New Roman" w:hAnsi="Times New Roman"/>
                <w:color w:val="auto"/>
              </w:rPr>
            </w:pPr>
          </w:p>
        </w:tc>
        <w:tc>
          <w:tcPr>
            <w:tcW w:w="1417" w:type="dxa"/>
            <w:noWrap w:val="0"/>
            <w:vAlign w:val="center"/>
          </w:tcPr>
          <w:p w14:paraId="291D7E85">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不合格品</w:t>
            </w:r>
          </w:p>
        </w:tc>
        <w:tc>
          <w:tcPr>
            <w:tcW w:w="1701" w:type="dxa"/>
            <w:shd w:val="clear" w:color="auto" w:fill="auto"/>
            <w:noWrap w:val="0"/>
            <w:vAlign w:val="center"/>
          </w:tcPr>
          <w:p w14:paraId="659730AE">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DF728C1">
            <w:pPr>
              <w:pStyle w:val="30"/>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114B6C6F">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5B03F93F">
            <w:pPr>
              <w:pStyle w:val="30"/>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29t/a</w:t>
            </w:r>
          </w:p>
        </w:tc>
        <w:tc>
          <w:tcPr>
            <w:tcW w:w="1578" w:type="dxa"/>
            <w:noWrap w:val="0"/>
            <w:vAlign w:val="center"/>
          </w:tcPr>
          <w:p w14:paraId="65C4B52D">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7FF6674A">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+29t/a</w:t>
            </w:r>
          </w:p>
        </w:tc>
      </w:tr>
      <w:tr w14:paraId="3D4392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B895FBA">
            <w:pPr>
              <w:pStyle w:val="30"/>
              <w:bidi w:val="0"/>
              <w:rPr>
                <w:rFonts w:ascii="Times New Roman" w:hAnsi="Times New Roman"/>
                <w:color w:val="auto"/>
              </w:rPr>
            </w:pPr>
          </w:p>
        </w:tc>
        <w:tc>
          <w:tcPr>
            <w:tcW w:w="1417" w:type="dxa"/>
            <w:shd w:val="clear" w:color="auto" w:fill="auto"/>
            <w:noWrap w:val="0"/>
            <w:vAlign w:val="center"/>
          </w:tcPr>
          <w:p w14:paraId="1B18C96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沉淀池污泥</w:t>
            </w:r>
          </w:p>
        </w:tc>
        <w:tc>
          <w:tcPr>
            <w:tcW w:w="1701" w:type="dxa"/>
            <w:shd w:val="clear" w:color="auto" w:fill="auto"/>
            <w:noWrap w:val="0"/>
            <w:vAlign w:val="center"/>
          </w:tcPr>
          <w:p w14:paraId="3980CD62">
            <w:pPr>
              <w:pStyle w:val="30"/>
              <w:bidi w:val="0"/>
              <w:rPr>
                <w:rFonts w:hint="eastAsia" w:ascii="Times New Roman" w:hAnsi="Times New Roman"/>
                <w:color w:val="auto"/>
                <w:lang w:val="en-US" w:eastAsia="zh-CN"/>
              </w:rPr>
            </w:pPr>
          </w:p>
        </w:tc>
        <w:tc>
          <w:tcPr>
            <w:tcW w:w="1276" w:type="dxa"/>
            <w:shd w:val="clear" w:color="auto" w:fill="auto"/>
            <w:noWrap w:val="0"/>
            <w:vAlign w:val="center"/>
          </w:tcPr>
          <w:p w14:paraId="68070594">
            <w:pPr>
              <w:pStyle w:val="30"/>
              <w:bidi w:val="0"/>
              <w:rPr>
                <w:rFonts w:hint="eastAsia" w:ascii="Times New Roman" w:hAnsi="Times New Roman"/>
                <w:color w:val="auto"/>
                <w:lang w:val="en-US" w:eastAsia="zh-CN"/>
              </w:rPr>
            </w:pPr>
          </w:p>
        </w:tc>
        <w:tc>
          <w:tcPr>
            <w:tcW w:w="1701" w:type="dxa"/>
            <w:noWrap w:val="0"/>
            <w:vAlign w:val="center"/>
          </w:tcPr>
          <w:p w14:paraId="504197FC">
            <w:pPr>
              <w:pStyle w:val="30"/>
              <w:bidi w:val="0"/>
              <w:rPr>
                <w:rFonts w:hint="eastAsia" w:ascii="Times New Roman" w:hAnsi="Times New Roman"/>
                <w:color w:val="auto"/>
                <w:lang w:val="en-US" w:eastAsia="zh-CN"/>
              </w:rPr>
            </w:pPr>
          </w:p>
        </w:tc>
        <w:tc>
          <w:tcPr>
            <w:tcW w:w="1559" w:type="dxa"/>
            <w:noWrap w:val="0"/>
            <w:vAlign w:val="center"/>
          </w:tcPr>
          <w:p w14:paraId="04FC26AB">
            <w:pPr>
              <w:pStyle w:val="30"/>
              <w:bidi w:val="0"/>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1.5t/a</w:t>
            </w:r>
          </w:p>
        </w:tc>
        <w:tc>
          <w:tcPr>
            <w:tcW w:w="1578" w:type="dxa"/>
            <w:noWrap w:val="0"/>
            <w:vAlign w:val="center"/>
          </w:tcPr>
          <w:p w14:paraId="7BEEBC52">
            <w:pPr>
              <w:pStyle w:val="30"/>
              <w:bidi w:val="0"/>
              <w:rPr>
                <w:rFonts w:hint="eastAsia" w:ascii="Times New Roman" w:hAnsi="Times New Roman"/>
                <w:color w:val="auto"/>
                <w:lang w:val="en-US" w:eastAsia="zh-CN"/>
              </w:rPr>
            </w:pPr>
          </w:p>
        </w:tc>
        <w:tc>
          <w:tcPr>
            <w:tcW w:w="1695" w:type="dxa"/>
            <w:shd w:val="clear" w:color="auto" w:fill="auto"/>
            <w:noWrap w:val="0"/>
            <w:vAlign w:val="center"/>
          </w:tcPr>
          <w:p w14:paraId="1EB7561C">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+1.5t/a</w:t>
            </w:r>
          </w:p>
        </w:tc>
      </w:tr>
      <w:tr w14:paraId="2BBB6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noWrap w:val="0"/>
            <w:vAlign w:val="center"/>
          </w:tcPr>
          <w:p w14:paraId="5DAB4507">
            <w:pPr>
              <w:pStyle w:val="30"/>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生活垃圾</w:t>
            </w:r>
          </w:p>
        </w:tc>
        <w:tc>
          <w:tcPr>
            <w:tcW w:w="1417" w:type="dxa"/>
            <w:noWrap w:val="0"/>
            <w:vAlign w:val="center"/>
          </w:tcPr>
          <w:p w14:paraId="001A943E">
            <w:pPr>
              <w:pStyle w:val="30"/>
              <w:bidi w:val="0"/>
              <w:rPr>
                <w:rFonts w:hint="default" w:ascii="Times New Roman" w:hAnsi="Times New Roman"/>
                <w:color w:val="auto"/>
                <w:lang w:val="en-US" w:eastAsia="zh-CN"/>
              </w:rPr>
            </w:pPr>
            <w:r>
              <w:rPr>
                <w:rFonts w:hint="eastAsia" w:ascii="Times New Roman" w:hAnsi="Times New Roman"/>
                <w:color w:val="auto"/>
                <w:lang w:val="en-US" w:eastAsia="zh-CN"/>
              </w:rPr>
              <w:t>生活垃圾</w:t>
            </w:r>
          </w:p>
        </w:tc>
        <w:tc>
          <w:tcPr>
            <w:tcW w:w="1701" w:type="dxa"/>
            <w:noWrap w:val="0"/>
            <w:vAlign w:val="center"/>
          </w:tcPr>
          <w:p w14:paraId="272B2F57">
            <w:pPr>
              <w:pStyle w:val="30"/>
              <w:bidi w:val="0"/>
              <w:rPr>
                <w:rFonts w:ascii="Times New Roman" w:hAnsi="Times New Roman"/>
                <w:color w:val="auto"/>
              </w:rPr>
            </w:pPr>
            <w:r>
              <w:rPr>
                <w:rFonts w:hint="eastAsia" w:ascii="Times New Roman" w:hAnsi="Times New Roman"/>
                <w:color w:val="auto"/>
                <w:lang w:val="en-US" w:eastAsia="zh-CN"/>
              </w:rPr>
              <w:t>/</w:t>
            </w:r>
          </w:p>
        </w:tc>
        <w:tc>
          <w:tcPr>
            <w:tcW w:w="1276" w:type="dxa"/>
            <w:noWrap w:val="0"/>
            <w:vAlign w:val="center"/>
          </w:tcPr>
          <w:p w14:paraId="3A271DD3">
            <w:pPr>
              <w:pStyle w:val="30"/>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496215E3">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160111DC">
            <w:pPr>
              <w:pStyle w:val="30"/>
              <w:bidi w:val="0"/>
              <w:rPr>
                <w:rFonts w:hint="default" w:ascii="Times New Roman" w:hAnsi="Times New Roman" w:eastAsia="宋体"/>
                <w:color w:val="auto"/>
                <w:highlight w:val="none"/>
                <w:lang w:val="en-US" w:eastAsia="zh-CN"/>
              </w:rPr>
            </w:pPr>
            <w:r>
              <w:rPr>
                <w:rFonts w:hint="eastAsia" w:cs="Times New Roman"/>
                <w:color w:val="auto"/>
                <w:sz w:val="21"/>
                <w:szCs w:val="22"/>
                <w:highlight w:val="none"/>
                <w:lang w:val="en-US" w:eastAsia="zh-CN"/>
              </w:rPr>
              <w:t>26t/a</w:t>
            </w:r>
          </w:p>
        </w:tc>
        <w:tc>
          <w:tcPr>
            <w:tcW w:w="1578" w:type="dxa"/>
            <w:noWrap w:val="0"/>
            <w:vAlign w:val="center"/>
          </w:tcPr>
          <w:p w14:paraId="07818709">
            <w:pPr>
              <w:pStyle w:val="30"/>
              <w:bidi w:val="0"/>
              <w:rPr>
                <w:rFonts w:ascii="Times New Roman" w:hAnsi="Times New Roman" w:eastAsia="宋体"/>
                <w:color w:val="auto"/>
                <w:kern w:val="0"/>
                <w:sz w:val="21"/>
                <w:szCs w:val="20"/>
                <w:highlight w:val="none"/>
                <w:lang w:val="en-US" w:eastAsia="zh-CN" w:bidi="ar-SA"/>
              </w:rPr>
            </w:pPr>
            <w:r>
              <w:rPr>
                <w:rFonts w:hint="eastAsia" w:ascii="Times New Roman" w:hAnsi="Times New Roman"/>
                <w:color w:val="auto"/>
                <w:highlight w:val="none"/>
                <w:lang w:val="en-US" w:eastAsia="zh-CN"/>
              </w:rPr>
              <w:t>/</w:t>
            </w:r>
          </w:p>
        </w:tc>
        <w:tc>
          <w:tcPr>
            <w:tcW w:w="1695" w:type="dxa"/>
            <w:shd w:val="clear" w:color="auto" w:fill="auto"/>
            <w:noWrap w:val="0"/>
            <w:vAlign w:val="center"/>
          </w:tcPr>
          <w:p w14:paraId="772FCE24">
            <w:pPr>
              <w:pStyle w:val="30"/>
              <w:bidi w:val="0"/>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sz w:val="21"/>
                <w:szCs w:val="22"/>
                <w:highlight w:val="none"/>
                <w:lang w:val="en-US" w:eastAsia="zh-CN"/>
              </w:rPr>
              <w:t>+26t/a</w:t>
            </w:r>
          </w:p>
        </w:tc>
      </w:tr>
      <w:tr w14:paraId="71F3E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4322E84A">
            <w:pPr>
              <w:pStyle w:val="30"/>
              <w:bidi w:val="0"/>
              <w:rPr>
                <w:rFonts w:hint="eastAsia" w:ascii="Times New Roman" w:hAnsi="Times New Roman"/>
                <w:color w:val="auto"/>
              </w:rPr>
            </w:pPr>
            <w:r>
              <w:rPr>
                <w:rFonts w:hint="eastAsia" w:ascii="Times New Roman" w:hAnsi="Times New Roman"/>
                <w:color w:val="auto"/>
              </w:rPr>
              <w:t>危险废物</w:t>
            </w:r>
          </w:p>
        </w:tc>
        <w:tc>
          <w:tcPr>
            <w:tcW w:w="1417" w:type="dxa"/>
            <w:noWrap w:val="0"/>
            <w:vAlign w:val="center"/>
          </w:tcPr>
          <w:p w14:paraId="2439927D">
            <w:pPr>
              <w:pStyle w:val="30"/>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废活性炭</w:t>
            </w:r>
          </w:p>
        </w:tc>
        <w:tc>
          <w:tcPr>
            <w:tcW w:w="1701" w:type="dxa"/>
            <w:noWrap w:val="0"/>
            <w:vAlign w:val="center"/>
          </w:tcPr>
          <w:p w14:paraId="20176EF4">
            <w:pPr>
              <w:pStyle w:val="30"/>
              <w:bidi w:val="0"/>
              <w:rPr>
                <w:rFonts w:ascii="Times New Roman" w:hAnsi="Times New Roman"/>
                <w:color w:val="auto"/>
              </w:rPr>
            </w:pPr>
            <w:r>
              <w:rPr>
                <w:rFonts w:hint="eastAsia" w:ascii="Times New Roman" w:hAnsi="Times New Roman"/>
                <w:color w:val="auto"/>
                <w:lang w:val="en-US" w:eastAsia="zh-CN"/>
              </w:rPr>
              <w:t>/</w:t>
            </w:r>
          </w:p>
        </w:tc>
        <w:tc>
          <w:tcPr>
            <w:tcW w:w="1276" w:type="dxa"/>
            <w:noWrap w:val="0"/>
            <w:vAlign w:val="center"/>
          </w:tcPr>
          <w:p w14:paraId="08FA07B8">
            <w:pPr>
              <w:pStyle w:val="30"/>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4774EEB4">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36A536FA">
            <w:pPr>
              <w:pStyle w:val="30"/>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7.161t/a</w:t>
            </w:r>
          </w:p>
        </w:tc>
        <w:tc>
          <w:tcPr>
            <w:tcW w:w="1578" w:type="dxa"/>
            <w:noWrap w:val="0"/>
            <w:vAlign w:val="center"/>
          </w:tcPr>
          <w:p w14:paraId="667E6179">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322EAE33">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+7.161t/a</w:t>
            </w:r>
          </w:p>
        </w:tc>
      </w:tr>
      <w:tr w14:paraId="247B9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C744AFD">
            <w:pPr>
              <w:pStyle w:val="30"/>
              <w:bidi w:val="0"/>
              <w:rPr>
                <w:rFonts w:ascii="Times New Roman" w:hAnsi="Times New Roman"/>
                <w:color w:val="auto"/>
              </w:rPr>
            </w:pPr>
          </w:p>
        </w:tc>
        <w:tc>
          <w:tcPr>
            <w:tcW w:w="1417" w:type="dxa"/>
            <w:noWrap w:val="0"/>
            <w:vAlign w:val="center"/>
          </w:tcPr>
          <w:p w14:paraId="01B7FDF5">
            <w:pPr>
              <w:pStyle w:val="30"/>
              <w:bidi w:val="0"/>
              <w:rPr>
                <w:rFonts w:hint="default" w:ascii="Times New Roman" w:hAnsi="Times New Roman" w:eastAsia="宋体"/>
                <w:color w:val="auto"/>
                <w:highlight w:val="none"/>
                <w:lang w:val="en-US" w:eastAsia="zh-CN"/>
              </w:rPr>
            </w:pPr>
            <w:r>
              <w:rPr>
                <w:rFonts w:hint="eastAsia" w:ascii="Times New Roman" w:hAnsi="Times New Roman" w:eastAsia="宋体" w:cs="Times New Roman"/>
                <w:color w:val="auto"/>
                <w:kern w:val="0"/>
                <w:sz w:val="21"/>
                <w:szCs w:val="20"/>
                <w:lang w:val="en-US" w:eastAsia="zh-CN" w:bidi="ar-SA"/>
              </w:rPr>
              <w:t>废布和废</w:t>
            </w:r>
            <w:r>
              <w:rPr>
                <w:rFonts w:hint="eastAsia" w:cs="Times New Roman"/>
                <w:color w:val="auto"/>
                <w:kern w:val="0"/>
                <w:sz w:val="21"/>
                <w:szCs w:val="20"/>
                <w:lang w:val="en-US" w:eastAsia="zh-CN" w:bidi="ar-SA"/>
              </w:rPr>
              <w:t>擦拭纸</w:t>
            </w:r>
          </w:p>
        </w:tc>
        <w:tc>
          <w:tcPr>
            <w:tcW w:w="1701" w:type="dxa"/>
            <w:noWrap w:val="0"/>
            <w:vAlign w:val="center"/>
          </w:tcPr>
          <w:p w14:paraId="7EB127C4">
            <w:pPr>
              <w:pStyle w:val="30"/>
              <w:bidi w:val="0"/>
              <w:rPr>
                <w:rFonts w:hint="default" w:ascii="Times New Roman" w:hAnsi="Times New Roman"/>
                <w:color w:val="auto"/>
                <w:highlight w:val="none"/>
                <w:lang w:val="en-US"/>
              </w:rPr>
            </w:pPr>
            <w:r>
              <w:rPr>
                <w:rFonts w:hint="eastAsia"/>
                <w:color w:val="auto"/>
                <w:highlight w:val="none"/>
                <w:lang w:val="en-US" w:eastAsia="zh-CN"/>
              </w:rPr>
              <w:t>/</w:t>
            </w:r>
          </w:p>
        </w:tc>
        <w:tc>
          <w:tcPr>
            <w:tcW w:w="1276" w:type="dxa"/>
            <w:noWrap w:val="0"/>
            <w:vAlign w:val="center"/>
          </w:tcPr>
          <w:p w14:paraId="5E4F2E99">
            <w:pPr>
              <w:pStyle w:val="30"/>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61238E50">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4614352F">
            <w:pPr>
              <w:pStyle w:val="30"/>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0.003t/a</w:t>
            </w:r>
          </w:p>
        </w:tc>
        <w:tc>
          <w:tcPr>
            <w:tcW w:w="1578" w:type="dxa"/>
            <w:noWrap w:val="0"/>
            <w:vAlign w:val="center"/>
          </w:tcPr>
          <w:p w14:paraId="2A2062AC">
            <w:pPr>
              <w:pStyle w:val="30"/>
              <w:bidi w:val="0"/>
              <w:rPr>
                <w:rFonts w:hint="default" w:ascii="Times New Roman" w:hAnsi="Times New Roman" w:eastAsia="宋体"/>
                <w:color w:val="auto"/>
                <w:kern w:val="0"/>
                <w:sz w:val="21"/>
                <w:szCs w:val="20"/>
                <w:lang w:val="en-US" w:eastAsia="zh-CN" w:bidi="ar-SA"/>
              </w:rPr>
            </w:pPr>
            <w:r>
              <w:rPr>
                <w:rFonts w:hint="eastAsia"/>
                <w:color w:val="auto"/>
                <w:lang w:val="en-US" w:eastAsia="zh-CN"/>
              </w:rPr>
              <w:t>/</w:t>
            </w:r>
          </w:p>
        </w:tc>
        <w:tc>
          <w:tcPr>
            <w:tcW w:w="1695" w:type="dxa"/>
            <w:shd w:val="clear" w:color="auto" w:fill="auto"/>
            <w:noWrap w:val="0"/>
            <w:vAlign w:val="center"/>
          </w:tcPr>
          <w:p w14:paraId="410B684D">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+0.003t/a</w:t>
            </w:r>
          </w:p>
        </w:tc>
      </w:tr>
      <w:tr w14:paraId="258A65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64FE2E36">
            <w:pPr>
              <w:pStyle w:val="30"/>
              <w:bidi w:val="0"/>
              <w:rPr>
                <w:rFonts w:ascii="Times New Roman" w:hAnsi="Times New Roman"/>
                <w:color w:val="auto"/>
              </w:rPr>
            </w:pPr>
          </w:p>
        </w:tc>
        <w:tc>
          <w:tcPr>
            <w:tcW w:w="1417" w:type="dxa"/>
            <w:noWrap w:val="0"/>
            <w:vAlign w:val="center"/>
          </w:tcPr>
          <w:p w14:paraId="5DB539D3">
            <w:pPr>
              <w:pStyle w:val="30"/>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废包装容器</w:t>
            </w:r>
          </w:p>
        </w:tc>
        <w:tc>
          <w:tcPr>
            <w:tcW w:w="1701" w:type="dxa"/>
            <w:noWrap w:val="0"/>
            <w:vAlign w:val="center"/>
          </w:tcPr>
          <w:p w14:paraId="31859541">
            <w:pPr>
              <w:pStyle w:val="30"/>
              <w:bidi w:val="0"/>
              <w:rPr>
                <w:rFonts w:hint="default" w:ascii="Times New Roman" w:hAnsi="Times New Roman"/>
                <w:color w:val="auto"/>
                <w:lang w:val="en-US"/>
              </w:rPr>
            </w:pPr>
            <w:r>
              <w:rPr>
                <w:rFonts w:hint="eastAsia"/>
                <w:color w:val="auto"/>
                <w:lang w:val="en-US" w:eastAsia="zh-CN"/>
              </w:rPr>
              <w:t>/</w:t>
            </w:r>
          </w:p>
        </w:tc>
        <w:tc>
          <w:tcPr>
            <w:tcW w:w="1276" w:type="dxa"/>
            <w:noWrap w:val="0"/>
            <w:vAlign w:val="center"/>
          </w:tcPr>
          <w:p w14:paraId="76CEE619">
            <w:pPr>
              <w:pStyle w:val="30"/>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5AFED90A">
            <w:pPr>
              <w:pStyle w:val="30"/>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12654A2C">
            <w:pPr>
              <w:pStyle w:val="30"/>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0.3t/a</w:t>
            </w:r>
          </w:p>
        </w:tc>
        <w:tc>
          <w:tcPr>
            <w:tcW w:w="1578" w:type="dxa"/>
            <w:noWrap w:val="0"/>
            <w:vAlign w:val="center"/>
          </w:tcPr>
          <w:p w14:paraId="4479DCBE">
            <w:pPr>
              <w:pStyle w:val="30"/>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459FC7B7">
            <w:pPr>
              <w:pStyle w:val="30"/>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+0.3t/a</w:t>
            </w:r>
          </w:p>
        </w:tc>
      </w:tr>
      <w:tr w14:paraId="0203A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0842852E">
            <w:pPr>
              <w:pStyle w:val="30"/>
              <w:bidi w:val="0"/>
              <w:rPr>
                <w:rFonts w:ascii="Times New Roman" w:hAnsi="Times New Roman"/>
                <w:color w:val="auto"/>
              </w:rPr>
            </w:pPr>
          </w:p>
        </w:tc>
        <w:tc>
          <w:tcPr>
            <w:tcW w:w="1417" w:type="dxa"/>
            <w:noWrap w:val="0"/>
            <w:vAlign w:val="center"/>
          </w:tcPr>
          <w:p w14:paraId="7A0D6FCD">
            <w:pPr>
              <w:pStyle w:val="30"/>
              <w:bidi w:val="0"/>
              <w:rPr>
                <w:rFonts w:hint="default" w:ascii="Times New Roman" w:hAnsi="Times New Roman"/>
                <w:color w:val="auto"/>
                <w:lang w:val="en-US" w:eastAsia="zh-CN"/>
              </w:rPr>
            </w:pPr>
            <w:r>
              <w:rPr>
                <w:rFonts w:hint="eastAsia"/>
                <w:color w:val="auto"/>
                <w:lang w:val="en-US" w:eastAsia="zh-CN"/>
              </w:rPr>
              <w:t>废磨削液及污泥</w:t>
            </w:r>
          </w:p>
        </w:tc>
        <w:tc>
          <w:tcPr>
            <w:tcW w:w="1701" w:type="dxa"/>
            <w:noWrap w:val="0"/>
            <w:vAlign w:val="center"/>
          </w:tcPr>
          <w:p w14:paraId="3DB624E7">
            <w:pPr>
              <w:pStyle w:val="30"/>
              <w:bidi w:val="0"/>
              <w:rPr>
                <w:rFonts w:hint="default" w:ascii="Times New Roman" w:hAnsi="Times New Roman"/>
                <w:color w:val="auto"/>
                <w:lang w:val="en-US" w:eastAsia="zh-CN"/>
              </w:rPr>
            </w:pPr>
            <w:r>
              <w:rPr>
                <w:rFonts w:hint="eastAsia"/>
                <w:color w:val="auto"/>
                <w:lang w:val="en-US" w:eastAsia="zh-CN"/>
              </w:rPr>
              <w:t>/</w:t>
            </w:r>
          </w:p>
        </w:tc>
        <w:tc>
          <w:tcPr>
            <w:tcW w:w="1276" w:type="dxa"/>
            <w:noWrap w:val="0"/>
            <w:vAlign w:val="center"/>
          </w:tcPr>
          <w:p w14:paraId="7F183234">
            <w:pPr>
              <w:pStyle w:val="30"/>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59373083">
            <w:pPr>
              <w:pStyle w:val="30"/>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768BF925">
            <w:pPr>
              <w:pStyle w:val="30"/>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0.05t/a</w:t>
            </w:r>
          </w:p>
        </w:tc>
        <w:tc>
          <w:tcPr>
            <w:tcW w:w="1578" w:type="dxa"/>
            <w:noWrap w:val="0"/>
            <w:vAlign w:val="center"/>
          </w:tcPr>
          <w:p w14:paraId="7B6FCBAF">
            <w:pPr>
              <w:pStyle w:val="30"/>
              <w:bidi w:val="0"/>
              <w:rPr>
                <w:rFonts w:hint="default" w:ascii="Times New Roman" w:hAnsi="Times New Roman"/>
                <w:color w:val="auto"/>
                <w:lang w:val="en-US" w:eastAsia="zh-CN"/>
              </w:rPr>
            </w:pPr>
            <w:r>
              <w:rPr>
                <w:rFonts w:hint="eastAsia"/>
                <w:color w:val="auto"/>
                <w:lang w:val="en-US" w:eastAsia="zh-CN"/>
              </w:rPr>
              <w:t>/</w:t>
            </w:r>
          </w:p>
        </w:tc>
        <w:tc>
          <w:tcPr>
            <w:tcW w:w="1695" w:type="dxa"/>
            <w:shd w:val="clear" w:color="auto" w:fill="auto"/>
            <w:noWrap w:val="0"/>
            <w:vAlign w:val="center"/>
          </w:tcPr>
          <w:p w14:paraId="7237D284">
            <w:pPr>
              <w:pStyle w:val="30"/>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+0.05t/a</w:t>
            </w:r>
          </w:p>
        </w:tc>
      </w:tr>
      <w:tr w14:paraId="2A79D1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7B37397F">
            <w:pPr>
              <w:pStyle w:val="30"/>
              <w:bidi w:val="0"/>
              <w:rPr>
                <w:rFonts w:ascii="Times New Roman" w:hAnsi="Times New Roman"/>
                <w:color w:val="auto"/>
              </w:rPr>
            </w:pPr>
          </w:p>
        </w:tc>
        <w:tc>
          <w:tcPr>
            <w:tcW w:w="1417" w:type="dxa"/>
            <w:noWrap w:val="0"/>
            <w:vAlign w:val="center"/>
          </w:tcPr>
          <w:p w14:paraId="653323C4">
            <w:pPr>
              <w:pStyle w:val="30"/>
              <w:bidi w:val="0"/>
              <w:rPr>
                <w:rFonts w:hint="default" w:ascii="Times New Roman" w:hAnsi="Times New Roman"/>
                <w:color w:val="auto"/>
                <w:lang w:val="en-US" w:eastAsia="zh-CN"/>
              </w:rPr>
            </w:pPr>
            <w:r>
              <w:rPr>
                <w:rFonts w:hint="eastAsia" w:ascii="Times New Roman" w:hAnsi="Times New Roman" w:eastAsia="宋体" w:cs="Times New Roman"/>
                <w:color w:val="auto"/>
                <w:kern w:val="0"/>
                <w:sz w:val="21"/>
                <w:szCs w:val="20"/>
                <w:highlight w:val="none"/>
                <w:lang w:val="en-US" w:eastAsia="zh-CN" w:bidi="ar-SA"/>
              </w:rPr>
              <w:t>炉渣</w:t>
            </w:r>
          </w:p>
        </w:tc>
        <w:tc>
          <w:tcPr>
            <w:tcW w:w="1701" w:type="dxa"/>
            <w:noWrap w:val="0"/>
            <w:vAlign w:val="center"/>
          </w:tcPr>
          <w:p w14:paraId="73902E80">
            <w:pPr>
              <w:pStyle w:val="30"/>
              <w:bidi w:val="0"/>
              <w:rPr>
                <w:rFonts w:hint="default" w:ascii="Times New Roman" w:hAnsi="Times New Roman"/>
                <w:color w:val="auto"/>
                <w:lang w:val="en-US" w:eastAsia="zh-CN"/>
              </w:rPr>
            </w:pPr>
            <w:r>
              <w:rPr>
                <w:rFonts w:hint="eastAsia"/>
                <w:color w:val="auto"/>
                <w:lang w:val="en-US" w:eastAsia="zh-CN"/>
              </w:rPr>
              <w:t>/</w:t>
            </w:r>
          </w:p>
        </w:tc>
        <w:tc>
          <w:tcPr>
            <w:tcW w:w="1276" w:type="dxa"/>
            <w:noWrap w:val="0"/>
            <w:vAlign w:val="center"/>
          </w:tcPr>
          <w:p w14:paraId="4B96A6B9">
            <w:pPr>
              <w:pStyle w:val="30"/>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064AFE79">
            <w:pPr>
              <w:pStyle w:val="30"/>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43DEEB7B">
            <w:pPr>
              <w:pStyle w:val="30"/>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0.05t/a</w:t>
            </w:r>
          </w:p>
        </w:tc>
        <w:tc>
          <w:tcPr>
            <w:tcW w:w="1578" w:type="dxa"/>
            <w:noWrap w:val="0"/>
            <w:vAlign w:val="center"/>
          </w:tcPr>
          <w:p w14:paraId="4F761867">
            <w:pPr>
              <w:pStyle w:val="30"/>
              <w:bidi w:val="0"/>
              <w:rPr>
                <w:rFonts w:hint="default" w:ascii="Times New Roman" w:hAnsi="Times New Roman"/>
                <w:color w:val="auto"/>
                <w:lang w:val="en-US" w:eastAsia="zh-CN"/>
              </w:rPr>
            </w:pPr>
            <w:r>
              <w:rPr>
                <w:rFonts w:hint="eastAsia"/>
                <w:color w:val="auto"/>
                <w:lang w:val="en-US" w:eastAsia="zh-CN"/>
              </w:rPr>
              <w:t>/</w:t>
            </w:r>
          </w:p>
        </w:tc>
        <w:tc>
          <w:tcPr>
            <w:tcW w:w="1695" w:type="dxa"/>
            <w:shd w:val="clear" w:color="auto" w:fill="auto"/>
            <w:noWrap w:val="0"/>
            <w:vAlign w:val="center"/>
          </w:tcPr>
          <w:p w14:paraId="011B7661">
            <w:pPr>
              <w:pStyle w:val="30"/>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+0.05t/a</w:t>
            </w:r>
          </w:p>
        </w:tc>
      </w:tr>
      <w:tr w14:paraId="28F899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42ED8779">
            <w:pPr>
              <w:pStyle w:val="30"/>
              <w:bidi w:val="0"/>
              <w:rPr>
                <w:rFonts w:ascii="Times New Roman" w:hAnsi="Times New Roman"/>
                <w:color w:val="auto"/>
              </w:rPr>
            </w:pPr>
          </w:p>
        </w:tc>
        <w:tc>
          <w:tcPr>
            <w:tcW w:w="1417" w:type="dxa"/>
            <w:noWrap w:val="0"/>
            <w:vAlign w:val="center"/>
          </w:tcPr>
          <w:p w14:paraId="10B1C493">
            <w:pPr>
              <w:pStyle w:val="30"/>
              <w:bidi w:val="0"/>
              <w:rPr>
                <w:rFonts w:hint="eastAsia"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废机油</w:t>
            </w:r>
          </w:p>
        </w:tc>
        <w:tc>
          <w:tcPr>
            <w:tcW w:w="1701" w:type="dxa"/>
            <w:noWrap w:val="0"/>
            <w:vAlign w:val="center"/>
          </w:tcPr>
          <w:p w14:paraId="4D0E399A">
            <w:pPr>
              <w:pStyle w:val="30"/>
              <w:bidi w:val="0"/>
              <w:rPr>
                <w:rFonts w:hint="default"/>
                <w:color w:val="auto"/>
                <w:lang w:val="en-US" w:eastAsia="zh-CN"/>
              </w:rPr>
            </w:pPr>
            <w:r>
              <w:rPr>
                <w:rFonts w:hint="eastAsia"/>
                <w:color w:val="auto"/>
                <w:lang w:val="en-US" w:eastAsia="zh-CN"/>
              </w:rPr>
              <w:t>/</w:t>
            </w:r>
          </w:p>
        </w:tc>
        <w:tc>
          <w:tcPr>
            <w:tcW w:w="1276" w:type="dxa"/>
            <w:noWrap w:val="0"/>
            <w:vAlign w:val="center"/>
          </w:tcPr>
          <w:p w14:paraId="730FD15E">
            <w:pPr>
              <w:pStyle w:val="30"/>
              <w:bidi w:val="0"/>
              <w:rPr>
                <w:rFonts w:hint="default"/>
                <w:color w:val="auto"/>
                <w:lang w:val="en-US" w:eastAsia="zh-CN"/>
              </w:rPr>
            </w:pPr>
            <w:r>
              <w:rPr>
                <w:rFonts w:hint="eastAsia"/>
                <w:color w:val="auto"/>
                <w:lang w:val="en-US" w:eastAsia="zh-CN"/>
              </w:rPr>
              <w:t>/</w:t>
            </w:r>
          </w:p>
        </w:tc>
        <w:tc>
          <w:tcPr>
            <w:tcW w:w="1701" w:type="dxa"/>
            <w:noWrap w:val="0"/>
            <w:vAlign w:val="center"/>
          </w:tcPr>
          <w:p w14:paraId="4D542158">
            <w:pPr>
              <w:pStyle w:val="30"/>
              <w:bidi w:val="0"/>
              <w:rPr>
                <w:rFonts w:hint="default"/>
                <w:color w:val="auto"/>
                <w:lang w:val="en-US" w:eastAsia="zh-CN"/>
              </w:rPr>
            </w:pPr>
            <w:r>
              <w:rPr>
                <w:rFonts w:hint="eastAsia"/>
                <w:color w:val="auto"/>
                <w:lang w:val="en-US" w:eastAsia="zh-CN"/>
              </w:rPr>
              <w:t>/</w:t>
            </w:r>
          </w:p>
        </w:tc>
        <w:tc>
          <w:tcPr>
            <w:tcW w:w="1559" w:type="dxa"/>
            <w:noWrap w:val="0"/>
            <w:vAlign w:val="center"/>
          </w:tcPr>
          <w:p w14:paraId="351F6E53">
            <w:pPr>
              <w:pStyle w:val="30"/>
              <w:bidi w:val="0"/>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0.05t/a</w:t>
            </w:r>
          </w:p>
        </w:tc>
        <w:tc>
          <w:tcPr>
            <w:tcW w:w="1578" w:type="dxa"/>
            <w:noWrap w:val="0"/>
            <w:vAlign w:val="center"/>
          </w:tcPr>
          <w:p w14:paraId="1C0EB844">
            <w:pPr>
              <w:pStyle w:val="30"/>
              <w:bidi w:val="0"/>
              <w:rPr>
                <w:rFonts w:hint="default"/>
                <w:color w:val="auto"/>
                <w:lang w:val="en-US" w:eastAsia="zh-CN"/>
              </w:rPr>
            </w:pPr>
            <w:r>
              <w:rPr>
                <w:rFonts w:hint="eastAsia"/>
                <w:color w:val="auto"/>
                <w:lang w:val="en-US" w:eastAsia="zh-CN"/>
              </w:rPr>
              <w:t>/</w:t>
            </w:r>
          </w:p>
        </w:tc>
        <w:tc>
          <w:tcPr>
            <w:tcW w:w="1695" w:type="dxa"/>
            <w:shd w:val="clear" w:color="auto" w:fill="auto"/>
            <w:noWrap w:val="0"/>
            <w:vAlign w:val="center"/>
          </w:tcPr>
          <w:p w14:paraId="2B129F22">
            <w:pPr>
              <w:pStyle w:val="30"/>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+0.05t/a</w:t>
            </w:r>
          </w:p>
        </w:tc>
      </w:tr>
    </w:tbl>
    <w:p w14:paraId="06947B38">
      <w:pPr>
        <w:bidi w:val="0"/>
        <w:jc w:val="center"/>
        <w:outlineLvl w:val="9"/>
        <w:rPr>
          <w:rFonts w:hint="eastAsia" w:ascii="Times New Roman" w:hAnsi="Times New Roman"/>
          <w:color w:val="auto"/>
        </w:rPr>
      </w:pPr>
    </w:p>
    <w:p w14:paraId="44726708">
      <w:pPr>
        <w:ind w:firstLine="420" w:firstLineChars="200"/>
        <w:rPr>
          <w:rFonts w:ascii="Times New Roman" w:hAnsi="Times New Roman"/>
          <w:snapToGrid w:val="0"/>
          <w:color w:val="auto"/>
          <w:spacing w:val="-6"/>
          <w:kern w:val="21"/>
          <w:szCs w:val="21"/>
        </w:rPr>
        <w:sectPr>
          <w:footerReference r:id="rId7" w:type="default"/>
          <w:pgSz w:w="16838" w:h="11906" w:orient="landscape"/>
          <w:pgMar w:top="1474" w:right="1701" w:bottom="1474"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rFonts w:ascii="Times New Roman" w:hAnsi="Times New Roman"/>
          <w:snapToGrid w:val="0"/>
          <w:color w:val="auto"/>
          <w:kern w:val="21"/>
          <w:szCs w:val="21"/>
        </w:rPr>
        <w:t>注：</w:t>
      </w:r>
      <w:r>
        <w:rPr>
          <w:rFonts w:ascii="Times New Roman" w:hAnsi="Times New Roman"/>
          <w:snapToGrid w:val="0"/>
          <w:color w:val="auto"/>
          <w:spacing w:val="-16"/>
          <w:kern w:val="21"/>
          <w:szCs w:val="21"/>
        </w:rPr>
        <w:fldChar w:fldCharType="begin"/>
      </w:r>
      <w:r>
        <w:rPr>
          <w:rFonts w:ascii="Times New Roman" w:hAnsi="Times New Roman"/>
          <w:snapToGrid w:val="0"/>
          <w:color w:val="auto"/>
          <w:spacing w:val="-16"/>
          <w:kern w:val="21"/>
          <w:szCs w:val="21"/>
        </w:rPr>
        <w:instrText xml:space="preserve"> = 6 \* GB3 \* MERGEFORMAT </w:instrText>
      </w:r>
      <w:r>
        <w:rPr>
          <w:rFonts w:ascii="Times New Roman" w:hAnsi="Times New Roman"/>
          <w:snapToGrid w:val="0"/>
          <w:color w:val="auto"/>
          <w:spacing w:val="-16"/>
          <w:kern w:val="21"/>
          <w:szCs w:val="21"/>
        </w:rPr>
        <w:fldChar w:fldCharType="separate"/>
      </w:r>
      <w:r>
        <w:rPr>
          <w:rFonts w:hint="eastAsia" w:ascii="Times New Roman" w:hAnsi="Times New Roman"/>
          <w:color w:val="auto"/>
          <w:szCs w:val="21"/>
        </w:rPr>
        <w:t>⑥</w:t>
      </w:r>
      <w:r>
        <w:rPr>
          <w:rFonts w:ascii="Times New Roman" w:hAnsi="Times New Roman"/>
          <w:snapToGrid w:val="0"/>
          <w:color w:val="auto"/>
          <w:spacing w:val="-16"/>
          <w:kern w:val="21"/>
          <w:szCs w:val="21"/>
        </w:rPr>
        <w:fldChar w:fldCharType="end"/>
      </w:r>
      <w:r>
        <w:rPr>
          <w:rFonts w:ascii="Times New Roman" w:hAnsi="Times New Roman"/>
          <w:snapToGrid w:val="0"/>
          <w:color w:val="auto"/>
          <w:spacing w:val="-16"/>
          <w:kern w:val="21"/>
          <w:szCs w:val="21"/>
        </w:rPr>
        <w:t>=</w:t>
      </w:r>
      <w:r>
        <w:rPr>
          <w:rFonts w:ascii="Times New Roman" w:hAnsi="Times New Roman"/>
          <w:snapToGrid w:val="0"/>
          <w:color w:val="auto"/>
          <w:spacing w:val="-6"/>
          <w:kern w:val="21"/>
          <w:szCs w:val="21"/>
        </w:rPr>
        <w:fldChar w:fldCharType="begin"/>
      </w:r>
      <w:r>
        <w:rPr>
          <w:rFonts w:ascii="Times New Roman" w:hAnsi="Times New Roman"/>
          <w:snapToGrid w:val="0"/>
          <w:color w:val="auto"/>
          <w:spacing w:val="-6"/>
          <w:kern w:val="21"/>
          <w:szCs w:val="21"/>
        </w:rPr>
        <w:instrText xml:space="preserve"> = 1 \* GB3 \* MERGEFORMAT </w:instrText>
      </w:r>
      <w:r>
        <w:rPr>
          <w:rFonts w:ascii="Times New Roman" w:hAnsi="Times New Roman"/>
          <w:snapToGrid w:val="0"/>
          <w:color w:val="auto"/>
          <w:spacing w:val="-6"/>
          <w:kern w:val="21"/>
          <w:szCs w:val="21"/>
        </w:rPr>
        <w:fldChar w:fldCharType="separate"/>
      </w:r>
      <w:r>
        <w:rPr>
          <w:rFonts w:hint="eastAsia" w:ascii="Times New Roman" w:hAnsi="Times New Roman"/>
          <w:color w:val="auto"/>
          <w:szCs w:val="21"/>
        </w:rPr>
        <w:t>①</w:t>
      </w:r>
      <w:r>
        <w:rPr>
          <w:rFonts w:ascii="Times New Roman" w:hAnsi="Times New Roman"/>
          <w:snapToGrid w:val="0"/>
          <w:color w:val="auto"/>
          <w:spacing w:val="-6"/>
          <w:kern w:val="21"/>
          <w:szCs w:val="21"/>
        </w:rPr>
        <w:fldChar w:fldCharType="end"/>
      </w:r>
      <w:r>
        <w:rPr>
          <w:rFonts w:ascii="Times New Roman" w:hAnsi="Times New Roman"/>
          <w:snapToGrid w:val="0"/>
          <w:color w:val="auto"/>
          <w:spacing w:val="-6"/>
          <w:kern w:val="21"/>
          <w:szCs w:val="21"/>
        </w:rPr>
        <w:t>+</w:t>
      </w:r>
      <w:r>
        <w:rPr>
          <w:rFonts w:ascii="Times New Roman" w:hAnsi="Times New Roman"/>
          <w:snapToGrid w:val="0"/>
          <w:color w:val="auto"/>
          <w:spacing w:val="-6"/>
          <w:kern w:val="21"/>
          <w:szCs w:val="21"/>
        </w:rPr>
        <w:fldChar w:fldCharType="begin"/>
      </w:r>
      <w:r>
        <w:rPr>
          <w:rFonts w:ascii="Times New Roman" w:hAnsi="Times New Roman"/>
          <w:snapToGrid w:val="0"/>
          <w:color w:val="auto"/>
          <w:spacing w:val="-6"/>
          <w:kern w:val="21"/>
          <w:szCs w:val="21"/>
        </w:rPr>
        <w:instrText xml:space="preserve"> = 3 \* GB3 \* MERGEFORMAT </w:instrText>
      </w:r>
      <w:r>
        <w:rPr>
          <w:rFonts w:ascii="Times New Roman" w:hAnsi="Times New Roman"/>
          <w:snapToGrid w:val="0"/>
          <w:color w:val="auto"/>
          <w:spacing w:val="-6"/>
          <w:kern w:val="21"/>
          <w:szCs w:val="21"/>
        </w:rPr>
        <w:fldChar w:fldCharType="separate"/>
      </w:r>
      <w:r>
        <w:rPr>
          <w:rFonts w:hint="eastAsia" w:ascii="Times New Roman" w:hAnsi="Times New Roman"/>
          <w:color w:val="auto"/>
          <w:szCs w:val="21"/>
        </w:rPr>
        <w:t>③</w:t>
      </w:r>
      <w:r>
        <w:rPr>
          <w:rFonts w:ascii="Times New Roman" w:hAnsi="Times New Roman"/>
          <w:snapToGrid w:val="0"/>
          <w:color w:val="auto"/>
          <w:spacing w:val="-6"/>
          <w:kern w:val="21"/>
          <w:szCs w:val="21"/>
        </w:rPr>
        <w:fldChar w:fldCharType="end"/>
      </w:r>
      <w:r>
        <w:rPr>
          <w:rFonts w:ascii="Times New Roman" w:hAnsi="Times New Roman"/>
          <w:snapToGrid w:val="0"/>
          <w:color w:val="auto"/>
          <w:spacing w:val="-6"/>
          <w:kern w:val="21"/>
          <w:szCs w:val="21"/>
        </w:rPr>
        <w:t>+</w:t>
      </w:r>
      <w:r>
        <w:rPr>
          <w:rFonts w:ascii="Times New Roman" w:hAnsi="Times New Roman"/>
          <w:snapToGrid w:val="0"/>
          <w:color w:val="auto"/>
          <w:spacing w:val="-6"/>
          <w:kern w:val="21"/>
          <w:szCs w:val="21"/>
        </w:rPr>
        <w:fldChar w:fldCharType="begin"/>
      </w:r>
      <w:r>
        <w:rPr>
          <w:rFonts w:ascii="Times New Roman" w:hAnsi="Times New Roman"/>
          <w:snapToGrid w:val="0"/>
          <w:color w:val="auto"/>
          <w:spacing w:val="-6"/>
          <w:kern w:val="21"/>
          <w:szCs w:val="21"/>
        </w:rPr>
        <w:instrText xml:space="preserve"> = 4 \* GB3 \* MERGEFORMAT </w:instrText>
      </w:r>
      <w:r>
        <w:rPr>
          <w:rFonts w:ascii="Times New Roman" w:hAnsi="Times New Roman"/>
          <w:snapToGrid w:val="0"/>
          <w:color w:val="auto"/>
          <w:spacing w:val="-6"/>
          <w:kern w:val="21"/>
          <w:szCs w:val="21"/>
        </w:rPr>
        <w:fldChar w:fldCharType="separate"/>
      </w:r>
      <w:r>
        <w:rPr>
          <w:rFonts w:hint="eastAsia" w:ascii="Times New Roman" w:hAnsi="Times New Roman"/>
          <w:color w:val="auto"/>
          <w:szCs w:val="21"/>
        </w:rPr>
        <w:t>④</w:t>
      </w:r>
      <w:r>
        <w:rPr>
          <w:rFonts w:ascii="Times New Roman" w:hAnsi="Times New Roman"/>
          <w:snapToGrid w:val="0"/>
          <w:color w:val="auto"/>
          <w:spacing w:val="-6"/>
          <w:kern w:val="21"/>
          <w:szCs w:val="21"/>
        </w:rPr>
        <w:fldChar w:fldCharType="end"/>
      </w:r>
      <w:r>
        <w:rPr>
          <w:rFonts w:ascii="Times New Roman" w:hAnsi="Times New Roman"/>
          <w:snapToGrid w:val="0"/>
          <w:color w:val="auto"/>
          <w:spacing w:val="-6"/>
          <w:kern w:val="21"/>
          <w:szCs w:val="21"/>
        </w:rPr>
        <w:t>-</w:t>
      </w:r>
      <w:r>
        <w:rPr>
          <w:rFonts w:ascii="Times New Roman" w:hAnsi="Times New Roman"/>
          <w:snapToGrid w:val="0"/>
          <w:color w:val="auto"/>
          <w:spacing w:val="-16"/>
          <w:kern w:val="21"/>
          <w:szCs w:val="21"/>
        </w:rPr>
        <w:fldChar w:fldCharType="begin"/>
      </w:r>
      <w:r>
        <w:rPr>
          <w:rFonts w:ascii="Times New Roman" w:hAnsi="Times New Roman"/>
          <w:snapToGrid w:val="0"/>
          <w:color w:val="auto"/>
          <w:spacing w:val="-16"/>
          <w:kern w:val="21"/>
          <w:szCs w:val="21"/>
        </w:rPr>
        <w:instrText xml:space="preserve"> = 5 \* GB3 \* MERGEFORMAT </w:instrText>
      </w:r>
      <w:r>
        <w:rPr>
          <w:rFonts w:ascii="Times New Roman" w:hAnsi="Times New Roman"/>
          <w:snapToGrid w:val="0"/>
          <w:color w:val="auto"/>
          <w:spacing w:val="-16"/>
          <w:kern w:val="21"/>
          <w:szCs w:val="21"/>
        </w:rPr>
        <w:fldChar w:fldCharType="separate"/>
      </w:r>
      <w:r>
        <w:rPr>
          <w:rFonts w:hint="eastAsia" w:ascii="Times New Roman" w:hAnsi="Times New Roman"/>
          <w:color w:val="auto"/>
          <w:szCs w:val="21"/>
        </w:rPr>
        <w:t>⑤</w:t>
      </w:r>
      <w:r>
        <w:rPr>
          <w:rFonts w:ascii="Times New Roman" w:hAnsi="Times New Roman"/>
          <w:snapToGrid w:val="0"/>
          <w:color w:val="auto"/>
          <w:spacing w:val="-16"/>
          <w:kern w:val="21"/>
          <w:szCs w:val="21"/>
        </w:rPr>
        <w:fldChar w:fldCharType="end"/>
      </w:r>
      <w:r>
        <w:rPr>
          <w:rFonts w:ascii="Times New Roman" w:hAnsi="Times New Roman"/>
          <w:snapToGrid w:val="0"/>
          <w:color w:val="auto"/>
          <w:spacing w:val="-16"/>
          <w:kern w:val="21"/>
          <w:szCs w:val="21"/>
        </w:rPr>
        <w:t>；</w:t>
      </w:r>
      <w:r>
        <w:rPr>
          <w:rFonts w:ascii="Times New Roman" w:hAnsi="Times New Roman"/>
          <w:snapToGrid w:val="0"/>
          <w:color w:val="auto"/>
          <w:spacing w:val="-6"/>
          <w:kern w:val="21"/>
          <w:szCs w:val="21"/>
        </w:rPr>
        <w:fldChar w:fldCharType="begin"/>
      </w:r>
      <w:r>
        <w:rPr>
          <w:rFonts w:ascii="Times New Roman" w:hAnsi="Times New Roman"/>
          <w:snapToGrid w:val="0"/>
          <w:color w:val="auto"/>
          <w:spacing w:val="-6"/>
          <w:kern w:val="21"/>
          <w:szCs w:val="21"/>
        </w:rPr>
        <w:instrText xml:space="preserve"> = 7 \* GB3 \* MERGEFORMAT </w:instrText>
      </w:r>
      <w:r>
        <w:rPr>
          <w:rFonts w:ascii="Times New Roman" w:hAnsi="Times New Roman"/>
          <w:snapToGrid w:val="0"/>
          <w:color w:val="auto"/>
          <w:spacing w:val="-6"/>
          <w:kern w:val="21"/>
          <w:szCs w:val="21"/>
        </w:rPr>
        <w:fldChar w:fldCharType="separate"/>
      </w:r>
      <w:r>
        <w:rPr>
          <w:rFonts w:hint="eastAsia" w:ascii="Times New Roman" w:hAnsi="Times New Roman"/>
          <w:color w:val="auto"/>
          <w:szCs w:val="21"/>
        </w:rPr>
        <w:t>⑦</w:t>
      </w:r>
      <w:r>
        <w:rPr>
          <w:rFonts w:ascii="Times New Roman" w:hAnsi="Times New Roman"/>
          <w:snapToGrid w:val="0"/>
          <w:color w:val="auto"/>
          <w:spacing w:val="-6"/>
          <w:kern w:val="21"/>
          <w:szCs w:val="21"/>
        </w:rPr>
        <w:fldChar w:fldCharType="end"/>
      </w:r>
      <w:r>
        <w:rPr>
          <w:rFonts w:ascii="Times New Roman" w:hAnsi="Times New Roman"/>
          <w:snapToGrid w:val="0"/>
          <w:color w:val="auto"/>
          <w:spacing w:val="-6"/>
          <w:kern w:val="21"/>
          <w:szCs w:val="21"/>
        </w:rPr>
        <w:t>=</w:t>
      </w:r>
      <w:r>
        <w:rPr>
          <w:rFonts w:ascii="Times New Roman" w:hAnsi="Times New Roman"/>
          <w:snapToGrid w:val="0"/>
          <w:color w:val="auto"/>
          <w:spacing w:val="-16"/>
          <w:kern w:val="21"/>
          <w:szCs w:val="21"/>
        </w:rPr>
        <w:fldChar w:fldCharType="begin"/>
      </w:r>
      <w:r>
        <w:rPr>
          <w:rFonts w:ascii="Times New Roman" w:hAnsi="Times New Roman"/>
          <w:snapToGrid w:val="0"/>
          <w:color w:val="auto"/>
          <w:spacing w:val="-16"/>
          <w:kern w:val="21"/>
          <w:szCs w:val="21"/>
        </w:rPr>
        <w:instrText xml:space="preserve"> = 6 \* GB3 \* MERGEFORMAT </w:instrText>
      </w:r>
      <w:r>
        <w:rPr>
          <w:rFonts w:ascii="Times New Roman" w:hAnsi="Times New Roman"/>
          <w:snapToGrid w:val="0"/>
          <w:color w:val="auto"/>
          <w:spacing w:val="-16"/>
          <w:kern w:val="21"/>
          <w:szCs w:val="21"/>
        </w:rPr>
        <w:fldChar w:fldCharType="separate"/>
      </w:r>
      <w:r>
        <w:rPr>
          <w:rFonts w:hint="eastAsia" w:ascii="Times New Roman" w:hAnsi="Times New Roman"/>
          <w:color w:val="auto"/>
          <w:szCs w:val="21"/>
        </w:rPr>
        <w:t>⑥</w:t>
      </w:r>
      <w:r>
        <w:rPr>
          <w:rFonts w:ascii="Times New Roman" w:hAnsi="Times New Roman"/>
          <w:snapToGrid w:val="0"/>
          <w:color w:val="auto"/>
          <w:spacing w:val="-16"/>
          <w:kern w:val="21"/>
          <w:szCs w:val="21"/>
        </w:rPr>
        <w:fldChar w:fldCharType="end"/>
      </w:r>
      <w:r>
        <w:rPr>
          <w:rFonts w:ascii="Times New Roman" w:hAnsi="Times New Roman"/>
          <w:snapToGrid w:val="0"/>
          <w:color w:val="auto"/>
          <w:spacing w:val="-16"/>
          <w:kern w:val="21"/>
          <w:szCs w:val="21"/>
        </w:rPr>
        <w:t>-</w:t>
      </w:r>
      <w:r>
        <w:rPr>
          <w:rFonts w:ascii="Times New Roman" w:hAnsi="Times New Roman"/>
          <w:snapToGrid w:val="0"/>
          <w:color w:val="auto"/>
          <w:spacing w:val="-6"/>
          <w:kern w:val="21"/>
          <w:szCs w:val="21"/>
        </w:rPr>
        <w:fldChar w:fldCharType="begin"/>
      </w:r>
      <w:r>
        <w:rPr>
          <w:rFonts w:ascii="Times New Roman" w:hAnsi="Times New Roman"/>
          <w:snapToGrid w:val="0"/>
          <w:color w:val="auto"/>
          <w:spacing w:val="-6"/>
          <w:kern w:val="21"/>
          <w:szCs w:val="21"/>
        </w:rPr>
        <w:instrText xml:space="preserve"> = 1 \* GB3 \* MERGEFORMAT </w:instrText>
      </w:r>
      <w:r>
        <w:rPr>
          <w:rFonts w:ascii="Times New Roman" w:hAnsi="Times New Roman"/>
          <w:snapToGrid w:val="0"/>
          <w:color w:val="auto"/>
          <w:spacing w:val="-6"/>
          <w:kern w:val="21"/>
          <w:szCs w:val="21"/>
        </w:rPr>
        <w:fldChar w:fldCharType="separate"/>
      </w:r>
      <w:r>
        <w:rPr>
          <w:rFonts w:hint="eastAsia" w:ascii="Times New Roman" w:hAnsi="Times New Roman"/>
          <w:color w:val="auto"/>
          <w:szCs w:val="21"/>
        </w:rPr>
        <w:t>①</w:t>
      </w:r>
      <w:r>
        <w:rPr>
          <w:rFonts w:ascii="Times New Roman" w:hAnsi="Times New Roman"/>
          <w:snapToGrid w:val="0"/>
          <w:color w:val="auto"/>
          <w:spacing w:val="-6"/>
          <w:kern w:val="21"/>
          <w:szCs w:val="21"/>
        </w:rPr>
        <w:fldChar w:fldCharType="end"/>
      </w:r>
    </w:p>
    <w:p w14:paraId="36CE1759">
      <w:pPr>
        <w:pStyle w:val="32"/>
        <w:bidi w:val="0"/>
        <w:ind w:firstLine="562" w:firstLineChars="200"/>
        <w:outlineLvl w:val="0"/>
        <w:rPr>
          <w:rFonts w:hint="eastAsia" w:ascii="Times New Roman" w:hAnsi="Times New Roman"/>
          <w:color w:val="auto"/>
          <w:lang w:val="en-US" w:eastAsia="zh-CN"/>
        </w:rPr>
      </w:pPr>
      <w:bookmarkStart w:id="134" w:name="_Toc25371"/>
      <w:bookmarkStart w:id="135" w:name="_Toc24104"/>
      <w:r>
        <w:drawing>
          <wp:anchor distT="0" distB="0" distL="114300" distR="114300" simplePos="0" relativeHeight="251669504" behindDoc="0" locked="0" layoutInCell="1" allowOverlap="1">
            <wp:simplePos x="0" y="0"/>
            <wp:positionH relativeFrom="column">
              <wp:posOffset>-122555</wp:posOffset>
            </wp:positionH>
            <wp:positionV relativeFrom="paragraph">
              <wp:posOffset>222250</wp:posOffset>
            </wp:positionV>
            <wp:extent cx="6202045" cy="7726680"/>
            <wp:effectExtent l="0" t="0" r="8255" b="7620"/>
            <wp:wrapNone/>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35"/>
                    <a:srcRect t="4563" b="8120"/>
                    <a:stretch>
                      <a:fillRect/>
                    </a:stretch>
                  </pic:blipFill>
                  <pic:spPr>
                    <a:xfrm>
                      <a:off x="0" y="0"/>
                      <a:ext cx="6202045" cy="7726680"/>
                    </a:xfrm>
                    <a:prstGeom prst="rect">
                      <a:avLst/>
                    </a:prstGeom>
                    <a:noFill/>
                    <a:ln>
                      <a:noFill/>
                    </a:ln>
                  </pic:spPr>
                </pic:pic>
              </a:graphicData>
            </a:graphic>
          </wp:anchor>
        </w:drawing>
      </w:r>
      <w:r>
        <w:rPr>
          <w:rFonts w:hint="eastAsia" w:ascii="Times New Roman" w:hAnsi="Times New Roman"/>
          <w:color w:val="auto"/>
          <w:lang w:val="en-US" w:eastAsia="zh-CN"/>
        </w:rPr>
        <w:t>附件</w:t>
      </w:r>
      <w:r>
        <w:rPr>
          <w:rFonts w:hint="eastAsia"/>
          <w:color w:val="auto"/>
          <w:lang w:val="en-US" w:eastAsia="zh-CN"/>
        </w:rPr>
        <w:t>六</w:t>
      </w:r>
      <w:r>
        <w:rPr>
          <w:rFonts w:hint="eastAsia" w:ascii="Times New Roman" w:hAnsi="Times New Roman"/>
          <w:color w:val="auto"/>
          <w:lang w:val="en-US" w:eastAsia="zh-CN"/>
        </w:rPr>
        <w:t>：关于公开建设项目环评文件等信息情况的说明</w:t>
      </w:r>
      <w:bookmarkEnd w:id="134"/>
      <w:bookmarkEnd w:id="135"/>
    </w:p>
    <w:p w14:paraId="09B22ED2">
      <w:pPr>
        <w:ind w:firstLine="723" w:firstLineChars="200"/>
        <w:jc w:val="center"/>
        <w:rPr>
          <w:rFonts w:hint="default" w:ascii="Times New Roman" w:hAnsi="Times New Roman" w:cs="Times New Roman"/>
          <w:b/>
          <w:color w:val="auto"/>
          <w:sz w:val="36"/>
        </w:rPr>
      </w:pPr>
      <w:r>
        <w:rPr>
          <w:rFonts w:hint="default" w:ascii="Times New Roman" w:hAnsi="Times New Roman" w:cs="Times New Roman"/>
          <w:b/>
          <w:color w:val="auto"/>
          <w:sz w:val="36"/>
        </w:rPr>
        <w:t>关于公开建设项目环评文件等信息情况的说明</w:t>
      </w:r>
    </w:p>
    <w:p w14:paraId="0F562853">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560" w:firstLineChars="200"/>
        <w:textAlignment w:val="auto"/>
        <w:rPr>
          <w:rFonts w:hint="default" w:ascii="Times New Roman" w:hAnsi="Times New Roman" w:cs="Times New Roman"/>
          <w:color w:val="auto"/>
          <w:sz w:val="28"/>
        </w:rPr>
      </w:pPr>
      <w:r>
        <w:rPr>
          <w:rFonts w:hint="eastAsia" w:cs="Times New Roman"/>
          <w:color w:val="auto"/>
          <w:sz w:val="28"/>
          <w:lang w:val="en-US" w:eastAsia="zh-CN"/>
        </w:rPr>
        <w:t>福州市闽侯生态环境局</w:t>
      </w:r>
      <w:r>
        <w:rPr>
          <w:rFonts w:hint="default" w:ascii="Times New Roman" w:hAnsi="Times New Roman" w:cs="Times New Roman"/>
          <w:color w:val="auto"/>
          <w:sz w:val="28"/>
        </w:rPr>
        <w:t>：</w:t>
      </w:r>
    </w:p>
    <w:p w14:paraId="2006253F">
      <w:pPr>
        <w:keepNext w:val="0"/>
        <w:keepLines w:val="0"/>
        <w:pageBreakBefore w:val="0"/>
        <w:widowControl w:val="0"/>
        <w:kinsoku/>
        <w:wordWrap w:val="0"/>
        <w:overflowPunct/>
        <w:topLinePunct w:val="0"/>
        <w:autoSpaceDE/>
        <w:autoSpaceDN/>
        <w:bidi w:val="0"/>
        <w:adjustRightInd/>
        <w:snapToGrid/>
        <w:spacing w:line="240" w:lineRule="auto"/>
        <w:ind w:firstLine="560" w:firstLineChars="200"/>
        <w:textAlignment w:val="auto"/>
        <w:rPr>
          <w:rFonts w:hint="default" w:ascii="Times New Roman" w:hAnsi="Times New Roman" w:cs="Times New Roman"/>
          <w:color w:val="auto"/>
          <w:sz w:val="28"/>
        </w:rPr>
      </w:pPr>
      <w:r>
        <w:rPr>
          <w:rFonts w:hint="default" w:ascii="Times New Roman" w:hAnsi="Times New Roman" w:cs="Times New Roman"/>
          <w:color w:val="auto"/>
          <w:sz w:val="28"/>
        </w:rPr>
        <w:t>我单位已按照《环境保护法》、《建设项目环境影响评价信息公开机制方案》（环发[2015]162号）等相关规定，通过福建环保网（链</w:t>
      </w:r>
      <w:r>
        <w:rPr>
          <w:rFonts w:hint="default" w:ascii="Times New Roman" w:hAnsi="Times New Roman" w:cs="Times New Roman"/>
          <w:color w:val="auto"/>
          <w:sz w:val="28"/>
          <w:highlight w:val="none"/>
        </w:rPr>
        <w:t>接：https://www.fjhb.org/huanping/quanben/45900.html）</w:t>
      </w:r>
      <w:r>
        <w:rPr>
          <w:rFonts w:hint="default" w:ascii="Times New Roman" w:hAnsi="Times New Roman" w:cs="Times New Roman"/>
          <w:color w:val="auto"/>
          <w:sz w:val="28"/>
        </w:rPr>
        <w:t>公开建设项目环评文件等信息（具体见下图）</w:t>
      </w:r>
    </w:p>
    <w:p w14:paraId="5D2A00CF">
      <w:pPr>
        <w:pStyle w:val="25"/>
        <w:keepNext w:val="0"/>
        <w:keepLines w:val="0"/>
        <w:pageBreakBefore w:val="0"/>
        <w:widowControl w:val="0"/>
        <w:kinsoku/>
        <w:wordWrap/>
        <w:overflowPunct/>
        <w:topLinePunct w:val="0"/>
        <w:autoSpaceDE/>
        <w:autoSpaceDN/>
        <w:bidi w:val="0"/>
        <w:adjustRightInd w:val="0"/>
        <w:snapToGrid w:val="0"/>
        <w:spacing w:line="240" w:lineRule="auto"/>
        <w:ind w:left="-525" w:leftChars="-250" w:firstLine="0" w:firstLineChars="0"/>
        <w:jc w:val="center"/>
        <w:textAlignment w:val="auto"/>
        <w:rPr>
          <w:rFonts w:hint="default"/>
          <w:color w:val="auto"/>
          <w:lang w:eastAsia="zh-CN"/>
        </w:rPr>
      </w:pPr>
    </w:p>
    <w:p w14:paraId="112A69FE">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right"/>
        <w:textAlignment w:val="auto"/>
        <w:rPr>
          <w:rFonts w:hint="eastAsia" w:cs="Times New Roman"/>
          <w:color w:val="auto"/>
          <w:sz w:val="28"/>
          <w:szCs w:val="22"/>
          <w:lang w:val="en-US" w:eastAsia="zh-CN"/>
        </w:rPr>
      </w:pPr>
      <w:r>
        <w:drawing>
          <wp:inline distT="0" distB="0" distL="114300" distR="114300">
            <wp:extent cx="5679440" cy="3957320"/>
            <wp:effectExtent l="0" t="0" r="16510" b="5080"/>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36"/>
                    <a:stretch>
                      <a:fillRect/>
                    </a:stretch>
                  </pic:blipFill>
                  <pic:spPr>
                    <a:xfrm>
                      <a:off x="0" y="0"/>
                      <a:ext cx="5679440" cy="3957320"/>
                    </a:xfrm>
                    <a:prstGeom prst="rect">
                      <a:avLst/>
                    </a:prstGeom>
                    <a:noFill/>
                    <a:ln>
                      <a:noFill/>
                    </a:ln>
                  </pic:spPr>
                </pic:pic>
              </a:graphicData>
            </a:graphic>
          </wp:inline>
        </w:drawing>
      </w:r>
      <w:r>
        <w:rPr>
          <w:rFonts w:hint="eastAsia" w:cs="Times New Roman"/>
          <w:color w:val="auto"/>
          <w:sz w:val="28"/>
          <w:szCs w:val="22"/>
          <w:lang w:val="en-US" w:eastAsia="zh-CN"/>
        </w:rPr>
        <w:t xml:space="preserve">          </w:t>
      </w:r>
    </w:p>
    <w:p w14:paraId="53409CFB">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right"/>
        <w:textAlignment w:val="auto"/>
        <w:rPr>
          <w:rFonts w:hint="default" w:ascii="Times New Roman" w:hAnsi="Times New Roman" w:eastAsia="宋体" w:cs="Times New Roman"/>
          <w:color w:val="auto"/>
          <w:sz w:val="28"/>
          <w:lang w:eastAsia="zh-CN"/>
        </w:rPr>
      </w:pPr>
      <w:r>
        <w:rPr>
          <w:rFonts w:hint="eastAsia" w:cs="Times New Roman"/>
          <w:color w:val="auto"/>
          <w:sz w:val="28"/>
          <w:szCs w:val="22"/>
          <w:lang w:val="en-US" w:eastAsia="zh-CN"/>
        </w:rPr>
        <w:t xml:space="preserve">     </w:t>
      </w:r>
      <w:r>
        <w:rPr>
          <w:rFonts w:hint="eastAsia" w:ascii="Times New Roman" w:hAnsi="Times New Roman" w:eastAsia="宋体" w:cs="Times New Roman"/>
          <w:color w:val="auto"/>
          <w:sz w:val="28"/>
          <w:lang w:val="en-US" w:eastAsia="zh-CN"/>
        </w:rPr>
        <w:t xml:space="preserve">  </w:t>
      </w:r>
      <w:r>
        <w:rPr>
          <w:rFonts w:hint="eastAsia" w:cs="Times New Roman"/>
          <w:color w:val="auto"/>
          <w:sz w:val="28"/>
          <w:lang w:eastAsia="zh-CN"/>
        </w:rPr>
        <w:t>磁晶光电科技(福州)有限责任公司</w:t>
      </w:r>
    </w:p>
    <w:p w14:paraId="20E2DCF7">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right"/>
        <w:textAlignment w:val="auto"/>
        <w:rPr>
          <w:rFonts w:hint="default" w:ascii="Times New Roman" w:hAnsi="Times New Roman" w:eastAsia="宋体" w:cs="Times New Roman"/>
          <w:color w:val="auto"/>
          <w:sz w:val="28"/>
        </w:rPr>
      </w:pPr>
      <w:r>
        <w:rPr>
          <w:rFonts w:hint="default" w:ascii="Times New Roman" w:hAnsi="Times New Roman" w:eastAsia="宋体" w:cs="Times New Roman"/>
          <w:color w:val="auto"/>
          <w:sz w:val="28"/>
          <w:lang w:eastAsia="zh-CN"/>
        </w:rPr>
        <w:t>20</w:t>
      </w:r>
      <w:r>
        <w:rPr>
          <w:rFonts w:hint="eastAsia" w:ascii="Times New Roman" w:hAnsi="Times New Roman" w:eastAsia="宋体" w:cs="Times New Roman"/>
          <w:color w:val="auto"/>
          <w:sz w:val="28"/>
          <w:lang w:val="en-US" w:eastAsia="zh-CN"/>
        </w:rPr>
        <w:t>2</w:t>
      </w:r>
      <w:r>
        <w:rPr>
          <w:rFonts w:hint="eastAsia" w:cs="Times New Roman"/>
          <w:color w:val="auto"/>
          <w:sz w:val="28"/>
          <w:lang w:val="en-US" w:eastAsia="zh-CN"/>
        </w:rPr>
        <w:t>6</w:t>
      </w:r>
      <w:r>
        <w:rPr>
          <w:rFonts w:hint="default" w:ascii="Times New Roman" w:hAnsi="Times New Roman" w:eastAsia="宋体" w:cs="Times New Roman"/>
          <w:color w:val="auto"/>
          <w:sz w:val="28"/>
          <w:lang w:eastAsia="zh-CN"/>
        </w:rPr>
        <w:t>年</w:t>
      </w:r>
      <w:r>
        <w:rPr>
          <w:rFonts w:hint="eastAsia" w:cs="Times New Roman"/>
          <w:color w:val="auto"/>
          <w:sz w:val="28"/>
          <w:lang w:val="en-US" w:eastAsia="zh-CN"/>
        </w:rPr>
        <w:t>8</w:t>
      </w:r>
      <w:r>
        <w:rPr>
          <w:rFonts w:hint="default" w:ascii="Times New Roman" w:hAnsi="Times New Roman" w:eastAsia="宋体" w:cs="Times New Roman"/>
          <w:color w:val="auto"/>
          <w:sz w:val="28"/>
          <w:lang w:eastAsia="zh-CN"/>
        </w:rPr>
        <w:t>月</w:t>
      </w:r>
      <w:r>
        <w:rPr>
          <w:rFonts w:hint="eastAsia" w:cs="Times New Roman"/>
          <w:color w:val="auto"/>
          <w:sz w:val="28"/>
          <w:lang w:val="en-US" w:eastAsia="zh-CN"/>
        </w:rPr>
        <w:t>11</w:t>
      </w:r>
      <w:r>
        <w:rPr>
          <w:rFonts w:hint="default" w:ascii="Times New Roman" w:hAnsi="Times New Roman" w:eastAsia="宋体" w:cs="Times New Roman"/>
          <w:color w:val="auto"/>
          <w:sz w:val="28"/>
          <w:lang w:eastAsia="zh-CN"/>
        </w:rPr>
        <w:t>日</w:t>
      </w:r>
    </w:p>
    <w:p w14:paraId="7111DA2C">
      <w:pPr>
        <w:keepNext w:val="0"/>
        <w:keepLines w:val="0"/>
        <w:pageBreakBefore w:val="0"/>
        <w:widowControl w:val="0"/>
        <w:kinsoku/>
        <w:wordWrap w:val="0"/>
        <w:overflowPunct/>
        <w:topLinePunct w:val="0"/>
        <w:autoSpaceDE/>
        <w:autoSpaceDN/>
        <w:bidi w:val="0"/>
        <w:adjustRightInd/>
        <w:snapToGrid/>
        <w:spacing w:line="240" w:lineRule="auto"/>
        <w:ind w:firstLine="565" w:firstLineChars="202"/>
        <w:jc w:val="right"/>
        <w:textAlignment w:val="auto"/>
        <w:rPr>
          <w:rFonts w:hint="default" w:ascii="Times New Roman" w:hAnsi="Times New Roman" w:eastAsia="宋体" w:cs="Times New Roman"/>
          <w:color w:val="auto"/>
          <w:sz w:val="28"/>
          <w:lang w:val="en-US" w:eastAsia="zh-CN"/>
        </w:rPr>
        <w:sectPr>
          <w:pgSz w:w="11906" w:h="16838"/>
          <w:pgMar w:top="1701" w:right="1474" w:bottom="1701" w:left="1474" w:header="851" w:footer="851" w:gutter="0"/>
          <w:pgBorders>
            <w:top w:val="none" w:sz="0" w:space="0"/>
            <w:left w:val="none" w:sz="0" w:space="0"/>
            <w:bottom w:val="none" w:sz="0" w:space="0"/>
            <w:right w:val="none" w:sz="0" w:space="0"/>
          </w:pgBorders>
          <w:pgNumType w:fmt="decimal"/>
          <w:cols w:space="720" w:num="1"/>
          <w:docGrid w:linePitch="312" w:charSpace="0"/>
        </w:sectPr>
      </w:pPr>
    </w:p>
    <w:p w14:paraId="6F4309C0">
      <w:pPr>
        <w:pStyle w:val="32"/>
        <w:bidi w:val="0"/>
        <w:ind w:firstLine="562" w:firstLineChars="200"/>
        <w:outlineLvl w:val="0"/>
        <w:rPr>
          <w:rFonts w:hint="eastAsia"/>
          <w:color w:val="auto"/>
          <w:lang w:val="en-US" w:eastAsia="zh-CN"/>
        </w:rPr>
      </w:pPr>
      <w:bookmarkStart w:id="136" w:name="_Toc21052"/>
      <w:bookmarkStart w:id="137" w:name="_Toc9338"/>
      <w:r>
        <w:rPr>
          <w:rFonts w:hint="eastAsia" w:ascii="Times New Roman" w:hAnsi="Times New Roman"/>
          <w:color w:val="auto"/>
          <w:lang w:val="en-US" w:eastAsia="zh-CN"/>
        </w:rPr>
        <w:t>附件</w:t>
      </w:r>
      <w:r>
        <w:rPr>
          <w:rFonts w:hint="eastAsia"/>
          <w:color w:val="auto"/>
          <w:lang w:val="en-US" w:eastAsia="zh-CN"/>
        </w:rPr>
        <w:t>七</w:t>
      </w:r>
      <w:r>
        <w:rPr>
          <w:rFonts w:hint="eastAsia" w:ascii="Times New Roman" w:hAnsi="Times New Roman"/>
          <w:color w:val="auto"/>
          <w:lang w:val="en-US" w:eastAsia="zh-CN"/>
        </w:rPr>
        <w:t>：</w:t>
      </w:r>
      <w:bookmarkEnd w:id="136"/>
      <w:r>
        <w:rPr>
          <w:rFonts w:hint="eastAsia"/>
          <w:color w:val="auto"/>
          <w:lang w:val="en-US" w:eastAsia="zh-CN"/>
        </w:rPr>
        <w:t>关于环评文件未涉及国家秘密、商业秘密等内容的说明</w:t>
      </w:r>
      <w:bookmarkEnd w:id="137"/>
    </w:p>
    <w:p w14:paraId="5A278A07">
      <w:pPr>
        <w:pStyle w:val="32"/>
        <w:bidi w:val="0"/>
        <w:ind w:firstLine="562" w:firstLineChars="200"/>
        <w:rPr>
          <w:rFonts w:hint="default" w:ascii="Times New Roman" w:hAnsi="Times New Roman"/>
          <w:color w:val="auto"/>
          <w:lang w:val="en-US" w:eastAsia="zh-CN"/>
        </w:rPr>
        <w:sectPr>
          <w:pgSz w:w="11906" w:h="16838"/>
          <w:pgMar w:top="1701" w:right="1474" w:bottom="1701" w:left="1474" w:header="851" w:footer="851" w:gutter="0"/>
          <w:pgBorders>
            <w:top w:val="none" w:sz="0" w:space="0"/>
            <w:left w:val="none" w:sz="0" w:space="0"/>
            <w:bottom w:val="none" w:sz="0" w:space="0"/>
            <w:right w:val="none" w:sz="0" w:space="0"/>
          </w:pgBorders>
          <w:pgNumType w:fmt="decimal"/>
          <w:cols w:space="720" w:num="1"/>
          <w:docGrid w:linePitch="312" w:charSpace="0"/>
        </w:sectPr>
      </w:pPr>
      <w:r>
        <w:drawing>
          <wp:inline distT="0" distB="0" distL="114300" distR="114300">
            <wp:extent cx="5683250" cy="8181340"/>
            <wp:effectExtent l="0" t="0" r="12700" b="1016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37"/>
                    <a:stretch>
                      <a:fillRect/>
                    </a:stretch>
                  </pic:blipFill>
                  <pic:spPr>
                    <a:xfrm>
                      <a:off x="0" y="0"/>
                      <a:ext cx="5683250" cy="8181340"/>
                    </a:xfrm>
                    <a:prstGeom prst="rect">
                      <a:avLst/>
                    </a:prstGeom>
                    <a:noFill/>
                    <a:ln>
                      <a:noFill/>
                    </a:ln>
                  </pic:spPr>
                </pic:pic>
              </a:graphicData>
            </a:graphic>
          </wp:inline>
        </w:drawing>
      </w:r>
      <w:r>
        <w:drawing>
          <wp:inline distT="0" distB="0" distL="114300" distR="114300">
            <wp:extent cx="5688330" cy="8147050"/>
            <wp:effectExtent l="0" t="0" r="7620" b="635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38"/>
                    <a:stretch>
                      <a:fillRect/>
                    </a:stretch>
                  </pic:blipFill>
                  <pic:spPr>
                    <a:xfrm>
                      <a:off x="0" y="0"/>
                      <a:ext cx="5688330" cy="8147050"/>
                    </a:xfrm>
                    <a:prstGeom prst="rect">
                      <a:avLst/>
                    </a:prstGeom>
                    <a:noFill/>
                    <a:ln>
                      <a:noFill/>
                    </a:ln>
                  </pic:spPr>
                </pic:pic>
              </a:graphicData>
            </a:graphic>
          </wp:inline>
        </w:drawing>
      </w:r>
    </w:p>
    <w:p w14:paraId="338D721C">
      <w:pPr>
        <w:bidi w:val="0"/>
        <w:ind w:firstLine="538" w:firstLineChars="200"/>
        <w:jc w:val="left"/>
        <w:outlineLvl w:val="0"/>
        <w:rPr>
          <w:rFonts w:hint="default" w:ascii="宋体" w:hAnsi="宋体" w:cs="宋体"/>
          <w:b/>
          <w:bCs/>
          <w:color w:val="auto"/>
          <w:spacing w:val="-6"/>
          <w:kern w:val="0"/>
          <w:sz w:val="28"/>
          <w:szCs w:val="28"/>
          <w:lang w:val="en-US" w:eastAsia="zh-CN" w:bidi="ar-SA"/>
        </w:rPr>
      </w:pPr>
    </w:p>
    <w:sectPr>
      <w:footerReference r:id="rId8" w:type="default"/>
      <w:pgSz w:w="11906" w:h="16838"/>
      <w:pgMar w:top="1701" w:right="1474" w:bottom="1701" w:left="1474"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7BF0EF-50EB-411F-9330-C574295ADF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D2BC7054-B930-4401-8348-F39A24BC711A}"/>
  </w:font>
  <w:font w:name="仿宋">
    <w:panose1 w:val="02010609060101010101"/>
    <w:charset w:val="86"/>
    <w:family w:val="auto"/>
    <w:pitch w:val="default"/>
    <w:sig w:usb0="800002BF" w:usb1="38CF7CFA" w:usb2="00000016" w:usb3="00000000" w:csb0="00040001" w:csb1="00000000"/>
    <w:embedRegular r:id="rId3" w:fontKey="{595940FF-6F47-4E8D-838A-D49A17D19D60}"/>
  </w:font>
  <w:font w:name="Tahoma">
    <w:panose1 w:val="020B0604030504040204"/>
    <w:charset w:val="00"/>
    <w:family w:val="auto"/>
    <w:pitch w:val="default"/>
    <w:sig w:usb0="E1002EFF" w:usb1="C000605B" w:usb2="00000029" w:usb3="00000000" w:csb0="200101FF" w:csb1="20280000"/>
  </w:font>
  <w:font w:name="方正楷体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embedRegular r:id="rId4" w:fontKey="{F0F8043E-33B7-4148-B53D-0F7E4689D391}"/>
  </w:font>
  <w:font w:name="方正楷体_GB2312">
    <w:altName w:val="宋体"/>
    <w:panose1 w:val="02000000000000000000"/>
    <w:charset w:val="86"/>
    <w:family w:val="auto"/>
    <w:pitch w:val="default"/>
    <w:sig w:usb0="00000000" w:usb1="00000000" w:usb2="00000012" w:usb3="00000000" w:csb0="00040001" w:csb1="00000000"/>
    <w:embedRegular r:id="rId5" w:fontKey="{4CD54AD3-3BAE-4760-A8B2-9B884D5EA463}"/>
  </w:font>
  <w:font w:name="华文仿宋">
    <w:panose1 w:val="02010600040101010101"/>
    <w:charset w:val="86"/>
    <w:family w:val="auto"/>
    <w:pitch w:val="default"/>
    <w:sig w:usb0="00000287" w:usb1="080F0000" w:usb2="00000000" w:usb3="00000000" w:csb0="0004009F" w:csb1="DFD70000"/>
    <w:embedRegular r:id="rId6" w:fontKey="{C152A285-D987-4198-8DB2-19527F4924FC}"/>
  </w:font>
  <w:font w:name="Segoe UI Emoji">
    <w:panose1 w:val="020B0502040204020203"/>
    <w:charset w:val="00"/>
    <w:family w:val="auto"/>
    <w:pitch w:val="default"/>
    <w:sig w:usb0="00000001" w:usb1="02000000" w:usb2="00000000" w:usb3="00000000" w:csb0="00000001" w:csb1="00000000"/>
    <w:embedRegular r:id="rId7" w:fontKey="{8148C768-6193-4B20-915F-160A6D241385}"/>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0AB04">
    <w:pPr>
      <w:tabs>
        <w:tab w:val="center" w:pos="4153"/>
        <w:tab w:val="right" w:pos="8306"/>
      </w:tabs>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E1173">
    <w:pPr>
      <w:tabs>
        <w:tab w:val="center" w:pos="4153"/>
        <w:tab w:val="right" w:pos="8306"/>
      </w:tabs>
      <w:ind w:right="360" w:firstLine="36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1" name="文本框 3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ECB4F">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yzoPQ0AgAAZQ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8s6D0NAIAAGUEAAAOAAAAAAAAAAEAIAAAAB8BAABkcnMvZTJvRG9jLnhtbFBL&#10;BQYAAAAABgAGAFkBAADFBQAAAAA=&#10;">
              <v:fill on="f" focussize="0,0"/>
              <v:stroke on="f" weight="0.5pt"/>
              <v:imagedata o:title=""/>
              <o:lock v:ext="edit" aspectratio="f"/>
              <v:textbox inset="0mm,0mm,0mm,0mm" style="mso-fit-shape-to-text:t;">
                <w:txbxContent>
                  <w:p w14:paraId="4B3ECB4F">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B8E80">
    <w:pPr>
      <w:tabs>
        <w:tab w:val="center" w:pos="4153"/>
        <w:tab w:val="right" w:pos="8306"/>
      </w:tabs>
      <w:ind w:right="360" w:firstLine="36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2" name="文本框 3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34F7A">
                          <w:pPr>
                            <w:pStyle w:val="12"/>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coo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fTKSWGaZT8/OP7&#10;+efv869vJB1CotqFOSIfHGJj8842aJzhPOAwMW9Kr9MXnAj8EPh0EVg0kfB0aTadzcZwcfiGDfCz&#10;p+vOh/heWE2SkVOPCrbCsuM2xC50CEnZjN1IpdoqKkPqnF5fvR2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AcXKKNAIAAGUEAAAOAAAAAAAAAAEAIAAAAB8BAABkcnMvZTJvRG9jLnhtbFBL&#10;BQYAAAAABgAGAFkBAADFBQAAAAA=&#10;">
              <v:fill on="f" focussize="0,0"/>
              <v:stroke on="f" weight="0.5pt"/>
              <v:imagedata o:title=""/>
              <o:lock v:ext="edit" aspectratio="f"/>
              <v:textbox inset="0mm,0mm,0mm,0mm" style="mso-fit-shape-to-text:t;">
                <w:txbxContent>
                  <w:p w14:paraId="40434F7A">
                    <w:pPr>
                      <w:pStyle w:val="12"/>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640CB">
    <w:pPr>
      <w:tabs>
        <w:tab w:val="center" w:pos="4153"/>
        <w:tab w:val="right" w:pos="8306"/>
      </w:tabs>
      <w:ind w:right="360" w:firstLine="360"/>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3" name="文本框 3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F6C59">
                          <w:pPr>
                            <w:pStyle w:val="12"/>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vN7BY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ppRoplDyy4/v&#10;l5+/L7++kXgIiWrr54jcWcSG5p1p0DjDucdhZN4UTsUvOBH4IfD5KrBoAuHx0mwym6VwcfiGDfCT&#10;p+vW+fBeGEWikVGHCrbCstPWhy50CInZtNlUUrZVlJrUGb2Zvk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rzewWNAIAAGUEAAAOAAAAAAAAAAEAIAAAAB8BAABkcnMvZTJvRG9jLnhtbFBL&#10;BQYAAAAABgAGAFkBAADFBQAAAAA=&#10;">
              <v:fill on="f" focussize="0,0"/>
              <v:stroke on="f" weight="0.5pt"/>
              <v:imagedata o:title=""/>
              <o:lock v:ext="edit" aspectratio="f"/>
              <v:textbox inset="0mm,0mm,0mm,0mm" style="mso-fit-shape-to-text:t;">
                <w:txbxContent>
                  <w:p w14:paraId="307F6C59">
                    <w:pPr>
                      <w:pStyle w:val="12"/>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42FBD">
    <w:pPr>
      <w:spacing w:line="176" w:lineRule="auto"/>
      <w:ind w:left="46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5" name="文本框 3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797FF">
                          <w:pPr>
                            <w:pStyle w:val="12"/>
                          </w:pPr>
                          <w:r>
                            <w:fldChar w:fldCharType="begin"/>
                          </w:r>
                          <w:r>
                            <w:instrText xml:space="preserve"> PAGE  \* MERGEFORMAT </w:instrText>
                          </w:r>
                          <w:r>
                            <w:fldChar w:fldCharType="separate"/>
                          </w:r>
                          <w:r>
                            <w:t>192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NISes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TSEnrNAIAAGUEAAAOAAAAAAAAAAEAIAAAAB8BAABkcnMvZTJvRG9jLnhtbFBL&#10;BQYAAAAABgAGAFkBAADFBQAAAAA=&#10;">
              <v:fill on="f" focussize="0,0"/>
              <v:stroke on="f" weight="0.5pt"/>
              <v:imagedata o:title=""/>
              <o:lock v:ext="edit" aspectratio="f"/>
              <v:textbox inset="0mm,0mm,0mm,0mm" style="mso-fit-shape-to-text:t;">
                <w:txbxContent>
                  <w:p w14:paraId="4BC797FF">
                    <w:pPr>
                      <w:pStyle w:val="12"/>
                    </w:pPr>
                    <w:r>
                      <w:fldChar w:fldCharType="begin"/>
                    </w:r>
                    <w:r>
                      <w:instrText xml:space="preserve"> PAGE  \* MERGEFORMAT </w:instrText>
                    </w:r>
                    <w:r>
                      <w:fldChar w:fldCharType="separate"/>
                    </w:r>
                    <w:r>
                      <w:t>192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B5C0">
    <w:pPr>
      <w:pBdr>
        <w:bottom w:val="none" w:color="auto" w:sz="0" w:space="1"/>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A23FA"/>
    <w:multiLevelType w:val="singleLevel"/>
    <w:tmpl w:val="839A23F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YmRmNDlkOWUzMDMzNDI1MzEzYjAyMTUyOWZmMjY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05531"/>
    <w:rsid w:val="0011760F"/>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9411C"/>
    <w:rsid w:val="001A1B35"/>
    <w:rsid w:val="001A48A2"/>
    <w:rsid w:val="001A5739"/>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0914"/>
    <w:rsid w:val="003A4BF3"/>
    <w:rsid w:val="003B420D"/>
    <w:rsid w:val="003C6C16"/>
    <w:rsid w:val="003D794D"/>
    <w:rsid w:val="003E2476"/>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254D"/>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D3B01"/>
    <w:rsid w:val="006E12FF"/>
    <w:rsid w:val="006E607E"/>
    <w:rsid w:val="00706C5D"/>
    <w:rsid w:val="00732922"/>
    <w:rsid w:val="0073501E"/>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804C7"/>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16BE5"/>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95CDD"/>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026"/>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390D"/>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1C84"/>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08714A"/>
    <w:rsid w:val="010A0CFD"/>
    <w:rsid w:val="0118690F"/>
    <w:rsid w:val="01290F7E"/>
    <w:rsid w:val="01527EDF"/>
    <w:rsid w:val="01541EA9"/>
    <w:rsid w:val="015500B5"/>
    <w:rsid w:val="0155760E"/>
    <w:rsid w:val="015D1E09"/>
    <w:rsid w:val="016679EC"/>
    <w:rsid w:val="01884755"/>
    <w:rsid w:val="018C0765"/>
    <w:rsid w:val="01A44959"/>
    <w:rsid w:val="01AC5842"/>
    <w:rsid w:val="01C24F2E"/>
    <w:rsid w:val="01C71CB0"/>
    <w:rsid w:val="01F125D8"/>
    <w:rsid w:val="02145195"/>
    <w:rsid w:val="0216351E"/>
    <w:rsid w:val="02551A35"/>
    <w:rsid w:val="02646330"/>
    <w:rsid w:val="02697903"/>
    <w:rsid w:val="02881895"/>
    <w:rsid w:val="02BE185D"/>
    <w:rsid w:val="02C32E43"/>
    <w:rsid w:val="02CF68EF"/>
    <w:rsid w:val="02F76C95"/>
    <w:rsid w:val="02F96569"/>
    <w:rsid w:val="031E2AE9"/>
    <w:rsid w:val="033C5294"/>
    <w:rsid w:val="0364199E"/>
    <w:rsid w:val="0370464D"/>
    <w:rsid w:val="0373341C"/>
    <w:rsid w:val="037D6F84"/>
    <w:rsid w:val="038721C4"/>
    <w:rsid w:val="03B60333"/>
    <w:rsid w:val="03D251BA"/>
    <w:rsid w:val="03DC46AE"/>
    <w:rsid w:val="03EA7B21"/>
    <w:rsid w:val="043B1FC0"/>
    <w:rsid w:val="044B0BB3"/>
    <w:rsid w:val="044C1398"/>
    <w:rsid w:val="0461636B"/>
    <w:rsid w:val="04682844"/>
    <w:rsid w:val="046E6DDE"/>
    <w:rsid w:val="04712C49"/>
    <w:rsid w:val="049D76C3"/>
    <w:rsid w:val="04E82B16"/>
    <w:rsid w:val="04E83035"/>
    <w:rsid w:val="04F25C61"/>
    <w:rsid w:val="04FE63B4"/>
    <w:rsid w:val="050D4546"/>
    <w:rsid w:val="05177476"/>
    <w:rsid w:val="05213482"/>
    <w:rsid w:val="053412CC"/>
    <w:rsid w:val="05344A90"/>
    <w:rsid w:val="05474F81"/>
    <w:rsid w:val="05503AC8"/>
    <w:rsid w:val="055F2A5D"/>
    <w:rsid w:val="056145E3"/>
    <w:rsid w:val="058A5E9A"/>
    <w:rsid w:val="05A54A82"/>
    <w:rsid w:val="05BC52FA"/>
    <w:rsid w:val="05C6038C"/>
    <w:rsid w:val="05D94A30"/>
    <w:rsid w:val="05F83EAE"/>
    <w:rsid w:val="05FF1DB1"/>
    <w:rsid w:val="061D4F87"/>
    <w:rsid w:val="062F7F91"/>
    <w:rsid w:val="063E7D85"/>
    <w:rsid w:val="06652463"/>
    <w:rsid w:val="067A137F"/>
    <w:rsid w:val="069D1A57"/>
    <w:rsid w:val="06C74ECC"/>
    <w:rsid w:val="06D478EA"/>
    <w:rsid w:val="06D66EBD"/>
    <w:rsid w:val="06FB3C80"/>
    <w:rsid w:val="06FD08ED"/>
    <w:rsid w:val="06FE6B3F"/>
    <w:rsid w:val="07043A2A"/>
    <w:rsid w:val="070E3A60"/>
    <w:rsid w:val="07233FD7"/>
    <w:rsid w:val="07293586"/>
    <w:rsid w:val="07295285"/>
    <w:rsid w:val="072C024D"/>
    <w:rsid w:val="07462294"/>
    <w:rsid w:val="07537A15"/>
    <w:rsid w:val="07636392"/>
    <w:rsid w:val="076D3A81"/>
    <w:rsid w:val="076E3F95"/>
    <w:rsid w:val="07770C56"/>
    <w:rsid w:val="077A3CEC"/>
    <w:rsid w:val="07AC2CFF"/>
    <w:rsid w:val="0808579C"/>
    <w:rsid w:val="081163FE"/>
    <w:rsid w:val="081303C8"/>
    <w:rsid w:val="08163A15"/>
    <w:rsid w:val="08177753"/>
    <w:rsid w:val="08626E41"/>
    <w:rsid w:val="08632D6D"/>
    <w:rsid w:val="086717E6"/>
    <w:rsid w:val="087370B9"/>
    <w:rsid w:val="088017D6"/>
    <w:rsid w:val="08E81855"/>
    <w:rsid w:val="08F1198C"/>
    <w:rsid w:val="090774C5"/>
    <w:rsid w:val="092217DD"/>
    <w:rsid w:val="09257A2D"/>
    <w:rsid w:val="092F0220"/>
    <w:rsid w:val="092F6E09"/>
    <w:rsid w:val="09385494"/>
    <w:rsid w:val="093A7294"/>
    <w:rsid w:val="09455BA6"/>
    <w:rsid w:val="09544BDC"/>
    <w:rsid w:val="09674FE6"/>
    <w:rsid w:val="099D32E7"/>
    <w:rsid w:val="09B01C47"/>
    <w:rsid w:val="09BE13E7"/>
    <w:rsid w:val="09C946A8"/>
    <w:rsid w:val="09D861CB"/>
    <w:rsid w:val="09D973F0"/>
    <w:rsid w:val="09EB2C7F"/>
    <w:rsid w:val="0A2437B4"/>
    <w:rsid w:val="0A263993"/>
    <w:rsid w:val="0A2D3AC2"/>
    <w:rsid w:val="0A387E33"/>
    <w:rsid w:val="0A3C34DB"/>
    <w:rsid w:val="0A3D5C6E"/>
    <w:rsid w:val="0A40121D"/>
    <w:rsid w:val="0A5F5791"/>
    <w:rsid w:val="0A6E0A8F"/>
    <w:rsid w:val="0A735F3E"/>
    <w:rsid w:val="0A8C5F5E"/>
    <w:rsid w:val="0A9B28F7"/>
    <w:rsid w:val="0AA755DF"/>
    <w:rsid w:val="0AAE2864"/>
    <w:rsid w:val="0AD53D7C"/>
    <w:rsid w:val="0AE421FF"/>
    <w:rsid w:val="0AE53B72"/>
    <w:rsid w:val="0B0141C3"/>
    <w:rsid w:val="0B120D44"/>
    <w:rsid w:val="0B202452"/>
    <w:rsid w:val="0B26282C"/>
    <w:rsid w:val="0B48482D"/>
    <w:rsid w:val="0B8A2D17"/>
    <w:rsid w:val="0B8B471A"/>
    <w:rsid w:val="0B9D034A"/>
    <w:rsid w:val="0BA169E1"/>
    <w:rsid w:val="0BD27BF6"/>
    <w:rsid w:val="0BDE2087"/>
    <w:rsid w:val="0BEF27AA"/>
    <w:rsid w:val="0C0A1AE2"/>
    <w:rsid w:val="0C115D59"/>
    <w:rsid w:val="0C210BDA"/>
    <w:rsid w:val="0C2634E6"/>
    <w:rsid w:val="0C324657"/>
    <w:rsid w:val="0C3721AC"/>
    <w:rsid w:val="0C3B3C7D"/>
    <w:rsid w:val="0C5403D6"/>
    <w:rsid w:val="0C5406B2"/>
    <w:rsid w:val="0C5B40EC"/>
    <w:rsid w:val="0CAB2EAE"/>
    <w:rsid w:val="0CC17C52"/>
    <w:rsid w:val="0CC84B3D"/>
    <w:rsid w:val="0CCE0D62"/>
    <w:rsid w:val="0CE20E37"/>
    <w:rsid w:val="0CE60609"/>
    <w:rsid w:val="0CEB1914"/>
    <w:rsid w:val="0CFC0DCB"/>
    <w:rsid w:val="0D2A4B0B"/>
    <w:rsid w:val="0D4E3C51"/>
    <w:rsid w:val="0D50069F"/>
    <w:rsid w:val="0D5011C2"/>
    <w:rsid w:val="0D53546C"/>
    <w:rsid w:val="0D621C7D"/>
    <w:rsid w:val="0D6F0E5F"/>
    <w:rsid w:val="0D760448"/>
    <w:rsid w:val="0D9E7F0C"/>
    <w:rsid w:val="0DA846D9"/>
    <w:rsid w:val="0DE93AD9"/>
    <w:rsid w:val="0E265B08"/>
    <w:rsid w:val="0E2D4DCF"/>
    <w:rsid w:val="0E4D1C6D"/>
    <w:rsid w:val="0E672CFC"/>
    <w:rsid w:val="0E73034D"/>
    <w:rsid w:val="0E793118"/>
    <w:rsid w:val="0E8042DE"/>
    <w:rsid w:val="0E813BB2"/>
    <w:rsid w:val="0E9A3896"/>
    <w:rsid w:val="0E9F5C3D"/>
    <w:rsid w:val="0EA33B28"/>
    <w:rsid w:val="0EC56195"/>
    <w:rsid w:val="0EC7484A"/>
    <w:rsid w:val="0EF3685E"/>
    <w:rsid w:val="0F00541F"/>
    <w:rsid w:val="0F13775A"/>
    <w:rsid w:val="0F262586"/>
    <w:rsid w:val="0F423341"/>
    <w:rsid w:val="0F4E1CE6"/>
    <w:rsid w:val="0F503CB0"/>
    <w:rsid w:val="0F5F45FE"/>
    <w:rsid w:val="0F71669D"/>
    <w:rsid w:val="0F855EAB"/>
    <w:rsid w:val="0F8C5F99"/>
    <w:rsid w:val="0F8E579E"/>
    <w:rsid w:val="0F9A112B"/>
    <w:rsid w:val="0F9F0794"/>
    <w:rsid w:val="0FAB7138"/>
    <w:rsid w:val="0FBC1346"/>
    <w:rsid w:val="0FBD7286"/>
    <w:rsid w:val="0FC4081E"/>
    <w:rsid w:val="0FC4644C"/>
    <w:rsid w:val="0FC93A5D"/>
    <w:rsid w:val="0FEB5C97"/>
    <w:rsid w:val="0FED7751"/>
    <w:rsid w:val="10072452"/>
    <w:rsid w:val="10160A22"/>
    <w:rsid w:val="1019235F"/>
    <w:rsid w:val="101A42BE"/>
    <w:rsid w:val="10240C99"/>
    <w:rsid w:val="103B3E4D"/>
    <w:rsid w:val="103F6C17"/>
    <w:rsid w:val="104A13A0"/>
    <w:rsid w:val="10533A25"/>
    <w:rsid w:val="1064474E"/>
    <w:rsid w:val="106A52EE"/>
    <w:rsid w:val="106D2F64"/>
    <w:rsid w:val="106D5F34"/>
    <w:rsid w:val="10741C20"/>
    <w:rsid w:val="1074577C"/>
    <w:rsid w:val="10753CD1"/>
    <w:rsid w:val="107D70C9"/>
    <w:rsid w:val="10A06571"/>
    <w:rsid w:val="10B63710"/>
    <w:rsid w:val="10B918F8"/>
    <w:rsid w:val="10F10820"/>
    <w:rsid w:val="1101791C"/>
    <w:rsid w:val="110D797F"/>
    <w:rsid w:val="111C2F7A"/>
    <w:rsid w:val="11205904"/>
    <w:rsid w:val="113737E0"/>
    <w:rsid w:val="114039B5"/>
    <w:rsid w:val="11665CA1"/>
    <w:rsid w:val="116B48D8"/>
    <w:rsid w:val="11965BD1"/>
    <w:rsid w:val="11B81FE1"/>
    <w:rsid w:val="12134735"/>
    <w:rsid w:val="121D39C0"/>
    <w:rsid w:val="124B69B1"/>
    <w:rsid w:val="12543AB7"/>
    <w:rsid w:val="12555A81"/>
    <w:rsid w:val="128C62C5"/>
    <w:rsid w:val="12905384"/>
    <w:rsid w:val="12B07746"/>
    <w:rsid w:val="12BF4959"/>
    <w:rsid w:val="12DA3760"/>
    <w:rsid w:val="12EB3CF0"/>
    <w:rsid w:val="131214CB"/>
    <w:rsid w:val="13124349"/>
    <w:rsid w:val="1319085D"/>
    <w:rsid w:val="13313DF9"/>
    <w:rsid w:val="13781D8D"/>
    <w:rsid w:val="138008DC"/>
    <w:rsid w:val="13877EBC"/>
    <w:rsid w:val="13951726"/>
    <w:rsid w:val="139C2A90"/>
    <w:rsid w:val="13CF315F"/>
    <w:rsid w:val="13FF7A53"/>
    <w:rsid w:val="140C03C2"/>
    <w:rsid w:val="14347589"/>
    <w:rsid w:val="14396509"/>
    <w:rsid w:val="1449256E"/>
    <w:rsid w:val="146B50E8"/>
    <w:rsid w:val="14922675"/>
    <w:rsid w:val="14943C5A"/>
    <w:rsid w:val="14BC5944"/>
    <w:rsid w:val="14CF38C9"/>
    <w:rsid w:val="14D013EF"/>
    <w:rsid w:val="14D64C58"/>
    <w:rsid w:val="14DD2C3C"/>
    <w:rsid w:val="15082937"/>
    <w:rsid w:val="151B73C5"/>
    <w:rsid w:val="152E34D7"/>
    <w:rsid w:val="153148F2"/>
    <w:rsid w:val="15391A5F"/>
    <w:rsid w:val="154F4A0A"/>
    <w:rsid w:val="1561039F"/>
    <w:rsid w:val="15853F88"/>
    <w:rsid w:val="15875F52"/>
    <w:rsid w:val="15A24B3A"/>
    <w:rsid w:val="15A77A54"/>
    <w:rsid w:val="15C55FA9"/>
    <w:rsid w:val="15D66ED9"/>
    <w:rsid w:val="16087E1D"/>
    <w:rsid w:val="163D2AB4"/>
    <w:rsid w:val="1656474A"/>
    <w:rsid w:val="167E55A7"/>
    <w:rsid w:val="16A86180"/>
    <w:rsid w:val="16AE5760"/>
    <w:rsid w:val="16FC0247"/>
    <w:rsid w:val="171406D5"/>
    <w:rsid w:val="17171557"/>
    <w:rsid w:val="171C091C"/>
    <w:rsid w:val="1721308A"/>
    <w:rsid w:val="17253C74"/>
    <w:rsid w:val="172779EC"/>
    <w:rsid w:val="173348D1"/>
    <w:rsid w:val="17394A28"/>
    <w:rsid w:val="17701D14"/>
    <w:rsid w:val="17732C32"/>
    <w:rsid w:val="17735226"/>
    <w:rsid w:val="17846A61"/>
    <w:rsid w:val="17976BD3"/>
    <w:rsid w:val="17A417A4"/>
    <w:rsid w:val="17AA23CB"/>
    <w:rsid w:val="17AE5B0B"/>
    <w:rsid w:val="17B943BD"/>
    <w:rsid w:val="17D53D50"/>
    <w:rsid w:val="1821268E"/>
    <w:rsid w:val="182A472E"/>
    <w:rsid w:val="184B2F40"/>
    <w:rsid w:val="18554574"/>
    <w:rsid w:val="18770500"/>
    <w:rsid w:val="187C4525"/>
    <w:rsid w:val="187D363C"/>
    <w:rsid w:val="18802F86"/>
    <w:rsid w:val="18860BB9"/>
    <w:rsid w:val="18997E67"/>
    <w:rsid w:val="189C7F66"/>
    <w:rsid w:val="189F624C"/>
    <w:rsid w:val="190653E0"/>
    <w:rsid w:val="190B6E9A"/>
    <w:rsid w:val="1912797C"/>
    <w:rsid w:val="192A5572"/>
    <w:rsid w:val="193A152D"/>
    <w:rsid w:val="19563CED"/>
    <w:rsid w:val="195C53DD"/>
    <w:rsid w:val="195D65DB"/>
    <w:rsid w:val="196115E4"/>
    <w:rsid w:val="19717B4A"/>
    <w:rsid w:val="19855C98"/>
    <w:rsid w:val="198C421C"/>
    <w:rsid w:val="1999682B"/>
    <w:rsid w:val="19CF7EC7"/>
    <w:rsid w:val="19EC4C52"/>
    <w:rsid w:val="1A1C66C0"/>
    <w:rsid w:val="1A2C70C8"/>
    <w:rsid w:val="1A312930"/>
    <w:rsid w:val="1A42393B"/>
    <w:rsid w:val="1A5B64D3"/>
    <w:rsid w:val="1A5E2203"/>
    <w:rsid w:val="1A607D8E"/>
    <w:rsid w:val="1A613215"/>
    <w:rsid w:val="1A6413BA"/>
    <w:rsid w:val="1A7F31EF"/>
    <w:rsid w:val="1A9A6727"/>
    <w:rsid w:val="1AA93651"/>
    <w:rsid w:val="1AA938E9"/>
    <w:rsid w:val="1AAD45DE"/>
    <w:rsid w:val="1AB75F10"/>
    <w:rsid w:val="1AC62E25"/>
    <w:rsid w:val="1AED1A77"/>
    <w:rsid w:val="1AF438F3"/>
    <w:rsid w:val="1AFF2A2E"/>
    <w:rsid w:val="1B00409B"/>
    <w:rsid w:val="1B046F80"/>
    <w:rsid w:val="1B1F4637"/>
    <w:rsid w:val="1B2D4EBC"/>
    <w:rsid w:val="1B3267B5"/>
    <w:rsid w:val="1B40161D"/>
    <w:rsid w:val="1B441859"/>
    <w:rsid w:val="1B5C578B"/>
    <w:rsid w:val="1B6606B1"/>
    <w:rsid w:val="1B680005"/>
    <w:rsid w:val="1B9907D4"/>
    <w:rsid w:val="1BA73870"/>
    <w:rsid w:val="1BC318A6"/>
    <w:rsid w:val="1BDE77DA"/>
    <w:rsid w:val="1BFC074B"/>
    <w:rsid w:val="1C1D2DE3"/>
    <w:rsid w:val="1C4A7CD9"/>
    <w:rsid w:val="1C5E7925"/>
    <w:rsid w:val="1C640D9B"/>
    <w:rsid w:val="1C6C6997"/>
    <w:rsid w:val="1CAD6BBD"/>
    <w:rsid w:val="1CEE74A2"/>
    <w:rsid w:val="1CFD070F"/>
    <w:rsid w:val="1CFE203E"/>
    <w:rsid w:val="1CFE6CA0"/>
    <w:rsid w:val="1D01132A"/>
    <w:rsid w:val="1D077978"/>
    <w:rsid w:val="1D081FED"/>
    <w:rsid w:val="1D1B2998"/>
    <w:rsid w:val="1D2074D8"/>
    <w:rsid w:val="1D3F35B6"/>
    <w:rsid w:val="1D504EEA"/>
    <w:rsid w:val="1D5F6196"/>
    <w:rsid w:val="1D6132A5"/>
    <w:rsid w:val="1D6A0633"/>
    <w:rsid w:val="1D8E56D5"/>
    <w:rsid w:val="1D9A259A"/>
    <w:rsid w:val="1D9E0129"/>
    <w:rsid w:val="1DBB0E8E"/>
    <w:rsid w:val="1E032835"/>
    <w:rsid w:val="1E122A78"/>
    <w:rsid w:val="1E253DA2"/>
    <w:rsid w:val="1E391C84"/>
    <w:rsid w:val="1E452F24"/>
    <w:rsid w:val="1E7A43DA"/>
    <w:rsid w:val="1E875215"/>
    <w:rsid w:val="1ECC70CB"/>
    <w:rsid w:val="1ECF4148"/>
    <w:rsid w:val="1EDC730E"/>
    <w:rsid w:val="1EF06916"/>
    <w:rsid w:val="1F0071E4"/>
    <w:rsid w:val="1F073974"/>
    <w:rsid w:val="1F0D3824"/>
    <w:rsid w:val="1F1E3599"/>
    <w:rsid w:val="1F417171"/>
    <w:rsid w:val="1F552C1D"/>
    <w:rsid w:val="1F5A0233"/>
    <w:rsid w:val="1F6368EB"/>
    <w:rsid w:val="1F78690B"/>
    <w:rsid w:val="1FAD5C0F"/>
    <w:rsid w:val="1FB45114"/>
    <w:rsid w:val="1FDB3132"/>
    <w:rsid w:val="1FE741BD"/>
    <w:rsid w:val="1FE7539E"/>
    <w:rsid w:val="1FEA77EA"/>
    <w:rsid w:val="202A60A1"/>
    <w:rsid w:val="203C17F2"/>
    <w:rsid w:val="204A64FA"/>
    <w:rsid w:val="204B07E7"/>
    <w:rsid w:val="204C2272"/>
    <w:rsid w:val="204F4AE7"/>
    <w:rsid w:val="2062104A"/>
    <w:rsid w:val="20671BE0"/>
    <w:rsid w:val="2080016D"/>
    <w:rsid w:val="20963CB8"/>
    <w:rsid w:val="20A81A1B"/>
    <w:rsid w:val="20B07FB6"/>
    <w:rsid w:val="20B646FB"/>
    <w:rsid w:val="20C04A0E"/>
    <w:rsid w:val="20CB6FEE"/>
    <w:rsid w:val="20D52DA9"/>
    <w:rsid w:val="20E140A6"/>
    <w:rsid w:val="20FF72E4"/>
    <w:rsid w:val="21020B82"/>
    <w:rsid w:val="2116462E"/>
    <w:rsid w:val="21224C83"/>
    <w:rsid w:val="212251A4"/>
    <w:rsid w:val="213B74B1"/>
    <w:rsid w:val="215A2310"/>
    <w:rsid w:val="217010C5"/>
    <w:rsid w:val="217F21D3"/>
    <w:rsid w:val="21893C3E"/>
    <w:rsid w:val="218B0B78"/>
    <w:rsid w:val="21AA093E"/>
    <w:rsid w:val="21BF17F5"/>
    <w:rsid w:val="21DE318A"/>
    <w:rsid w:val="21EF5B80"/>
    <w:rsid w:val="21FE57EE"/>
    <w:rsid w:val="22106E07"/>
    <w:rsid w:val="222313B6"/>
    <w:rsid w:val="2236087F"/>
    <w:rsid w:val="223E3B2E"/>
    <w:rsid w:val="22576990"/>
    <w:rsid w:val="22837AA1"/>
    <w:rsid w:val="22883309"/>
    <w:rsid w:val="22AC0867"/>
    <w:rsid w:val="22C1078F"/>
    <w:rsid w:val="22D4731C"/>
    <w:rsid w:val="22D53A2C"/>
    <w:rsid w:val="22DD5403"/>
    <w:rsid w:val="22E32420"/>
    <w:rsid w:val="22E9024C"/>
    <w:rsid w:val="22EA5D72"/>
    <w:rsid w:val="22F47480"/>
    <w:rsid w:val="22F84EEE"/>
    <w:rsid w:val="23052EF9"/>
    <w:rsid w:val="231F4E1A"/>
    <w:rsid w:val="236B5E7C"/>
    <w:rsid w:val="237202B0"/>
    <w:rsid w:val="2399311E"/>
    <w:rsid w:val="23C070E9"/>
    <w:rsid w:val="23C13E08"/>
    <w:rsid w:val="23C23769"/>
    <w:rsid w:val="23C549CF"/>
    <w:rsid w:val="23DE1C48"/>
    <w:rsid w:val="23E07E45"/>
    <w:rsid w:val="23E5235B"/>
    <w:rsid w:val="23E67AE2"/>
    <w:rsid w:val="23E80E96"/>
    <w:rsid w:val="23F21382"/>
    <w:rsid w:val="240210CD"/>
    <w:rsid w:val="240370EB"/>
    <w:rsid w:val="24135347"/>
    <w:rsid w:val="242D72D3"/>
    <w:rsid w:val="243509DA"/>
    <w:rsid w:val="2435126F"/>
    <w:rsid w:val="24365268"/>
    <w:rsid w:val="243F3E9B"/>
    <w:rsid w:val="24401886"/>
    <w:rsid w:val="248A5117"/>
    <w:rsid w:val="248F6A55"/>
    <w:rsid w:val="248F710D"/>
    <w:rsid w:val="24927561"/>
    <w:rsid w:val="24AB04CD"/>
    <w:rsid w:val="24AB1F88"/>
    <w:rsid w:val="24BF09F7"/>
    <w:rsid w:val="24F12AAA"/>
    <w:rsid w:val="24F20F0E"/>
    <w:rsid w:val="2507256D"/>
    <w:rsid w:val="252B1E3D"/>
    <w:rsid w:val="252D53FE"/>
    <w:rsid w:val="252E644C"/>
    <w:rsid w:val="259049AF"/>
    <w:rsid w:val="259D0E7A"/>
    <w:rsid w:val="25A14E0E"/>
    <w:rsid w:val="25EC2D81"/>
    <w:rsid w:val="26127ABA"/>
    <w:rsid w:val="26387870"/>
    <w:rsid w:val="263C2AD9"/>
    <w:rsid w:val="264B4CE9"/>
    <w:rsid w:val="265861DF"/>
    <w:rsid w:val="265C30A7"/>
    <w:rsid w:val="268B2061"/>
    <w:rsid w:val="269E3A6B"/>
    <w:rsid w:val="26A86D7E"/>
    <w:rsid w:val="26B17987"/>
    <w:rsid w:val="26B47F89"/>
    <w:rsid w:val="26D353B8"/>
    <w:rsid w:val="26DB643D"/>
    <w:rsid w:val="2754511E"/>
    <w:rsid w:val="277057A2"/>
    <w:rsid w:val="277D7CD3"/>
    <w:rsid w:val="279462AC"/>
    <w:rsid w:val="27A47FDD"/>
    <w:rsid w:val="27BE451B"/>
    <w:rsid w:val="28060C67"/>
    <w:rsid w:val="28461C9C"/>
    <w:rsid w:val="28485A15"/>
    <w:rsid w:val="284878A1"/>
    <w:rsid w:val="28491F2D"/>
    <w:rsid w:val="284F3E71"/>
    <w:rsid w:val="286D7229"/>
    <w:rsid w:val="28773C04"/>
    <w:rsid w:val="287D6D7E"/>
    <w:rsid w:val="28A95D87"/>
    <w:rsid w:val="28CE5A0A"/>
    <w:rsid w:val="28E026ED"/>
    <w:rsid w:val="28FB3492"/>
    <w:rsid w:val="290D2AD7"/>
    <w:rsid w:val="29206EB8"/>
    <w:rsid w:val="29373393"/>
    <w:rsid w:val="294778BF"/>
    <w:rsid w:val="294A6DC7"/>
    <w:rsid w:val="29543F45"/>
    <w:rsid w:val="29595666"/>
    <w:rsid w:val="295E3016"/>
    <w:rsid w:val="295E358B"/>
    <w:rsid w:val="2975752D"/>
    <w:rsid w:val="297840D8"/>
    <w:rsid w:val="29874881"/>
    <w:rsid w:val="29A504DF"/>
    <w:rsid w:val="29CF181E"/>
    <w:rsid w:val="29E325E0"/>
    <w:rsid w:val="29E32856"/>
    <w:rsid w:val="29F95349"/>
    <w:rsid w:val="2A17081E"/>
    <w:rsid w:val="2A1D1D28"/>
    <w:rsid w:val="2A263B34"/>
    <w:rsid w:val="2A297180"/>
    <w:rsid w:val="2A342FBE"/>
    <w:rsid w:val="2A452503"/>
    <w:rsid w:val="2A467D32"/>
    <w:rsid w:val="2A9E4B48"/>
    <w:rsid w:val="2AA96A88"/>
    <w:rsid w:val="2AAC10E7"/>
    <w:rsid w:val="2AAF16FA"/>
    <w:rsid w:val="2ABC4E3A"/>
    <w:rsid w:val="2AD51A9F"/>
    <w:rsid w:val="2AF54CBC"/>
    <w:rsid w:val="2B013C59"/>
    <w:rsid w:val="2B1019DC"/>
    <w:rsid w:val="2B243569"/>
    <w:rsid w:val="2B482518"/>
    <w:rsid w:val="2B801021"/>
    <w:rsid w:val="2B887ACA"/>
    <w:rsid w:val="2B916D8B"/>
    <w:rsid w:val="2BA936A8"/>
    <w:rsid w:val="2BC90C1A"/>
    <w:rsid w:val="2C1724E2"/>
    <w:rsid w:val="2C315A5A"/>
    <w:rsid w:val="2C3D3684"/>
    <w:rsid w:val="2C4B1C25"/>
    <w:rsid w:val="2C542665"/>
    <w:rsid w:val="2C5D1C85"/>
    <w:rsid w:val="2C603C2B"/>
    <w:rsid w:val="2C7548FE"/>
    <w:rsid w:val="2C80491C"/>
    <w:rsid w:val="2CB00693"/>
    <w:rsid w:val="2CB25B52"/>
    <w:rsid w:val="2CBC739B"/>
    <w:rsid w:val="2CDE6947"/>
    <w:rsid w:val="2D031F0A"/>
    <w:rsid w:val="2D0B0DBF"/>
    <w:rsid w:val="2D142369"/>
    <w:rsid w:val="2D1609A2"/>
    <w:rsid w:val="2D1E0AF2"/>
    <w:rsid w:val="2D915768"/>
    <w:rsid w:val="2D9E56F5"/>
    <w:rsid w:val="2DA36015"/>
    <w:rsid w:val="2DB26C84"/>
    <w:rsid w:val="2DBA2FCF"/>
    <w:rsid w:val="2DC01BA9"/>
    <w:rsid w:val="2DDD0FD4"/>
    <w:rsid w:val="2DEB68B1"/>
    <w:rsid w:val="2DFA397D"/>
    <w:rsid w:val="2E053A60"/>
    <w:rsid w:val="2E0E359B"/>
    <w:rsid w:val="2E1B14D5"/>
    <w:rsid w:val="2E255EB0"/>
    <w:rsid w:val="2E667F96"/>
    <w:rsid w:val="2E776710"/>
    <w:rsid w:val="2E8226AB"/>
    <w:rsid w:val="2E84005D"/>
    <w:rsid w:val="2E8C4181"/>
    <w:rsid w:val="2E9A064C"/>
    <w:rsid w:val="2EEE32D9"/>
    <w:rsid w:val="2F0E5872"/>
    <w:rsid w:val="2F5A7DDB"/>
    <w:rsid w:val="2F656EAC"/>
    <w:rsid w:val="2F697D76"/>
    <w:rsid w:val="2F7467BD"/>
    <w:rsid w:val="2F9B29CB"/>
    <w:rsid w:val="2FA271C8"/>
    <w:rsid w:val="2FAB53CF"/>
    <w:rsid w:val="2FB25651"/>
    <w:rsid w:val="2FB63264"/>
    <w:rsid w:val="2FD065E6"/>
    <w:rsid w:val="2FD91648"/>
    <w:rsid w:val="2FD96870"/>
    <w:rsid w:val="2FEA5603"/>
    <w:rsid w:val="30007DD7"/>
    <w:rsid w:val="302D31F5"/>
    <w:rsid w:val="30580BC9"/>
    <w:rsid w:val="30634F75"/>
    <w:rsid w:val="3075279F"/>
    <w:rsid w:val="307655EF"/>
    <w:rsid w:val="3091782D"/>
    <w:rsid w:val="30BF3162"/>
    <w:rsid w:val="30D84D1A"/>
    <w:rsid w:val="30E24E48"/>
    <w:rsid w:val="30EE2ED1"/>
    <w:rsid w:val="311E2ED7"/>
    <w:rsid w:val="312F7772"/>
    <w:rsid w:val="313B4368"/>
    <w:rsid w:val="315619EE"/>
    <w:rsid w:val="31572824"/>
    <w:rsid w:val="315C449C"/>
    <w:rsid w:val="31712CAC"/>
    <w:rsid w:val="317E11B5"/>
    <w:rsid w:val="318E4EAF"/>
    <w:rsid w:val="31B82709"/>
    <w:rsid w:val="31D05482"/>
    <w:rsid w:val="31EA6D55"/>
    <w:rsid w:val="31EC5663"/>
    <w:rsid w:val="320A7897"/>
    <w:rsid w:val="32221084"/>
    <w:rsid w:val="32242AD2"/>
    <w:rsid w:val="32400B34"/>
    <w:rsid w:val="32566E81"/>
    <w:rsid w:val="325944FC"/>
    <w:rsid w:val="32680679"/>
    <w:rsid w:val="32714A56"/>
    <w:rsid w:val="32892343"/>
    <w:rsid w:val="329E6876"/>
    <w:rsid w:val="32A773E6"/>
    <w:rsid w:val="32B7030D"/>
    <w:rsid w:val="32D3237F"/>
    <w:rsid w:val="32D4231F"/>
    <w:rsid w:val="32DB0C08"/>
    <w:rsid w:val="32E95D13"/>
    <w:rsid w:val="33134E71"/>
    <w:rsid w:val="331717EE"/>
    <w:rsid w:val="33200A88"/>
    <w:rsid w:val="333015F2"/>
    <w:rsid w:val="334501D3"/>
    <w:rsid w:val="334B6320"/>
    <w:rsid w:val="3358512B"/>
    <w:rsid w:val="336F39EE"/>
    <w:rsid w:val="33716EF1"/>
    <w:rsid w:val="337323F4"/>
    <w:rsid w:val="33A8579C"/>
    <w:rsid w:val="33C330C9"/>
    <w:rsid w:val="33D934D4"/>
    <w:rsid w:val="33FE2F6A"/>
    <w:rsid w:val="33FE78CF"/>
    <w:rsid w:val="340E07E5"/>
    <w:rsid w:val="34173357"/>
    <w:rsid w:val="34235BF7"/>
    <w:rsid w:val="342B1B77"/>
    <w:rsid w:val="343018AE"/>
    <w:rsid w:val="34452D8A"/>
    <w:rsid w:val="345B6AD0"/>
    <w:rsid w:val="34842877"/>
    <w:rsid w:val="349D07DC"/>
    <w:rsid w:val="34AA7E9A"/>
    <w:rsid w:val="34B44C1C"/>
    <w:rsid w:val="35131158"/>
    <w:rsid w:val="352516BA"/>
    <w:rsid w:val="35303AB8"/>
    <w:rsid w:val="354B46BF"/>
    <w:rsid w:val="354E2190"/>
    <w:rsid w:val="358C5FA8"/>
    <w:rsid w:val="35941EE7"/>
    <w:rsid w:val="359758E5"/>
    <w:rsid w:val="35C15DF1"/>
    <w:rsid w:val="35D5640E"/>
    <w:rsid w:val="35D85514"/>
    <w:rsid w:val="35D95EFE"/>
    <w:rsid w:val="35FE0BA4"/>
    <w:rsid w:val="36074A7F"/>
    <w:rsid w:val="3609309B"/>
    <w:rsid w:val="36167037"/>
    <w:rsid w:val="36410618"/>
    <w:rsid w:val="36570560"/>
    <w:rsid w:val="3670428D"/>
    <w:rsid w:val="36736296"/>
    <w:rsid w:val="368C1801"/>
    <w:rsid w:val="368D18BF"/>
    <w:rsid w:val="36904273"/>
    <w:rsid w:val="36923549"/>
    <w:rsid w:val="369A0A23"/>
    <w:rsid w:val="36B75FBF"/>
    <w:rsid w:val="36BD0C45"/>
    <w:rsid w:val="36BD137C"/>
    <w:rsid w:val="36CA1CEB"/>
    <w:rsid w:val="373139FF"/>
    <w:rsid w:val="373553B6"/>
    <w:rsid w:val="373D426B"/>
    <w:rsid w:val="37425D25"/>
    <w:rsid w:val="375872F6"/>
    <w:rsid w:val="37873738"/>
    <w:rsid w:val="37A34D2D"/>
    <w:rsid w:val="37AE5168"/>
    <w:rsid w:val="37C11F1E"/>
    <w:rsid w:val="37D45CDA"/>
    <w:rsid w:val="37E00298"/>
    <w:rsid w:val="38080EB6"/>
    <w:rsid w:val="382D2531"/>
    <w:rsid w:val="382F0057"/>
    <w:rsid w:val="38575800"/>
    <w:rsid w:val="38947FBD"/>
    <w:rsid w:val="38B302F9"/>
    <w:rsid w:val="38B30C88"/>
    <w:rsid w:val="38C20ECB"/>
    <w:rsid w:val="38F12CD3"/>
    <w:rsid w:val="38F44393"/>
    <w:rsid w:val="38F94775"/>
    <w:rsid w:val="38FA1BB8"/>
    <w:rsid w:val="38FD63A7"/>
    <w:rsid w:val="39035DD8"/>
    <w:rsid w:val="392971ED"/>
    <w:rsid w:val="393241A9"/>
    <w:rsid w:val="39325651"/>
    <w:rsid w:val="39935037"/>
    <w:rsid w:val="399B2A3B"/>
    <w:rsid w:val="39CD5BD5"/>
    <w:rsid w:val="39E45F74"/>
    <w:rsid w:val="39E80D0A"/>
    <w:rsid w:val="3A033E45"/>
    <w:rsid w:val="3A2E433E"/>
    <w:rsid w:val="3A305611"/>
    <w:rsid w:val="3A6B3342"/>
    <w:rsid w:val="3A872856"/>
    <w:rsid w:val="3A8C1C1D"/>
    <w:rsid w:val="3A977CF4"/>
    <w:rsid w:val="3AB21AFF"/>
    <w:rsid w:val="3AB962FE"/>
    <w:rsid w:val="3AE07D2F"/>
    <w:rsid w:val="3AFC57B7"/>
    <w:rsid w:val="3B013DDA"/>
    <w:rsid w:val="3B0825B6"/>
    <w:rsid w:val="3B3763D1"/>
    <w:rsid w:val="3B616481"/>
    <w:rsid w:val="3B822B94"/>
    <w:rsid w:val="3B9823B7"/>
    <w:rsid w:val="3B9832B1"/>
    <w:rsid w:val="3BB93BC1"/>
    <w:rsid w:val="3BCC3E0F"/>
    <w:rsid w:val="3C0B058F"/>
    <w:rsid w:val="3C135F1D"/>
    <w:rsid w:val="3C1C6307"/>
    <w:rsid w:val="3C243C4B"/>
    <w:rsid w:val="3C2F6E1E"/>
    <w:rsid w:val="3C4A2D55"/>
    <w:rsid w:val="3C4C3631"/>
    <w:rsid w:val="3C4F64BA"/>
    <w:rsid w:val="3C713708"/>
    <w:rsid w:val="3C8D7564"/>
    <w:rsid w:val="3C8F650D"/>
    <w:rsid w:val="3C9506A5"/>
    <w:rsid w:val="3CB45B7B"/>
    <w:rsid w:val="3CC263CE"/>
    <w:rsid w:val="3CDA245A"/>
    <w:rsid w:val="3CEE0ECF"/>
    <w:rsid w:val="3CF92A9A"/>
    <w:rsid w:val="3D0173C5"/>
    <w:rsid w:val="3D143113"/>
    <w:rsid w:val="3D1E06B7"/>
    <w:rsid w:val="3D6733DE"/>
    <w:rsid w:val="3D842BF3"/>
    <w:rsid w:val="3D850719"/>
    <w:rsid w:val="3DA74E70"/>
    <w:rsid w:val="3DB25DD9"/>
    <w:rsid w:val="3E2D6890"/>
    <w:rsid w:val="3E5717B7"/>
    <w:rsid w:val="3EDA0523"/>
    <w:rsid w:val="3EF63D5B"/>
    <w:rsid w:val="3F326B8A"/>
    <w:rsid w:val="3F536D21"/>
    <w:rsid w:val="3F5C7C20"/>
    <w:rsid w:val="3F60690C"/>
    <w:rsid w:val="3F9827B4"/>
    <w:rsid w:val="3F982986"/>
    <w:rsid w:val="3FB157F6"/>
    <w:rsid w:val="40155D85"/>
    <w:rsid w:val="401A6E91"/>
    <w:rsid w:val="406843DE"/>
    <w:rsid w:val="406970E7"/>
    <w:rsid w:val="407A6407"/>
    <w:rsid w:val="407F0F94"/>
    <w:rsid w:val="40F167F2"/>
    <w:rsid w:val="40F70F22"/>
    <w:rsid w:val="410024A8"/>
    <w:rsid w:val="410A340F"/>
    <w:rsid w:val="412160C9"/>
    <w:rsid w:val="412D5350"/>
    <w:rsid w:val="412E1B74"/>
    <w:rsid w:val="413E57AF"/>
    <w:rsid w:val="416C0117"/>
    <w:rsid w:val="417D0976"/>
    <w:rsid w:val="417D5F77"/>
    <w:rsid w:val="418D4040"/>
    <w:rsid w:val="41CC6917"/>
    <w:rsid w:val="41D10249"/>
    <w:rsid w:val="41E7318A"/>
    <w:rsid w:val="4200449D"/>
    <w:rsid w:val="42167A80"/>
    <w:rsid w:val="423A3BCC"/>
    <w:rsid w:val="42483B6E"/>
    <w:rsid w:val="424E57D2"/>
    <w:rsid w:val="425F073A"/>
    <w:rsid w:val="42B00A30"/>
    <w:rsid w:val="42B26C49"/>
    <w:rsid w:val="43194A98"/>
    <w:rsid w:val="43295156"/>
    <w:rsid w:val="433A6FE6"/>
    <w:rsid w:val="43480868"/>
    <w:rsid w:val="4350713C"/>
    <w:rsid w:val="435412BA"/>
    <w:rsid w:val="436653E0"/>
    <w:rsid w:val="436842E5"/>
    <w:rsid w:val="436C622D"/>
    <w:rsid w:val="438B57CB"/>
    <w:rsid w:val="43C4431A"/>
    <w:rsid w:val="43E21956"/>
    <w:rsid w:val="43EF6442"/>
    <w:rsid w:val="43F06270"/>
    <w:rsid w:val="441D78FE"/>
    <w:rsid w:val="44372F0F"/>
    <w:rsid w:val="443C5828"/>
    <w:rsid w:val="443F7A85"/>
    <w:rsid w:val="444E121C"/>
    <w:rsid w:val="44522AFA"/>
    <w:rsid w:val="445A135F"/>
    <w:rsid w:val="44896D41"/>
    <w:rsid w:val="44955F98"/>
    <w:rsid w:val="44B951CC"/>
    <w:rsid w:val="44C91833"/>
    <w:rsid w:val="44CD14E0"/>
    <w:rsid w:val="44F20B0B"/>
    <w:rsid w:val="44FA5851"/>
    <w:rsid w:val="450308A1"/>
    <w:rsid w:val="45252301"/>
    <w:rsid w:val="452C596A"/>
    <w:rsid w:val="452E1696"/>
    <w:rsid w:val="452E5F4C"/>
    <w:rsid w:val="45612018"/>
    <w:rsid w:val="456D26F5"/>
    <w:rsid w:val="457A3A0A"/>
    <w:rsid w:val="458760FD"/>
    <w:rsid w:val="458946E9"/>
    <w:rsid w:val="4596779F"/>
    <w:rsid w:val="459D696F"/>
    <w:rsid w:val="45A47C0E"/>
    <w:rsid w:val="45B55914"/>
    <w:rsid w:val="45C10D0F"/>
    <w:rsid w:val="45EF52CA"/>
    <w:rsid w:val="462C02CC"/>
    <w:rsid w:val="462F56C6"/>
    <w:rsid w:val="463B050F"/>
    <w:rsid w:val="464E67A0"/>
    <w:rsid w:val="46535859"/>
    <w:rsid w:val="46577FD6"/>
    <w:rsid w:val="4678706D"/>
    <w:rsid w:val="469173FD"/>
    <w:rsid w:val="469464ED"/>
    <w:rsid w:val="469E3536"/>
    <w:rsid w:val="46AF0597"/>
    <w:rsid w:val="46CE3131"/>
    <w:rsid w:val="46D955A7"/>
    <w:rsid w:val="46DC75FC"/>
    <w:rsid w:val="46E5026C"/>
    <w:rsid w:val="46F9201D"/>
    <w:rsid w:val="47084895"/>
    <w:rsid w:val="47133957"/>
    <w:rsid w:val="47150BB4"/>
    <w:rsid w:val="472114CA"/>
    <w:rsid w:val="4723347D"/>
    <w:rsid w:val="47373E8E"/>
    <w:rsid w:val="47454704"/>
    <w:rsid w:val="475C3BE2"/>
    <w:rsid w:val="475F2731"/>
    <w:rsid w:val="476615BC"/>
    <w:rsid w:val="476A2ECC"/>
    <w:rsid w:val="47785CF0"/>
    <w:rsid w:val="47816C3A"/>
    <w:rsid w:val="47947973"/>
    <w:rsid w:val="47A07E0C"/>
    <w:rsid w:val="47A8634D"/>
    <w:rsid w:val="47C06F1E"/>
    <w:rsid w:val="47F054D8"/>
    <w:rsid w:val="48127FEB"/>
    <w:rsid w:val="48276283"/>
    <w:rsid w:val="4828582E"/>
    <w:rsid w:val="4830797A"/>
    <w:rsid w:val="484E3524"/>
    <w:rsid w:val="4860165D"/>
    <w:rsid w:val="48621D83"/>
    <w:rsid w:val="4870272E"/>
    <w:rsid w:val="48747A31"/>
    <w:rsid w:val="487D22FF"/>
    <w:rsid w:val="488543BA"/>
    <w:rsid w:val="489E3D34"/>
    <w:rsid w:val="48CA3030"/>
    <w:rsid w:val="48CB55FA"/>
    <w:rsid w:val="48D95DC8"/>
    <w:rsid w:val="48EC13B2"/>
    <w:rsid w:val="48F826E7"/>
    <w:rsid w:val="48FA39A3"/>
    <w:rsid w:val="490B6F37"/>
    <w:rsid w:val="490F3A25"/>
    <w:rsid w:val="49203F9B"/>
    <w:rsid w:val="492B6619"/>
    <w:rsid w:val="492E5F64"/>
    <w:rsid w:val="49374FBE"/>
    <w:rsid w:val="49376D1A"/>
    <w:rsid w:val="49383BB4"/>
    <w:rsid w:val="493F3E51"/>
    <w:rsid w:val="49403578"/>
    <w:rsid w:val="498C473C"/>
    <w:rsid w:val="49A87C69"/>
    <w:rsid w:val="49DC7715"/>
    <w:rsid w:val="4A023139"/>
    <w:rsid w:val="4A0D41AE"/>
    <w:rsid w:val="4A2A68D0"/>
    <w:rsid w:val="4A2D478B"/>
    <w:rsid w:val="4A391054"/>
    <w:rsid w:val="4A6D1F00"/>
    <w:rsid w:val="4A7A50E4"/>
    <w:rsid w:val="4A7B576F"/>
    <w:rsid w:val="4A9E4B3A"/>
    <w:rsid w:val="4ADA0BDD"/>
    <w:rsid w:val="4AF07B1A"/>
    <w:rsid w:val="4AF561A9"/>
    <w:rsid w:val="4AF7270C"/>
    <w:rsid w:val="4B054C48"/>
    <w:rsid w:val="4B0709C0"/>
    <w:rsid w:val="4B0E1D4E"/>
    <w:rsid w:val="4B2772B4"/>
    <w:rsid w:val="4B2E2689"/>
    <w:rsid w:val="4B6B1EF9"/>
    <w:rsid w:val="4B756D85"/>
    <w:rsid w:val="4B9318F2"/>
    <w:rsid w:val="4BBC17AA"/>
    <w:rsid w:val="4BBC5C4E"/>
    <w:rsid w:val="4C00458F"/>
    <w:rsid w:val="4C0C69D1"/>
    <w:rsid w:val="4C215AB1"/>
    <w:rsid w:val="4C322340"/>
    <w:rsid w:val="4C3A7A30"/>
    <w:rsid w:val="4C4A0649"/>
    <w:rsid w:val="4C5F7E0E"/>
    <w:rsid w:val="4C682916"/>
    <w:rsid w:val="4C6E4D74"/>
    <w:rsid w:val="4C7E5ECA"/>
    <w:rsid w:val="4C876AA5"/>
    <w:rsid w:val="4C9B37AC"/>
    <w:rsid w:val="4CAB14ED"/>
    <w:rsid w:val="4CAC1808"/>
    <w:rsid w:val="4CC21042"/>
    <w:rsid w:val="4CFE45B4"/>
    <w:rsid w:val="4D077EEE"/>
    <w:rsid w:val="4D0E00FB"/>
    <w:rsid w:val="4D176606"/>
    <w:rsid w:val="4D1D67F6"/>
    <w:rsid w:val="4D265A75"/>
    <w:rsid w:val="4D2A4B22"/>
    <w:rsid w:val="4D2C0BB1"/>
    <w:rsid w:val="4D3F49F0"/>
    <w:rsid w:val="4D746B23"/>
    <w:rsid w:val="4DB86AE6"/>
    <w:rsid w:val="4DEC4FB0"/>
    <w:rsid w:val="4DFC51E7"/>
    <w:rsid w:val="4E0062C6"/>
    <w:rsid w:val="4E075D8A"/>
    <w:rsid w:val="4E5B57DC"/>
    <w:rsid w:val="4E6264DA"/>
    <w:rsid w:val="4E65437B"/>
    <w:rsid w:val="4E8B044C"/>
    <w:rsid w:val="4E913741"/>
    <w:rsid w:val="4E914A93"/>
    <w:rsid w:val="4E916F1E"/>
    <w:rsid w:val="4EB32690"/>
    <w:rsid w:val="4EC00FAD"/>
    <w:rsid w:val="4EC63D8E"/>
    <w:rsid w:val="4EDB38E7"/>
    <w:rsid w:val="4EEA322C"/>
    <w:rsid w:val="4F165675"/>
    <w:rsid w:val="4F2953A8"/>
    <w:rsid w:val="4F344880"/>
    <w:rsid w:val="4F534F16"/>
    <w:rsid w:val="4F6050C6"/>
    <w:rsid w:val="4F7D74A2"/>
    <w:rsid w:val="4F7E1699"/>
    <w:rsid w:val="4F9843DC"/>
    <w:rsid w:val="4FAA62A5"/>
    <w:rsid w:val="4FAE6A0C"/>
    <w:rsid w:val="4FC62A8C"/>
    <w:rsid w:val="4FDD5DBB"/>
    <w:rsid w:val="4FE20F0D"/>
    <w:rsid w:val="4FE51552"/>
    <w:rsid w:val="4FEF697B"/>
    <w:rsid w:val="50092FA9"/>
    <w:rsid w:val="501D030A"/>
    <w:rsid w:val="502344EE"/>
    <w:rsid w:val="50504C4B"/>
    <w:rsid w:val="50546455"/>
    <w:rsid w:val="505622BB"/>
    <w:rsid w:val="50895061"/>
    <w:rsid w:val="509C6E7C"/>
    <w:rsid w:val="50B03BC6"/>
    <w:rsid w:val="50C644A7"/>
    <w:rsid w:val="50F230E7"/>
    <w:rsid w:val="511641BA"/>
    <w:rsid w:val="514069D9"/>
    <w:rsid w:val="51614721"/>
    <w:rsid w:val="5162104E"/>
    <w:rsid w:val="516737F4"/>
    <w:rsid w:val="51B579BE"/>
    <w:rsid w:val="51FD0B76"/>
    <w:rsid w:val="520076D4"/>
    <w:rsid w:val="52195BA8"/>
    <w:rsid w:val="521A4637"/>
    <w:rsid w:val="521C7446"/>
    <w:rsid w:val="521E05D9"/>
    <w:rsid w:val="5224454D"/>
    <w:rsid w:val="52376968"/>
    <w:rsid w:val="52644E71"/>
    <w:rsid w:val="52676552"/>
    <w:rsid w:val="526806C6"/>
    <w:rsid w:val="527A5F1B"/>
    <w:rsid w:val="52967C7B"/>
    <w:rsid w:val="5315148A"/>
    <w:rsid w:val="53210083"/>
    <w:rsid w:val="533C1349"/>
    <w:rsid w:val="533D25FA"/>
    <w:rsid w:val="535104CC"/>
    <w:rsid w:val="53537FC2"/>
    <w:rsid w:val="536B13F7"/>
    <w:rsid w:val="537F7B4C"/>
    <w:rsid w:val="539B3EAD"/>
    <w:rsid w:val="53A039CC"/>
    <w:rsid w:val="53A1505A"/>
    <w:rsid w:val="53C77C7D"/>
    <w:rsid w:val="53D146C7"/>
    <w:rsid w:val="53FC12DE"/>
    <w:rsid w:val="54063E08"/>
    <w:rsid w:val="54112699"/>
    <w:rsid w:val="541A5096"/>
    <w:rsid w:val="54212AF2"/>
    <w:rsid w:val="542720D3"/>
    <w:rsid w:val="5433798A"/>
    <w:rsid w:val="543437E8"/>
    <w:rsid w:val="54462559"/>
    <w:rsid w:val="547215A0"/>
    <w:rsid w:val="54C33BA9"/>
    <w:rsid w:val="54DE0AD5"/>
    <w:rsid w:val="54E81862"/>
    <w:rsid w:val="54F73313"/>
    <w:rsid w:val="54F80955"/>
    <w:rsid w:val="54F93EBC"/>
    <w:rsid w:val="54FE1085"/>
    <w:rsid w:val="55067F3A"/>
    <w:rsid w:val="55260388"/>
    <w:rsid w:val="552F123F"/>
    <w:rsid w:val="553474BB"/>
    <w:rsid w:val="55365402"/>
    <w:rsid w:val="555170A7"/>
    <w:rsid w:val="55727022"/>
    <w:rsid w:val="557A1216"/>
    <w:rsid w:val="5587536D"/>
    <w:rsid w:val="559B174B"/>
    <w:rsid w:val="559D3DE2"/>
    <w:rsid w:val="55B577AC"/>
    <w:rsid w:val="55CE0CF4"/>
    <w:rsid w:val="55D3606E"/>
    <w:rsid w:val="55E621CB"/>
    <w:rsid w:val="55E92A2C"/>
    <w:rsid w:val="55FD3BFE"/>
    <w:rsid w:val="56080E34"/>
    <w:rsid w:val="561A3C9D"/>
    <w:rsid w:val="56226C88"/>
    <w:rsid w:val="56325B45"/>
    <w:rsid w:val="56546007"/>
    <w:rsid w:val="56644F18"/>
    <w:rsid w:val="5667614F"/>
    <w:rsid w:val="56833B9F"/>
    <w:rsid w:val="568D0913"/>
    <w:rsid w:val="569E585C"/>
    <w:rsid w:val="56A43BB5"/>
    <w:rsid w:val="56B22A9C"/>
    <w:rsid w:val="56BC2FA6"/>
    <w:rsid w:val="572C4547"/>
    <w:rsid w:val="57326672"/>
    <w:rsid w:val="57376AD1"/>
    <w:rsid w:val="573A7234"/>
    <w:rsid w:val="57554542"/>
    <w:rsid w:val="57773223"/>
    <w:rsid w:val="578A6DE2"/>
    <w:rsid w:val="57932B88"/>
    <w:rsid w:val="57A31A70"/>
    <w:rsid w:val="57B72A76"/>
    <w:rsid w:val="57B8376D"/>
    <w:rsid w:val="57C3426C"/>
    <w:rsid w:val="57C83DDD"/>
    <w:rsid w:val="57CE1F93"/>
    <w:rsid w:val="57DE484E"/>
    <w:rsid w:val="58174B5C"/>
    <w:rsid w:val="581E6DFA"/>
    <w:rsid w:val="582C4D88"/>
    <w:rsid w:val="588743D1"/>
    <w:rsid w:val="5887701A"/>
    <w:rsid w:val="58AC2CFB"/>
    <w:rsid w:val="58C6010C"/>
    <w:rsid w:val="58D47DF5"/>
    <w:rsid w:val="58E35421"/>
    <w:rsid w:val="590933EB"/>
    <w:rsid w:val="590D4982"/>
    <w:rsid w:val="590F193D"/>
    <w:rsid w:val="5926603E"/>
    <w:rsid w:val="592A78FC"/>
    <w:rsid w:val="59347E15"/>
    <w:rsid w:val="5944329C"/>
    <w:rsid w:val="594B0611"/>
    <w:rsid w:val="59592D2E"/>
    <w:rsid w:val="59617E35"/>
    <w:rsid w:val="5976568E"/>
    <w:rsid w:val="59A73A9A"/>
    <w:rsid w:val="59C0439F"/>
    <w:rsid w:val="59CB08E4"/>
    <w:rsid w:val="5A0F163F"/>
    <w:rsid w:val="5A132EDD"/>
    <w:rsid w:val="5A1E277B"/>
    <w:rsid w:val="5A64609F"/>
    <w:rsid w:val="5A866D10"/>
    <w:rsid w:val="5A8C07FB"/>
    <w:rsid w:val="5A93401E"/>
    <w:rsid w:val="5A941E1F"/>
    <w:rsid w:val="5A986165"/>
    <w:rsid w:val="5ABA7BFC"/>
    <w:rsid w:val="5ABE2233"/>
    <w:rsid w:val="5AD36B10"/>
    <w:rsid w:val="5AEA6805"/>
    <w:rsid w:val="5B117AFF"/>
    <w:rsid w:val="5B252ECE"/>
    <w:rsid w:val="5B3D5C55"/>
    <w:rsid w:val="5B410DC4"/>
    <w:rsid w:val="5B466B83"/>
    <w:rsid w:val="5B4C0421"/>
    <w:rsid w:val="5B5C3FBB"/>
    <w:rsid w:val="5BA37FC2"/>
    <w:rsid w:val="5BB24978"/>
    <w:rsid w:val="5BDF5D95"/>
    <w:rsid w:val="5BF62AB6"/>
    <w:rsid w:val="5BFE7528"/>
    <w:rsid w:val="5C1D0043"/>
    <w:rsid w:val="5C2A2760"/>
    <w:rsid w:val="5C311D40"/>
    <w:rsid w:val="5C3B671B"/>
    <w:rsid w:val="5C612FD5"/>
    <w:rsid w:val="5C8E7EC3"/>
    <w:rsid w:val="5C97561B"/>
    <w:rsid w:val="5C9B41FC"/>
    <w:rsid w:val="5C9C0433"/>
    <w:rsid w:val="5CA664BA"/>
    <w:rsid w:val="5CC74453"/>
    <w:rsid w:val="5CE62796"/>
    <w:rsid w:val="5CF75A42"/>
    <w:rsid w:val="5D0C49FD"/>
    <w:rsid w:val="5D2418A5"/>
    <w:rsid w:val="5D6A35D0"/>
    <w:rsid w:val="5DD15589"/>
    <w:rsid w:val="5DEB4749"/>
    <w:rsid w:val="5DFD637E"/>
    <w:rsid w:val="5E10039E"/>
    <w:rsid w:val="5E2467F1"/>
    <w:rsid w:val="5E40232F"/>
    <w:rsid w:val="5E412C61"/>
    <w:rsid w:val="5E540FCF"/>
    <w:rsid w:val="5E622685"/>
    <w:rsid w:val="5E7F7490"/>
    <w:rsid w:val="5E8C325E"/>
    <w:rsid w:val="5EA43E37"/>
    <w:rsid w:val="5EAA7B89"/>
    <w:rsid w:val="5EF776BC"/>
    <w:rsid w:val="5EF86946"/>
    <w:rsid w:val="5F1A2B43"/>
    <w:rsid w:val="5F4B4C7B"/>
    <w:rsid w:val="5F4C7FB8"/>
    <w:rsid w:val="5F531FCE"/>
    <w:rsid w:val="5F5C5FB8"/>
    <w:rsid w:val="5F61293D"/>
    <w:rsid w:val="5F8422B8"/>
    <w:rsid w:val="5F854DD5"/>
    <w:rsid w:val="5F97635E"/>
    <w:rsid w:val="5FB52C88"/>
    <w:rsid w:val="5FB54A36"/>
    <w:rsid w:val="5FB837BB"/>
    <w:rsid w:val="5FD305DD"/>
    <w:rsid w:val="5FE314BD"/>
    <w:rsid w:val="5FF124DC"/>
    <w:rsid w:val="5FF754B7"/>
    <w:rsid w:val="60030525"/>
    <w:rsid w:val="601C6962"/>
    <w:rsid w:val="60206354"/>
    <w:rsid w:val="603923CB"/>
    <w:rsid w:val="60620F67"/>
    <w:rsid w:val="60693CE0"/>
    <w:rsid w:val="607D0952"/>
    <w:rsid w:val="607E588E"/>
    <w:rsid w:val="60C03058"/>
    <w:rsid w:val="60CC405A"/>
    <w:rsid w:val="60E05AE3"/>
    <w:rsid w:val="60F1342B"/>
    <w:rsid w:val="61665FE8"/>
    <w:rsid w:val="617C3A5E"/>
    <w:rsid w:val="61877B8B"/>
    <w:rsid w:val="61973485"/>
    <w:rsid w:val="61AB60F1"/>
    <w:rsid w:val="61AD2D44"/>
    <w:rsid w:val="61DE683B"/>
    <w:rsid w:val="61E215D8"/>
    <w:rsid w:val="62046881"/>
    <w:rsid w:val="62105B23"/>
    <w:rsid w:val="621A0401"/>
    <w:rsid w:val="621B3775"/>
    <w:rsid w:val="62231469"/>
    <w:rsid w:val="62255429"/>
    <w:rsid w:val="622E70A1"/>
    <w:rsid w:val="623161EC"/>
    <w:rsid w:val="62364782"/>
    <w:rsid w:val="623B3444"/>
    <w:rsid w:val="624900B1"/>
    <w:rsid w:val="625A33E9"/>
    <w:rsid w:val="629E2771"/>
    <w:rsid w:val="62B92A90"/>
    <w:rsid w:val="62D578C9"/>
    <w:rsid w:val="62FE04A2"/>
    <w:rsid w:val="63043D0B"/>
    <w:rsid w:val="63133F4E"/>
    <w:rsid w:val="631A5562"/>
    <w:rsid w:val="63202106"/>
    <w:rsid w:val="63332842"/>
    <w:rsid w:val="634405AB"/>
    <w:rsid w:val="63660F98"/>
    <w:rsid w:val="6394356A"/>
    <w:rsid w:val="639642B2"/>
    <w:rsid w:val="63C61B2C"/>
    <w:rsid w:val="63C94F54"/>
    <w:rsid w:val="63D40BE9"/>
    <w:rsid w:val="63F91396"/>
    <w:rsid w:val="63FF6723"/>
    <w:rsid w:val="64102431"/>
    <w:rsid w:val="642D7FAE"/>
    <w:rsid w:val="6438290C"/>
    <w:rsid w:val="645837C4"/>
    <w:rsid w:val="646122F9"/>
    <w:rsid w:val="6464026A"/>
    <w:rsid w:val="646F08D5"/>
    <w:rsid w:val="648E467A"/>
    <w:rsid w:val="64A02AF8"/>
    <w:rsid w:val="64A34A06"/>
    <w:rsid w:val="64A5243A"/>
    <w:rsid w:val="64B41760"/>
    <w:rsid w:val="64EB0FD9"/>
    <w:rsid w:val="64F531DE"/>
    <w:rsid w:val="64F81422"/>
    <w:rsid w:val="64FD13AB"/>
    <w:rsid w:val="65071890"/>
    <w:rsid w:val="651641C9"/>
    <w:rsid w:val="651B7C8F"/>
    <w:rsid w:val="65373578"/>
    <w:rsid w:val="65582843"/>
    <w:rsid w:val="65D03017"/>
    <w:rsid w:val="65FF5165"/>
    <w:rsid w:val="66000BE8"/>
    <w:rsid w:val="662F770B"/>
    <w:rsid w:val="665705F5"/>
    <w:rsid w:val="66703465"/>
    <w:rsid w:val="66814C28"/>
    <w:rsid w:val="66993944"/>
    <w:rsid w:val="669D5738"/>
    <w:rsid w:val="66AD2B19"/>
    <w:rsid w:val="66BE6020"/>
    <w:rsid w:val="67102128"/>
    <w:rsid w:val="671F124A"/>
    <w:rsid w:val="6729598A"/>
    <w:rsid w:val="672E6623"/>
    <w:rsid w:val="677A33C6"/>
    <w:rsid w:val="677E6D41"/>
    <w:rsid w:val="67CA4DF7"/>
    <w:rsid w:val="67DD4B2A"/>
    <w:rsid w:val="67DF6D0B"/>
    <w:rsid w:val="680447AD"/>
    <w:rsid w:val="680F42D2"/>
    <w:rsid w:val="681F6961"/>
    <w:rsid w:val="68395ABA"/>
    <w:rsid w:val="684D75AC"/>
    <w:rsid w:val="685D1CC6"/>
    <w:rsid w:val="68610A2F"/>
    <w:rsid w:val="6863170B"/>
    <w:rsid w:val="688020CA"/>
    <w:rsid w:val="68805514"/>
    <w:rsid w:val="6885769C"/>
    <w:rsid w:val="68935695"/>
    <w:rsid w:val="68AF699E"/>
    <w:rsid w:val="68B25FB7"/>
    <w:rsid w:val="68C331B9"/>
    <w:rsid w:val="69006820"/>
    <w:rsid w:val="691E53FA"/>
    <w:rsid w:val="69316E2F"/>
    <w:rsid w:val="694E2071"/>
    <w:rsid w:val="6972273D"/>
    <w:rsid w:val="69766163"/>
    <w:rsid w:val="697A3B33"/>
    <w:rsid w:val="6994390F"/>
    <w:rsid w:val="69A2427D"/>
    <w:rsid w:val="69A73642"/>
    <w:rsid w:val="69CB581E"/>
    <w:rsid w:val="69D44760"/>
    <w:rsid w:val="69DB189F"/>
    <w:rsid w:val="69DF2405"/>
    <w:rsid w:val="6A2107F6"/>
    <w:rsid w:val="6A39656C"/>
    <w:rsid w:val="6A507835"/>
    <w:rsid w:val="6A520EC7"/>
    <w:rsid w:val="6A570BC4"/>
    <w:rsid w:val="6A5C442C"/>
    <w:rsid w:val="6A774B85"/>
    <w:rsid w:val="6A78793A"/>
    <w:rsid w:val="6AC7760B"/>
    <w:rsid w:val="6AD42D58"/>
    <w:rsid w:val="6AED1528"/>
    <w:rsid w:val="6AF87E20"/>
    <w:rsid w:val="6B022971"/>
    <w:rsid w:val="6B0F26C2"/>
    <w:rsid w:val="6B2B454C"/>
    <w:rsid w:val="6B322639"/>
    <w:rsid w:val="6B43739A"/>
    <w:rsid w:val="6B581098"/>
    <w:rsid w:val="6B6537B4"/>
    <w:rsid w:val="6B680BAF"/>
    <w:rsid w:val="6B741BC2"/>
    <w:rsid w:val="6B804333"/>
    <w:rsid w:val="6B8A4FC9"/>
    <w:rsid w:val="6B911907"/>
    <w:rsid w:val="6BB64010"/>
    <w:rsid w:val="6BC062BF"/>
    <w:rsid w:val="6BD44D33"/>
    <w:rsid w:val="6BD91AAD"/>
    <w:rsid w:val="6BE0108D"/>
    <w:rsid w:val="6BEF0C80"/>
    <w:rsid w:val="6BFB6DB8"/>
    <w:rsid w:val="6C050161"/>
    <w:rsid w:val="6C223454"/>
    <w:rsid w:val="6C511D45"/>
    <w:rsid w:val="6C5C00D6"/>
    <w:rsid w:val="6C636C38"/>
    <w:rsid w:val="6C7D068A"/>
    <w:rsid w:val="6C81461E"/>
    <w:rsid w:val="6C8519DA"/>
    <w:rsid w:val="6C903958"/>
    <w:rsid w:val="6C966FB6"/>
    <w:rsid w:val="6CB95B66"/>
    <w:rsid w:val="6CC16966"/>
    <w:rsid w:val="6CC51093"/>
    <w:rsid w:val="6CD00A8F"/>
    <w:rsid w:val="6CE64481"/>
    <w:rsid w:val="6CFA128D"/>
    <w:rsid w:val="6D057FAC"/>
    <w:rsid w:val="6D0843F7"/>
    <w:rsid w:val="6D1234C8"/>
    <w:rsid w:val="6D3005DF"/>
    <w:rsid w:val="6D390A55"/>
    <w:rsid w:val="6D9E4D5C"/>
    <w:rsid w:val="6DB34098"/>
    <w:rsid w:val="6DB545B6"/>
    <w:rsid w:val="6DBA2755"/>
    <w:rsid w:val="6DBE0F5A"/>
    <w:rsid w:val="6DC661A2"/>
    <w:rsid w:val="6DE02FB4"/>
    <w:rsid w:val="6E0E1190"/>
    <w:rsid w:val="6E0E7291"/>
    <w:rsid w:val="6E1B63AC"/>
    <w:rsid w:val="6E250FD9"/>
    <w:rsid w:val="6E491E80"/>
    <w:rsid w:val="6E514CED"/>
    <w:rsid w:val="6E712470"/>
    <w:rsid w:val="6E753D0F"/>
    <w:rsid w:val="6E853DBE"/>
    <w:rsid w:val="6EAE593E"/>
    <w:rsid w:val="6EB563D5"/>
    <w:rsid w:val="6EB74327"/>
    <w:rsid w:val="6EBE3907"/>
    <w:rsid w:val="6ED053E9"/>
    <w:rsid w:val="6ED92677"/>
    <w:rsid w:val="6EDB0195"/>
    <w:rsid w:val="6EF94940"/>
    <w:rsid w:val="6F225983"/>
    <w:rsid w:val="6F250CF6"/>
    <w:rsid w:val="6F435239"/>
    <w:rsid w:val="6F6D491A"/>
    <w:rsid w:val="6F8A37EA"/>
    <w:rsid w:val="6F8B6E2B"/>
    <w:rsid w:val="6F9B0863"/>
    <w:rsid w:val="6FA263F1"/>
    <w:rsid w:val="6FFC5590"/>
    <w:rsid w:val="6FFD045F"/>
    <w:rsid w:val="702D068A"/>
    <w:rsid w:val="70651B61"/>
    <w:rsid w:val="706D1DD0"/>
    <w:rsid w:val="70700C31"/>
    <w:rsid w:val="70856B87"/>
    <w:rsid w:val="70877D29"/>
    <w:rsid w:val="70AA17C4"/>
    <w:rsid w:val="70B54896"/>
    <w:rsid w:val="70CE694A"/>
    <w:rsid w:val="70D527EE"/>
    <w:rsid w:val="70F7175E"/>
    <w:rsid w:val="711F0263"/>
    <w:rsid w:val="713E2ADE"/>
    <w:rsid w:val="715B5300"/>
    <w:rsid w:val="71847D99"/>
    <w:rsid w:val="719417C0"/>
    <w:rsid w:val="71BE5882"/>
    <w:rsid w:val="71C34D91"/>
    <w:rsid w:val="71D27F8A"/>
    <w:rsid w:val="71EC433F"/>
    <w:rsid w:val="72062ED0"/>
    <w:rsid w:val="72310434"/>
    <w:rsid w:val="723B55F8"/>
    <w:rsid w:val="723F26E7"/>
    <w:rsid w:val="72553024"/>
    <w:rsid w:val="72803E9E"/>
    <w:rsid w:val="729839CF"/>
    <w:rsid w:val="72A02D9E"/>
    <w:rsid w:val="72A746B3"/>
    <w:rsid w:val="72B51240"/>
    <w:rsid w:val="72CB6B25"/>
    <w:rsid w:val="72EE6B5E"/>
    <w:rsid w:val="73103A23"/>
    <w:rsid w:val="73122968"/>
    <w:rsid w:val="731F5D5E"/>
    <w:rsid w:val="733E234E"/>
    <w:rsid w:val="735E4456"/>
    <w:rsid w:val="73601B58"/>
    <w:rsid w:val="73661E78"/>
    <w:rsid w:val="73BA4C48"/>
    <w:rsid w:val="73C51AD5"/>
    <w:rsid w:val="73CC536D"/>
    <w:rsid w:val="73D47E32"/>
    <w:rsid w:val="73FF07E0"/>
    <w:rsid w:val="74054864"/>
    <w:rsid w:val="741E793C"/>
    <w:rsid w:val="74336496"/>
    <w:rsid w:val="743E1047"/>
    <w:rsid w:val="74561EEC"/>
    <w:rsid w:val="745B3D7D"/>
    <w:rsid w:val="745E3944"/>
    <w:rsid w:val="74655091"/>
    <w:rsid w:val="74823B06"/>
    <w:rsid w:val="7496678D"/>
    <w:rsid w:val="749C0FAE"/>
    <w:rsid w:val="74C02E7E"/>
    <w:rsid w:val="74DF66C8"/>
    <w:rsid w:val="74E12CBB"/>
    <w:rsid w:val="74E360FC"/>
    <w:rsid w:val="750A4C07"/>
    <w:rsid w:val="750D185B"/>
    <w:rsid w:val="751F49D4"/>
    <w:rsid w:val="752D1CFC"/>
    <w:rsid w:val="75695F6B"/>
    <w:rsid w:val="756B5E6B"/>
    <w:rsid w:val="7573566B"/>
    <w:rsid w:val="75864A53"/>
    <w:rsid w:val="759527DF"/>
    <w:rsid w:val="75A90742"/>
    <w:rsid w:val="75BC1701"/>
    <w:rsid w:val="75FD47E4"/>
    <w:rsid w:val="760A0D32"/>
    <w:rsid w:val="761248D7"/>
    <w:rsid w:val="76165729"/>
    <w:rsid w:val="761C7166"/>
    <w:rsid w:val="7635099D"/>
    <w:rsid w:val="7657019E"/>
    <w:rsid w:val="76592168"/>
    <w:rsid w:val="766A7ED1"/>
    <w:rsid w:val="7671125F"/>
    <w:rsid w:val="76760624"/>
    <w:rsid w:val="76820AEE"/>
    <w:rsid w:val="769B6E27"/>
    <w:rsid w:val="76A35CBA"/>
    <w:rsid w:val="76AE24B4"/>
    <w:rsid w:val="76BF37DB"/>
    <w:rsid w:val="76CE356D"/>
    <w:rsid w:val="771930B1"/>
    <w:rsid w:val="772A44A0"/>
    <w:rsid w:val="776F52B5"/>
    <w:rsid w:val="77737259"/>
    <w:rsid w:val="77762421"/>
    <w:rsid w:val="778D18BF"/>
    <w:rsid w:val="779571D0"/>
    <w:rsid w:val="77A45665"/>
    <w:rsid w:val="77A967D7"/>
    <w:rsid w:val="77B21B30"/>
    <w:rsid w:val="77B56B1F"/>
    <w:rsid w:val="77EB561F"/>
    <w:rsid w:val="77F54AD9"/>
    <w:rsid w:val="780F09F4"/>
    <w:rsid w:val="78753AC2"/>
    <w:rsid w:val="789E20B4"/>
    <w:rsid w:val="78A90480"/>
    <w:rsid w:val="78CB48EE"/>
    <w:rsid w:val="78F148D9"/>
    <w:rsid w:val="79094BEA"/>
    <w:rsid w:val="7938079C"/>
    <w:rsid w:val="79820617"/>
    <w:rsid w:val="798C693F"/>
    <w:rsid w:val="79986B03"/>
    <w:rsid w:val="79A76158"/>
    <w:rsid w:val="79C913B2"/>
    <w:rsid w:val="79DD5887"/>
    <w:rsid w:val="7A13262E"/>
    <w:rsid w:val="7A206D05"/>
    <w:rsid w:val="7A364017"/>
    <w:rsid w:val="7A6D1D3E"/>
    <w:rsid w:val="7A8265E1"/>
    <w:rsid w:val="7A963FF2"/>
    <w:rsid w:val="7AA12E2B"/>
    <w:rsid w:val="7AE71DB9"/>
    <w:rsid w:val="7B1E74DC"/>
    <w:rsid w:val="7B292109"/>
    <w:rsid w:val="7B337419"/>
    <w:rsid w:val="7B59055D"/>
    <w:rsid w:val="7B59489F"/>
    <w:rsid w:val="7B686D42"/>
    <w:rsid w:val="7B841746"/>
    <w:rsid w:val="7B8732D3"/>
    <w:rsid w:val="7B9D2AF7"/>
    <w:rsid w:val="7B9D6653"/>
    <w:rsid w:val="7BA20772"/>
    <w:rsid w:val="7BB25EEA"/>
    <w:rsid w:val="7BCB4C0D"/>
    <w:rsid w:val="7BD00A19"/>
    <w:rsid w:val="7BD24E35"/>
    <w:rsid w:val="7BD77DB7"/>
    <w:rsid w:val="7BFD120D"/>
    <w:rsid w:val="7C0105B4"/>
    <w:rsid w:val="7C1A1591"/>
    <w:rsid w:val="7C207337"/>
    <w:rsid w:val="7C222636"/>
    <w:rsid w:val="7C296D4D"/>
    <w:rsid w:val="7C4B4301"/>
    <w:rsid w:val="7C66113B"/>
    <w:rsid w:val="7C6C5AC7"/>
    <w:rsid w:val="7C75137E"/>
    <w:rsid w:val="7CBE2D25"/>
    <w:rsid w:val="7CC13438"/>
    <w:rsid w:val="7CC6544B"/>
    <w:rsid w:val="7CCE19F5"/>
    <w:rsid w:val="7CE53111"/>
    <w:rsid w:val="7D0239FF"/>
    <w:rsid w:val="7D0C1CE2"/>
    <w:rsid w:val="7D16032D"/>
    <w:rsid w:val="7D1961AD"/>
    <w:rsid w:val="7D1E15D4"/>
    <w:rsid w:val="7D25730D"/>
    <w:rsid w:val="7D2708A6"/>
    <w:rsid w:val="7D2747F6"/>
    <w:rsid w:val="7D5926DA"/>
    <w:rsid w:val="7D5E40CD"/>
    <w:rsid w:val="7DAA3D4D"/>
    <w:rsid w:val="7DC611BF"/>
    <w:rsid w:val="7DCD56F2"/>
    <w:rsid w:val="7DD65E4C"/>
    <w:rsid w:val="7E106C5D"/>
    <w:rsid w:val="7E130973"/>
    <w:rsid w:val="7E245210"/>
    <w:rsid w:val="7E2453C6"/>
    <w:rsid w:val="7E333908"/>
    <w:rsid w:val="7E364C61"/>
    <w:rsid w:val="7E3E411D"/>
    <w:rsid w:val="7E953F59"/>
    <w:rsid w:val="7E9E0514"/>
    <w:rsid w:val="7EA63A70"/>
    <w:rsid w:val="7EB006E5"/>
    <w:rsid w:val="7EBB2263"/>
    <w:rsid w:val="7EF26CB5"/>
    <w:rsid w:val="7F001CE7"/>
    <w:rsid w:val="7F0D6DD3"/>
    <w:rsid w:val="7F1B26B0"/>
    <w:rsid w:val="7F2630DF"/>
    <w:rsid w:val="7F2635B0"/>
    <w:rsid w:val="7FA838F8"/>
    <w:rsid w:val="7FBA0AE3"/>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0" w:semiHidden="0" w:name="toc 2" w:locked="1"/>
    <w:lsdException w:qFormat="1"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sdException w:unhideWhenUsed="0" w:uiPriority="0" w:semiHidden="0" w:name="line number" w:locked="1"/>
    <w:lsdException w:unhideWhenUsed="0" w:uiPriority="0" w:semiHidden="0" w:name="page number"/>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99"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sdException w:qFormat="1" w:unhideWhenUsed="0" w:uiPriority="0" w:semiHidden="0" w:name="Body Text First Indent"/>
    <w:lsdException w:unhideWhenUsed="0" w:uiPriority="0" w:semiHidden="0" w:name="Body Text First Indent 2" w:locked="1"/>
    <w:lsdException w:qFormat="1"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unhideWhenUsed="0" w:uiPriority="0" w:semiHidden="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unhideWhenUsed="0" w:uiPriority="0" w:semiHidden="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unhideWhenUsed/>
    <w:qFormat/>
    <w:locked/>
    <w:uiPriority w:val="0"/>
    <w:pPr>
      <w:keepNext/>
      <w:keepLines/>
      <w:spacing w:beforeLines="0" w:beforeAutospacing="0" w:afterLines="0" w:afterAutospacing="0" w:line="360" w:lineRule="auto"/>
      <w:jc w:val="left"/>
      <w:outlineLvl w:val="1"/>
    </w:pPr>
    <w:rPr>
      <w:rFonts w:ascii="Times New Roman" w:hAnsi="Times New Roman" w:eastAsia="宋体"/>
      <w:sz w:val="28"/>
    </w:rPr>
  </w:style>
  <w:style w:type="paragraph" w:styleId="4">
    <w:name w:val="heading 3"/>
    <w:basedOn w:val="1"/>
    <w:next w:val="1"/>
    <w:unhideWhenUsed/>
    <w:qFormat/>
    <w:locked/>
    <w:uiPriority w:val="0"/>
    <w:pPr>
      <w:keepNext/>
      <w:keepLines/>
      <w:spacing w:beforeLines="0" w:beforeAutospacing="0" w:afterLines="0" w:afterAutospacing="0" w:line="360" w:lineRule="auto"/>
      <w:jc w:val="left"/>
      <w:outlineLvl w:val="2"/>
    </w:pPr>
    <w:rPr>
      <w:rFonts w:ascii="Times New Roman" w:hAnsi="Times New Roman" w:eastAsia="宋体"/>
      <w:b/>
      <w:sz w:val="24"/>
    </w:rPr>
  </w:style>
  <w:style w:type="paragraph" w:styleId="5">
    <w:name w:val="heading 4"/>
    <w:basedOn w:val="1"/>
    <w:next w:val="6"/>
    <w:link w:val="26"/>
    <w:unhideWhenUsed/>
    <w:qFormat/>
    <w:locked/>
    <w:uiPriority w:val="0"/>
    <w:pPr>
      <w:keepNext/>
      <w:keepLines/>
      <w:spacing w:before="280" w:beforeLines="0" w:beforeAutospacing="0" w:after="290" w:afterLines="0" w:afterAutospacing="0" w:line="240" w:lineRule="auto"/>
      <w:jc w:val="center"/>
      <w:outlineLvl w:val="3"/>
    </w:pPr>
    <w:rPr>
      <w:rFonts w:ascii="Times New Roman" w:hAnsi="Times New Roman" w:eastAsia="黑体"/>
      <w:sz w:val="30"/>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Body Text"/>
    <w:basedOn w:val="1"/>
    <w:next w:val="1"/>
    <w:qFormat/>
    <w:uiPriority w:val="0"/>
    <w:pPr>
      <w:widowControl/>
      <w:snapToGrid w:val="0"/>
      <w:spacing w:before="60" w:after="160" w:line="259" w:lineRule="auto"/>
      <w:ind w:right="113"/>
    </w:pPr>
    <w:rPr>
      <w:kern w:val="0"/>
      <w:sz w:val="18"/>
      <w:szCs w:val="20"/>
    </w:rPr>
  </w:style>
  <w:style w:type="paragraph" w:styleId="7">
    <w:name w:val="Note Heading"/>
    <w:basedOn w:val="1"/>
    <w:next w:val="1"/>
    <w:qFormat/>
    <w:locked/>
    <w:uiPriority w:val="0"/>
    <w:pPr>
      <w:widowControl w:val="0"/>
      <w:jc w:val="center"/>
    </w:pPr>
    <w:rPr>
      <w:rFonts w:ascii="Times New Roman" w:hAnsi="Times New Roman" w:cs="Times New Roman"/>
      <w:kern w:val="2"/>
      <w:sz w:val="21"/>
    </w:rPr>
  </w:style>
  <w:style w:type="paragraph" w:styleId="8">
    <w:name w:val="Normal Indent"/>
    <w:basedOn w:val="1"/>
    <w:next w:val="1"/>
    <w:qFormat/>
    <w:locked/>
    <w:uiPriority w:val="0"/>
    <w:pPr>
      <w:wordWrap w:val="0"/>
      <w:overflowPunct w:val="0"/>
      <w:topLinePunct/>
      <w:adjustRightInd w:val="0"/>
      <w:spacing w:line="360" w:lineRule="auto"/>
      <w:ind w:firstLine="420" w:firstLineChars="200"/>
    </w:pPr>
    <w:rPr>
      <w:kern w:val="28"/>
      <w:sz w:val="28"/>
      <w:szCs w:val="22"/>
    </w:rPr>
  </w:style>
  <w:style w:type="paragraph" w:styleId="9">
    <w:name w:val="annotation text"/>
    <w:basedOn w:val="1"/>
    <w:qFormat/>
    <w:uiPriority w:val="0"/>
    <w:pPr>
      <w:jc w:val="left"/>
    </w:pPr>
  </w:style>
  <w:style w:type="paragraph" w:styleId="10">
    <w:name w:val="toc 3"/>
    <w:basedOn w:val="1"/>
    <w:next w:val="1"/>
    <w:qFormat/>
    <w:locked/>
    <w:uiPriority w:val="0"/>
    <w:pPr>
      <w:ind w:left="840" w:leftChars="400"/>
    </w:pPr>
  </w:style>
  <w:style w:type="paragraph" w:styleId="11">
    <w:name w:val="Plain Text"/>
    <w:basedOn w:val="1"/>
    <w:qFormat/>
    <w:locked/>
    <w:uiPriority w:val="0"/>
    <w:rPr>
      <w:rFonts w:ascii="宋体" w:hAnsi="Courier New" w:cs="Courier New"/>
      <w:szCs w:val="21"/>
    </w:rPr>
  </w:style>
  <w:style w:type="paragraph" w:styleId="12">
    <w:name w:val="footer"/>
    <w:basedOn w:val="1"/>
    <w:qFormat/>
    <w:uiPriority w:val="0"/>
    <w:pPr>
      <w:tabs>
        <w:tab w:val="center" w:pos="4153"/>
        <w:tab w:val="right" w:pos="8306"/>
      </w:tabs>
      <w:snapToGrid w:val="0"/>
      <w:jc w:val="left"/>
    </w:pPr>
    <w:rPr>
      <w:sz w:val="18"/>
    </w:rPr>
  </w:style>
  <w:style w:type="paragraph" w:styleId="13">
    <w:name w:val="toc 1"/>
    <w:basedOn w:val="1"/>
    <w:next w:val="1"/>
    <w:qFormat/>
    <w:locked/>
    <w:uiPriority w:val="0"/>
  </w:style>
  <w:style w:type="paragraph" w:styleId="14">
    <w:name w:val="List"/>
    <w:basedOn w:val="1"/>
    <w:unhideWhenUsed/>
    <w:qFormat/>
    <w:locked/>
    <w:uiPriority w:val="99"/>
    <w:pPr>
      <w:ind w:left="200" w:hanging="200" w:hangingChars="200"/>
      <w:contextualSpacing/>
    </w:pPr>
  </w:style>
  <w:style w:type="paragraph" w:styleId="15">
    <w:name w:val="toc 2"/>
    <w:basedOn w:val="1"/>
    <w:next w:val="1"/>
    <w:qFormat/>
    <w:locked/>
    <w:uiPriority w:val="0"/>
    <w:pPr>
      <w:ind w:left="420" w:leftChars="200"/>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basedOn w:val="6"/>
    <w:next w:val="1"/>
    <w:qFormat/>
    <w:uiPriority w:val="0"/>
    <w:pPr>
      <w:ind w:firstLine="420" w:firstLineChars="100"/>
    </w:pPr>
  </w:style>
  <w:style w:type="table" w:styleId="19">
    <w:name w:val="Table Grid"/>
    <w:basedOn w:val="1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0"/>
    <w:rPr>
      <w:b/>
    </w:rPr>
  </w:style>
  <w:style w:type="paragraph" w:customStyle="1" w:styleId="22">
    <w:name w:val="正文内容"/>
    <w:basedOn w:val="1"/>
    <w:link w:val="29"/>
    <w:qFormat/>
    <w:uiPriority w:val="0"/>
    <w:pPr>
      <w:spacing w:line="360" w:lineRule="auto"/>
      <w:ind w:firstLine="720" w:firstLineChars="200"/>
    </w:pPr>
    <w:rPr>
      <w:rFonts w:ascii="Times New Roman" w:hAnsi="Times New Roman" w:eastAsia="宋体" w:cs="宋体"/>
      <w:sz w:val="24"/>
    </w:rPr>
  </w:style>
  <w:style w:type="paragraph" w:customStyle="1" w:styleId="23">
    <w:name w:val="Default"/>
    <w:basedOn w:val="24"/>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24">
    <w:name w:val="纯文本1"/>
    <w:basedOn w:val="1"/>
    <w:next w:val="11"/>
    <w:qFormat/>
    <w:uiPriority w:val="99"/>
    <w:rPr>
      <w:rFonts w:ascii="宋体" w:hAnsi="Courier New" w:eastAsia="宋体" w:cs="黑体"/>
      <w:szCs w:val="21"/>
    </w:rPr>
  </w:style>
  <w:style w:type="paragraph" w:customStyle="1" w:styleId="25">
    <w:name w:val="正文(首行缩进)"/>
    <w:basedOn w:val="1"/>
    <w:qFormat/>
    <w:uiPriority w:val="0"/>
    <w:pPr>
      <w:adjustRightInd w:val="0"/>
      <w:snapToGrid w:val="0"/>
      <w:spacing w:line="360" w:lineRule="auto"/>
      <w:ind w:firstLine="200" w:firstLineChars="200"/>
    </w:pPr>
    <w:rPr>
      <w:snapToGrid w:val="0"/>
      <w:szCs w:val="24"/>
    </w:rPr>
  </w:style>
  <w:style w:type="character" w:customStyle="1" w:styleId="26">
    <w:name w:val="标题 4 Char"/>
    <w:link w:val="5"/>
    <w:qFormat/>
    <w:uiPriority w:val="0"/>
    <w:rPr>
      <w:rFonts w:ascii="Times New Roman" w:hAnsi="Times New Roman" w:eastAsia="黑体"/>
      <w:sz w:val="30"/>
    </w:rPr>
  </w:style>
  <w:style w:type="paragraph" w:customStyle="1" w:styleId="27">
    <w:name w:val="屠彪标题"/>
    <w:basedOn w:val="1"/>
    <w:qFormat/>
    <w:uiPriority w:val="0"/>
    <w:pPr>
      <w:adjustRightInd w:val="0"/>
      <w:snapToGrid w:val="0"/>
      <w:spacing w:before="10" w:beforeLines="18" w:after="10" w:afterLines="18"/>
      <w:jc w:val="center"/>
    </w:pPr>
    <w:rPr>
      <w:rFonts w:ascii="Times New Roman" w:hAnsi="Times New Roman" w:eastAsia="宋体"/>
      <w:b/>
      <w:kern w:val="0"/>
      <w:sz w:val="24"/>
      <w:szCs w:val="20"/>
    </w:rPr>
  </w:style>
  <w:style w:type="character" w:customStyle="1" w:styleId="28">
    <w:name w:val="正文内容 Char"/>
    <w:link w:val="22"/>
    <w:qFormat/>
    <w:uiPriority w:val="0"/>
    <w:rPr>
      <w:rFonts w:ascii="Times New Roman" w:hAnsi="Times New Roman" w:eastAsia="宋体" w:cs="宋体"/>
      <w:sz w:val="24"/>
    </w:rPr>
  </w:style>
  <w:style w:type="character" w:customStyle="1" w:styleId="29">
    <w:name w:val="正文内容 Char1"/>
    <w:link w:val="22"/>
    <w:qFormat/>
    <w:uiPriority w:val="0"/>
    <w:rPr>
      <w:rFonts w:ascii="Times New Roman" w:hAnsi="Times New Roman" w:eastAsia="宋体" w:cs="宋体"/>
      <w:sz w:val="24"/>
    </w:rPr>
  </w:style>
  <w:style w:type="paragraph" w:customStyle="1" w:styleId="30">
    <w:name w:val="彪哥文本"/>
    <w:basedOn w:val="1"/>
    <w:next w:val="1"/>
    <w:link w:val="31"/>
    <w:qFormat/>
    <w:uiPriority w:val="0"/>
    <w:pPr>
      <w:adjustRightInd w:val="0"/>
      <w:snapToGrid w:val="0"/>
      <w:spacing w:before="10" w:beforeLines="18" w:after="10" w:afterLines="18" w:line="240" w:lineRule="auto"/>
      <w:jc w:val="center"/>
    </w:pPr>
    <w:rPr>
      <w:rFonts w:ascii="Times New Roman" w:hAnsi="Times New Roman" w:eastAsia="宋体"/>
      <w:kern w:val="0"/>
      <w:szCs w:val="20"/>
    </w:rPr>
  </w:style>
  <w:style w:type="character" w:customStyle="1" w:styleId="31">
    <w:name w:val="表格 Char"/>
    <w:link w:val="30"/>
    <w:qFormat/>
    <w:locked/>
    <w:uiPriority w:val="0"/>
    <w:rPr>
      <w:rFonts w:ascii="Times New Roman" w:hAnsi="Times New Roman" w:eastAsia="宋体"/>
      <w:sz w:val="21"/>
    </w:rPr>
  </w:style>
  <w:style w:type="paragraph" w:customStyle="1" w:styleId="32">
    <w:name w:val="福建标题"/>
    <w:basedOn w:val="1"/>
    <w:qFormat/>
    <w:uiPriority w:val="0"/>
    <w:pPr>
      <w:spacing w:line="240" w:lineRule="atLeast"/>
      <w:jc w:val="left"/>
    </w:pPr>
    <w:rPr>
      <w:rFonts w:ascii="Times New Roman" w:hAnsi="Times New Roman" w:eastAsia="宋体" w:cs="方正仿宋_GB2312"/>
      <w:b/>
      <w:sz w:val="28"/>
      <w:szCs w:val="36"/>
    </w:rPr>
  </w:style>
  <w:style w:type="paragraph" w:customStyle="1" w:styleId="33">
    <w:name w:val="标题3"/>
    <w:basedOn w:val="1"/>
    <w:qFormat/>
    <w:uiPriority w:val="0"/>
    <w:pPr>
      <w:spacing w:line="360" w:lineRule="auto"/>
      <w:outlineLvl w:val="2"/>
    </w:pPr>
    <w:rPr>
      <w:b/>
      <w:sz w:val="24"/>
    </w:rPr>
  </w:style>
  <w:style w:type="paragraph" w:customStyle="1" w:styleId="34">
    <w:name w:val="表正文"/>
    <w:basedOn w:val="1"/>
    <w:qFormat/>
    <w:uiPriority w:val="0"/>
    <w:pPr>
      <w:widowControl/>
      <w:spacing w:line="360" w:lineRule="auto"/>
      <w:ind w:firstLine="200" w:firstLineChars="200"/>
      <w:jc w:val="left"/>
    </w:pPr>
    <w:rPr>
      <w:sz w:val="24"/>
    </w:rPr>
  </w:style>
  <w:style w:type="paragraph" w:customStyle="1" w:styleId="35">
    <w:name w:val="S正文"/>
    <w:basedOn w:val="1"/>
    <w:qFormat/>
    <w:uiPriority w:val="0"/>
    <w:pPr>
      <w:tabs>
        <w:tab w:val="left" w:pos="3840"/>
      </w:tabs>
      <w:snapToGrid w:val="0"/>
      <w:spacing w:line="360" w:lineRule="auto"/>
      <w:ind w:firstLine="200" w:firstLineChars="200"/>
    </w:pPr>
    <w:rPr>
      <w:rFonts w:ascii="Times New Roman" w:hAnsi="Times New Roman" w:eastAsia="仿宋" w:cs="Times New Roman"/>
      <w:snapToGrid w:val="0"/>
      <w:kern w:val="0"/>
      <w:sz w:val="28"/>
    </w:rPr>
  </w:style>
  <w:style w:type="paragraph" w:customStyle="1" w:styleId="36">
    <w:name w:val="表格标题"/>
    <w:basedOn w:val="1"/>
    <w:next w:val="1"/>
    <w:qFormat/>
    <w:uiPriority w:val="0"/>
    <w:pPr>
      <w:adjustRightInd w:val="0"/>
      <w:snapToGrid w:val="0"/>
      <w:spacing w:line="360" w:lineRule="auto"/>
      <w:jc w:val="center"/>
    </w:pPr>
    <w:rPr>
      <w:rFonts w:ascii="Times New Roman" w:hAnsi="Times New Roman"/>
      <w:b/>
    </w:rPr>
  </w:style>
  <w:style w:type="paragraph" w:customStyle="1" w:styleId="37">
    <w:name w:val="表格文字"/>
    <w:basedOn w:val="1"/>
    <w:qFormat/>
    <w:uiPriority w:val="0"/>
    <w:pPr>
      <w:adjustRightInd w:val="0"/>
      <w:snapToGrid w:val="0"/>
      <w:spacing w:line="240" w:lineRule="auto"/>
      <w:ind w:firstLine="0" w:firstLineChars="0"/>
      <w:jc w:val="center"/>
    </w:pPr>
    <w:rPr>
      <w:sz w:val="21"/>
      <w:szCs w:val="21"/>
    </w:rPr>
  </w:style>
  <w:style w:type="paragraph" w:customStyle="1" w:styleId="38">
    <w:name w:val="图头"/>
    <w:basedOn w:val="1"/>
    <w:qFormat/>
    <w:uiPriority w:val="0"/>
    <w:pPr>
      <w:spacing w:line="240" w:lineRule="auto"/>
      <w:jc w:val="left"/>
    </w:pPr>
    <w:rPr>
      <w:rFonts w:ascii="Calibri" w:hAnsi="Calibri" w:eastAsia="宋体" w:cs="Times New Roman"/>
      <w:b/>
      <w:sz w:val="24"/>
    </w:rPr>
  </w:style>
  <w:style w:type="paragraph" w:customStyle="1" w:styleId="39">
    <w:name w:val="（环评）表头（小四）"/>
    <w:basedOn w:val="1"/>
    <w:qFormat/>
    <w:uiPriority w:val="0"/>
    <w:pPr>
      <w:shd w:val="clear" w:color="auto" w:fill="auto"/>
      <w:spacing w:line="240" w:lineRule="auto"/>
      <w:jc w:val="center"/>
    </w:pPr>
    <w:rPr>
      <w:rFonts w:ascii="宋体" w:hAnsi="宋体" w:eastAsia="宋体" w:cs="宋体"/>
      <w:b/>
      <w:color w:val="000000"/>
      <w:sz w:val="24"/>
      <w:szCs w:val="28"/>
      <w:u w:val="none"/>
      <w:shd w:val="clear" w:color="auto" w:fill="auto"/>
      <w:lang w:val="zh-TW" w:eastAsia="zh-TW" w:bidi="zh-TW"/>
    </w:rPr>
  </w:style>
  <w:style w:type="paragraph" w:customStyle="1" w:styleId="40">
    <w:name w:val="1表格（5宋.）"/>
    <w:basedOn w:val="1"/>
    <w:qFormat/>
    <w:uiPriority w:val="0"/>
    <w:pPr>
      <w:shd w:val="clear" w:color="auto" w:fill="auto"/>
      <w:spacing w:line="240" w:lineRule="auto"/>
      <w:ind w:firstLine="0" w:firstLineChars="0"/>
      <w:jc w:val="center"/>
    </w:pPr>
    <w:rPr>
      <w:rFonts w:ascii="宋体" w:hAnsi="宋体" w:eastAsia="宋体" w:cs="宋体"/>
      <w:color w:val="000000"/>
      <w:sz w:val="21"/>
      <w:szCs w:val="22"/>
      <w:u w:val="none"/>
      <w:shd w:val="clear" w:color="auto" w:fill="auto"/>
      <w:lang w:val="zh-TW" w:eastAsia="zh-TW" w:bidi="zh-TW"/>
    </w:rPr>
  </w:style>
  <w:style w:type="paragraph" w:customStyle="1" w:styleId="41">
    <w:name w:val="表格五号"/>
    <w:next w:val="1"/>
    <w:qFormat/>
    <w:uiPriority w:val="0"/>
    <w:pPr>
      <w:widowControl w:val="0"/>
      <w:adjustRightInd w:val="0"/>
      <w:snapToGrid w:val="0"/>
      <w:jc w:val="center"/>
      <w:textAlignment w:val="center"/>
    </w:pPr>
    <w:rPr>
      <w:rFonts w:ascii="Times New Roman" w:hAnsi="Times New Roman" w:eastAsia="宋体" w:cs="宋体"/>
      <w:bCs/>
      <w:snapToGrid w:val="0"/>
      <w:color w:val="000000"/>
      <w:sz w:val="21"/>
      <w:szCs w:val="21"/>
      <w:lang w:val="en-US" w:eastAsia="zh-CN" w:bidi="ar-SA"/>
    </w:rPr>
  </w:style>
  <w:style w:type="paragraph" w:customStyle="1" w:styleId="42">
    <w:name w:val="表内容"/>
    <w:qFormat/>
    <w:uiPriority w:val="0"/>
    <w:pPr>
      <w:adjustRightInd w:val="0"/>
      <w:jc w:val="center"/>
    </w:pPr>
    <w:rPr>
      <w:rFonts w:ascii="Times New Roman" w:hAnsi="Times New Roman" w:eastAsia="宋体" w:cs="Times New Roman"/>
      <w:kern w:val="2"/>
      <w:sz w:val="21"/>
      <w:szCs w:val="21"/>
      <w:lang w:val="en-US" w:eastAsia="zh-CN" w:bidi="ar-SA"/>
    </w:rPr>
  </w:style>
  <w:style w:type="paragraph" w:customStyle="1" w:styleId="43">
    <w:name w:val="Table Text"/>
    <w:basedOn w:val="1"/>
    <w:semiHidden/>
    <w:qFormat/>
    <w:uiPriority w:val="0"/>
    <w:rPr>
      <w:rFonts w:ascii="宋体" w:hAnsi="宋体" w:eastAsia="宋体" w:cs="宋体"/>
      <w:sz w:val="20"/>
      <w:szCs w:val="20"/>
      <w:lang w:val="en-US" w:eastAsia="en-US" w:bidi="ar-SA"/>
    </w:rPr>
  </w:style>
  <w:style w:type="table" w:customStyle="1" w:styleId="44">
    <w:name w:val="Table Normal"/>
    <w:unhideWhenUsed/>
    <w:qFormat/>
    <w:uiPriority w:val="0"/>
    <w:tblPr>
      <w:tblCellMar>
        <w:top w:w="0" w:type="dxa"/>
        <w:left w:w="0" w:type="dxa"/>
        <w:bottom w:w="0" w:type="dxa"/>
        <w:right w:w="0" w:type="dxa"/>
      </w:tblCellMar>
    </w:tblPr>
  </w:style>
  <w:style w:type="paragraph" w:customStyle="1" w:styleId="45">
    <w:name w:val="111表格"/>
    <w:basedOn w:val="1"/>
    <w:qFormat/>
    <w:uiPriority w:val="0"/>
    <w:pPr>
      <w:autoSpaceDE w:val="0"/>
      <w:autoSpaceDN w:val="0"/>
      <w:adjustRightInd w:val="0"/>
      <w:snapToGrid w:val="0"/>
      <w:spacing w:line="360" w:lineRule="auto"/>
      <w:ind w:firstLine="200" w:firstLineChars="200"/>
    </w:pPr>
    <w:rPr>
      <w:rFonts w:cs="宋体"/>
      <w:kern w:val="0"/>
      <w:szCs w:val="21"/>
    </w:rPr>
  </w:style>
  <w:style w:type="paragraph" w:customStyle="1" w:styleId="46">
    <w:name w:val="表格名称"/>
    <w:basedOn w:val="1"/>
    <w:qFormat/>
    <w:uiPriority w:val="0"/>
    <w:pPr>
      <w:spacing w:line="240" w:lineRule="auto"/>
      <w:ind w:firstLine="0" w:firstLineChars="0"/>
      <w:jc w:val="center"/>
    </w:pPr>
    <w:rPr>
      <w:rFonts w:ascii="Times New Roman" w:hAnsi="Times New Roman" w:eastAsia="宋体"/>
      <w:b/>
      <w:color w:val="auto"/>
      <w:sz w:val="21"/>
      <w:szCs w:val="21"/>
    </w:rPr>
  </w:style>
  <w:style w:type="paragraph" w:customStyle="1" w:styleId="47">
    <w:name w:val="表格字体"/>
    <w:qFormat/>
    <w:uiPriority w:val="0"/>
    <w:pPr>
      <w:bidi w:val="0"/>
      <w:adjustRightInd w:val="0"/>
      <w:snapToGrid w:val="0"/>
      <w:jc w:val="center"/>
    </w:pPr>
    <w:rPr>
      <w:rFonts w:ascii="Times New Roman" w:hAnsi="Times New Roman" w:eastAsia="宋体" w:cs="Times New Roman"/>
      <w:snapToGrid w:val="0"/>
      <w:kern w:val="2"/>
      <w:sz w:val="21"/>
      <w:lang w:val="en-US" w:eastAsia="zh-CN" w:bidi="ar-SA"/>
    </w:rPr>
  </w:style>
  <w:style w:type="paragraph" w:customStyle="1" w:styleId="48">
    <w:name w:val="正文（小四）"/>
    <w:qFormat/>
    <w:uiPriority w:val="0"/>
    <w:pPr>
      <w:spacing w:line="360" w:lineRule="auto"/>
      <w:ind w:firstLine="200" w:firstLineChars="200"/>
      <w:jc w:val="both"/>
    </w:pPr>
    <w:rPr>
      <w:rFonts w:ascii="Times New Roman" w:hAnsi="Times New Roman" w:eastAsia="宋体" w:cs="Times New Roman"/>
      <w:bCs/>
      <w:color w:val="000000"/>
      <w:kern w:val="2"/>
      <w:sz w:val="24"/>
      <w:szCs w:val="32"/>
      <w:lang w:val="en-US" w:eastAsia="zh-CN" w:bidi="ar-SA"/>
    </w:rPr>
  </w:style>
  <w:style w:type="character" w:customStyle="1" w:styleId="49">
    <w:name w:val="标题 1 Char"/>
    <w:link w:val="2"/>
    <w:qFormat/>
    <w:uiPriority w:val="99"/>
    <w:rPr>
      <w:rFonts w:eastAsia="黑体"/>
      <w:b/>
      <w:bCs/>
      <w:color w:val="000000"/>
      <w:kern w:val="44"/>
      <w:sz w:val="30"/>
      <w:szCs w:val="30"/>
    </w:rPr>
  </w:style>
  <w:style w:type="paragraph" w:customStyle="1" w:styleId="50">
    <w:name w:val="样式35"/>
    <w:next w:val="51"/>
    <w:qFormat/>
    <w:uiPriority w:val="99"/>
    <w:pPr>
      <w:widowControl w:val="0"/>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51">
    <w:name w:val="font6"/>
    <w:basedOn w:val="1"/>
    <w:next w:val="15"/>
    <w:qFormat/>
    <w:uiPriority w:val="99"/>
    <w:pPr>
      <w:widowControl/>
      <w:spacing w:before="100" w:beforeAutospacing="1" w:after="100" w:afterAutospacing="1"/>
      <w:jc w:val="left"/>
    </w:pPr>
    <w:rPr>
      <w:rFonts w:ascii="宋体" w:hAnsi="宋体"/>
      <w:sz w:val="20"/>
      <w:szCs w:val="20"/>
    </w:rPr>
  </w:style>
  <w:style w:type="paragraph" w:customStyle="1" w:styleId="52">
    <w:name w:val="表头"/>
    <w:basedOn w:val="53"/>
    <w:next w:val="1"/>
    <w:qFormat/>
    <w:uiPriority w:val="0"/>
    <w:pPr>
      <w:spacing w:line="240" w:lineRule="auto"/>
      <w:ind w:right="0" w:firstLine="0" w:firstLineChars="0"/>
      <w:jc w:val="center"/>
    </w:pPr>
    <w:rPr>
      <w:rFonts w:ascii="Times New Roman" w:hAnsi="Times New Roman" w:eastAsia="宋体"/>
      <w:b/>
      <w:szCs w:val="22"/>
    </w:rPr>
  </w:style>
  <w:style w:type="paragraph" w:customStyle="1" w:styleId="53">
    <w:name w:val="正文格式"/>
    <w:basedOn w:val="54"/>
    <w:qFormat/>
    <w:uiPriority w:val="0"/>
    <w:pPr>
      <w:spacing w:line="360" w:lineRule="auto"/>
      <w:ind w:firstLine="200" w:firstLineChars="200"/>
    </w:pPr>
    <w:rPr>
      <w:sz w:val="24"/>
    </w:rPr>
  </w:style>
  <w:style w:type="paragraph" w:customStyle="1" w:styleId="54">
    <w:name w:val="lin正文"/>
    <w:basedOn w:val="6"/>
    <w:qFormat/>
    <w:uiPriority w:val="0"/>
    <w:pPr>
      <w:widowControl w:val="0"/>
      <w:spacing w:line="560" w:lineRule="exact"/>
      <w:ind w:firstLine="200" w:firstLineChars="200"/>
      <w:jc w:val="both"/>
    </w:pPr>
    <w:rPr>
      <w:rFonts w:ascii="Tahoma" w:hAnsi="Tahoma" w:eastAsia="宋体"/>
      <w:color w:val="000000"/>
      <w:spacing w:val="0"/>
      <w:szCs w:val="24"/>
    </w:rPr>
  </w:style>
  <w:style w:type="paragraph" w:customStyle="1" w:styleId="55">
    <w:name w:val="表格内容"/>
    <w:basedOn w:val="14"/>
    <w:next w:val="6"/>
    <w:qFormat/>
    <w:uiPriority w:val="0"/>
    <w:pPr>
      <w:widowControl/>
      <w:jc w:val="center"/>
    </w:pPr>
    <w:rPr>
      <w:rFonts w:ascii="Times New Roman" w:hAnsi="Times New Roman"/>
      <w:sz w:val="21"/>
    </w:rPr>
  </w:style>
  <w:style w:type="paragraph" w:customStyle="1" w:styleId="56">
    <w:name w:val="验收正文"/>
    <w:basedOn w:val="1"/>
    <w:autoRedefine/>
    <w:qFormat/>
    <w:uiPriority w:val="0"/>
    <w:pPr>
      <w:spacing w:line="360" w:lineRule="auto"/>
      <w:ind w:firstLine="1044" w:firstLineChars="200"/>
      <w:jc w:val="both"/>
    </w:pPr>
    <w:rPr>
      <w:rFonts w:hint="default" w:ascii="Times New Roman" w:hAnsi="Times New Roman" w:eastAsia="宋体"/>
      <w:sz w:val="24"/>
    </w:rPr>
  </w:style>
  <w:style w:type="paragraph" w:customStyle="1" w:styleId="57">
    <w:name w:val="附件标题"/>
    <w:basedOn w:val="1"/>
    <w:autoRedefine/>
    <w:qFormat/>
    <w:uiPriority w:val="0"/>
    <w:pPr>
      <w:spacing w:line="240" w:lineRule="atLeast"/>
      <w:ind w:firstLine="0" w:firstLineChars="0"/>
      <w:jc w:val="left"/>
    </w:pPr>
    <w:rPr>
      <w:rFonts w:ascii="Times New Roman" w:hAnsi="Times New Roman" w:eastAsia="宋体"/>
      <w:b/>
      <w:sz w:val="28"/>
      <w:szCs w:val="28"/>
    </w:rPr>
  </w:style>
  <w:style w:type="paragraph" w:customStyle="1" w:styleId="58">
    <w:name w:val="表格文本"/>
    <w:basedOn w:val="1"/>
    <w:next w:val="1"/>
    <w:qFormat/>
    <w:uiPriority w:val="0"/>
    <w:pPr>
      <w:adjustRightInd w:val="0"/>
      <w:snapToGrid w:val="0"/>
      <w:spacing w:line="240" w:lineRule="auto"/>
      <w:ind w:firstLine="0" w:firstLineChars="0"/>
      <w:jc w:val="center"/>
    </w:pPr>
    <w:rPr>
      <w:rFonts w:ascii="Times New Roman" w:hAnsi="Times New Roman" w:eastAsia="宋体"/>
      <w:color w:val="000000"/>
      <w:sz w:val="21"/>
      <w:szCs w:val="21"/>
      <w:highlight w:val="none"/>
    </w:rPr>
  </w:style>
  <w:style w:type="paragraph" w:customStyle="1" w:styleId="59">
    <w:name w:val="Table Paragraph"/>
    <w:basedOn w:val="1"/>
    <w:qFormat/>
    <w:uiPriority w:val="1"/>
    <w:rPr>
      <w:rFonts w:ascii="宋体" w:hAnsi="宋体" w:eastAsia="宋体" w:cs="宋体"/>
      <w:lang w:val="zh-CN" w:eastAsia="zh-CN" w:bidi="zh-CN"/>
    </w:rPr>
  </w:style>
  <w:style w:type="paragraph" w:customStyle="1" w:styleId="60">
    <w:name w:val="表表表表"/>
    <w:basedOn w:val="1"/>
    <w:qFormat/>
    <w:uiPriority w:val="0"/>
    <w:pPr>
      <w:widowControl/>
      <w:jc w:val="center"/>
    </w:pPr>
    <w:rPr>
      <w:rFonts w:eastAsia="方正楷体简体"/>
      <w:szCs w:val="21"/>
    </w:rPr>
  </w:style>
  <w:style w:type="paragraph" w:customStyle="1" w:styleId="61">
    <w:name w:val="表格的字"/>
    <w:basedOn w:val="62"/>
    <w:next w:val="1"/>
    <w:qFormat/>
    <w:uiPriority w:val="0"/>
    <w:pPr>
      <w:jc w:val="center"/>
    </w:pPr>
    <w:rPr>
      <w:szCs w:val="21"/>
      <w:lang w:val="en-US" w:eastAsia="zh-CN" w:bidi="ar-SA"/>
    </w:rPr>
  </w:style>
  <w:style w:type="paragraph" w:customStyle="1" w:styleId="62">
    <w:name w:val="项目基本情况的字"/>
    <w:basedOn w:val="1"/>
    <w:qFormat/>
    <w:uiPriority w:val="0"/>
    <w:pPr>
      <w:jc w:val="center"/>
    </w:pPr>
    <w:rPr>
      <w:rFonts w:cs="宋体"/>
    </w:rPr>
  </w:style>
  <w:style w:type="table" w:customStyle="1" w:styleId="63">
    <w:name w:val="表格样式刘"/>
    <w:basedOn w:val="18"/>
    <w:qFormat/>
    <w:uiPriority w:val="99"/>
    <w:pPr>
      <w:jc w:val="center"/>
    </w:p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customStyle="1" w:styleId="64">
    <w:name w:val="font31"/>
    <w:qFormat/>
    <w:uiPriority w:val="0"/>
    <w:rPr>
      <w:rFonts w:hint="eastAsia" w:ascii="宋体" w:hAnsi="宋体" w:eastAsia="宋体" w:cs="宋体"/>
      <w:color w:val="000000"/>
      <w:sz w:val="36"/>
      <w:szCs w:val="36"/>
      <w:u w:val="none"/>
    </w:rPr>
  </w:style>
  <w:style w:type="character" w:customStyle="1" w:styleId="65">
    <w:name w:val="font11"/>
    <w:qFormat/>
    <w:uiPriority w:val="0"/>
    <w:rPr>
      <w:rFonts w:hint="default" w:ascii="Times New Roman" w:hAnsi="Times New Roman" w:cs="Times New Roman"/>
      <w:color w:val="000000"/>
      <w:sz w:val="36"/>
      <w:szCs w:val="36"/>
      <w:u w:val="none"/>
    </w:rPr>
  </w:style>
  <w:style w:type="paragraph" w:customStyle="1" w:styleId="66">
    <w:name w:val="5文章(治)"/>
    <w:basedOn w:val="67"/>
    <w:qFormat/>
    <w:uiPriority w:val="0"/>
    <w:pPr>
      <w:widowControl w:val="0"/>
      <w:spacing w:line="360" w:lineRule="auto"/>
      <w:ind w:firstLine="200" w:firstLineChars="200"/>
      <w:jc w:val="both"/>
    </w:pPr>
    <w:rPr>
      <w:rFonts w:ascii="Times New Roman" w:hAnsi="Times New Roman" w:eastAsia="宋体" w:cs="Times New Roman"/>
      <w:kern w:val="2"/>
      <w:sz w:val="24"/>
      <w:szCs w:val="20"/>
      <w:lang w:val="en-US" w:eastAsia="zh-CN" w:bidi="ar-SA"/>
    </w:rPr>
  </w:style>
  <w:style w:type="paragraph" w:customStyle="1" w:styleId="67">
    <w:name w:val="5文章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emf"/><Relationship Id="rId27" Type="http://schemas.openxmlformats.org/officeDocument/2006/relationships/image" Target="media/image18.png"/><Relationship Id="rId26" Type="http://schemas.openxmlformats.org/officeDocument/2006/relationships/image" Target="media/image17.emf"/><Relationship Id="rId25" Type="http://schemas.openxmlformats.org/officeDocument/2006/relationships/image" Target="media/image16.emf"/><Relationship Id="rId24" Type="http://schemas.openxmlformats.org/officeDocument/2006/relationships/image" Target="media/image15.emf"/><Relationship Id="rId23" Type="http://schemas.openxmlformats.org/officeDocument/2006/relationships/image" Target="media/image14.emf"/><Relationship Id="rId22" Type="http://schemas.openxmlformats.org/officeDocument/2006/relationships/image" Target="media/image13.emf"/><Relationship Id="rId21" Type="http://schemas.openxmlformats.org/officeDocument/2006/relationships/image" Target="media/image12.emf"/><Relationship Id="rId20" Type="http://schemas.openxmlformats.org/officeDocument/2006/relationships/image" Target="media/image11.emf"/><Relationship Id="rId2" Type="http://schemas.openxmlformats.org/officeDocument/2006/relationships/settings" Target="settings.xml"/><Relationship Id="rId19" Type="http://schemas.openxmlformats.org/officeDocument/2006/relationships/image" Target="media/image10.emf"/><Relationship Id="rId18" Type="http://schemas.openxmlformats.org/officeDocument/2006/relationships/image" Target="media/image9.e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0e9a349b-6998-4c4b-a72f-fc3512bdb42f</errorID>
      <errorWord>,</errorWord>
      <group>L1_Format</group>
      <groupName>格式问题</groupName>
      <ability>L2_HalfPunc_CN</ability>
      <abilityName/>
      <candidateList>
        <item>，</item>
      </candidateList>
      <explain>文本全半角错误。</explain>
      <paraID>587793B8</paraID>
      <start>15</start>
      <end>16</end>
      <status>unmodified</status>
      <modifiedWord/>
      <trackRevisions>false</trackRevisions>
    </reviewItem>
    <reviewItem>
      <errorID>8d73acbb-87a3-48a8-ac09-dfa80cee90de</errorID>
      <errorWord>:</errorWord>
      <group>L1_Format</group>
      <groupName>格式问题</groupName>
      <ability>L2_HalfPunc_CN</ability>
      <abilityName/>
      <candidateList>
        <item>：</item>
      </candidateList>
      <explain>文本全半角错误。</explain>
      <paraID>21E836C3</paraID>
      <start>5</start>
      <end>6</end>
      <status>unmodified</status>
      <modifiedWord/>
      <trackRevisions>false</trackRevisions>
    </reviewItem>
    <reviewItem>
      <errorID>641b6b42-17ca-4d80-8207-b9f7e1750ffe</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21E836C3</paraID>
      <start>23</start>
      <end>24</end>
      <status>unmodified</status>
      <modifiedWord/>
      <trackRevisions>false</trackRevisions>
    </reviewItem>
    <reviewItem>
      <errorID>c88bcafa-4ba8-4a51-a880-a92154f00bf5</errorID>
      <errorWord>:</errorWord>
      <group>L1_Format</group>
      <groupName>格式问题</groupName>
      <ability>L2_HalfPunc_CN</ability>
      <abilityName/>
      <candidateList>
        <item>：</item>
      </candidateList>
      <explain>文本全半角错误。</explain>
      <paraID>5A444AC3</paraID>
      <start>4</start>
      <end>5</end>
      <status>unmodified</status>
      <modifiedWord/>
      <trackRevisions>false</trackRevisions>
    </reviewItem>
    <reviewItem>
      <errorID>01ecb841-52da-42f7-8e3b-488779154b63</errorID>
      <errorWord>:</errorWord>
      <group>L1_Format</group>
      <groupName>格式问题</groupName>
      <ability>L2_HalfPunc_CN</ability>
      <abilityName/>
      <candidateList>
        <item>：</item>
      </candidateList>
      <explain>文本全半角错误。</explain>
      <paraID>447C020F</paraID>
      <start>9</start>
      <end>10</end>
      <status>unmodified</status>
      <modifiedWord/>
      <trackRevisions>false</trackRevisions>
    </reviewItem>
    <reviewItem>
      <errorID>1fd35831-50a3-45a4-9ca0-698b742cd536</errorID>
      <errorWord>影响则</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3288669D</paraID>
      <start>98</start>
      <end>101</end>
      <status>unmodified</status>
      <modifiedWord/>
      <trackRevisions>false</trackRevisions>
    </reviewItem>
    <reviewItem>
      <errorID>bb5190c7-3d08-4a18-b4cb-c17862fe439e</errorID>
      <errorWord>农田灌溉有效利用系数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词汇“农田灌溉水有效利用系数”在特定场景下为固定表述形式，请确认此处的“农田灌溉有效利用系数”是否存在不当。</explain>
      <paraID> 158543E</paraID>
      <start>58</start>
      <end>68</end>
      <status>unmodified</status>
      <modifiedWord/>
      <trackRevisions>false</trackRevisions>
    </reviewItem>
    <reviewItem>
      <errorID>f9c84f23-f611-4936-bf16-bcd1cd92f460</errorID>
      <errorWord>其它</errorWord>
      <group>L1_Word</group>
      <groupName>字词问题</groupName>
      <ability>L2_Alias</ability>
      <abilityName>也作/曾用词</abilityName>
      <candidateList>
        <item>其他</item>
      </candidateList>
      <explain>词汇[其它]为不规范表述或旧称，其规范书面表述为[其他]。</explain>
      <paraID>4DCD3428</paraID>
      <start>122</start>
      <end>124</end>
      <status>unmodified</status>
      <modifiedWord/>
      <trackRevisions>false</trackRevisions>
    </reviewItem>
    <reviewItem>
      <errorID>82592b19-9f38-4bad-b820-c716ef7203d7</errorID>
      <errorWord>原住居民</errorWord>
      <group>L1_Sensitive</group>
      <groupName>敏感问题</groupName>
      <ability>L2_Violent</ability>
      <abilityName>暴恐词条</abilityName>
      <candidateList/>
      <explain>【暴恐词条】句中包含暴恐类敏感词条，请注意甄别。</explain>
      <paraID>4F935A0D</paraID>
      <start>3</start>
      <end>7</end>
      <status>unmodified</status>
      <modifiedWord/>
      <trackRevisions>false</trackRevisions>
    </reviewItem>
    <reviewItem>
      <errorID>c4fbeb2c-6d14-4e7a-9d7b-9a840ce67132</errorID>
      <errorWord>其它</errorWord>
      <group>L1_Word</group>
      <groupName>字词问题</groupName>
      <ability>L2_Alias</ability>
      <abilityName>也作/曾用词</abilityName>
      <candidateList>
        <item>其他</item>
      </candidateList>
      <explain>词汇[其它]为不规范表述或旧称，其规范书面表述为[其他]。</explain>
      <paraID>63663D02</paraID>
      <start>2</start>
      <end>4</end>
      <status>unmodified</status>
      <modifiedWord/>
      <trackRevisions>false</trackRevisions>
    </reviewItem>
    <reviewItem>
      <errorID>f6dba4e0-c2c9-40c3-a8f6-8e12748a2dd5</errorID>
      <errorWord>其它可能</errorWord>
      <group>L1_Word</group>
      <groupName>字词问题</groupName>
      <ability>L2_Alias</ability>
      <abilityName>也作/曾用词</abilityName>
      <candidateList>
        <item>其他可能</item>
      </candidateList>
      <explain>词汇[其它可能]为不规范表述或旧称，其规范书面表述为[其他可能]。</explain>
      <paraID>482183CA</paraID>
      <start>40</start>
      <end>44</end>
      <status>unmodified</status>
      <modifiedWord/>
      <trackRevisions>false</trackRevisions>
    </reviewItem>
    <reviewItem>
      <errorID>7100741f-3cf8-4a74-969e-4a8bfb3f054d</errorID>
      <errorWord>《中共中央、国务院</errorWord>
      <group>L1_Political</group>
      <groupName>政治性问题</groupName>
      <ability>L2_Unpolitical</ability>
      <abilityName>政治敏感错误</abilityName>
      <candidateList>
        <item>《中共中央 国务院</item>
      </candidateList>
      <explain/>
      <paraID>712F64F2</paraID>
      <start>84</start>
      <end>93</end>
      <status>unmodified</status>
      <modifiedWord/>
      <trackRevisions>false</trackRevisions>
    </reviewItem>
    <reviewItem>
      <errorID>9ac48ecc-f299-42be-8808-08aca366d9e6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14BFF361</paraID>
      <start>0</start>
      <end>2</end>
      <status>unmodified</status>
      <modifiedWord/>
      <trackRevisions>false</trackRevisions>
    </reviewItem>
    <reviewItem>
      <errorID>f6fae813-45dd-48e6-947c-c1a5459b870f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1A20D64D</paraID>
      <start>0</start>
      <end>2</end>
      <status>unmodified</status>
      <modifiedWord/>
      <trackRevisions>false</trackRevisions>
    </reviewItem>
    <reviewItem>
      <errorID>e49f6922-b7c1-415d-ba5c-6676176d7782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73AFD5FC</paraID>
      <start>0</start>
      <end>2</end>
      <status>unmodified</status>
      <modifiedWord/>
      <trackRevisions>false</trackRevisions>
    </reviewItem>
    <reviewItem>
      <errorID>e4ebb550-d7ed-4b33-9b60-670713b73770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1CEE5740</paraID>
      <start>0</start>
      <end>2</end>
      <status>unmodified</status>
      <modifiedWord/>
      <trackRevisions>false</trackRevisions>
    </reviewItem>
    <reviewItem>
      <errorID>a2725508-bbf1-496a-b24e-d786851aa043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53058E00</paraID>
      <start>0</start>
      <end>2</end>
      <status>unmodified</status>
      <modifiedWord/>
      <trackRevisions>false</trackRevisions>
    </reviewItem>
    <reviewItem>
      <errorID>9aecc91e-15d0-4d96-b874-adf0049ed307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BC76DF6</paraID>
      <start>0</start>
      <end>3</end>
      <status>unmodified</status>
      <modifiedWord/>
      <trackRevisions>false</trackRevisions>
    </reviewItem>
    <reviewItem>
      <errorID>70f1ab55-0906-43ba-b4f7-66998601f208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619B1F31</paraID>
      <start>0</start>
      <end>2</end>
      <status>unmodified</status>
      <modifiedWord/>
      <trackRevisions>false</trackRevisions>
    </reviewItem>
    <reviewItem>
      <errorID>2f8a14a6-f339-465f-b413-160ab7ba0940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2316D99D</paraID>
      <start>0</start>
      <end>2</end>
      <status>unmodified</status>
      <modifiedWord/>
      <trackRevisions>false</trackRevisions>
    </reviewItem>
    <reviewItem>
      <errorID>787b5920-c251-48a6-89ec-5b037a53fb13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19EC2486</paraID>
      <start>0</start>
      <end>2</end>
      <status>unmodified</status>
      <modifiedWord/>
      <trackRevisions>false</trackRevisions>
    </reviewItem>
    <reviewItem>
      <errorID>2b2538c0-a4f3-480c-b13c-9dc7e53fa7b8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CEAE009</paraID>
      <start>0</start>
      <end>2</end>
      <status>unmodified</status>
      <modifiedWord/>
      <trackRevisions>false</trackRevisions>
    </reviewItem>
    <reviewItem>
      <errorID>4d38c8fc-c103-40e1-a78b-39752f9fec2f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3C165E61</paraID>
      <start>0</start>
      <end>2</end>
      <status>unmodified</status>
      <modifiedWord/>
      <trackRevisions>false</trackRevisions>
    </reviewItem>
    <reviewItem>
      <errorID>8b84e59e-9322-4f6d-a912-aa99e717fa60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29F1D05E</paraID>
      <start>0</start>
      <end>2</end>
      <status>unmodified</status>
      <modifiedWord/>
      <trackRevisions>false</trackRevisions>
    </reviewItem>
    <reviewItem>
      <errorID>4936b12a-9256-417b-8b7e-03bc0c10929f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4B2670A3</paraID>
      <start>0</start>
      <end>2</end>
      <status>unmodified</status>
      <modifiedWord/>
      <trackRevisions>false</trackRevisions>
    </reviewItem>
    <reviewItem>
      <errorID>cdd9b1a4-ba4a-4b64-938c-ae1c19582bca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13084E7B</paraID>
      <start>0</start>
      <end>2</end>
      <status>unmodified</status>
      <modifiedWord/>
      <trackRevisions>false</trackRevisions>
    </reviewItem>
    <reviewItem>
      <errorID>352494a5-41d6-4ab9-9fe6-38616a2d8f69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2D530B92</paraID>
      <start>0</start>
      <end>2</end>
      <status>unmodified</status>
      <modifiedWord/>
      <trackRevisions>false</trackRevisions>
    </reviewItem>
    <reviewItem>
      <errorID>ba46a8a1-1841-4841-91b7-629c7e894e2f</errorID>
      <errorWord>临近</errorWord>
      <group>L1_Word</group>
      <groupName>字词问题</groupName>
      <ability>L2_Typo</ability>
      <abilityName>字词错误</abilityName>
      <candidateList>
        <item>邻近</item>
      </candidateList>
      <explain>存在发音相同字词的误用。</explain>
      <paraID>536E839E</paraID>
      <start>43</start>
      <end>45</end>
      <status>unmodified</status>
      <modifiedWord/>
      <trackRevisions>false</trackRevisions>
    </reviewItem>
    <reviewItem>
      <errorID>539191ea-4444-4655-8bcf-39903f1d2bca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E1EB931</paraID>
      <start>0</start>
      <end>2</end>
      <status>unmodified</status>
      <modifiedWord/>
      <trackRevisions>false</trackRevisions>
    </reviewItem>
    <reviewItem>
      <errorID>30df7f2f-ada2-4b18-9caa-dd3ad885b777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6F7B5653</paraID>
      <start>0</start>
      <end>2</end>
      <status>unmodified</status>
      <modifiedWord/>
      <trackRevisions>false</trackRevisions>
    </reviewItem>
    <reviewItem>
      <errorID>736f3b77-3709-419c-b938-bb39d23b0f43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22764C7C</paraID>
      <start>0</start>
      <end>2</end>
      <status>unmodified</status>
      <modifiedWord/>
      <trackRevisions>false</trackRevisions>
    </reviewItem>
    <reviewItem>
      <errorID>3d987d32-aa69-4fb4-aa79-7d8d2fa97fc7</errorID>
      <errorWord>.、</errorWord>
      <group>L1_Punc</group>
      <groupName>标点问题</groupName>
      <ability>L2_Punc_CN</ability>
      <abilityName/>
      <candidateList>
        <item>.</item>
      </candidateList>
      <explain/>
      <paraID>22764C7C</paraID>
      <start>7</start>
      <end>9</end>
      <status>unmodified</status>
      <modifiedWord/>
      <trackRevisions>false</trackRevisions>
    </reviewItem>
    <reviewItem>
      <errorID>355c86aa-b307-456a-9976-0bc98119051d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24F24E37</paraID>
      <start>0</start>
      <end>2</end>
      <status>unmodified</status>
      <modifiedWord/>
      <trackRevisions>false</trackRevisions>
    </reviewItem>
    <reviewItem>
      <errorID>0bc40ed8-bcbc-4190-9a16-245e4db0fc2e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214DA8F9</paraID>
      <start>0</start>
      <end>2</end>
      <status>unmodified</status>
      <modifiedWord/>
      <trackRevisions>false</trackRevisions>
    </reviewItem>
    <reviewItem>
      <errorID>a8b47374-24e9-40f5-b65d-66b256ac6f7e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28C06820</paraID>
      <start>0</start>
      <end>2</end>
      <status>unmodified</status>
      <modifiedWord/>
      <trackRevisions>false</trackRevisions>
    </reviewItem>
    <reviewItem>
      <errorID>d0dd5277-15c3-44ba-a0b5-8d929228dea5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2DD5BAF8</paraID>
      <start>0</start>
      <end>2</end>
      <status>unmodified</status>
      <modifiedWord/>
      <trackRevisions>false</trackRevisions>
    </reviewItem>
    <reviewItem>
      <errorID>460576ec-525b-40a3-89b6-40b37a592d85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512039A4</paraID>
      <start>0</start>
      <end>2</end>
      <status>unmodified</status>
      <modifiedWord/>
      <trackRevisions>false</trackRevisions>
    </reviewItem>
    <reviewItem>
      <errorID>6cce0cdf-e935-4667-875d-2d3ec7682372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429829F2</paraID>
      <start>0</start>
      <end>2</end>
      <status>unmodified</status>
      <modifiedWord/>
      <trackRevisions>false</trackRevisions>
    </reviewItem>
    <reviewItem>
      <errorID>6c23fea8-c3c7-405f-9cd8-12f3a429128c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67DECE68</paraID>
      <start>0</start>
      <end>2</end>
      <status>unmodified</status>
      <modifiedWord/>
      <trackRevisions>false</trackRevisions>
    </reviewItem>
    <reviewItem>
      <errorID>323d68ae-5adb-49c1-a2cd-7bb7ec4e8730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649672A3</paraID>
      <start>0</start>
      <end>2</end>
      <status>unmodified</status>
      <modifiedWord/>
      <trackRevisions>false</trackRevisions>
    </reviewItem>
    <reviewItem>
      <errorID>f3e01204-9801-4a35-af6b-5af46e5cde13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750328FB</paraID>
      <start>0</start>
      <end>2</end>
      <status>unmodified</status>
      <modifiedWord/>
      <trackRevisions>false</trackRevisions>
    </reviewItem>
    <reviewItem>
      <errorID>81c6d078-cd65-43cf-9fb8-58cf2f568b9b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53E8FEC3</paraID>
      <start>0</start>
      <end>2</end>
      <status>unmodified</status>
      <modifiedWord/>
      <trackRevisions>false</trackRevisions>
    </reviewItem>
    <reviewItem>
      <errorID>7683f1f5-5c32-42b3-b5be-9a6bade1f8bc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3D6111CF</paraID>
      <start>0</start>
      <end>2</end>
      <status>unmodified</status>
      <modifiedWord/>
      <trackRevisions>false</trackRevisions>
    </reviewItem>
    <reviewItem>
      <errorID>27ad47be-de2f-4ae3-8f2c-ddf584889ad9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3180A209</paraID>
      <start>0</start>
      <end>2</end>
      <status>unmodified</status>
      <modifiedWord/>
      <trackRevisions>false</trackRevisions>
    </reviewItem>
    <reviewItem>
      <errorID>4a7069b6-cf8b-4bcc-b6cc-734c9fc79b1b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45395F21</paraID>
      <start>0</start>
      <end>2</end>
      <status>unmodified</status>
      <modifiedWord/>
      <trackRevisions>false</trackRevisions>
    </reviewItem>
    <reviewItem>
      <errorID>a7e386de-8213-4462-86fc-591a4a87fa2a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771BCB18</paraID>
      <start>0</start>
      <end>2</end>
      <status>unmodified</status>
      <modifiedWord/>
      <trackRevisions>false</trackRevisions>
    </reviewItem>
    <reviewItem>
      <errorID>090825aa-b9f7-4d63-ac68-cc5286be55ba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7AAD32AE</paraID>
      <start>0</start>
      <end>2</end>
      <status>unmodified</status>
      <modifiedWord/>
      <trackRevisions>false</trackRevisions>
    </reviewItem>
    <reviewItem>
      <errorID>e1fb280e-b41c-4bac-9587-848b5e32c332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5B05F6EF</paraID>
      <start>0</start>
      <end>2</end>
      <status>unmodified</status>
      <modifiedWord/>
      <trackRevisions>false</trackRevisions>
    </reviewItem>
    <reviewItem>
      <errorID>709ec3ac-3f1d-451c-9252-d9295f9be489</errorID>
      <errorWord>政策的</errorWord>
      <group>L1_Word</group>
      <groupName>字词问题</groupName>
      <ability>L2_Typo</ability>
      <abilityName>字词错误</abilityName>
      <candidateList>
        <item>政策</item>
      </candidateList>
      <explain/>
      <paraID>223A49B7</paraID>
      <start>47</start>
      <end>50</end>
      <status>unmodified</status>
      <modifiedWord/>
      <trackRevisions>false</trackRevisions>
    </reviewItem>
    <reviewItem>
      <errorID>0a2187d9-cc1a-40bf-b949-cc2c002976c7</errorID>
      <errorWord>（</errorWord>
      <group>L1_Punc</group>
      <groupName>标点问题</groupName>
      <ability>L2_Punc_CN</ability>
      <abilityName/>
      <candidateList/>
      <explain>此处标点可能未正确匹配，请检查句子中是否存在标点冗余、缺失或使用错误的情况。</explain>
      <paraID>553DF7CC</paraID>
      <start>17</start>
      <end>18</end>
      <status>unmodified</status>
      <modifiedWord/>
      <trackRevisions>false</trackRevisions>
    </reviewItem>
    <reviewItem>
      <errorID>0fef682b-c7ed-4dbc-9ba3-0002bd9b503b</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6061479B</paraID>
      <start>38</start>
      <end>39</end>
      <status>unmodified</status>
      <modifiedWord/>
      <trackRevisions>false</trackRevisions>
    </reviewItem>
    <reviewItem>
      <errorID>a8481550-23ac-48ee-a906-acb36d6d9262</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6061479B</paraID>
      <start>61</start>
      <end>62</end>
      <status>unmodified</status>
      <modifiedWord/>
      <trackRevisions>false</trackRevisions>
    </reviewItem>
    <reviewItem>
      <errorID>cdd5acec-d46e-44f4-91ac-9ff762b86ac6</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6061479B</paraID>
      <start>112</start>
      <end>113</end>
      <status>unmodified</status>
      <modifiedWord/>
      <trackRevisions>false</trackRevisions>
    </reviewItem>
    <reviewItem>
      <errorID>3116ae1d-87e2-4374-a62b-a97db2a2cf01</errorID>
      <errorWord>:</errorWord>
      <group>L1_Format</group>
      <groupName>格式问题</groupName>
      <ability>L2_HalfPunc_CN</ability>
      <abilityName/>
      <candidateList>
        <item>：</item>
      </candidateList>
      <explain>文本全半角错误。</explain>
      <paraID>14C95891</paraID>
      <start>188</start>
      <end>189</end>
      <status>unmodified</status>
      <modifiedWord/>
      <trackRevisions>false</trackRevisions>
    </reviewItem>
    <reviewItem>
      <errorID>7909272c-036f-4a94-93ed-76bdc9d299ce</errorID>
      <errorWord>面</errorWord>
      <group>L1_Word</group>
      <groupName>字词问题</groupName>
      <ability>L2_Typo</ability>
      <abilityName>字词错误</abilityName>
      <candidateList>
        <item>面积</item>
      </candidateList>
      <explain>〈名〉平面或物体表面的大小：土地～｜建筑～。</explain>
      <paraID>1315462D</paraID>
      <start>6</start>
      <end>7</end>
      <status>unmodified</status>
      <modifiedWord/>
      <trackRevisions>false</trackRevisions>
    </reviewItem>
    <reviewItem>
      <errorID>dcf08b76-7550-458c-8adb-16d436deeec6</errorID>
      <errorWord>进</errorWord>
      <group>L1_Word</group>
      <groupName>字词问题</groupName>
      <ability>L2_Typo</ability>
      <abilityName>字词错误</abilityName>
      <candidateList>
        <item>进入</item>
      </candidateList>
      <explain>〈动〉支进到某个范围或某个时期里：～学校｜～新阶段◇～角色。</explain>
      <paraID>2AB8D3B7</paraID>
      <start>31</start>
      <end>32</end>
      <status>unmodified</status>
      <modifiedWord/>
      <trackRevisions>false</trackRevisions>
    </reviewItem>
    <reviewItem>
      <errorID>1beeac81-4b3a-4549-abea-37a9c78c455e</errorID>
      <errorWord>rpm</errorWord>
      <group>L1_Word</group>
      <groupName>字词问题</groupName>
      <ability>L2_Typo</ability>
      <abilityName>字词错误</abilityName>
      <candidateList/>
      <explain>非法定单位</explain>
      <paraID>2AEE694D</paraID>
      <start>25</start>
      <end>28</end>
      <status>unmodified</status>
      <modifiedWord/>
      <trackRevisions>false</trackRevisions>
    </reviewItem>
    <reviewItem>
      <errorID>5bfc0ead-5ea5-477d-aeb5-c1a62c44c17c</errorID>
      <errorWord>-</errorWord>
      <group>L1_Format</group>
      <groupName>格式问题</groupName>
      <ability>L2_HalfPunc_CN</ability>
      <abilityName/>
      <candidateList>
        <item>－</item>
      </candidateList>
      <explain>文本全半角错误。</explain>
      <paraID>260026CD</paraID>
      <start>2</start>
      <end>3</end>
      <status>unmodified</status>
      <modifiedWord/>
      <trackRevisions>false</trackRevisions>
    </reviewItem>
    <reviewItem>
      <errorID>df7a7eff-3da4-4f2b-aa6c-8e736ae1b316</errorID>
      <errorWord>rpm</errorWord>
      <group>L1_Word</group>
      <groupName>字词问题</groupName>
      <ability>L2_Typo</ability>
      <abilityName>字词错误</abilityName>
      <candidateList/>
      <explain>非法定单位</explain>
      <paraID>651E7362</paraID>
      <start>34</start>
      <end>37</end>
      <status>unmodified</status>
      <modifiedWord/>
      <trackRevisions>false</trackRevisions>
    </reviewItem>
    <reviewItem>
      <errorID>6d7d6ffb-0f97-440c-9f4c-6972a786a936</errorID>
      <errorWord>rpm</errorWord>
      <group>L1_Word</group>
      <groupName>字词问题</groupName>
      <ability>L2_Typo</ability>
      <abilityName>字词错误</abilityName>
      <candidateList/>
      <explain>非法定单位</explain>
      <paraID>142E658F</paraID>
      <start>60</start>
      <end>63</end>
      <status>unmodified</status>
      <modifiedWord/>
      <trackRevisions>false</trackRevisions>
    </reviewItem>
    <reviewItem>
      <errorID>177126c4-d858-4f80-bfcb-a5798d8a1ab8</errorID>
      <errorWord>MM</errorWord>
      <group>L1_Official</group>
      <groupName>公文问题</groupName>
      <ability>L2_Official</ability>
      <abilityName>公文问题</abilityName>
      <candidateList/>
      <explain>公文中禁止出现该词语</explain>
      <paraID> 781BB35</paraID>
      <start>9</start>
      <end>11</end>
      <status>unmodified</status>
      <modifiedWord/>
      <trackRevisions>false</trackRevisions>
    </reviewItem>
    <reviewItem>
      <errorID>67b13ddf-ef63-4608-be7f-fdef03146a0d</errorID>
      <errorWord>其它</errorWord>
      <group>L1_Word</group>
      <groupName>字词问题</groupName>
      <ability>L2_Alias</ability>
      <abilityName>也作/曾用词</abilityName>
      <candidateList>
        <item>其他</item>
      </candidateList>
      <explain>词汇[其它]为不规范表述或旧称，其规范书面表述为[其他]。</explain>
      <paraID> 9DD1453</paraID>
      <start>369</start>
      <end>371</end>
      <status>unmodified</status>
      <modifiedWord/>
      <trackRevisions>false</trackRevisions>
    </reviewItem>
    <reviewItem>
      <errorID>05e3345f-0462-4f45-b6a5-41081e79f072</errorID>
      <errorWord>(</errorWord>
      <group>L1_Format</group>
      <groupName>格式问题</groupName>
      <ability>L2_HalfPunc_CN</ability>
      <abilityName/>
      <candidateList>
        <item>（</item>
      </candidateList>
      <explain>文本全半角错误。</explain>
      <paraID> 9DD1453</paraID>
      <start>371</start>
      <end>372</end>
      <status>unmodified</status>
      <modifiedWord/>
      <trackRevisions>false</trackRevisions>
    </reviewItem>
    <reviewItem>
      <errorID>e478e265-8381-409b-936f-37cd1d9773b9</errorID>
      <errorWord>)</errorWord>
      <group>L1_Format</group>
      <groupName>格式问题</groupName>
      <ability>L2_HalfPunc_CN</ability>
      <abilityName/>
      <candidateList>
        <item>）</item>
      </candidateList>
      <explain>文本全半角错误。</explain>
      <paraID> 9DD1453</paraID>
      <start>379</start>
      <end>380</end>
      <status>unmodified</status>
      <modifiedWord/>
      <trackRevisions>false</trackRevisions>
    </reviewItem>
    <reviewItem>
      <errorID>983a4cce-094d-4bc4-946b-ffae9941ce6d</errorID>
      <errorWord>用其它</errorWord>
      <group>L1_Word</group>
      <groupName>字词问题</groupName>
      <ability>L2_Alias</ability>
      <abilityName>也作/曾用词</abilityName>
      <candidateList>
        <item>用其他</item>
      </candidateList>
      <explain>词汇[用其它]为不规范表述或旧称，其规范书面表述为[用其他]。</explain>
      <paraID> A357989</paraID>
      <start>45</start>
      <end>48</end>
      <status>unmodified</status>
      <modifiedWord/>
      <trackRevisions>false</trackRevisions>
    </reviewItem>
    <reviewItem>
      <errorID>f03b3935-00e2-4016-b54d-a8a2c72627eb</errorID>
      <errorWord>）</errorWord>
      <group>L1_Format</group>
      <groupName>格式问题</groupName>
      <ability>L2_HalfPunc_CN</ability>
      <abilityName/>
      <candidateList>
        <item>)</item>
      </candidateList>
      <explain>文本全半角错误。</explain>
      <paraID>76AF9A97</paraID>
      <start>176</start>
      <end>177</end>
      <status>unmodified</status>
      <modifiedWord/>
      <trackRevisions>false</trackRevisions>
    </reviewItem>
    <reviewItem>
      <errorID>e07a3afb-c1ec-48f9-8aa0-ab9ff064d6e6</errorID>
      <errorWord>具</errorWord>
      <group>L1_Word</group>
      <groupName>字词问题</groupName>
      <ability>L2_Typo</ability>
      <abilityName>字词错误</abilityName>
      <candidateList>
        <item>具有</item>
      </candidateList>
      <explain>〈动〉有（多用于抽象事物）：～信心｜～伟大的意义。</explain>
      <paraID>76AF9A97</paraID>
      <start>227</start>
      <end>228</end>
      <status>unmodified</status>
      <modifiedWord/>
      <trackRevisions>false</trackRevisions>
    </reviewItem>
    <reviewItem>
      <errorID>c36797c5-09c9-4fe1-9e46-76fd4e665c04</errorID>
      <errorWord>的的</errorWord>
      <group>L1_Word</group>
      <groupName>字词问题</groupName>
      <ability>L2_Typo</ability>
      <abilityName>字词错误</abilityName>
      <candidateList>
        <item>的</item>
      </candidateList>
      <explain>“的”常用于连接修饰语与名词性中心语，表示属性、所属或描述。</explain>
      <paraID>68EB9B5B</paraID>
      <start>186</start>
      <end>188</end>
      <status>unmodified</status>
      <modifiedWord/>
      <trackRevisions>false</trackRevisions>
    </reviewItem>
    <reviewItem>
      <errorID>8967cde7-fe57-46dc-9582-99e413f3358d</errorID>
      <errorWord>极富</errorWord>
      <group>L1_Word</group>
      <groupName>字词问题</groupName>
      <ability>L2_Typo</ability>
      <abilityName>字词错误</abilityName>
      <candidateList>
        <item>富</item>
      </candidateList>
      <explain/>
      <paraID>65EA2499</paraID>
      <start>87</start>
      <end>89</end>
      <status>unmodified</status>
      <modifiedWord/>
      <trackRevisions>false</trackRevisions>
    </reviewItem>
    <reviewItem>
      <errorID>8272fc67-ff56-40c2-b25c-edaacfa7e336</errorID>
      <errorWord>(</errorWord>
      <group>L1_Format</group>
      <groupName>格式问题</groupName>
      <ability>L2_HalfPunc_CN</ability>
      <abilityName/>
      <candidateList>
        <item>（</item>
      </candidateList>
      <explain>文本全半角错误。</explain>
      <paraID>2D9FAE80</paraID>
      <start>4</start>
      <end>5</end>
      <status>unmodified</status>
      <modifiedWord/>
      <trackRevisions>false</trackRevisions>
    </reviewItem>
    <reviewItem>
      <errorID>c96644d8-90a3-41a3-99ca-e62cf1848a96</errorID>
      <errorWord>)</errorWord>
      <group>L1_Format</group>
      <groupName>格式问题</groupName>
      <ability>L2_HalfPunc_CN</ability>
      <abilityName/>
      <candidateList>
        <item>）</item>
      </candidateList>
      <explain>文本全半角错误。</explain>
      <paraID>2D9FAE80</paraID>
      <start>8</start>
      <end>9</end>
      <status>unmodified</status>
      <modifiedWord/>
      <trackRevisions>false</trackRevisions>
    </reviewItem>
    <reviewItem>
      <errorID>52f71359-f5c4-4c24-b6d4-79aa84a328cd</errorID>
      <errorWord>(</errorWord>
      <group>L1_Format</group>
      <groupName>格式问题</groupName>
      <ability>L2_HalfPunc_CN</ability>
      <abilityName/>
      <candidateList>
        <item>（</item>
      </candidateList>
      <explain>文本全半角错误。</explain>
      <paraID>661BC24D</paraID>
      <start>4</start>
      <end>5</end>
      <status>unmodified</status>
      <modifiedWord/>
      <trackRevisions>false</trackRevisions>
    </reviewItem>
    <reviewItem>
      <errorID>b60be03f-cda0-4d1e-baec-d042f48ff629</errorID>
      <errorWord>)</errorWord>
      <group>L1_Format</group>
      <groupName>格式问题</groupName>
      <ability>L2_HalfPunc_CN</ability>
      <abilityName/>
      <candidateList>
        <item>）</item>
      </candidateList>
      <explain>文本全半角错误。</explain>
      <paraID>661BC24D</paraID>
      <start>8</start>
      <end>9</end>
      <status>unmodified</status>
      <modifiedWord/>
      <trackRevisions>false</trackRevisions>
    </reviewItem>
    <reviewItem>
      <errorID>bca3dd27-4455-40dd-8c93-ce0851759e30</errorID>
      <errorWord>(</errorWord>
      <group>L1_Format</group>
      <groupName>格式问题</groupName>
      <ability>L2_HalfPunc_CN</ability>
      <abilityName/>
      <candidateList>
        <item>（</item>
      </candidateList>
      <explain>文本全半角错误。</explain>
      <paraID>663F02AA</paraID>
      <start>4</start>
      <end>5</end>
      <status>unmodified</status>
      <modifiedWord/>
      <trackRevisions>false</trackRevisions>
    </reviewItem>
    <reviewItem>
      <errorID>14ee0ed8-e240-4109-9e99-e3b92f139d46</errorID>
      <errorWord>)</errorWord>
      <group>L1_Format</group>
      <groupName>格式问题</groupName>
      <ability>L2_HalfPunc_CN</ability>
      <abilityName/>
      <candidateList>
        <item>）</item>
      </candidateList>
      <explain>文本全半角错误。</explain>
      <paraID>663F02AA</paraID>
      <start>7</start>
      <end>8</end>
      <status>unmodified</status>
      <modifiedWord/>
      <trackRevisions>false</trackRevisions>
    </reviewItem>
    <reviewItem>
      <errorID>45a5837e-a4e6-483c-9e3d-4238b96df230</errorID>
      <errorWord>(</errorWord>
      <group>L1_Format</group>
      <groupName>格式问题</groupName>
      <ability>L2_HalfPunc_CN</ability>
      <abilityName/>
      <candidateList>
        <item>（</item>
      </candidateList>
      <explain>文本全半角错误。</explain>
      <paraID>5561E691</paraID>
      <start>2</start>
      <end>3</end>
      <status>unmodified</status>
      <modifiedWord/>
      <trackRevisions>false</trackRevisions>
    </reviewItem>
    <reviewItem>
      <errorID>a0faf085-7952-43c9-a460-b07a908fe3e9</errorID>
      <errorWord>)</errorWord>
      <group>L1_Format</group>
      <groupName>格式问题</groupName>
      <ability>L2_HalfPunc_CN</ability>
      <abilityName/>
      <candidateList>
        <item>）</item>
      </candidateList>
      <explain>文本全半角错误。</explain>
      <paraID>5561E691</paraID>
      <start>5</start>
      <end>6</end>
      <status>unmodified</status>
      <modifiedWord/>
      <trackRevisions>false</trackRevisions>
    </reviewItem>
    <reviewItem>
      <errorID>0bf3a42c-18e3-4361-8d2d-f44734d55e4d</errorID>
      <errorWord>(</errorWord>
      <group>L1_Format</group>
      <groupName>格式问题</groupName>
      <ability>L2_HalfPunc_CN</ability>
      <abilityName/>
      <candidateList>
        <item>（</item>
      </candidateList>
      <explain>文本全半角错误。</explain>
      <paraID>1C7574FA</paraID>
      <start>3</start>
      <end>4</end>
      <status>unmodified</status>
      <modifiedWord/>
      <trackRevisions>false</trackRevisions>
    </reviewItem>
    <reviewItem>
      <errorID>a87bbf45-1baa-48d9-919b-f0fc9c148672</errorID>
      <errorWord>)</errorWord>
      <group>L1_Format</group>
      <groupName>格式问题</groupName>
      <ability>L2_HalfPunc_CN</ability>
      <abilityName/>
      <candidateList>
        <item>）</item>
      </candidateList>
      <explain>文本全半角错误。</explain>
      <paraID>1C7574FA</paraID>
      <start>19</start>
      <end>20</end>
      <status>unmodified</status>
      <modifiedWord/>
      <trackRevisions>false</trackRevisions>
    </reviewItem>
    <reviewItem>
      <errorID>26fa8051-0627-4f86-ab0b-a8caf2033bd0</errorID>
      <errorWord>(</errorWord>
      <group>L1_Format</group>
      <groupName>格式问题</groupName>
      <ability>L2_HalfPunc_CN</ability>
      <abilityName/>
      <candidateList>
        <item>（</item>
      </candidateList>
      <explain>文本全半角错误。</explain>
      <paraID> EECA306</paraID>
      <start>3</start>
      <end>4</end>
      <status>unmodified</status>
      <modifiedWord/>
      <trackRevisions>false</trackRevisions>
    </reviewItem>
    <reviewItem>
      <errorID>2cb0bf2e-983e-4c0e-b034-bb6809ed47a7</errorID>
      <errorWord>)</errorWord>
      <group>L1_Format</group>
      <groupName>格式问题</groupName>
      <ability>L2_HalfPunc_CN</ability>
      <abilityName/>
      <candidateList>
        <item>）</item>
      </candidateList>
      <explain>文本全半角错误。</explain>
      <paraID> EECA306</paraID>
      <start>21</start>
      <end>22</end>
      <status>unmodified</status>
      <modifiedWord/>
      <trackRevisions>false</trackRevisions>
    </reviewItem>
    <reviewItem>
      <errorID>2cafada6-90b1-413f-8308-e2053d55fe00</errorID>
      <errorWord>（</errorWord>
      <group>L1_Punc</group>
      <groupName>标点问题</groupName>
      <ability>L2_Punc_CN</ability>
      <abilityName/>
      <candidateList/>
      <explain>同一形式括号套用。</explain>
      <paraID>7BD40AC1</paraID>
      <start>10</start>
      <end>11</end>
      <status>unmodified</status>
      <modifiedWord/>
      <trackRevisions>false</trackRevisions>
    </reviewItem>
    <reviewItem>
      <errorID>74edece7-1a83-4cf4-96bd-fbf339e2b321</errorID>
      <errorWord>）</errorWord>
      <group>L1_Punc</group>
      <groupName>标点问题</groupName>
      <ability>L2_Punc_CN</ability>
      <abilityName/>
      <candidateList/>
      <explain>同一形式括号套用。</explain>
      <paraID>7BD40AC1</paraID>
      <start>12</start>
      <end>13</end>
      <status>unmodified</status>
      <modifiedWord/>
      <trackRevisions>false</trackRevisions>
    </reviewItem>
    <reviewItem>
      <errorID>7e706352-1f56-4f43-97ee-4be3216a0179</errorID>
      <errorWord>（</errorWord>
      <group>L1_Punc</group>
      <groupName>标点问题</groupName>
      <ability>L2_Punc_CN</ability>
      <abilityName/>
      <candidateList/>
      <explain>同一形式括号套用。</explain>
      <paraID>67A5B910</paraID>
      <start>133</start>
      <end>134</end>
      <status>unmodified</status>
      <modifiedWord/>
      <trackRevisions>false</trackRevisions>
    </reviewItem>
    <reviewItem>
      <errorID>3824b927-2cb7-4a7f-a2e3-634f540bb25b</errorID>
      <errorWord>）</errorWord>
      <group>L1_Punc</group>
      <groupName>标点问题</groupName>
      <ability>L2_Punc_CN</ability>
      <abilityName/>
      <candidateList/>
      <explain>同一形式括号套用。</explain>
      <paraID>67A5B910</paraID>
      <start>148</start>
      <end>149</end>
      <status>unmodified</status>
      <modifiedWord/>
      <trackRevisions>false</trackRevisions>
    </reviewItem>
    <reviewItem>
      <errorID>53e2a550-7a8a-4ad7-8be8-50c761ba9933</errorID>
      <errorWord>-</errorWord>
      <group>L1_Format</group>
      <groupName>格式问题</groupName>
      <ability>L2_HalfPunc_CN</ability>
      <abilityName/>
      <candidateList>
        <item>－</item>
      </candidateList>
      <explain>文本全半角错误。</explain>
      <paraID>20C82AA0</paraID>
      <start>179</start>
      <end>180</end>
      <status>unmodified</status>
      <modifiedWord/>
      <trackRevisions>false</trackRevisions>
    </reviewItem>
    <reviewItem>
      <errorID>8beb3411-857c-4935-94e3-0f96cf3b3ccd</errorID>
      <errorWord>-</errorWord>
      <group>L1_Format</group>
      <groupName>格式问题</groupName>
      <ability>L2_HalfPunc_CN</ability>
      <abilityName/>
      <candidateList>
        <item>－</item>
      </candidateList>
      <explain>文本全半角错误。</explain>
      <paraID>29B65EC3</paraID>
      <start>167</start>
      <end>168</end>
      <status>unmodified</status>
      <modifiedWord/>
      <trackRevisions>false</trackRevisions>
    </reviewItem>
    <reviewItem>
      <errorID>242af42a-9f7a-4e98-a738-487a6b2e7aef</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29B65EC3</paraID>
      <start>186</start>
      <end>187</end>
      <status>unmodified</status>
      <modifiedWord/>
      <trackRevisions>false</trackRevisions>
    </reviewItem>
    <reviewItem>
      <errorID>1f190f3e-0170-41cb-b6f3-6485702ff330</errorID>
      <errorWord>-</errorWord>
      <group>L1_Format</group>
      <groupName>格式问题</groupName>
      <ability>L2_HalfPunc_CN</ability>
      <abilityName/>
      <candidateList>
        <item>－</item>
      </candidateList>
      <explain>文本全半角错误。</explain>
      <paraID>29B65EC3</paraID>
      <start>192</start>
      <end>193</end>
      <status>unmodified</status>
      <modifiedWord/>
      <trackRevisions>false</trackRevisions>
    </reviewItem>
    <reviewItem>
      <errorID>23ebf3c3-5b3c-4d43-b39d-ecaae28591a9</errorID>
      <errorWord>-</errorWord>
      <group>L1_Format</group>
      <groupName>格式问题</groupName>
      <ability>L2_HalfPunc_CN</ability>
      <abilityName/>
      <candidateList>
        <item>－</item>
      </candidateList>
      <explain>文本全半角错误。</explain>
      <paraID>5F31F4A2</paraID>
      <start>168</start>
      <end>169</end>
      <status>unmodified</status>
      <modifiedWord/>
      <trackRevisions>false</trackRevisions>
    </reviewItem>
    <reviewItem>
      <errorID>c976ebe2-1262-447d-9520-977a5afd5531</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5F31F4A2</paraID>
      <start>187</start>
      <end>188</end>
      <status>unmodified</status>
      <modifiedWord/>
      <trackRevisions>false</trackRevisions>
    </reviewItem>
    <reviewItem>
      <errorID>590f25b1-980f-4d17-9123-b11382a92530</errorID>
      <errorWord>-</errorWord>
      <group>L1_Format</group>
      <groupName>格式问题</groupName>
      <ability>L2_HalfPunc_CN</ability>
      <abilityName/>
      <candidateList>
        <item>－</item>
      </candidateList>
      <explain>文本全半角错误。</explain>
      <paraID>5F31F4A2</paraID>
      <start>193</start>
      <end>194</end>
      <status>unmodified</status>
      <modifiedWord/>
      <trackRevisions>false</trackRevisions>
    </reviewItem>
    <reviewItem>
      <errorID>9c9a5861-0778-435a-a5d4-e67fa04e9f61</errorID>
      <errorWord>槽中</errorWord>
      <group>L1_Word</group>
      <groupName>字词问题</groupName>
      <ability>L2_Typo</ability>
      <abilityName>字词错误</abilityName>
      <candidateList>
        <item>槽</item>
      </candidateList>
      <explain/>
      <paraID>5D8CBA31</paraID>
      <start>101</start>
      <end>103</end>
      <status>unmodified</status>
      <modifiedWord/>
      <trackRevisions>false</trackRevisions>
    </reviewItem>
    <reviewItem>
      <errorID>f63636ea-0ba5-42d5-b75a-25764b1ec431</errorID>
      <errorWord>-</errorWord>
      <group>L1_Format</group>
      <groupName>格式问题</groupName>
      <ability>L2_HalfPunc_CN</ability>
      <abilityName/>
      <candidateList>
        <item>－</item>
      </candidateList>
      <explain>文本全半角错误。</explain>
      <paraID>5D8CBA31</paraID>
      <start>381</start>
      <end>382</end>
      <status>unmodified</status>
      <modifiedWord/>
      <trackRevisions>false</trackRevisions>
    </reviewItem>
    <reviewItem>
      <errorID>02acabf7-9d1d-4b67-9f5f-1cbfad84f28a</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69BF736D</paraID>
      <start>77</start>
      <end>78</end>
      <status>unmodified</status>
      <modifiedWord/>
      <trackRevisions>false</trackRevisions>
    </reviewItem>
    <reviewItem>
      <errorID>dc12ef62-fe25-4549-8560-cf70bce9d7f6</errorID>
      <errorWord>：</errorWord>
      <group>L1_Format</group>
      <groupName>格式问题</groupName>
      <ability>L2_HalfPunc_CN</ability>
      <abilityName/>
      <candidateList>
        <item>:</item>
      </candidateList>
      <explain>文本全半角错误。</explain>
      <paraID>69BF736D</paraID>
      <start>317</start>
      <end>318</end>
      <status>unmodified</status>
      <modifiedWord/>
      <trackRevisions>false</trackRevisions>
    </reviewItem>
    <reviewItem>
      <errorID>00780b4a-b675-4886-af48-8d7c04abe970</errorID>
      <errorWord>纳</errorWord>
      <group>L1_Word</group>
      <groupName>字词问题</groupName>
      <ability>L2_Typo</ability>
      <abilityName>字词错误</abilityName>
      <candidateList>
        <item>纳入</item>
      </candidateList>
      <explain>〈动〉放进；归入（多用于抽象事物）：～正轨｜～计划。</explain>
      <paraID>62641C92</paraID>
      <start>21</start>
      <end>22</end>
      <status>unmodified</status>
      <modifiedWord/>
      <trackRevisions>false</trackRevisions>
    </reviewItem>
    <reviewItem>
      <errorID>18ddb6ff-5234-47c5-92ff-0cc715105fbc</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2A8A3B90</paraID>
      <start>77</start>
      <end>78</end>
      <status>unmodified</status>
      <modifiedWord/>
      <trackRevisions>false</trackRevisions>
    </reviewItem>
    <reviewItem>
      <errorID>7d0083a5-20be-4b95-af2c-14cbb1215d6e</errorID>
      <errorWord>：</errorWord>
      <group>L1_Format</group>
      <groupName>格式问题</groupName>
      <ability>L2_HalfPunc_CN</ability>
      <abilityName/>
      <candidateList>
        <item>:</item>
      </candidateList>
      <explain>文本全半角错误。</explain>
      <paraID>2A8A3B90</paraID>
      <start>317</start>
      <end>318</end>
      <status>unmodified</status>
      <modifiedWord/>
      <trackRevisions>false</trackRevisions>
    </reviewItem>
    <reviewItem>
      <errorID>c39f05a0-1d99-4f40-bf75-fdde35beea5d</errorID>
      <errorWord>纳</errorWord>
      <group>L1_Word</group>
      <groupName>字词问题</groupName>
      <ability>L2_Typo</ability>
      <abilityName>字词错误</abilityName>
      <candidateList>
        <item>纳入</item>
      </candidateList>
      <explain>〈动〉放进；归入（多用于抽象事物）：～正轨｜～计划。</explain>
      <paraID>24BE8919</paraID>
      <start>21</start>
      <end>22</end>
      <status>unmodified</status>
      <modifiedWord/>
      <trackRevisions>false</trackRevisions>
    </reviewItem>
    <reviewItem>
      <errorID>2169a222-efd4-4aa0-ba42-05ce2ae7cae0</errorID>
      <errorWord>当做</errorWord>
      <group>L1_Word</group>
      <groupName>字词问题</groupName>
      <ability>L2_Alias</ability>
      <abilityName>也作/曾用词</abilityName>
      <candidateList>
        <item>当作</item>
      </candidateList>
      <explain>词汇[当做]为不规范表述或旧称，其规范书面表述为[当作]。</explain>
      <paraID>17F8403D</paraID>
      <start>59</start>
      <end>61</end>
      <status>unmodified</status>
      <modifiedWord/>
      <trackRevisions>false</trackRevisions>
    </reviewItem>
    <reviewItem>
      <errorID>c33b28de-9b5e-443d-aecb-6d6d6557a6fe</errorID>
      <errorWord>粘土</errorWord>
      <group>L1_Word</group>
      <groupName>字词问题</groupName>
      <ability>L2_Typo</ability>
      <abilityName>字词错误</abilityName>
      <candidateList>
        <item>黏土</item>
      </candidateList>
      <explain/>
      <paraID>3526B343</paraID>
      <start>19</start>
      <end>21</end>
      <status>unmodified</status>
      <modifiedWord/>
      <trackRevisions>false</trackRevisions>
    </reviewItem>
    <reviewItem>
      <errorID>5cc1767e-5ea0-4c46-88f9-5be4e0e0caa5</errorID>
      <errorWord>生物体</errorWord>
      <group>L1_Word</group>
      <groupName>字词问题</groupName>
      <ability>L2_Typo</ability>
      <abilityName>字词错误</abilityName>
      <candidateList>
        <item>生物</item>
      </candidateList>
      <explain/>
      <paraID>3526B343</paraID>
      <start>41</start>
      <end>44</end>
      <status>unmodified</status>
      <modifiedWord/>
      <trackRevisions>false</trackRevisions>
    </reviewItem>
    <reviewItem>
      <errorID>6aafa3cc-7929-4ceb-a878-19be8ae6bbb1</errorID>
      <errorWord>．</errorWord>
      <group>L1_Format</group>
      <groupName>格式问题</groupName>
      <ability>L2_HalfPunc_CN</ability>
      <abilityName/>
      <candidateList>
        <item>。</item>
      </candidateList>
      <explain>文本全半角错误。</explain>
      <paraID>3080A4D8</paraID>
      <start>1</start>
      <end>2</end>
      <status>unmodified</status>
      <modifiedWord/>
      <trackRevisions>false</trackRevisions>
    </reviewItem>
    <reviewItem>
      <errorID>b94c24b0-2014-42ce-be61-3638fc5239db</errorID>
      <errorWord>．</errorWord>
      <group>L1_Format</group>
      <groupName>格式问题</groupName>
      <ability>L2_HalfPunc_CN</ability>
      <abilityName/>
      <candidateList>
        <item>。</item>
      </candidateList>
      <explain>文本全半角错误。</explain>
      <paraID> 6B0EFD8</paraID>
      <start>1</start>
      <end>2</end>
      <status>unmodified</status>
      <modifiedWord/>
      <trackRevisions>false</trackRevisions>
    </reviewItem>
    <reviewItem>
      <errorID>15729441-0aa6-44b8-9025-155646afd585</errorID>
      <errorWord>．</errorWord>
      <group>L1_Format</group>
      <groupName>格式问题</groupName>
      <ability>L2_HalfPunc_CN</ability>
      <abilityName/>
      <candidateList>
        <item>。</item>
      </candidateList>
      <explain>文本全半角错误。</explain>
      <paraID> F9D1662</paraID>
      <start>1</start>
      <end>2</end>
      <status>unmodified</status>
      <modifiedWord/>
      <trackRevisions>false</trackRevisions>
    </reviewItem>
    <reviewItem>
      <errorID>f87ddeed-95cf-46e5-b04d-24c5ff7d47d7</errorID>
      <errorWord>超洗</errorWord>
      <group>L1_Word</group>
      <groupName>字词问题</groupName>
      <ability>L2_Typo</ability>
      <abilityName>字词错误</abilityName>
      <candidateList>
        <item>冲洗</item>
      </candidateList>
      <explain>〈动〉❶用水冲，使附着的东西去掉：路面经过～后，显得格外干净了。❷把已经拍摄的胶片，进行显影、定影等：～放大。</explain>
      <paraID>70535025</paraID>
      <start>19</start>
      <end>21</end>
      <status>unmodified</status>
      <modifiedWord/>
      <trackRevisions>false</trackRevisions>
    </reviewItem>
    <reviewItem>
      <errorID>c667c246-0d33-4a8c-8ec1-25b5339cad16</errorID>
      <errorWord>-</errorWord>
      <group>L1_Format</group>
      <groupName>格式问题</groupName>
      <ability>L2_HalfPunc_CN</ability>
      <abilityName/>
      <candidateList>
        <item>－</item>
      </candidateList>
      <explain>文本全半角错误。</explain>
      <paraID>2BFA25DE</paraID>
      <start>86</start>
      <end>87</end>
      <status>unmodified</status>
      <modifiedWord/>
      <trackRevisions>false</trackRevisions>
    </reviewItem>
    <reviewItem>
      <errorID>1e78b111-c629-4636-bb82-2201562551f0</errorID>
      <errorWord>-</errorWord>
      <group>L1_Format</group>
      <groupName>格式问题</groupName>
      <ability>L2_HalfPunc_CN</ability>
      <abilityName/>
      <candidateList>
        <item>－</item>
      </candidateList>
      <explain>文本全半角错误。</explain>
      <paraID>2FF91514</paraID>
      <start>139</start>
      <end>140</end>
      <status>unmodified</status>
      <modifiedWord/>
      <trackRevisions>false</trackRevisions>
    </reviewItem>
    <reviewItem>
      <errorID>d6a33e16-b559-4c70-8ea4-c44b1479ddff</errorID>
      <errorWord>～</errorWord>
      <group>L1_Format</group>
      <groupName>格式问题</groupName>
      <ability>L2_HalfPunc_CN</ability>
      <abilityName/>
      <candidateList>
        <item>~</item>
      </candidateList>
      <explain>文本全半角错误。</explain>
      <paraID>7BA76A8D</paraID>
      <start>3</start>
      <end>4</end>
      <status>unmodified</status>
      <modifiedWord/>
      <trackRevisions>false</trackRevisions>
    </reviewItem>
    <reviewItem>
      <errorID>eaaec85e-1446-46f5-b0cf-8c52006a8950</errorID>
      <errorWord>～</errorWord>
      <group>L1_Format</group>
      <groupName>格式问题</groupName>
      <ability>L2_HalfPunc_CN</ability>
      <abilityName/>
      <candidateList>
        <item>~</item>
      </candidateList>
      <explain>文本全半角错误。</explain>
      <paraID>14EBD9DE</paraID>
      <start>3</start>
      <end>4</end>
      <status>unmodified</status>
      <modifiedWord/>
      <trackRevisions>false</trackRevisions>
    </reviewItem>
    <reviewItem>
      <errorID>03794fe2-561d-4ea5-910a-c7c0748e3f78</errorID>
      <errorWord>效率好</errorWord>
      <group>L1_Word</group>
      <groupName>字词问题</groupName>
      <ability>L2_Typo</ability>
      <abilityName>字词错误</abilityName>
      <candidateList>
        <item>效率高</item>
      </candidateList>
      <explain>存在发音相近字词的误用。</explain>
      <paraID>686B2D7A</paraID>
      <start>2</start>
      <end>5</end>
      <status>unmodified</status>
      <modifiedWord/>
      <trackRevisions>false</trackRevisions>
    </reviewItem>
    <reviewItem>
      <errorID>68bb60fb-2684-4eaa-b183-c19ea569b71c</errorID>
      <errorWord>效率好</errorWord>
      <group>L1_Word</group>
      <groupName>字词问题</groupName>
      <ability>L2_Typo</ability>
      <abilityName>字词错误</abilityName>
      <candidateList>
        <item>效率高</item>
      </candidateList>
      <explain>存在发音相近字词的误用。</explain>
      <paraID>165FEA6A</paraID>
      <start>2</start>
      <end>5</end>
      <status>unmodified</status>
      <modifiedWord/>
      <trackRevisions>false</trackRevisions>
    </reviewItem>
    <reviewItem>
      <errorID>8c164dc3-a3d6-48d4-86ae-7750fd48515a</errorID>
      <errorWord>减震</errorWord>
      <group>L1_Word</group>
      <groupName>字词问题</groupName>
      <ability>L2_Typo</ability>
      <abilityName>字词错误</abilityName>
      <candidateList>
        <item>减振</item>
      </candidateList>
      <explain>存在发音相同字词的误用。</explain>
      <paraID>28999AC1</paraID>
      <start>8</start>
      <end>10</end>
      <status>unmodified</status>
      <modifiedWord/>
      <trackRevisions>false</trackRevisions>
    </reviewItem>
    <reviewItem>
      <errorID>3e210d76-f11b-4425-9e29-0dcc727391ca</errorID>
      <errorWord>（</errorWord>
      <group>L1_Punc</group>
      <groupName>标点问题</groupName>
      <ability>L2_Punc_CN</ability>
      <abilityName/>
      <candidateList/>
      <explain>同一形式括号套用。</explain>
      <paraID>250D90F4</paraID>
      <start>50</start>
      <end>51</end>
      <status>unmodified</status>
      <modifiedWord/>
      <trackRevisions>false</trackRevisions>
    </reviewItem>
    <reviewItem>
      <errorID>bf926fd3-f9ef-4127-b504-a5b0066ad7c7</errorID>
      <errorWord>）</errorWord>
      <group>L1_Punc</group>
      <groupName>标点问题</groupName>
      <ability>L2_Punc_CN</ability>
      <abilityName/>
      <candidateList/>
      <explain>同一形式括号套用。</explain>
      <paraID>250D90F4</paraID>
      <start>52</start>
      <end>53</end>
      <status>unmodified</status>
      <modifiedWord/>
      <trackRevisions>false</trackRevisions>
    </reviewItem>
    <reviewItem>
      <errorID>796f85e7-97af-4aaf-a1c1-172979945457</errorID>
      <errorWord>&gt;</errorWord>
      <group>L1_Punc</group>
      <groupName>标点问题</groupName>
      <ability>L2_Punc_CN</ability>
      <abilityName/>
      <candidateList/>
      <explain/>
      <paraID>412FA3F9</paraID>
      <start>0</start>
      <end>1</end>
      <status>unmodified</status>
      <modifiedWord/>
      <trackRevisions>false</trackRevisions>
    </reviewItem>
    <reviewItem>
      <errorID>66db5c3e-b5c8-413b-a924-0400f11cf78e</errorID>
      <errorWord>（</errorWord>
      <group>L1_Punc</group>
      <groupName>标点问题</groupName>
      <ability>L2_Punc_CN</ability>
      <abilityName/>
      <candidateList/>
      <explain>同一形式括号套用。</explain>
      <paraID>359EE23B</paraID>
      <start>126</start>
      <end>127</end>
      <status>unmodified</status>
      <modifiedWord/>
      <trackRevisions>false</trackRevisions>
    </reviewItem>
    <reviewItem>
      <errorID>40a23200-7437-4850-a1b1-3f45f38bbb49</errorID>
      <errorWord>）</errorWord>
      <group>L1_Punc</group>
      <groupName>标点问题</groupName>
      <ability>L2_Punc_CN</ability>
      <abilityName/>
      <candidateList/>
      <explain>同一形式括号套用。</explain>
      <paraID>359EE23B</paraID>
      <start>131</start>
      <end>132</end>
      <status>unmodified</status>
      <modifiedWord/>
      <trackRevisions>false</trackRevisions>
    </reviewItem>
    <reviewItem>
      <errorID>978b7444-bcbd-47b9-a581-d1c27e145328</errorID>
      <errorWord>（</errorWord>
      <group>L1_Punc</group>
      <groupName>标点问题</groupName>
      <ability>L2_Punc_CN</ability>
      <abilityName/>
      <candidateList/>
      <explain>同一形式括号套用。</explain>
      <paraID>359EE23B</paraID>
      <start>178</start>
      <end>179</end>
      <status>unmodified</status>
      <modifiedWord/>
      <trackRevisions>false</trackRevisions>
    </reviewItem>
    <reviewItem>
      <errorID>f7ad21c5-6c8e-4921-82f8-fa1d0a4cc81e</errorID>
      <errorWord>）</errorWord>
      <group>L1_Punc</group>
      <groupName>标点问题</groupName>
      <ability>L2_Punc_CN</ability>
      <abilityName/>
      <candidateList/>
      <explain>同一形式括号套用。</explain>
      <paraID>359EE23B</paraID>
      <start>183</start>
      <end>184</end>
      <status>unmodified</status>
      <modifiedWord/>
      <trackRevisions>false</trackRevisions>
    </reviewItem>
    <reviewItem>
      <errorID>63531dbf-fb0b-4a31-9fea-075e389e8c2d</errorID>
      <errorWord>应要</errorWord>
      <group>L1_Word</group>
      <groupName>字词问题</groupName>
      <ability>L2_Typo</ability>
      <abilityName>字词错误</abilityName>
      <candidateList>
        <item>应</item>
      </candidateList>
      <explain/>
      <paraID> 5BB2641</paraID>
      <start>19</start>
      <end>21</end>
      <status>unmodified</status>
      <modifiedWord/>
      <trackRevisions>false</trackRevisions>
    </reviewItem>
    <reviewItem>
      <errorID>aec239d1-3fd9-4595-851a-d4d24ef0e451</errorID>
      <errorWord>)</errorWord>
      <group>L1_Format</group>
      <groupName>格式问题</groupName>
      <ability>L2_HalfPunc_CN</ability>
      <abilityName/>
      <candidateList>
        <item>）</item>
      </candidateList>
      <explain>文本全半角错误。</explain>
      <paraID>638A1219</paraID>
      <start>100</start>
      <end>101</end>
      <status>unmodified</status>
      <modifiedWord/>
      <trackRevisions>false</trackRevisions>
    </reviewItem>
    <reviewItem>
      <errorID>edd6d769-7b75-4453-aeef-a89958a190a6</errorID>
      <errorWord>)</errorWord>
      <group>L1_Format</group>
      <groupName>格式问题</groupName>
      <ability>L2_HalfPunc_CN</ability>
      <abilityName/>
      <candidateList>
        <item>）</item>
      </candidateList>
      <explain>文本全半角错误。</explain>
      <paraID>638A1219</paraID>
      <start>132</start>
      <end>133</end>
      <status>unmodified</status>
      <modifiedWord/>
      <trackRevisions>false</trackRevisions>
    </reviewItem>
    <reviewItem>
      <errorID>8d5d9438-9a89-4a0b-bea9-b43920cb07af</errorID>
      <errorWord>，</errorWord>
      <group>L1_Format</group>
      <groupName>格式问题</groupName>
      <ability>L2_HalfPunc_CN</ability>
      <abilityName/>
      <candidateList>
        <item>, </item>
      </candidateList>
      <explain>文本全半角错误。</explain>
      <paraID>75C34E39</paraID>
      <start>1</start>
      <end>2</end>
      <status>unmodified</status>
      <modifiedWord/>
      <trackRevisions>false</trackRevisions>
    </reviewItem>
    <reviewItem>
      <errorID>33b2eede-2199-478b-bf36-86f18dec0694</errorID>
      <errorWord>建</errorWord>
      <group>L1_Word</group>
      <groupName>字词问题</groupName>
      <ability>L2_Typo</ability>
      <abilityName>字词错误</abilityName>
      <candidateList>
        <item>建设</item>
      </candidateList>
      <explain>〈动〉创立新事业；增加新设施：经济～｜～家园｜～现代化强国◇组织～｜思想～。</explain>
      <paraID>69410235</paraID>
      <start>3</start>
      <end>4</end>
      <status>unmodified</status>
      <modifiedWord/>
      <trackRevisions>false</trackRevisions>
    </reviewItem>
    <reviewItem>
      <errorID>aaf081e6-987d-4536-85b5-c8b1ce28a74a</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540518D2</paraID>
      <start>125</start>
      <end>126</end>
      <status>unmodified</status>
      <modifiedWord/>
      <trackRevisions>false</trackRevisions>
    </reviewItem>
    <reviewItem>
      <errorID>f4241b67-9c54-4881-82fb-17b01035d216</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540518D2</paraID>
      <start>164</start>
      <end>165</end>
      <status>unmodified</status>
      <modifiedWord/>
      <trackRevisions>false</trackRevisions>
    </reviewItem>
    <reviewItem>
      <errorID>f013d599-5c0c-4f17-b036-5bf6ad346a88</errorID>
      <errorWord>，...，</errorWord>
      <group>L1_Punc</group>
      <groupName>标点问题</groupName>
      <ability>L2_Punc_CN</ability>
      <abilityName/>
      <candidateList>
        <item>，</item>
      </candidateList>
      <explain/>
      <paraID>34D62457</paraID>
      <start>8</start>
      <end>13</end>
      <status>unmodified</status>
      <modifiedWord/>
      <trackRevisions>false</trackRevisions>
    </reviewItem>
    <reviewItem>
      <errorID>d3efc298-8232-4303-bee3-02e2a986b38b</errorID>
      <errorWord>，...，</errorWord>
      <group>L1_Punc</group>
      <groupName>标点问题</groupName>
      <ability>L2_Punc_CN</ability>
      <abilityName/>
      <candidateList>
        <item>，</item>
      </candidateList>
      <explain/>
      <paraID>43B3B8AC</paraID>
      <start>5</start>
      <end>10</end>
      <status>unmodified</status>
      <modifiedWord/>
      <trackRevisions>false</trackRevisions>
    </reviewItem>
    <reviewItem>
      <errorID>ab87bbf9-181a-4978-948b-160c8217621b</errorID>
      <errorWord>IV</errorWord>
      <group>L1_Knowledge</group>
      <groupName>知识性问题</groupName>
      <ability>L2_Knowledge</ability>
      <abilityName>其他知识</abilityName>
      <candidateList>
        <item>Ⅳ</item>
      </candidateList>
      <explain/>
      <paraID>75C74F5F</paraID>
      <start>0</start>
      <end>2</end>
      <status>unmodified</status>
      <modifiedWord/>
      <trackRevisions>false</trackRevisions>
    </reviewItem>
    <reviewItem>
      <errorID>a1d4e218-3650-4096-8185-b1196d59e40c</errorID>
      <errorWord>III</errorWord>
      <group>L1_Word</group>
      <groupName>字词问题</groupName>
      <ability>L2_Typo</ability>
      <abilityName>字词错误</abilityName>
      <candidateList>
        <item>Ⅲ</item>
      </candidateList>
      <explain/>
      <paraID>39D62756</paraID>
      <start>0</start>
      <end>3</end>
      <status>unmodified</status>
      <modifiedWord/>
      <trackRevisions>false</trackRevisions>
    </reviewItem>
    <reviewItem>
      <errorID>3104a0db-6418-4119-9ed6-31047015aad9</errorID>
      <errorWord>应急物资准备</errorWord>
      <group>L1_Political</group>
      <groupName>政治性问题</groupName>
      <ability>L2_Keyword</ability>
      <abilityName>固定表述</abilityName>
      <candidateList>
        <item>应急物资储备</item>
      </candidateList>
      <explain>词汇“应急物资储备”在特定场景下为固定表述形式，请确认此处的“应急物资准备”是否存在不当。</explain>
      <paraID>5FE01498</paraID>
      <start>3</start>
      <end>9</end>
      <status>unmodified</status>
      <modifiedWord/>
      <trackRevisions>false</trackRevisions>
    </reviewItem>
    <reviewItem>
      <errorID>95531547-5ba9-46ee-854b-3b7b95db0674</errorID>
      <errorWord>学</errorWord>
      <group>L1_Word</group>
      <groupName>字词问题</groupName>
      <ability>L2_Typo</ability>
      <abilityName>字词错误</abilityName>
      <candidateList>
        <item>学品</item>
      </candidateList>
      <explain/>
      <paraID>65899127</paraID>
      <start>95</start>
      <end>96</end>
      <status>unmodified</status>
      <modifiedWord/>
      <trackRevisions>false</trackRevisions>
    </reviewItem>
    <reviewItem>
      <errorID>61bbbf96-d007-4a03-941b-bd95365dbbaa</errorID>
      <errorWord>液体液体</errorWord>
      <group>L1_Word</group>
      <groupName>字词问题</groupName>
      <ability>L2_Typo</ability>
      <abilityName>字词错误</abilityName>
      <candidateList>
        <item>液体</item>
      </candidateList>
      <explain/>
      <paraID> 254D896</paraID>
      <start>182</start>
      <end>186</end>
      <status>unmodified</status>
      <modifiedWord/>
      <trackRevisions>false</trackRevisions>
    </reviewItem>
    <reviewItem>
      <errorID>69466b49-853e-4526-ba5f-52c3a1519ab7</errorID>
      <errorWord>减震措施</errorWord>
      <group>L1_Knowledge</group>
      <groupName>知识性问题</groupName>
      <ability>L2_Term</ability>
      <abilityName>专业术语</abilityName>
      <candidateList>
        <item>减振措施</item>
      </candidateList>
      <explain/>
      <paraID>3FB0064F</paraID>
      <start>33</start>
      <end>37</end>
      <status>unmodified</status>
      <modifiedWord/>
      <trackRevisions>false</trackRevisions>
    </reviewItem>
    <reviewItem>
      <errorID>57512dc2-d6b9-4bf8-910f-2b06b44291db</errorID>
      <errorWord>（</errorWord>
      <group>L1_Punc</group>
      <groupName>标点问题</groupName>
      <ability>L2_Punc_CN</ability>
      <abilityName/>
      <candidateList/>
      <explain>此处标点可能未正确匹配，请检查句子中是否存在标点冗余、缺失或使用错误的情况。</explain>
      <paraID>630BD496</paraID>
      <start>36</start>
      <end>37</end>
      <status>unmodified</status>
      <modifiedWord/>
      <trackRevisions>false</trackRevisions>
    </reviewItem>
    <reviewItem>
      <errorID>5a84ce65-97a2-4a0c-9a87-63a427178d75</errorID>
      <errorWord>减震措施</errorWord>
      <group>L1_Knowledge</group>
      <groupName>知识性问题</groupName>
      <ability>L2_Term</ability>
      <abilityName>专业术语</abilityName>
      <candidateList>
        <item>减振措施</item>
      </candidateList>
      <explain/>
      <paraID>7BF70FF1</paraID>
      <start>33</start>
      <end>37</end>
      <status>unmodified</status>
      <modifiedWord/>
      <trackRevisions>false</trackRevisions>
    </reviewItem>
    <reviewItem>
      <errorID>2611583d-8513-42c7-95c9-e81d8a2f3079</errorID>
      <errorWord>（</errorWord>
      <group>L1_Punc</group>
      <groupName>标点问题</groupName>
      <ability>L2_Punc_CN</ability>
      <abilityName/>
      <candidateList/>
      <explain>此处标点可能未正确匹配，请检查句子中是否存在标点冗余、缺失或使用错误的情况。</explain>
      <paraID>1B01D7FB</paraID>
      <start>75</start>
      <end>76</end>
      <status>unmodified</status>
      <modifiedWord/>
      <trackRevisions>false</trackRevisions>
    </reviewItem>
    <reviewItem>
      <errorID>8763ab2e-49ed-44d2-a2fd-e66b7354dcac</errorID>
      <errorWord>（</errorWord>
      <group>L1_Punc</group>
      <groupName>标点问题</groupName>
      <ability>L2_Punc_CN</ability>
      <abilityName/>
      <candidateList/>
      <explain>此处标点可能未正确匹配，请检查句子中是否存在标点冗余、缺失或使用错误的情况。</explain>
      <paraID>1B01D7FB</paraID>
      <start>76</start>
      <end>77</end>
      <status>unmodified</status>
      <modifiedWord/>
      <trackRevisions>false</trackRevisions>
    </reviewItem>
    <reviewItem>
      <errorID>d810cf0e-2ff3-4e8e-a6c6-f10590360095</errorID>
      <errorWord>(</errorWord>
      <group>L1_Format</group>
      <groupName>格式问题</groupName>
      <ability>L2_HalfPunc_CN</ability>
      <abilityName/>
      <candidateList>
        <item>（</item>
      </candidateList>
      <explain>文本全半角错误。</explain>
      <paraID>2E321761</paraID>
      <start>3</start>
      <end>4</end>
      <status>unmodified</status>
      <modifiedWord/>
      <trackRevisions>false</trackRevisions>
    </reviewItem>
    <reviewItem>
      <errorID>60250703-7ca3-4df6-b902-d7dfd885da4d</errorID>
      <errorWord>)</errorWord>
      <group>L1_Format</group>
      <groupName>格式问题</groupName>
      <ability>L2_HalfPunc_CN</ability>
      <abilityName/>
      <candidateList>
        <item>）</item>
      </candidateList>
      <explain>文本全半角错误。</explain>
      <paraID>2E321761</paraID>
      <start>7</start>
      <end>8</end>
      <status>unmodified</status>
      <modifiedWord/>
      <trackRevisions>false</trackRevisions>
    </reviewItem>
    <reviewItem>
      <errorID>92e6b8e9-c7ec-4c96-a41e-1dbaa1478b22</errorID>
      <errorWord>环境保护法</errorWord>
      <group>L1_Knowledge</group>
      <groupName>知识性问题</groupName>
      <ability>L2_Knowledge</ability>
      <abilityName>其他知识</abilityName>
      <candidateList>
        <item>中华人民共和国环境保护法</item>
      </candidateList>
      <explain>当前法律法规名称使用简称，请注意是否应当使用全称。</explain>
      <paraID>2006253F</paraID>
      <start>7</start>
      <end>12</end>
      <status>unmodified</status>
      <modifiedWord/>
      <trackRevisions>false</trackRevisions>
    </reviewItem>
    <reviewItem>
      <errorID>cafbddb0-62b5-492e-9767-f7706c882076</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2006253F</paraID>
      <start>12</start>
      <end>15</end>
      <status>unmodified</status>
      <modifiedWord/>
      <trackRevisions>false</trackRevisions>
    </reviewItem>
    <reviewItem>
      <errorID>94db3b20-4871-47ce-a1c6-aa6bf4866bce</errorID>
      <errorWord>[2015]162号</errorWord>
      <group>L1_Knowledge</group>
      <groupName>知识性问题</groupName>
      <ability>L2_Knowledge</ability>
      <abilityName>其他知识</abilityName>
      <candidateList>
        <item>〔2015〕162号</item>
      </candidateList>
      <explain>发文字号格式错误。</explain>
      <paraID>2006253F</paraID>
      <start>37</start>
      <end>47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113d02-5cd4-4ed4-95ac-a5db58cb68e6}">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91</Pages>
  <Words>16356</Words>
  <Characters>17741</Characters>
  <Lines>1</Lines>
  <Paragraphs>1</Paragraphs>
  <TotalTime>5</TotalTime>
  <ScaleCrop>false</ScaleCrop>
  <LinksUpToDate>false</LinksUpToDate>
  <CharactersWithSpaces>17911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Q</cp:lastModifiedBy>
  <cp:lastPrinted>2026-08-19T07:57:00Z</cp:lastPrinted>
  <dcterms:modified xsi:type="dcterms:W3CDTF">2026-08-24T09:33:21Z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E30F14B0B9C14C83B43EDDF04E840191_13</vt:lpwstr>
  </property>
  <property fmtid="{D5CDD505-2E9C-101B-9397-08002B2CF9AE}" pid="4" name="KSOTemplateDocerSaveRecord">
    <vt:lpwstr>eyJoZGlkIjoiYThmZmM1OWU4ZmY1NWVlNjcwNDUxZjI1MGE4YWQ3ZGUiLCJ1c2VySWQiOiIyNDg2ODkzMTMifQ==</vt:lpwstr>
  </property>
</Properties>
</file>