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957D7">
      <w:pPr>
        <w:spacing w:line="600" w:lineRule="exact"/>
        <w:jc w:val="center"/>
        <w:rPr>
          <w:rFonts w:hint="eastAsia" w:ascii="方正小标宋简体" w:hAnsi="宋体" w:eastAsia="方正小标宋简体" w:cs="宋体"/>
          <w:bCs/>
          <w:color w:val="333333"/>
          <w:kern w:val="0"/>
          <w:sz w:val="44"/>
          <w:szCs w:val="44"/>
        </w:rPr>
      </w:pPr>
      <w:bookmarkStart w:id="0" w:name="OLE_LINK5"/>
      <w:bookmarkStart w:id="1" w:name="OLE_LINK4"/>
    </w:p>
    <w:p w14:paraId="100FC0B5">
      <w:pPr>
        <w:spacing w:line="600" w:lineRule="exact"/>
        <w:jc w:val="center"/>
        <w:rPr>
          <w:rFonts w:hint="eastAsia" w:ascii="方正小标宋简体" w:hAnsi="宋体" w:eastAsia="方正小标宋简体" w:cs="宋体"/>
          <w:bCs/>
          <w:color w:val="333333"/>
          <w:kern w:val="0"/>
          <w:sz w:val="44"/>
          <w:szCs w:val="44"/>
        </w:rPr>
      </w:pPr>
    </w:p>
    <w:p w14:paraId="129C732C">
      <w:pPr>
        <w:spacing w:line="600" w:lineRule="exact"/>
        <w:jc w:val="center"/>
        <w:rPr>
          <w:rFonts w:hint="eastAsia" w:ascii="方正小标宋简体" w:hAnsi="宋体" w:eastAsia="方正小标宋简体" w:cs="宋体"/>
          <w:bCs/>
          <w:color w:val="333333"/>
          <w:kern w:val="0"/>
          <w:sz w:val="44"/>
          <w:szCs w:val="44"/>
        </w:rPr>
      </w:pPr>
    </w:p>
    <w:p w14:paraId="787EE747">
      <w:pPr>
        <w:spacing w:line="600" w:lineRule="exact"/>
        <w:jc w:val="center"/>
        <w:rPr>
          <w:rFonts w:hint="eastAsia" w:ascii="方正小标宋简体" w:hAnsi="宋体" w:eastAsia="方正小标宋简体" w:cs="宋体"/>
          <w:bCs/>
          <w:color w:val="333333"/>
          <w:kern w:val="0"/>
          <w:sz w:val="44"/>
          <w:szCs w:val="44"/>
        </w:rPr>
      </w:pPr>
    </w:p>
    <w:p w14:paraId="7D8E4A8A">
      <w:pPr>
        <w:spacing w:line="600" w:lineRule="exact"/>
        <w:jc w:val="center"/>
        <w:rPr>
          <w:rFonts w:hint="eastAsia" w:ascii="方正小标宋简体" w:hAnsi="宋体" w:eastAsia="方正小标宋简体" w:cs="宋体"/>
          <w:bCs/>
          <w:color w:val="333333"/>
          <w:kern w:val="0"/>
          <w:sz w:val="44"/>
          <w:szCs w:val="44"/>
        </w:rPr>
      </w:pPr>
    </w:p>
    <w:p w14:paraId="303194CC">
      <w:pPr>
        <w:keepNext w:val="0"/>
        <w:keepLines w:val="0"/>
        <w:pageBreakBefore w:val="0"/>
        <w:widowControl w:val="0"/>
        <w:kinsoku/>
        <w:wordWrap/>
        <w:overflowPunct/>
        <w:topLinePunct w:val="0"/>
        <w:autoSpaceDE/>
        <w:autoSpaceDN/>
        <w:bidi w:val="0"/>
        <w:adjustRightInd/>
        <w:snapToGrid/>
        <w:spacing w:before="157" w:beforeLines="50" w:line="600" w:lineRule="exact"/>
        <w:jc w:val="both"/>
        <w:textAlignment w:val="auto"/>
        <w:rPr>
          <w:rFonts w:hint="eastAsia" w:ascii="方正小标宋简体" w:hAnsi="宋体" w:eastAsia="仿宋_GB2312" w:cs="宋体"/>
          <w:bCs/>
          <w:color w:val="333333"/>
          <w:kern w:val="0"/>
          <w:sz w:val="44"/>
          <w:szCs w:val="44"/>
          <w:lang w:val="en-US" w:eastAsia="zh-CN"/>
        </w:rPr>
      </w:pPr>
      <w:r>
        <w:rPr>
          <w:rFonts w:hint="eastAsia" w:ascii="方正小标宋简体" w:hAnsi="宋体" w:eastAsia="方正小标宋简体" w:cs="宋体"/>
          <w:bCs/>
          <w:color w:val="333333"/>
          <w:kern w:val="0"/>
          <w:sz w:val="44"/>
          <w:szCs w:val="44"/>
          <w:lang w:val="en-US" w:eastAsia="zh-CN"/>
        </w:rPr>
        <w:t xml:space="preserve">              </w:t>
      </w:r>
      <w:r>
        <w:rPr>
          <w:rFonts w:hint="eastAsia" w:ascii="仿宋_GB2312" w:hAnsi="仿宋_GB2312" w:eastAsia="仿宋_GB2312" w:cs="仿宋_GB2312"/>
          <w:spacing w:val="6"/>
          <w:kern w:val="0"/>
          <w:sz w:val="32"/>
          <w:szCs w:val="32"/>
          <w:lang w:val="en-US" w:eastAsia="zh-CN"/>
        </w:rPr>
        <w:t xml:space="preserve"> 侯农〔2</w:t>
      </w:r>
      <w:r>
        <w:rPr>
          <w:rFonts w:hint="eastAsia" w:ascii="仿宋_GB2312" w:hAnsi="仿宋_GB2312" w:eastAsia="仿宋_GB2312" w:cs="仿宋_GB2312"/>
          <w:spacing w:val="6"/>
          <w:kern w:val="0"/>
          <w:sz w:val="32"/>
          <w:szCs w:val="32"/>
        </w:rPr>
        <w:t>0</w:t>
      </w:r>
      <w:r>
        <w:rPr>
          <w:rFonts w:hint="eastAsia" w:ascii="仿宋_GB2312" w:hAnsi="仿宋_GB2312" w:eastAsia="仿宋_GB2312" w:cs="仿宋_GB2312"/>
          <w:spacing w:val="6"/>
          <w:kern w:val="0"/>
          <w:sz w:val="32"/>
          <w:szCs w:val="32"/>
          <w:lang w:val="en-US" w:eastAsia="zh-CN"/>
        </w:rPr>
        <w:t>26</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color w:val="auto"/>
          <w:spacing w:val="6"/>
          <w:kern w:val="0"/>
          <w:sz w:val="32"/>
          <w:szCs w:val="32"/>
          <w:lang w:val="en-US" w:eastAsia="zh-CN"/>
        </w:rPr>
        <w:t>126</w:t>
      </w:r>
      <w:bookmarkStart w:id="4" w:name="_GoBack"/>
      <w:bookmarkEnd w:id="4"/>
      <w:r>
        <w:rPr>
          <w:rFonts w:hint="eastAsia" w:ascii="仿宋_GB2312" w:hAnsi="仿宋_GB2312" w:eastAsia="仿宋_GB2312" w:cs="仿宋_GB2312"/>
          <w:spacing w:val="6"/>
          <w:kern w:val="0"/>
          <w:sz w:val="32"/>
          <w:szCs w:val="32"/>
          <w:lang w:val="en-US" w:eastAsia="zh-CN"/>
        </w:rPr>
        <w:t>号</w:t>
      </w:r>
    </w:p>
    <w:p w14:paraId="65AD7402">
      <w:pPr>
        <w:spacing w:line="600" w:lineRule="exact"/>
        <w:jc w:val="both"/>
        <w:rPr>
          <w:rFonts w:hint="eastAsia" w:ascii="方正小标宋简体" w:hAnsi="宋体" w:eastAsia="方正小标宋简体" w:cs="宋体"/>
          <w:bCs/>
          <w:color w:val="333333"/>
          <w:kern w:val="0"/>
          <w:sz w:val="44"/>
          <w:szCs w:val="44"/>
        </w:rPr>
      </w:pPr>
    </w:p>
    <w:p w14:paraId="39BCA2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0"/>
          <w:rFonts w:hint="eastAsia" w:ascii="方正小标宋简体" w:hAnsi="黑体" w:eastAsia="方正小标宋简体" w:cs="Calibri"/>
          <w:color w:val="000000"/>
          <w:sz w:val="44"/>
          <w:szCs w:val="44"/>
          <w:lang w:val="en-US" w:eastAsia="zh-CN"/>
        </w:rPr>
      </w:pPr>
      <w:r>
        <w:rPr>
          <w:rStyle w:val="10"/>
          <w:rFonts w:hint="eastAsia" w:ascii="方正小标宋简体" w:hAnsi="黑体" w:eastAsia="方正小标宋简体" w:cs="Calibri"/>
          <w:color w:val="000000"/>
          <w:sz w:val="44"/>
          <w:szCs w:val="44"/>
          <w:lang w:val="en-US" w:eastAsia="zh-CN"/>
        </w:rPr>
        <w:t>闽侯县农业农村局关于申报2026年福州市</w:t>
      </w:r>
    </w:p>
    <w:p w14:paraId="35B03A6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0"/>
          <w:rFonts w:hint="eastAsia" w:ascii="方正小标宋简体" w:hAnsi="黑体" w:eastAsia="方正小标宋简体" w:cs="Calibri"/>
          <w:color w:val="000000"/>
          <w:sz w:val="44"/>
          <w:szCs w:val="44"/>
          <w:lang w:val="en-US" w:eastAsia="zh-CN"/>
        </w:rPr>
      </w:pPr>
      <w:r>
        <w:rPr>
          <w:rStyle w:val="10"/>
          <w:rFonts w:hint="eastAsia" w:ascii="方正小标宋简体" w:hAnsi="黑体" w:eastAsia="方正小标宋简体" w:cs="Calibri"/>
          <w:color w:val="000000"/>
          <w:sz w:val="44"/>
          <w:szCs w:val="44"/>
          <w:lang w:val="en-US" w:eastAsia="zh-CN"/>
        </w:rPr>
        <w:t>粮油规模种植主体单产提升项目</w:t>
      </w:r>
      <w:bookmarkEnd w:id="0"/>
      <w:r>
        <w:rPr>
          <w:rStyle w:val="10"/>
          <w:rFonts w:hint="eastAsia" w:ascii="方正小标宋简体" w:hAnsi="黑体" w:eastAsia="方正小标宋简体" w:cs="Calibri"/>
          <w:color w:val="000000"/>
          <w:sz w:val="44"/>
          <w:szCs w:val="44"/>
          <w:lang w:val="en-US" w:eastAsia="zh-CN"/>
        </w:rPr>
        <w:t>的通知</w:t>
      </w:r>
    </w:p>
    <w:bookmarkEnd w:id="1"/>
    <w:p w14:paraId="6EFA8BD1">
      <w:pPr>
        <w:pStyle w:val="5"/>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lang w:val="en-US" w:eastAsia="zh-CN"/>
        </w:rPr>
      </w:pPr>
    </w:p>
    <w:p w14:paraId="161B2E6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各</w:t>
      </w:r>
      <w:r>
        <w:rPr>
          <w:rStyle w:val="10"/>
          <w:rFonts w:hint="eastAsia" w:ascii="仿宋_GB2312" w:hAnsi="仿宋_GB2312" w:eastAsia="仿宋_GB2312" w:cs="仿宋_GB2312"/>
          <w:color w:val="000000"/>
          <w:sz w:val="32"/>
          <w:szCs w:val="32"/>
          <w:lang w:eastAsia="zh-CN"/>
        </w:rPr>
        <w:t>乡镇人民政府</w:t>
      </w:r>
      <w:r>
        <w:rPr>
          <w:rStyle w:val="10"/>
          <w:rFonts w:hint="eastAsia" w:ascii="仿宋_GB2312" w:hAnsi="仿宋_GB2312" w:eastAsia="仿宋_GB2312" w:cs="仿宋_GB2312"/>
          <w:color w:val="000000"/>
          <w:sz w:val="32"/>
          <w:szCs w:val="32"/>
        </w:rPr>
        <w:t>、</w:t>
      </w:r>
      <w:r>
        <w:rPr>
          <w:rStyle w:val="10"/>
          <w:rFonts w:hint="eastAsia" w:ascii="仿宋_GB2312" w:hAnsi="仿宋_GB2312" w:eastAsia="仿宋_GB2312" w:cs="仿宋_GB2312"/>
          <w:color w:val="000000"/>
          <w:sz w:val="32"/>
          <w:szCs w:val="32"/>
          <w:lang w:eastAsia="zh-CN"/>
        </w:rPr>
        <w:t>甘蔗街道办事处：</w:t>
      </w:r>
    </w:p>
    <w:p w14:paraId="1FB4E6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000000"/>
          <w:sz w:val="32"/>
          <w:szCs w:val="32"/>
          <w:lang w:val="en-US" w:eastAsia="zh-CN"/>
        </w:rPr>
        <w:t>根据</w:t>
      </w:r>
      <w:r>
        <w:rPr>
          <w:rStyle w:val="10"/>
          <w:rFonts w:hint="eastAsia" w:ascii="仿宋_GB2312" w:hAnsi="仿宋_GB2312" w:eastAsia="仿宋_GB2312" w:cs="仿宋_GB2312"/>
          <w:color w:val="000000"/>
          <w:sz w:val="32"/>
          <w:szCs w:val="32"/>
          <w:lang w:eastAsia="zh-CN"/>
        </w:rPr>
        <w:t>《</w:t>
      </w:r>
      <w:r>
        <w:rPr>
          <w:rStyle w:val="10"/>
          <w:rFonts w:hint="eastAsia" w:ascii="仿宋_GB2312" w:hAnsi="仿宋_GB2312" w:eastAsia="仿宋_GB2312" w:cs="仿宋_GB2312"/>
          <w:color w:val="000000"/>
          <w:sz w:val="32"/>
          <w:szCs w:val="32"/>
          <w:lang w:val="en-US" w:eastAsia="zh-CN"/>
        </w:rPr>
        <w:t>福州市人民政府印发关于调动农民种粮积极性促进粮食生产九条措施的通知》（榕政规</w:t>
      </w:r>
      <w:r>
        <w:rPr>
          <w:rFonts w:hint="eastAsia" w:ascii="仿宋_GB2312" w:hAnsi="仿宋_GB2312" w:eastAsia="仿宋_GB2312" w:cs="仿宋_GB2312"/>
          <w:spacing w:val="6"/>
          <w:kern w:val="0"/>
          <w:sz w:val="32"/>
          <w:szCs w:val="32"/>
        </w:rPr>
        <w:t>〔20</w:t>
      </w:r>
      <w:r>
        <w:rPr>
          <w:rFonts w:hint="eastAsia" w:ascii="仿宋_GB2312" w:hAnsi="仿宋_GB2312" w:eastAsia="仿宋_GB2312" w:cs="仿宋_GB2312"/>
          <w:spacing w:val="6"/>
          <w:kern w:val="0"/>
          <w:sz w:val="32"/>
          <w:szCs w:val="32"/>
          <w:lang w:val="en-US" w:eastAsia="zh-CN"/>
        </w:rPr>
        <w:t>26</w:t>
      </w:r>
      <w:r>
        <w:rPr>
          <w:rFonts w:hint="eastAsia" w:ascii="仿宋_GB2312" w:hAnsi="仿宋_GB2312" w:eastAsia="仿宋_GB2312" w:cs="仿宋_GB2312"/>
          <w:spacing w:val="6"/>
          <w:kern w:val="0"/>
          <w:sz w:val="32"/>
          <w:szCs w:val="32"/>
        </w:rPr>
        <w:t>〕</w:t>
      </w:r>
      <w:r>
        <w:rPr>
          <w:rStyle w:val="10"/>
          <w:rFonts w:hint="eastAsia" w:ascii="仿宋_GB2312" w:hAnsi="仿宋_GB2312" w:eastAsia="仿宋_GB2312" w:cs="仿宋_GB2312"/>
          <w:color w:val="000000"/>
          <w:sz w:val="32"/>
          <w:szCs w:val="32"/>
          <w:lang w:val="en-US" w:eastAsia="zh-CN"/>
        </w:rPr>
        <w:t>3号）、</w:t>
      </w:r>
      <w:r>
        <w:rPr>
          <w:rStyle w:val="10"/>
          <w:rFonts w:hint="eastAsia" w:ascii="仿宋_GB2312" w:hAnsi="仿宋_GB2312" w:eastAsia="仿宋_GB2312" w:cs="仿宋_GB2312"/>
          <w:color w:val="000000"/>
          <w:sz w:val="32"/>
          <w:szCs w:val="32"/>
          <w:lang w:eastAsia="zh-CN"/>
        </w:rPr>
        <w:t>《</w:t>
      </w:r>
      <w:r>
        <w:rPr>
          <w:rStyle w:val="10"/>
          <w:rFonts w:hint="eastAsia" w:ascii="仿宋_GB2312" w:hAnsi="仿宋_GB2312" w:eastAsia="仿宋_GB2312" w:cs="仿宋_GB2312"/>
          <w:color w:val="000000"/>
          <w:sz w:val="32"/>
          <w:szCs w:val="32"/>
          <w:lang w:val="en-US" w:eastAsia="zh-CN"/>
        </w:rPr>
        <w:t>福州市财政局 福州市农业农村局关于下达2026年福州市粮油规模种植主体单产提升项目补助资金的通知》（榕财农（指）</w:t>
      </w:r>
      <w:r>
        <w:rPr>
          <w:rFonts w:hint="eastAsia" w:ascii="仿宋_GB2312" w:hAnsi="仿宋_GB2312" w:eastAsia="仿宋_GB2312" w:cs="仿宋_GB2312"/>
          <w:spacing w:val="6"/>
          <w:kern w:val="0"/>
          <w:sz w:val="32"/>
          <w:szCs w:val="32"/>
        </w:rPr>
        <w:t>〔20</w:t>
      </w:r>
      <w:r>
        <w:rPr>
          <w:rFonts w:hint="eastAsia" w:ascii="仿宋_GB2312" w:hAnsi="仿宋_GB2312" w:eastAsia="仿宋_GB2312" w:cs="仿宋_GB2312"/>
          <w:spacing w:val="6"/>
          <w:kern w:val="0"/>
          <w:sz w:val="32"/>
          <w:szCs w:val="32"/>
          <w:lang w:val="en-US" w:eastAsia="zh-CN"/>
        </w:rPr>
        <w:t>26</w:t>
      </w:r>
      <w:r>
        <w:rPr>
          <w:rFonts w:hint="eastAsia" w:ascii="仿宋_GB2312" w:hAnsi="仿宋_GB2312" w:eastAsia="仿宋_GB2312" w:cs="仿宋_GB2312"/>
          <w:spacing w:val="6"/>
          <w:kern w:val="0"/>
          <w:sz w:val="32"/>
          <w:szCs w:val="32"/>
        </w:rPr>
        <w:t>〕</w:t>
      </w:r>
      <w:r>
        <w:rPr>
          <w:rStyle w:val="10"/>
          <w:rFonts w:hint="eastAsia" w:ascii="仿宋_GB2312" w:hAnsi="仿宋_GB2312" w:eastAsia="仿宋_GB2312" w:cs="仿宋_GB2312"/>
          <w:color w:val="000000"/>
          <w:sz w:val="32"/>
          <w:szCs w:val="32"/>
          <w:lang w:val="en-US" w:eastAsia="zh-CN"/>
        </w:rPr>
        <w:t>37号）精神，请你们对照要求，组织符合条件的农业经营主体进行申报，并于6月25日前将《项目申报表》报送我局。所申报的农业经营主体必须实施条件成熟，示范带动性强，示范推广能够当年实施，设施设备能够当年购置、当年完成、当年发挥作用。</w:t>
      </w:r>
    </w:p>
    <w:p w14:paraId="76EC75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rPr>
        <w:t>一、目标任务</w:t>
      </w:r>
    </w:p>
    <w:p w14:paraId="58D7C27C">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Style w:val="10"/>
          <w:rFonts w:hint="eastAsia" w:ascii="仿宋_GB2312" w:hAnsi="仿宋_GB2312" w:eastAsia="仿宋_GB2312" w:cs="仿宋_GB2312"/>
          <w:color w:val="auto"/>
          <w:sz w:val="32"/>
          <w:szCs w:val="32"/>
          <w:lang w:val="en-US" w:eastAsia="zh-CN"/>
        </w:rPr>
      </w:pPr>
      <w:r>
        <w:rPr>
          <w:rStyle w:val="10"/>
          <w:rFonts w:hint="eastAsia" w:ascii="仿宋_GB2312" w:hAnsi="仿宋_GB2312" w:eastAsia="仿宋_GB2312" w:cs="仿宋_GB2312"/>
          <w:color w:val="000000"/>
          <w:sz w:val="32"/>
          <w:szCs w:val="32"/>
        </w:rPr>
        <w:t>202</w:t>
      </w:r>
      <w:r>
        <w:rPr>
          <w:rStyle w:val="10"/>
          <w:rFonts w:hint="eastAsia" w:ascii="仿宋_GB2312" w:hAnsi="仿宋_GB2312" w:eastAsia="仿宋_GB2312" w:cs="仿宋_GB2312"/>
          <w:color w:val="000000"/>
          <w:sz w:val="32"/>
          <w:szCs w:val="32"/>
          <w:lang w:val="en-US" w:eastAsia="zh-CN"/>
        </w:rPr>
        <w:t>6</w:t>
      </w:r>
      <w:r>
        <w:rPr>
          <w:rStyle w:val="10"/>
          <w:rFonts w:hint="eastAsia" w:ascii="仿宋_GB2312" w:hAnsi="仿宋_GB2312" w:eastAsia="仿宋_GB2312" w:cs="仿宋_GB2312"/>
          <w:color w:val="000000"/>
          <w:sz w:val="32"/>
          <w:szCs w:val="32"/>
        </w:rPr>
        <w:t>年在全</w:t>
      </w:r>
      <w:r>
        <w:rPr>
          <w:rStyle w:val="10"/>
          <w:rFonts w:hint="eastAsia" w:ascii="仿宋_GB2312" w:hAnsi="仿宋_GB2312" w:eastAsia="仿宋_GB2312" w:cs="仿宋_GB2312"/>
          <w:color w:val="000000"/>
          <w:sz w:val="32"/>
          <w:szCs w:val="32"/>
          <w:lang w:eastAsia="zh-CN"/>
        </w:rPr>
        <w:t>县</w:t>
      </w:r>
      <w:r>
        <w:rPr>
          <w:rStyle w:val="10"/>
          <w:rFonts w:hint="eastAsia" w:ascii="仿宋_GB2312" w:hAnsi="仿宋_GB2312" w:eastAsia="仿宋_GB2312" w:cs="仿宋_GB2312"/>
          <w:color w:val="000000"/>
          <w:sz w:val="32"/>
          <w:szCs w:val="32"/>
        </w:rPr>
        <w:t>扶持一批种植大户、家庭农场、农民合作社</w:t>
      </w:r>
      <w:r>
        <w:rPr>
          <w:rStyle w:val="10"/>
          <w:rFonts w:hint="eastAsia" w:ascii="仿宋_GB2312" w:hAnsi="仿宋_GB2312" w:eastAsia="仿宋_GB2312" w:cs="仿宋_GB2312"/>
          <w:color w:val="000000"/>
          <w:sz w:val="32"/>
          <w:szCs w:val="32"/>
          <w:lang w:eastAsia="zh-CN"/>
        </w:rPr>
        <w:t>、农业企业</w:t>
      </w:r>
      <w:r>
        <w:rPr>
          <w:rStyle w:val="10"/>
          <w:rFonts w:hint="eastAsia" w:ascii="仿宋_GB2312" w:hAnsi="仿宋_GB2312" w:eastAsia="仿宋_GB2312" w:cs="仿宋_GB2312"/>
          <w:color w:val="000000"/>
          <w:sz w:val="32"/>
          <w:szCs w:val="32"/>
        </w:rPr>
        <w:t>等粮油规模种植主体开展单产提升行动。通过项目实施，粮油规模种植主体水</w:t>
      </w:r>
      <w:r>
        <w:rPr>
          <w:rStyle w:val="10"/>
          <w:rFonts w:hint="eastAsia" w:ascii="仿宋_GB2312" w:hAnsi="仿宋_GB2312" w:eastAsia="仿宋_GB2312" w:cs="仿宋_GB2312"/>
          <w:color w:val="auto"/>
          <w:sz w:val="32"/>
          <w:szCs w:val="32"/>
        </w:rPr>
        <w:t>稻</w:t>
      </w:r>
      <w:r>
        <w:rPr>
          <w:rStyle w:val="10"/>
          <w:rFonts w:hint="eastAsia" w:ascii="仿宋_GB2312" w:hAnsi="仿宋_GB2312" w:eastAsia="仿宋_GB2312" w:cs="仿宋_GB2312"/>
          <w:color w:val="auto"/>
          <w:sz w:val="32"/>
          <w:szCs w:val="32"/>
          <w:lang w:val="en-US" w:eastAsia="zh-CN"/>
        </w:rPr>
        <w:t>、甘薯、玉米、大豆、花生、油菜等</w:t>
      </w:r>
      <w:r>
        <w:rPr>
          <w:rStyle w:val="10"/>
          <w:rFonts w:hint="eastAsia" w:ascii="仿宋_GB2312" w:hAnsi="仿宋_GB2312" w:eastAsia="仿宋_GB2312" w:cs="仿宋_GB2312"/>
          <w:color w:val="auto"/>
          <w:sz w:val="32"/>
          <w:szCs w:val="32"/>
        </w:rPr>
        <w:t>单产</w:t>
      </w:r>
      <w:r>
        <w:rPr>
          <w:rStyle w:val="10"/>
          <w:rFonts w:hint="eastAsia" w:ascii="仿宋_GB2312" w:hAnsi="仿宋_GB2312" w:eastAsia="仿宋_GB2312" w:cs="仿宋_GB2312"/>
          <w:color w:val="auto"/>
          <w:sz w:val="32"/>
          <w:szCs w:val="32"/>
          <w:lang w:eastAsia="zh-CN"/>
        </w:rPr>
        <w:t>上一年福州市</w:t>
      </w:r>
      <w:r>
        <w:rPr>
          <w:rStyle w:val="10"/>
          <w:rFonts w:hint="eastAsia" w:ascii="仿宋_GB2312" w:hAnsi="仿宋_GB2312" w:eastAsia="仿宋_GB2312" w:cs="仿宋_GB2312"/>
          <w:color w:val="auto"/>
          <w:sz w:val="32"/>
          <w:szCs w:val="32"/>
        </w:rPr>
        <w:t>平均亩产提高</w:t>
      </w:r>
      <w:r>
        <w:rPr>
          <w:rStyle w:val="10"/>
          <w:rFonts w:hint="eastAsia" w:ascii="仿宋_GB2312" w:hAnsi="仿宋_GB2312" w:eastAsia="仿宋_GB2312" w:cs="仿宋_GB2312"/>
          <w:color w:val="auto"/>
          <w:sz w:val="32"/>
          <w:szCs w:val="32"/>
          <w:lang w:val="en-US" w:eastAsia="zh-CN"/>
        </w:rPr>
        <w:t>5</w:t>
      </w:r>
      <w:r>
        <w:rPr>
          <w:rStyle w:val="10"/>
          <w:rFonts w:hint="eastAsia" w:ascii="仿宋_GB2312" w:hAnsi="仿宋_GB2312" w:eastAsia="仿宋_GB2312" w:cs="仿宋_GB2312"/>
          <w:color w:val="auto"/>
          <w:sz w:val="32"/>
          <w:szCs w:val="32"/>
        </w:rPr>
        <w:t>%以上</w:t>
      </w:r>
      <w:bookmarkStart w:id="2" w:name="OLE_LINK8"/>
      <w:r>
        <w:rPr>
          <w:rStyle w:val="10"/>
          <w:rFonts w:hint="eastAsia" w:ascii="仿宋_GB2312" w:hAnsi="仿宋_GB2312" w:eastAsia="仿宋_GB2312" w:cs="仿宋_GB2312"/>
          <w:color w:val="auto"/>
          <w:sz w:val="32"/>
          <w:szCs w:val="32"/>
          <w:lang w:val="en-US" w:eastAsia="zh-CN"/>
        </w:rPr>
        <w:t>。</w:t>
      </w:r>
    </w:p>
    <w:bookmarkEnd w:id="2"/>
    <w:p w14:paraId="7C99CA42">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Style w:val="10"/>
          <w:rFonts w:hint="eastAsia" w:ascii="方正黑体_GBK" w:hAnsi="方正黑体_GBK" w:eastAsia="方正黑体_GBK" w:cs="方正黑体_GBK"/>
          <w:b w:val="0"/>
          <w:bCs w:val="0"/>
          <w:color w:val="auto"/>
          <w:sz w:val="32"/>
          <w:szCs w:val="32"/>
        </w:rPr>
      </w:pPr>
      <w:r>
        <w:rPr>
          <w:rStyle w:val="10"/>
          <w:rFonts w:hint="eastAsia" w:ascii="方正黑体_GBK" w:hAnsi="方正黑体_GBK" w:eastAsia="方正黑体_GBK" w:cs="方正黑体_GBK"/>
          <w:b w:val="0"/>
          <w:bCs w:val="0"/>
          <w:color w:val="auto"/>
          <w:sz w:val="32"/>
          <w:szCs w:val="32"/>
        </w:rPr>
        <w:t>二、建设内容</w:t>
      </w:r>
    </w:p>
    <w:p w14:paraId="24D6BE4A">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Style w:val="10"/>
          <w:rFonts w:hint="default"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auto"/>
          <w:sz w:val="32"/>
          <w:szCs w:val="32"/>
        </w:rPr>
        <w:t>支持一批</w:t>
      </w:r>
      <w:r>
        <w:rPr>
          <w:rStyle w:val="10"/>
          <w:rFonts w:hint="eastAsia" w:ascii="仿宋_GB2312" w:hAnsi="仿宋_GB2312" w:eastAsia="仿宋_GB2312" w:cs="仿宋_GB2312"/>
          <w:color w:val="auto"/>
          <w:sz w:val="32"/>
          <w:szCs w:val="32"/>
          <w:lang w:eastAsia="zh-CN"/>
        </w:rPr>
        <w:t>种植粮油作物</w:t>
      </w:r>
      <w:r>
        <w:rPr>
          <w:rStyle w:val="10"/>
          <w:rFonts w:hint="eastAsia" w:ascii="仿宋_GB2312" w:hAnsi="仿宋_GB2312" w:eastAsia="仿宋_GB2312" w:cs="仿宋_GB2312"/>
          <w:color w:val="auto"/>
          <w:sz w:val="32"/>
          <w:szCs w:val="32"/>
        </w:rPr>
        <w:t>相对集中连</w:t>
      </w:r>
      <w:r>
        <w:rPr>
          <w:rStyle w:val="10"/>
          <w:rFonts w:hint="eastAsia" w:ascii="仿宋_GB2312" w:hAnsi="仿宋_GB2312" w:eastAsia="仿宋_GB2312" w:cs="仿宋_GB2312"/>
          <w:color w:val="000000"/>
          <w:sz w:val="32"/>
          <w:szCs w:val="32"/>
        </w:rPr>
        <w:t>片面积</w:t>
      </w:r>
      <w:r>
        <w:rPr>
          <w:rStyle w:val="10"/>
          <w:rFonts w:hint="eastAsia" w:ascii="仿宋_GB2312" w:hAnsi="仿宋_GB2312" w:eastAsia="仿宋_GB2312" w:cs="仿宋_GB2312"/>
          <w:color w:val="000000"/>
          <w:sz w:val="32"/>
          <w:szCs w:val="32"/>
          <w:lang w:val="en-US" w:eastAsia="zh-CN"/>
        </w:rPr>
        <w:t>50</w:t>
      </w:r>
      <w:r>
        <w:rPr>
          <w:rStyle w:val="10"/>
          <w:rFonts w:hint="eastAsia" w:ascii="仿宋_GB2312" w:hAnsi="仿宋_GB2312" w:eastAsia="仿宋_GB2312" w:cs="仿宋_GB2312"/>
          <w:color w:val="000000"/>
          <w:sz w:val="32"/>
          <w:szCs w:val="32"/>
        </w:rPr>
        <w:t>亩以上的规模种植主体，集成应用新品种、新农药、新机具、新肥料、新技术等粮油“五新”</w:t>
      </w:r>
      <w:r>
        <w:rPr>
          <w:rStyle w:val="10"/>
          <w:rFonts w:hint="eastAsia" w:ascii="仿宋_GB2312" w:hAnsi="仿宋_GB2312" w:eastAsia="仿宋_GB2312" w:cs="仿宋_GB2312"/>
          <w:color w:val="000000"/>
          <w:sz w:val="32"/>
          <w:szCs w:val="32"/>
          <w:lang w:eastAsia="zh-CN"/>
        </w:rPr>
        <w:t>，通过</w:t>
      </w:r>
      <w:r>
        <w:rPr>
          <w:rStyle w:val="10"/>
          <w:rFonts w:hint="eastAsia" w:ascii="仿宋_GB2312" w:hAnsi="仿宋_GB2312" w:eastAsia="仿宋_GB2312" w:cs="仿宋_GB2312"/>
          <w:color w:val="000000"/>
          <w:sz w:val="32"/>
          <w:szCs w:val="32"/>
        </w:rPr>
        <w:t>改善生产设施，挖掘地种肥药各要素、耕种管收各环节的增产潜力，应用先进适用技术，提高</w:t>
      </w:r>
      <w:r>
        <w:rPr>
          <w:rStyle w:val="10"/>
          <w:rFonts w:hint="eastAsia" w:ascii="仿宋_GB2312" w:hAnsi="仿宋_GB2312" w:eastAsia="仿宋_GB2312" w:cs="仿宋_GB2312"/>
          <w:color w:val="000000"/>
          <w:sz w:val="32"/>
          <w:szCs w:val="32"/>
          <w:lang w:eastAsia="zh-CN"/>
        </w:rPr>
        <w:t>粮油作物</w:t>
      </w:r>
      <w:r>
        <w:rPr>
          <w:rStyle w:val="10"/>
          <w:rFonts w:hint="eastAsia" w:ascii="仿宋_GB2312" w:hAnsi="仿宋_GB2312" w:eastAsia="仿宋_GB2312" w:cs="仿宋_GB2312"/>
          <w:color w:val="000000"/>
          <w:sz w:val="32"/>
          <w:szCs w:val="32"/>
        </w:rPr>
        <w:t>单产。</w:t>
      </w:r>
    </w:p>
    <w:p w14:paraId="4D28E2BF">
      <w:pPr>
        <w:keepNext w:val="0"/>
        <w:keepLines w:val="0"/>
        <w:pageBreakBefore w:val="0"/>
        <w:widowControl w:val="0"/>
        <w:kinsoku/>
        <w:wordWrap/>
        <w:overflowPunct/>
        <w:topLinePunct w:val="0"/>
        <w:autoSpaceDE/>
        <w:autoSpaceDN/>
        <w:bidi w:val="0"/>
        <w:adjustRightInd/>
        <w:snapToGrid w:val="0"/>
        <w:spacing w:line="570" w:lineRule="exact"/>
        <w:ind w:firstLine="616" w:firstLineChars="200"/>
        <w:jc w:val="both"/>
        <w:textAlignment w:val="auto"/>
        <w:rPr>
          <w:rStyle w:val="10"/>
          <w:rFonts w:hint="eastAsia" w:ascii="仿宋_GB2312" w:hAnsi="仿宋_GB2312" w:eastAsia="仿宋_GB2312" w:cs="仿宋_GB2312"/>
          <w:color w:val="000000"/>
          <w:spacing w:val="-6"/>
          <w:sz w:val="32"/>
          <w:szCs w:val="32"/>
          <w:lang w:val="en-US" w:eastAsia="zh-CN"/>
        </w:rPr>
      </w:pPr>
      <w:r>
        <w:rPr>
          <w:rStyle w:val="10"/>
          <w:rFonts w:hint="eastAsia" w:ascii="仿宋_GB2312" w:hAnsi="仿宋_GB2312" w:eastAsia="仿宋_GB2312" w:cs="仿宋_GB2312"/>
          <w:color w:val="000000"/>
          <w:spacing w:val="-6"/>
          <w:sz w:val="32"/>
          <w:szCs w:val="32"/>
        </w:rPr>
        <w:t>水稻</w:t>
      </w:r>
      <w:r>
        <w:rPr>
          <w:rStyle w:val="10"/>
          <w:rFonts w:hint="eastAsia" w:ascii="仿宋_GB2312" w:hAnsi="仿宋_GB2312" w:eastAsia="仿宋_GB2312" w:cs="仿宋_GB2312"/>
          <w:color w:val="000000"/>
          <w:spacing w:val="-6"/>
          <w:sz w:val="32"/>
          <w:szCs w:val="32"/>
          <w:lang w:eastAsia="zh-CN"/>
        </w:rPr>
        <w:t>种植重点推广</w:t>
      </w:r>
      <w:r>
        <w:rPr>
          <w:rStyle w:val="10"/>
          <w:rFonts w:hint="eastAsia" w:ascii="仿宋_GB2312" w:hAnsi="仿宋_GB2312" w:eastAsia="仿宋_GB2312" w:cs="仿宋_GB2312"/>
          <w:color w:val="000000"/>
          <w:spacing w:val="-6"/>
          <w:sz w:val="32"/>
          <w:szCs w:val="32"/>
        </w:rPr>
        <w:t>精量播种、精准条播、</w:t>
      </w:r>
      <w:r>
        <w:rPr>
          <w:rStyle w:val="10"/>
          <w:rFonts w:hint="eastAsia" w:ascii="仿宋_GB2312" w:hAnsi="仿宋_GB2312" w:eastAsia="仿宋_GB2312" w:cs="仿宋_GB2312"/>
          <w:color w:val="000000"/>
          <w:spacing w:val="-6"/>
          <w:sz w:val="32"/>
          <w:szCs w:val="32"/>
          <w:lang w:val="en-US" w:eastAsia="zh-CN"/>
        </w:rPr>
        <w:t>叠盘暗出苗、工厂化机插秧、全程机械化、“</w:t>
      </w:r>
      <w:r>
        <w:rPr>
          <w:rStyle w:val="10"/>
          <w:rFonts w:hint="eastAsia" w:ascii="仿宋_GB2312" w:hAnsi="仿宋_GB2312" w:eastAsia="仿宋_GB2312" w:cs="仿宋_GB2312"/>
          <w:color w:val="000000"/>
          <w:spacing w:val="-6"/>
          <w:sz w:val="32"/>
          <w:szCs w:val="32"/>
        </w:rPr>
        <w:t>一喷多促</w:t>
      </w:r>
      <w:r>
        <w:rPr>
          <w:rStyle w:val="10"/>
          <w:rFonts w:hint="eastAsia" w:ascii="仿宋_GB2312" w:hAnsi="仿宋_GB2312" w:eastAsia="仿宋_GB2312" w:cs="仿宋_GB2312"/>
          <w:color w:val="000000"/>
          <w:spacing w:val="-6"/>
          <w:sz w:val="32"/>
          <w:szCs w:val="32"/>
          <w:lang w:val="en-US" w:eastAsia="zh-CN"/>
        </w:rPr>
        <w:t>”、抛秧</w:t>
      </w:r>
      <w:r>
        <w:rPr>
          <w:rStyle w:val="10"/>
          <w:rFonts w:hint="eastAsia" w:ascii="仿宋_GB2312" w:hAnsi="仿宋_GB2312" w:eastAsia="仿宋_GB2312" w:cs="仿宋_GB2312"/>
          <w:color w:val="000000"/>
          <w:spacing w:val="-6"/>
          <w:sz w:val="32"/>
          <w:szCs w:val="32"/>
        </w:rPr>
        <w:t>技术</w:t>
      </w:r>
      <w:r>
        <w:rPr>
          <w:rStyle w:val="10"/>
          <w:rFonts w:hint="eastAsia" w:ascii="仿宋_GB2312" w:hAnsi="仿宋_GB2312" w:eastAsia="仿宋_GB2312" w:cs="仿宋_GB2312"/>
          <w:color w:val="000000"/>
          <w:spacing w:val="-6"/>
          <w:sz w:val="32"/>
          <w:szCs w:val="32"/>
          <w:lang w:eastAsia="zh-CN"/>
        </w:rPr>
        <w:t>；大豆种植推广合理轮作、深松深翻、大垄密植、增施有机肥、病虫害绿色防控、机耕机播机收等技术;玉米种植选用高产、优质、抗病、抗倒品种，推广科学施肥、水肥一体化等配套高产栽培技术;薯类种植选用优质脱毒种薯(苗)，推广水旱轮作、增施有机肥、轻简化栽培、稻草覆盖等技术;油菜种植推广短生育期、“双低”品种，合理密植、机械直播、播种流水线育苗、机械化移栽、油菜机烘、分段机收等技术;花生种植推广单粒精播、起垄栽培、地膜覆盖、水肥一体化、机械收获、绿色防控等技术。</w:t>
      </w:r>
    </w:p>
    <w:p w14:paraId="5B7A76AA">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lang w:eastAsia="zh-CN"/>
        </w:rPr>
        <w:t>三、</w:t>
      </w:r>
      <w:r>
        <w:rPr>
          <w:rStyle w:val="10"/>
          <w:rFonts w:hint="eastAsia" w:ascii="方正黑体_GBK" w:hAnsi="方正黑体_GBK" w:eastAsia="方正黑体_GBK" w:cs="方正黑体_GBK"/>
          <w:b w:val="0"/>
          <w:bCs w:val="0"/>
          <w:color w:val="000000"/>
          <w:sz w:val="32"/>
          <w:szCs w:val="32"/>
        </w:rPr>
        <w:t>补助标准</w:t>
      </w:r>
    </w:p>
    <w:p w14:paraId="2B455FCD">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000000"/>
          <w:sz w:val="32"/>
          <w:szCs w:val="32"/>
          <w:lang w:eastAsia="zh-CN"/>
        </w:rPr>
        <w:t>根据市级下达资金总量和主体申报情况，进一步确</w:t>
      </w:r>
      <w:r>
        <w:rPr>
          <w:rStyle w:val="10"/>
          <w:rFonts w:hint="eastAsia" w:ascii="仿宋_GB2312" w:hAnsi="仿宋_GB2312" w:eastAsia="仿宋_GB2312" w:cs="仿宋_GB2312"/>
          <w:color w:val="000000"/>
          <w:sz w:val="32"/>
          <w:szCs w:val="32"/>
          <w:lang w:val="en-US" w:eastAsia="zh-CN"/>
        </w:rPr>
        <w:t>定项目承担主体和</w:t>
      </w:r>
      <w:r>
        <w:rPr>
          <w:rStyle w:val="10"/>
          <w:rFonts w:hint="eastAsia" w:ascii="仿宋_GB2312" w:hAnsi="仿宋_GB2312" w:eastAsia="仿宋_GB2312" w:cs="仿宋_GB2312"/>
          <w:color w:val="000000"/>
          <w:sz w:val="32"/>
          <w:szCs w:val="32"/>
          <w:lang w:eastAsia="zh-CN"/>
        </w:rPr>
        <w:t>补助金额。补助对象为种植粮油作物面积</w:t>
      </w:r>
      <w:r>
        <w:rPr>
          <w:rStyle w:val="10"/>
          <w:rFonts w:hint="eastAsia" w:ascii="仿宋_GB2312" w:hAnsi="仿宋_GB2312" w:eastAsia="仿宋_GB2312" w:cs="仿宋_GB2312"/>
          <w:color w:val="000000"/>
          <w:sz w:val="32"/>
          <w:szCs w:val="32"/>
          <w:lang w:val="en-US" w:eastAsia="zh-CN"/>
        </w:rPr>
        <w:t>50亩以上的粮油规模种植主体,补助标准为600元/亩，单个主体市级财政补助金额不超过30万元。已承担省级2026年粮食产能区增产模式攻关与推广、绿色高产高效、粮油规模种植主体单产提升及市级粮油高优示范等项目的主体不得重复申报本项目。</w:t>
      </w:r>
    </w:p>
    <w:p w14:paraId="1B6BDD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b/>
          <w:bCs/>
          <w:color w:val="000000"/>
          <w:sz w:val="32"/>
          <w:szCs w:val="32"/>
        </w:rPr>
      </w:pPr>
      <w:r>
        <w:rPr>
          <w:rStyle w:val="10"/>
          <w:rFonts w:hint="eastAsia" w:ascii="方正黑体_GBK" w:hAnsi="方正黑体_GBK" w:eastAsia="方正黑体_GBK" w:cs="方正黑体_GBK"/>
          <w:b w:val="0"/>
          <w:bCs w:val="0"/>
          <w:color w:val="000000"/>
          <w:sz w:val="32"/>
          <w:szCs w:val="32"/>
        </w:rPr>
        <w:t>四、资金使用</w:t>
      </w:r>
    </w:p>
    <w:p w14:paraId="1D4C5D7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rPr>
      </w:pPr>
      <w:r>
        <w:rPr>
          <w:rStyle w:val="10"/>
          <w:rFonts w:hint="eastAsia" w:ascii="仿宋_GB2312" w:hAnsi="仿宋_GB2312" w:eastAsia="仿宋_GB2312" w:cs="仿宋_GB2312"/>
          <w:color w:val="000000"/>
          <w:sz w:val="32"/>
          <w:szCs w:val="32"/>
        </w:rPr>
        <w:t>补助资金必须用于购置跟单产提升相关的化肥、农药、种子等物资及相关设施设备，主要用于购置精量播种、精准条播等育秧流水线和暗化出苗室、旋耕机、碎土机、叉车、高性能插秧机、飞播机械、育秧(苗)大棚等有助于提高育秧效率、提升单产水平的设施设备，育秧基质、高氮高钾复合肥、商品有机肥、生物农药、“一喷多促”药剂等物化投入补助，以及社会化服务补助、观摩培训、测产验收等方面的支出。购置设施设备的财政补助金额为设施设备投资总额的80%，资金使用不得与国家农机购置补贴以及其它财政补助项目重复。</w:t>
      </w:r>
    </w:p>
    <w:p w14:paraId="0A4EB4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p>
    <w:p w14:paraId="01F274A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000000"/>
          <w:sz w:val="32"/>
          <w:szCs w:val="32"/>
          <w:lang w:val="en-US" w:eastAsia="zh-CN"/>
        </w:rPr>
        <w:t>附件：</w:t>
      </w:r>
      <w:bookmarkStart w:id="3" w:name="OLE_LINK1"/>
      <w:r>
        <w:rPr>
          <w:rStyle w:val="10"/>
          <w:rFonts w:hint="eastAsia" w:ascii="仿宋_GB2312" w:hAnsi="仿宋_GB2312" w:eastAsia="仿宋_GB2312" w:cs="仿宋_GB2312"/>
          <w:color w:val="000000"/>
          <w:sz w:val="32"/>
          <w:szCs w:val="32"/>
          <w:lang w:val="en-US" w:eastAsia="zh-CN"/>
        </w:rPr>
        <w:t>2026年市级粮油规模种植主体单产提升项目申报表</w:t>
      </w:r>
      <w:bookmarkEnd w:id="3"/>
    </w:p>
    <w:p w14:paraId="5666F4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p>
    <w:p w14:paraId="40CAC0E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p>
    <w:p w14:paraId="23D8A6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p>
    <w:p w14:paraId="4D474B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Style w:val="10"/>
          <w:rFonts w:hint="eastAsia" w:ascii="仿宋_GB2312" w:hAnsi="仿宋_GB2312" w:eastAsia="仿宋_GB2312" w:cs="仿宋_GB2312"/>
          <w:color w:val="000000"/>
          <w:sz w:val="32"/>
          <w:szCs w:val="32"/>
          <w:lang w:val="en-US" w:eastAsia="zh-CN"/>
        </w:rPr>
      </w:pPr>
    </w:p>
    <w:p w14:paraId="284D430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10"/>
          <w:rFonts w:hint="eastAsia"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000000"/>
          <w:sz w:val="32"/>
          <w:szCs w:val="32"/>
          <w:lang w:val="en-US" w:eastAsia="zh-CN"/>
        </w:rPr>
        <w:t xml:space="preserve">                      闽侯县农业农村局</w:t>
      </w:r>
    </w:p>
    <w:p w14:paraId="4AEC8E4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10"/>
          <w:rFonts w:hint="eastAsia" w:ascii="仿宋_GB2312" w:hAnsi="仿宋_GB2312" w:eastAsia="仿宋_GB2312" w:cs="仿宋_GB2312"/>
          <w:color w:val="000000"/>
          <w:sz w:val="32"/>
          <w:szCs w:val="32"/>
          <w:lang w:val="en-US" w:eastAsia="zh-CN"/>
        </w:rPr>
      </w:pPr>
      <w:r>
        <w:rPr>
          <w:rStyle w:val="10"/>
          <w:rFonts w:hint="eastAsia" w:ascii="仿宋_GB2312" w:hAnsi="仿宋_GB2312" w:eastAsia="仿宋_GB2312" w:cs="仿宋_GB2312"/>
          <w:color w:val="000000"/>
          <w:sz w:val="32"/>
          <w:szCs w:val="32"/>
          <w:lang w:val="en-US" w:eastAsia="zh-CN"/>
        </w:rPr>
        <w:t xml:space="preserve">                      2026年6月</w:t>
      </w:r>
      <w:r>
        <w:rPr>
          <w:rStyle w:val="10"/>
          <w:rFonts w:hint="eastAsia" w:ascii="仿宋_GB2312" w:hAnsi="仿宋_GB2312" w:eastAsia="仿宋_GB2312" w:cs="仿宋_GB2312"/>
          <w:color w:val="auto"/>
          <w:sz w:val="32"/>
          <w:szCs w:val="32"/>
          <w:lang w:val="en-US" w:eastAsia="zh-CN"/>
        </w:rPr>
        <w:t>22</w:t>
      </w:r>
      <w:r>
        <w:rPr>
          <w:rStyle w:val="10"/>
          <w:rFonts w:hint="eastAsia" w:ascii="仿宋_GB2312" w:hAnsi="仿宋_GB2312" w:eastAsia="仿宋_GB2312" w:cs="仿宋_GB2312"/>
          <w:color w:val="000000"/>
          <w:sz w:val="32"/>
          <w:szCs w:val="32"/>
          <w:lang w:val="en-US" w:eastAsia="zh-CN"/>
        </w:rPr>
        <w:t>日</w:t>
      </w:r>
    </w:p>
    <w:p w14:paraId="6E947DB2">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Style w:val="10"/>
          <w:rFonts w:hint="eastAsia" w:ascii="仿宋_GB2312" w:hAnsi="仿宋_GB2312" w:eastAsia="仿宋_GB2312" w:cs="仿宋_GB2312"/>
          <w:color w:val="000000"/>
          <w:sz w:val="32"/>
          <w:szCs w:val="32"/>
          <w:lang w:val="en-US" w:eastAsia="zh-CN"/>
        </w:rPr>
      </w:pPr>
    </w:p>
    <w:p w14:paraId="2188D039">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Style w:val="10"/>
          <w:rFonts w:hint="eastAsia" w:ascii="仿宋_GB2312" w:hAnsi="仿宋_GB2312" w:eastAsia="仿宋_GB2312" w:cs="仿宋_GB2312"/>
          <w:color w:val="000000"/>
          <w:sz w:val="32"/>
          <w:szCs w:val="32"/>
          <w:lang w:val="en-US" w:eastAsia="zh-CN"/>
        </w:rPr>
        <w:sectPr>
          <w:footerReference r:id="rId3" w:type="default"/>
          <w:pgSz w:w="11906" w:h="16838"/>
          <w:pgMar w:top="1928" w:right="1644" w:bottom="1928" w:left="1644" w:header="851" w:footer="1417" w:gutter="0"/>
          <w:pgNumType w:fmt="numberInDash"/>
          <w:cols w:space="0" w:num="1"/>
          <w:rtlGutter w:val="0"/>
          <w:docGrid w:type="lines" w:linePitch="312" w:charSpace="0"/>
        </w:sectPr>
      </w:pPr>
    </w:p>
    <w:p w14:paraId="2AD825AF">
      <w:pPr>
        <w:spacing w:beforeLines="0" w:line="580" w:lineRule="exact"/>
        <w:ind w:firstLine="0" w:firstLineChars="0"/>
        <w:rPr>
          <w:rFonts w:hint="eastAsia" w:ascii="黑体" w:hAnsi="黑体" w:eastAsia="黑体" w:cs="黑体"/>
          <w:color w:val="000000"/>
          <w:sz w:val="28"/>
          <w:szCs w:val="28"/>
          <w:u w:val="none"/>
          <w:lang w:val="en" w:eastAsia="zh-CN"/>
        </w:rPr>
      </w:pPr>
      <w:r>
        <w:rPr>
          <w:rFonts w:hint="eastAsia" w:ascii="黑体" w:hAnsi="黑体" w:eastAsia="黑体" w:cs="黑体"/>
          <w:color w:val="000000"/>
          <w:sz w:val="28"/>
          <w:szCs w:val="28"/>
          <w:u w:val="none"/>
          <w:lang w:val="en" w:eastAsia="zh-CN"/>
        </w:rPr>
        <w:t>附件</w:t>
      </w:r>
    </w:p>
    <w:p w14:paraId="414593F9">
      <w:pPr>
        <w:keepNext w:val="0"/>
        <w:keepLines w:val="0"/>
        <w:pageBreakBefore w:val="0"/>
        <w:widowControl w:val="0"/>
        <w:kinsoku/>
        <w:wordWrap/>
        <w:overflowPunct/>
        <w:topLinePunct w:val="0"/>
        <w:autoSpaceDE/>
        <w:autoSpaceDN/>
        <w:bidi w:val="0"/>
        <w:adjustRightInd/>
        <w:snapToGrid/>
        <w:spacing w:beforeLines="0" w:after="313" w:afterLines="100" w:line="580" w:lineRule="exact"/>
        <w:ind w:firstLine="0" w:firstLineChars="0"/>
        <w:jc w:val="center"/>
        <w:textAlignment w:val="auto"/>
        <w:rPr>
          <w:rFonts w:hint="eastAsia" w:ascii="方正小标宋_GBK" w:hAnsi="方正小标宋_GBK" w:eastAsia="方正小标宋_GBK" w:cs="方正小标宋_GBK"/>
          <w:bCs/>
          <w:color w:val="000000"/>
          <w:sz w:val="36"/>
          <w:szCs w:val="36"/>
          <w:u w:val="none"/>
          <w:lang w:val="en-US"/>
        </w:rPr>
      </w:pPr>
      <w:r>
        <w:rPr>
          <w:rFonts w:hint="eastAsia" w:ascii="方正小标宋_GBK" w:hAnsi="方正小标宋_GBK" w:eastAsia="方正小标宋_GBK" w:cs="方正小标宋_GBK"/>
          <w:kern w:val="2"/>
          <w:sz w:val="36"/>
          <w:szCs w:val="36"/>
          <w:lang w:val="en-US" w:eastAsia="zh-CN" w:bidi="ar-SA"/>
        </w:rPr>
        <w:t>2026年市级粮油规模种植主体单产提升项目申报表</w:t>
      </w:r>
    </w:p>
    <w:p w14:paraId="4F8296DE">
      <w:pPr>
        <w:keepNext w:val="0"/>
        <w:keepLines w:val="0"/>
        <w:pageBreakBefore w:val="0"/>
        <w:widowControl w:val="0"/>
        <w:kinsoku/>
        <w:wordWrap/>
        <w:overflowPunct/>
        <w:topLinePunct w:val="0"/>
        <w:autoSpaceDE/>
        <w:autoSpaceDN/>
        <w:bidi w:val="0"/>
        <w:adjustRightInd/>
        <w:snapToGrid/>
        <w:spacing w:before="157" w:beforeLines="50" w:after="63" w:afterLines="20" w:line="590" w:lineRule="exact"/>
        <w:textAlignment w:val="auto"/>
        <w:rPr>
          <w:rFonts w:hint="eastAsia" w:ascii="仿宋_GB2312" w:eastAsia="宋体" w:cs="仿宋_GB2312"/>
          <w:b/>
          <w:bCs w:val="0"/>
          <w:sz w:val="32"/>
          <w:szCs w:val="32"/>
          <w:lang w:val="en" w:eastAsia="zh-CN"/>
        </w:rPr>
      </w:pPr>
      <w:r>
        <w:rPr>
          <w:rFonts w:hint="eastAsia" w:ascii="仿宋_GB2312" w:hAnsi="仿宋_GB2312" w:eastAsia="仿宋_GB2312" w:cs="仿宋_GB2312"/>
          <w:b/>
          <w:bCs w:val="0"/>
          <w:color w:val="000000"/>
          <w:kern w:val="0"/>
          <w:sz w:val="28"/>
          <w:szCs w:val="28"/>
          <w:lang w:val="en-US" w:eastAsia="zh-CN" w:bidi="ar"/>
        </w:rPr>
        <w:t>乡镇（街道）</w:t>
      </w:r>
      <w:r>
        <w:rPr>
          <w:rFonts w:hint="eastAsia" w:ascii="仿宋_GB2312" w:hAnsi="仿宋_GB2312" w:eastAsia="仿宋_GB2312" w:cs="仿宋_GB2312"/>
          <w:b/>
          <w:bCs w:val="0"/>
          <w:color w:val="000000"/>
          <w:kern w:val="0"/>
          <w:sz w:val="28"/>
          <w:szCs w:val="28"/>
          <w:lang w:bidi="ar"/>
        </w:rPr>
        <w:t>：</w:t>
      </w:r>
      <w:r>
        <w:rPr>
          <w:rFonts w:hint="eastAsia" w:ascii="仿宋_GB2312" w:hAnsi="仿宋_GB2312" w:eastAsia="仿宋_GB2312" w:cs="仿宋_GB2312"/>
          <w:b/>
          <w:bCs w:val="0"/>
          <w:color w:val="000000"/>
          <w:kern w:val="0"/>
          <w:sz w:val="28"/>
          <w:szCs w:val="28"/>
          <w:lang w:val="en-US" w:eastAsia="zh-CN" w:bidi="ar"/>
        </w:rPr>
        <w:t xml:space="preserve">                           </w:t>
      </w:r>
      <w:r>
        <w:rPr>
          <w:rFonts w:hint="eastAsia" w:ascii="仿宋_GB2312" w:hAnsi="仿宋_GB2312" w:eastAsia="仿宋_GB2312" w:cs="仿宋_GB2312"/>
          <w:b/>
          <w:bCs w:val="0"/>
          <w:color w:val="000000"/>
          <w:kern w:val="0"/>
          <w:sz w:val="28"/>
          <w:szCs w:val="28"/>
          <w:lang w:bidi="ar"/>
        </w:rPr>
        <w:t>填表人：</w:t>
      </w:r>
      <w:r>
        <w:rPr>
          <w:rFonts w:hint="eastAsia" w:ascii="仿宋_GB2312" w:hAnsi="仿宋_GB2312" w:eastAsia="仿宋_GB2312" w:cs="仿宋_GB2312"/>
          <w:b/>
          <w:bCs w:val="0"/>
          <w:color w:val="000000"/>
          <w:kern w:val="0"/>
          <w:sz w:val="28"/>
          <w:szCs w:val="28"/>
          <w:lang w:val="en-US" w:eastAsia="zh-CN" w:bidi="ar"/>
        </w:rPr>
        <w:t xml:space="preserve">                    填报时间：     年   月   日</w:t>
      </w:r>
    </w:p>
    <w:tbl>
      <w:tblPr>
        <w:tblStyle w:val="8"/>
        <w:tblW w:w="13959" w:type="dxa"/>
        <w:jc w:val="center"/>
        <w:tblLayout w:type="fixed"/>
        <w:tblCellMar>
          <w:top w:w="0" w:type="dxa"/>
          <w:left w:w="108" w:type="dxa"/>
          <w:bottom w:w="0" w:type="dxa"/>
          <w:right w:w="108" w:type="dxa"/>
        </w:tblCellMar>
      </w:tblPr>
      <w:tblGrid>
        <w:gridCol w:w="583"/>
        <w:gridCol w:w="1114"/>
        <w:gridCol w:w="2782"/>
        <w:gridCol w:w="1200"/>
        <w:gridCol w:w="1509"/>
        <w:gridCol w:w="1067"/>
        <w:gridCol w:w="1122"/>
        <w:gridCol w:w="4582"/>
      </w:tblGrid>
      <w:tr w14:paraId="07959F36">
        <w:tblPrEx>
          <w:tblCellMar>
            <w:top w:w="0" w:type="dxa"/>
            <w:left w:w="108" w:type="dxa"/>
            <w:bottom w:w="0" w:type="dxa"/>
            <w:right w:w="108" w:type="dxa"/>
          </w:tblCellMar>
        </w:tblPrEx>
        <w:trPr>
          <w:trHeight w:val="1238"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D925F82">
            <w:pPr>
              <w:widowControl/>
              <w:spacing w:beforeLines="0" w:line="40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kern w:val="0"/>
                <w:sz w:val="28"/>
                <w:szCs w:val="28"/>
                <w:lang w:bidi="ar"/>
              </w:rPr>
              <w:t>序号</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3D1F70F">
            <w:pPr>
              <w:widowControl/>
              <w:spacing w:beforeLines="0" w:line="400" w:lineRule="exact"/>
              <w:jc w:val="center"/>
              <w:textAlignment w:val="center"/>
              <w:rPr>
                <w:rFonts w:hint="eastAsia" w:ascii="仿宋_GB2312" w:hAnsi="仿宋_GB2312" w:eastAsia="仿宋_GB2312" w:cs="仿宋_GB2312"/>
                <w:b/>
                <w:bCs w:val="0"/>
                <w:color w:val="000000"/>
                <w:sz w:val="28"/>
                <w:szCs w:val="28"/>
                <w:lang w:eastAsia="zh-CN"/>
              </w:rPr>
            </w:pPr>
            <w:r>
              <w:rPr>
                <w:rFonts w:hint="eastAsia" w:ascii="仿宋_GB2312" w:hAnsi="仿宋_GB2312" w:eastAsia="仿宋_GB2312" w:cs="仿宋_GB2312"/>
                <w:b/>
                <w:bCs w:val="0"/>
                <w:color w:val="000000"/>
                <w:sz w:val="28"/>
                <w:szCs w:val="28"/>
                <w:lang w:eastAsia="zh-CN"/>
              </w:rPr>
              <w:t>村名</w:t>
            </w: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50327764">
            <w:pPr>
              <w:widowControl/>
              <w:spacing w:beforeLines="0" w:line="40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kern w:val="0"/>
                <w:sz w:val="28"/>
                <w:szCs w:val="28"/>
                <w:lang w:eastAsia="zh-CN" w:bidi="ar"/>
              </w:rPr>
              <w:t>经营</w:t>
            </w:r>
            <w:r>
              <w:rPr>
                <w:rFonts w:hint="eastAsia" w:ascii="仿宋_GB2312" w:hAnsi="仿宋_GB2312" w:eastAsia="仿宋_GB2312" w:cs="仿宋_GB2312"/>
                <w:b/>
                <w:bCs w:val="0"/>
                <w:color w:val="000000"/>
                <w:kern w:val="0"/>
                <w:sz w:val="28"/>
                <w:szCs w:val="28"/>
                <w:lang w:bidi="ar"/>
              </w:rPr>
              <w:t>主体</w:t>
            </w:r>
            <w:r>
              <w:rPr>
                <w:rFonts w:hint="eastAsia" w:ascii="仿宋_GB2312" w:hAnsi="仿宋_GB2312" w:eastAsia="仿宋_GB2312" w:cs="仿宋_GB2312"/>
                <w:b/>
                <w:bCs w:val="0"/>
                <w:color w:val="000000"/>
                <w:kern w:val="0"/>
                <w:sz w:val="28"/>
                <w:szCs w:val="28"/>
                <w:lang w:eastAsia="zh-CN" w:bidi="ar"/>
              </w:rPr>
              <w:t>名称</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EDB220F">
            <w:pPr>
              <w:widowControl/>
              <w:spacing w:beforeLines="0" w:line="40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kern w:val="0"/>
                <w:sz w:val="28"/>
                <w:szCs w:val="28"/>
                <w:lang w:bidi="ar"/>
              </w:rPr>
              <w:t>负责人姓名</w:t>
            </w: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3E54AE6">
            <w:pPr>
              <w:widowControl/>
              <w:spacing w:beforeLines="0" w:line="400" w:lineRule="exact"/>
              <w:jc w:val="center"/>
              <w:textAlignment w:val="center"/>
              <w:rPr>
                <w:rFonts w:hint="eastAsia" w:ascii="仿宋_GB2312" w:hAnsi="仿宋_GB2312" w:eastAsia="仿宋_GB2312" w:cs="仿宋_GB2312"/>
                <w:b/>
                <w:bCs w:val="0"/>
                <w:color w:val="000000"/>
                <w:sz w:val="28"/>
                <w:szCs w:val="28"/>
                <w:lang w:eastAsia="zh-CN"/>
              </w:rPr>
            </w:pPr>
            <w:r>
              <w:rPr>
                <w:rFonts w:hint="eastAsia" w:ascii="仿宋_GB2312" w:hAnsi="仿宋_GB2312" w:eastAsia="仿宋_GB2312" w:cs="仿宋_GB2312"/>
                <w:b/>
                <w:bCs w:val="0"/>
                <w:color w:val="000000"/>
                <w:kern w:val="0"/>
                <w:sz w:val="28"/>
                <w:szCs w:val="28"/>
                <w:lang w:bidi="ar"/>
              </w:rPr>
              <w:t>联系</w:t>
            </w:r>
            <w:r>
              <w:rPr>
                <w:rFonts w:hint="eastAsia" w:ascii="仿宋_GB2312" w:hAnsi="仿宋_GB2312" w:eastAsia="仿宋_GB2312" w:cs="仿宋_GB2312"/>
                <w:b/>
                <w:bCs w:val="0"/>
                <w:color w:val="000000"/>
                <w:kern w:val="0"/>
                <w:sz w:val="28"/>
                <w:szCs w:val="28"/>
                <w:lang w:eastAsia="zh-CN" w:bidi="ar"/>
              </w:rPr>
              <w:t>电话</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9F6B4DF">
            <w:pPr>
              <w:widowControl/>
              <w:spacing w:beforeLines="0" w:line="400" w:lineRule="exact"/>
              <w:jc w:val="center"/>
              <w:textAlignment w:val="center"/>
              <w:rPr>
                <w:rFonts w:hint="eastAsia" w:ascii="仿宋_GB2312" w:hAnsi="仿宋_GB2312" w:eastAsia="仿宋_GB2312" w:cs="仿宋_GB2312"/>
                <w:b/>
                <w:bCs w:val="0"/>
                <w:color w:val="000000"/>
                <w:sz w:val="28"/>
                <w:szCs w:val="28"/>
                <w:lang w:eastAsia="zh-CN"/>
              </w:rPr>
            </w:pPr>
            <w:r>
              <w:rPr>
                <w:rFonts w:hint="eastAsia" w:ascii="仿宋_GB2312" w:hAnsi="仿宋_GB2312" w:eastAsia="仿宋_GB2312" w:cs="仿宋_GB2312"/>
                <w:b/>
                <w:bCs w:val="0"/>
                <w:color w:val="000000"/>
                <w:sz w:val="28"/>
                <w:szCs w:val="28"/>
                <w:lang w:eastAsia="zh-CN"/>
              </w:rPr>
              <w:t>作物</w:t>
            </w:r>
          </w:p>
          <w:p w14:paraId="4D305145">
            <w:pPr>
              <w:widowControl/>
              <w:spacing w:beforeLines="0" w:line="40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lang w:eastAsia="zh-CN"/>
              </w:rPr>
              <w:t>种类</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230A00DE">
            <w:pPr>
              <w:widowControl/>
              <w:spacing w:beforeLines="0" w:line="40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kern w:val="0"/>
                <w:sz w:val="28"/>
                <w:szCs w:val="28"/>
                <w:lang w:eastAsia="zh-CN" w:bidi="ar"/>
              </w:rPr>
              <w:t>示范</w:t>
            </w:r>
            <w:r>
              <w:rPr>
                <w:rFonts w:hint="eastAsia" w:ascii="仿宋_GB2312" w:hAnsi="仿宋_GB2312" w:eastAsia="仿宋_GB2312" w:cs="仿宋_GB2312"/>
                <w:b/>
                <w:bCs w:val="0"/>
                <w:color w:val="000000"/>
                <w:kern w:val="0"/>
                <w:sz w:val="28"/>
                <w:szCs w:val="28"/>
                <w:lang w:bidi="ar"/>
              </w:rPr>
              <w:t>面积</w:t>
            </w:r>
            <w:r>
              <w:rPr>
                <w:rFonts w:hint="eastAsia" w:ascii="仿宋_GB2312" w:hAnsi="仿宋_GB2312" w:eastAsia="仿宋_GB2312" w:cs="仿宋_GB2312"/>
                <w:b/>
                <w:bCs w:val="0"/>
                <w:color w:val="000000"/>
                <w:spacing w:val="-17"/>
                <w:kern w:val="0"/>
                <w:sz w:val="28"/>
                <w:szCs w:val="28"/>
                <w:lang w:bidi="ar"/>
              </w:rPr>
              <w:t>（亩）</w:t>
            </w: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5E23353C">
            <w:pPr>
              <w:keepNext w:val="0"/>
              <w:keepLines w:val="0"/>
              <w:pageBreakBefore w:val="0"/>
              <w:widowControl/>
              <w:kinsoku/>
              <w:wordWrap/>
              <w:overflowPunct/>
              <w:topLinePunct w:val="0"/>
              <w:autoSpaceDE/>
              <w:autoSpaceDN/>
              <w:bidi w:val="0"/>
              <w:adjustRightInd/>
              <w:snapToGrid/>
              <w:spacing w:beforeLines="0" w:line="340" w:lineRule="exact"/>
              <w:jc w:val="center"/>
              <w:textAlignment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kern w:val="0"/>
                <w:sz w:val="28"/>
                <w:szCs w:val="28"/>
                <w:lang w:eastAsia="zh-CN" w:bidi="ar"/>
              </w:rPr>
              <w:t>单产提升主要</w:t>
            </w:r>
            <w:r>
              <w:rPr>
                <w:rFonts w:hint="eastAsia" w:ascii="仿宋_GB2312" w:hAnsi="仿宋_GB2312" w:eastAsia="仿宋_GB2312" w:cs="仿宋_GB2312"/>
                <w:b/>
                <w:bCs w:val="0"/>
                <w:color w:val="000000"/>
                <w:kern w:val="0"/>
                <w:sz w:val="28"/>
                <w:szCs w:val="28"/>
                <w:lang w:bidi="ar"/>
              </w:rPr>
              <w:t>技术</w:t>
            </w:r>
          </w:p>
        </w:tc>
      </w:tr>
      <w:tr w14:paraId="04F1FF66">
        <w:tblPrEx>
          <w:tblCellMar>
            <w:top w:w="0" w:type="dxa"/>
            <w:left w:w="108" w:type="dxa"/>
            <w:bottom w:w="0" w:type="dxa"/>
            <w:right w:w="108" w:type="dxa"/>
          </w:tblCellMar>
        </w:tblPrEx>
        <w:trPr>
          <w:trHeight w:val="99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410393E7">
            <w:pPr>
              <w:spacing w:beforeLines="0" w:line="590" w:lineRule="exact"/>
              <w:jc w:val="center"/>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1</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93E43E5">
            <w:pPr>
              <w:spacing w:beforeLines="0" w:line="590" w:lineRule="exact"/>
              <w:jc w:val="center"/>
              <w:rPr>
                <w:rFonts w:hint="eastAsia" w:ascii="仿宋_GB2312" w:hAnsi="仿宋_GB2312" w:eastAsia="仿宋_GB2312" w:cs="仿宋_GB2312"/>
                <w:b/>
                <w:bCs w:val="0"/>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6B58A2DA">
            <w:pPr>
              <w:spacing w:beforeLines="0" w:line="590" w:lineRule="exact"/>
              <w:jc w:val="center"/>
              <w:rPr>
                <w:rFonts w:hint="eastAsia" w:ascii="仿宋_GB2312" w:hAnsi="仿宋_GB2312" w:eastAsia="仿宋_GB2312" w:cs="仿宋_GB2312"/>
                <w:b/>
                <w:bCs w:val="0"/>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B7697A">
            <w:pPr>
              <w:spacing w:beforeLines="0" w:line="590" w:lineRule="exact"/>
              <w:jc w:val="center"/>
              <w:rPr>
                <w:rFonts w:hint="eastAsia" w:ascii="仿宋_GB2312" w:hAnsi="仿宋_GB2312" w:eastAsia="仿宋_GB2312" w:cs="仿宋_GB2312"/>
                <w:b/>
                <w:bCs w:val="0"/>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19A13C6E">
            <w:pPr>
              <w:spacing w:beforeLines="0" w:line="590" w:lineRule="exact"/>
              <w:jc w:val="center"/>
              <w:rPr>
                <w:rFonts w:hint="eastAsia" w:ascii="仿宋_GB2312" w:hAnsi="仿宋_GB2312" w:eastAsia="仿宋_GB2312" w:cs="仿宋_GB2312"/>
                <w:b/>
                <w:bCs w:val="0"/>
                <w:color w:val="000000"/>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8736228">
            <w:pPr>
              <w:spacing w:beforeLines="0" w:line="590" w:lineRule="exact"/>
              <w:jc w:val="center"/>
              <w:rPr>
                <w:rFonts w:hint="eastAsia" w:ascii="仿宋_GB2312" w:hAnsi="仿宋_GB2312" w:eastAsia="仿宋_GB2312" w:cs="仿宋_GB2312"/>
                <w:b/>
                <w:bCs w:val="0"/>
                <w:color w:val="000000"/>
                <w:sz w:val="28"/>
                <w:szCs w:val="28"/>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3EBAD4CD">
            <w:pPr>
              <w:spacing w:beforeLines="0" w:line="590" w:lineRule="exact"/>
              <w:jc w:val="center"/>
              <w:rPr>
                <w:rFonts w:hint="eastAsia" w:ascii="仿宋_GB2312" w:hAnsi="仿宋_GB2312" w:eastAsia="仿宋_GB2312" w:cs="仿宋_GB2312"/>
                <w:b/>
                <w:bCs w:val="0"/>
                <w:color w:val="000000"/>
                <w:sz w:val="28"/>
                <w:szCs w:val="28"/>
              </w:rPr>
            </w:pPr>
          </w:p>
        </w:tc>
        <w:tc>
          <w:tcPr>
            <w:tcW w:w="45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AD736">
            <w:pPr>
              <w:widowControl/>
              <w:spacing w:beforeLines="0" w:line="400" w:lineRule="exact"/>
              <w:jc w:val="center"/>
              <w:textAlignment w:val="center"/>
              <w:rPr>
                <w:rFonts w:hint="eastAsia" w:ascii="仿宋_GB2312" w:hAnsi="仿宋_GB2312" w:eastAsia="仿宋_GB2312" w:cs="仿宋_GB2312"/>
                <w:b/>
                <w:bCs w:val="0"/>
                <w:color w:val="000000"/>
                <w:kern w:val="2"/>
                <w:sz w:val="28"/>
                <w:szCs w:val="28"/>
                <w:lang w:val="en-US" w:eastAsia="zh-CN" w:bidi="ar-SA"/>
              </w:rPr>
            </w:pPr>
          </w:p>
        </w:tc>
      </w:tr>
      <w:tr w14:paraId="748F4B25">
        <w:tblPrEx>
          <w:tblCellMar>
            <w:top w:w="0" w:type="dxa"/>
            <w:left w:w="108" w:type="dxa"/>
            <w:bottom w:w="0" w:type="dxa"/>
            <w:right w:w="108" w:type="dxa"/>
          </w:tblCellMar>
        </w:tblPrEx>
        <w:trPr>
          <w:trHeight w:val="99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5C905BD1">
            <w:pPr>
              <w:spacing w:beforeLines="0" w:line="590" w:lineRule="exact"/>
              <w:jc w:val="center"/>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2</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DD16FF">
            <w:pPr>
              <w:spacing w:beforeLines="0" w:line="590" w:lineRule="exact"/>
              <w:jc w:val="center"/>
              <w:rPr>
                <w:rFonts w:hint="eastAsia" w:ascii="仿宋_GB2312" w:hAnsi="仿宋_GB2312" w:eastAsia="仿宋_GB2312" w:cs="仿宋_GB2312"/>
                <w:b/>
                <w:bCs w:val="0"/>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6F783B2F">
            <w:pPr>
              <w:spacing w:beforeLines="0" w:line="590" w:lineRule="exact"/>
              <w:jc w:val="center"/>
              <w:rPr>
                <w:rFonts w:hint="eastAsia" w:ascii="仿宋_GB2312" w:hAnsi="仿宋_GB2312" w:eastAsia="仿宋_GB2312" w:cs="仿宋_GB2312"/>
                <w:b/>
                <w:bCs w:val="0"/>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7604903">
            <w:pPr>
              <w:spacing w:beforeLines="0" w:line="590" w:lineRule="exact"/>
              <w:jc w:val="center"/>
              <w:rPr>
                <w:rFonts w:hint="eastAsia" w:ascii="仿宋_GB2312" w:hAnsi="仿宋_GB2312" w:eastAsia="仿宋_GB2312" w:cs="仿宋_GB2312"/>
                <w:b/>
                <w:bCs w:val="0"/>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4548E65D">
            <w:pPr>
              <w:spacing w:beforeLines="0" w:line="590" w:lineRule="exact"/>
              <w:jc w:val="center"/>
              <w:rPr>
                <w:rFonts w:hint="eastAsia" w:ascii="仿宋_GB2312" w:hAnsi="仿宋_GB2312" w:eastAsia="仿宋_GB2312" w:cs="仿宋_GB2312"/>
                <w:b/>
                <w:bCs w:val="0"/>
                <w:color w:val="000000"/>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8E253E9">
            <w:pPr>
              <w:spacing w:beforeLines="0" w:line="590" w:lineRule="exact"/>
              <w:jc w:val="center"/>
              <w:rPr>
                <w:rFonts w:hint="eastAsia" w:ascii="仿宋_GB2312" w:hAnsi="仿宋_GB2312" w:eastAsia="仿宋_GB2312" w:cs="仿宋_GB2312"/>
                <w:b/>
                <w:bCs w:val="0"/>
                <w:color w:val="000000"/>
                <w:sz w:val="28"/>
                <w:szCs w:val="28"/>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5C975491">
            <w:pPr>
              <w:spacing w:beforeLines="0" w:line="590" w:lineRule="exact"/>
              <w:jc w:val="center"/>
              <w:rPr>
                <w:rFonts w:hint="eastAsia" w:ascii="仿宋_GB2312" w:hAnsi="仿宋_GB2312" w:eastAsia="仿宋_GB2312" w:cs="仿宋_GB2312"/>
                <w:b/>
                <w:bCs w:val="0"/>
                <w:color w:val="000000"/>
                <w:sz w:val="28"/>
                <w:szCs w:val="28"/>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233F763B">
            <w:pPr>
              <w:spacing w:beforeLines="0" w:line="590" w:lineRule="exact"/>
              <w:jc w:val="center"/>
              <w:rPr>
                <w:rFonts w:hint="eastAsia" w:ascii="仿宋_GB2312" w:hAnsi="仿宋_GB2312" w:eastAsia="仿宋_GB2312" w:cs="仿宋_GB2312"/>
                <w:b/>
                <w:bCs w:val="0"/>
                <w:color w:val="000000"/>
                <w:sz w:val="28"/>
                <w:szCs w:val="28"/>
              </w:rPr>
            </w:pPr>
          </w:p>
        </w:tc>
      </w:tr>
      <w:tr w14:paraId="626BB1EC">
        <w:tblPrEx>
          <w:tblCellMar>
            <w:top w:w="0" w:type="dxa"/>
            <w:left w:w="108" w:type="dxa"/>
            <w:bottom w:w="0" w:type="dxa"/>
            <w:right w:w="108" w:type="dxa"/>
          </w:tblCellMar>
        </w:tblPrEx>
        <w:trPr>
          <w:trHeight w:val="1011"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14:paraId="78C7576B">
            <w:pPr>
              <w:spacing w:beforeLines="0" w:line="590" w:lineRule="exact"/>
              <w:jc w:val="center"/>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3</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AE21AEF">
            <w:pPr>
              <w:spacing w:beforeLines="0" w:line="590" w:lineRule="exact"/>
              <w:jc w:val="center"/>
              <w:rPr>
                <w:rFonts w:hint="eastAsia" w:ascii="仿宋_GB2312" w:hAnsi="仿宋_GB2312" w:eastAsia="仿宋_GB2312" w:cs="仿宋_GB2312"/>
                <w:b/>
                <w:bCs w:val="0"/>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noWrap w:val="0"/>
            <w:vAlign w:val="center"/>
          </w:tcPr>
          <w:p w14:paraId="3080E524">
            <w:pPr>
              <w:spacing w:beforeLines="0" w:line="590" w:lineRule="exact"/>
              <w:jc w:val="center"/>
              <w:rPr>
                <w:rFonts w:hint="eastAsia" w:ascii="仿宋_GB2312" w:hAnsi="仿宋_GB2312" w:eastAsia="仿宋_GB2312" w:cs="仿宋_GB2312"/>
                <w:b/>
                <w:bCs w:val="0"/>
                <w:color w:val="000000"/>
                <w:sz w:val="28"/>
                <w:szCs w:val="28"/>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5D370C9">
            <w:pPr>
              <w:spacing w:beforeLines="0" w:line="590" w:lineRule="exact"/>
              <w:jc w:val="center"/>
              <w:rPr>
                <w:rFonts w:hint="eastAsia" w:ascii="仿宋_GB2312" w:hAnsi="仿宋_GB2312" w:eastAsia="仿宋_GB2312" w:cs="仿宋_GB2312"/>
                <w:b/>
                <w:bCs w:val="0"/>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noWrap w:val="0"/>
            <w:vAlign w:val="center"/>
          </w:tcPr>
          <w:p w14:paraId="5F3F7429">
            <w:pPr>
              <w:spacing w:beforeLines="0" w:line="590" w:lineRule="exact"/>
              <w:jc w:val="center"/>
              <w:rPr>
                <w:rFonts w:hint="eastAsia" w:ascii="仿宋_GB2312" w:hAnsi="仿宋_GB2312" w:eastAsia="仿宋_GB2312" w:cs="仿宋_GB2312"/>
                <w:b/>
                <w:bCs w:val="0"/>
                <w:color w:val="000000"/>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DB0154C">
            <w:pPr>
              <w:spacing w:beforeLines="0" w:line="590" w:lineRule="exact"/>
              <w:jc w:val="center"/>
              <w:rPr>
                <w:rFonts w:hint="eastAsia" w:ascii="仿宋_GB2312" w:hAnsi="仿宋_GB2312" w:eastAsia="仿宋_GB2312" w:cs="仿宋_GB2312"/>
                <w:b/>
                <w:bCs w:val="0"/>
                <w:color w:val="000000"/>
                <w:sz w:val="28"/>
                <w:szCs w:val="28"/>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432ABD2E">
            <w:pPr>
              <w:spacing w:beforeLines="0" w:line="590" w:lineRule="exact"/>
              <w:jc w:val="center"/>
              <w:rPr>
                <w:rFonts w:hint="eastAsia" w:ascii="仿宋_GB2312" w:hAnsi="仿宋_GB2312" w:eastAsia="仿宋_GB2312" w:cs="仿宋_GB2312"/>
                <w:b/>
                <w:bCs w:val="0"/>
                <w:color w:val="000000"/>
                <w:sz w:val="28"/>
                <w:szCs w:val="28"/>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1A408B7B">
            <w:pPr>
              <w:spacing w:beforeLines="0" w:line="590" w:lineRule="exact"/>
              <w:jc w:val="center"/>
              <w:rPr>
                <w:rFonts w:hint="eastAsia" w:ascii="仿宋_GB2312" w:hAnsi="仿宋_GB2312" w:eastAsia="仿宋_GB2312" w:cs="仿宋_GB2312"/>
                <w:b/>
                <w:bCs w:val="0"/>
                <w:color w:val="000000"/>
                <w:sz w:val="28"/>
                <w:szCs w:val="28"/>
              </w:rPr>
            </w:pPr>
          </w:p>
        </w:tc>
      </w:tr>
      <w:tr w14:paraId="718016AC">
        <w:tblPrEx>
          <w:tblCellMar>
            <w:top w:w="0" w:type="dxa"/>
            <w:left w:w="108" w:type="dxa"/>
            <w:bottom w:w="0" w:type="dxa"/>
            <w:right w:w="108" w:type="dxa"/>
          </w:tblCellMar>
        </w:tblPrEx>
        <w:trPr>
          <w:trHeight w:val="1011" w:hRule="atLeast"/>
          <w:jc w:val="center"/>
        </w:trPr>
        <w:tc>
          <w:tcPr>
            <w:tcW w:w="8255" w:type="dxa"/>
            <w:gridSpan w:val="6"/>
            <w:tcBorders>
              <w:top w:val="single" w:color="000000" w:sz="4" w:space="0"/>
              <w:left w:val="single" w:color="000000" w:sz="4" w:space="0"/>
              <w:bottom w:val="single" w:color="000000" w:sz="4" w:space="0"/>
              <w:right w:val="single" w:color="000000" w:sz="4" w:space="0"/>
            </w:tcBorders>
            <w:noWrap w:val="0"/>
            <w:vAlign w:val="center"/>
          </w:tcPr>
          <w:p w14:paraId="0111ABB0">
            <w:pPr>
              <w:spacing w:beforeLines="0" w:line="590" w:lineRule="exact"/>
              <w:jc w:val="cente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lang w:eastAsia="zh-CN"/>
              </w:rPr>
              <w:t>合</w:t>
            </w:r>
            <w:r>
              <w:rPr>
                <w:rFonts w:hint="eastAsia" w:ascii="仿宋_GB2312" w:hAnsi="仿宋_GB2312" w:eastAsia="仿宋_GB2312" w:cs="仿宋_GB2312"/>
                <w:b/>
                <w:bCs w:val="0"/>
                <w:color w:val="000000"/>
                <w:sz w:val="28"/>
                <w:szCs w:val="28"/>
                <w:lang w:val="en-US" w:eastAsia="zh-CN"/>
              </w:rPr>
              <w:t xml:space="preserve"> </w:t>
            </w:r>
            <w:r>
              <w:rPr>
                <w:rFonts w:hint="eastAsia" w:ascii="仿宋_GB2312" w:hAnsi="仿宋_GB2312" w:eastAsia="仿宋_GB2312" w:cs="仿宋_GB2312"/>
                <w:b/>
                <w:bCs w:val="0"/>
                <w:color w:val="000000"/>
                <w:sz w:val="28"/>
                <w:szCs w:val="28"/>
                <w:lang w:eastAsia="zh-CN"/>
              </w:rPr>
              <w:t>计</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14:paraId="73E786F1">
            <w:pPr>
              <w:spacing w:beforeLines="0" w:line="590" w:lineRule="exact"/>
              <w:jc w:val="center"/>
              <w:rPr>
                <w:rFonts w:hint="eastAsia" w:ascii="仿宋_GB2312" w:hAnsi="仿宋_GB2312" w:eastAsia="仿宋_GB2312" w:cs="仿宋_GB2312"/>
                <w:b/>
                <w:bCs w:val="0"/>
                <w:color w:val="000000"/>
                <w:sz w:val="28"/>
                <w:szCs w:val="28"/>
              </w:rPr>
            </w:pPr>
          </w:p>
        </w:tc>
        <w:tc>
          <w:tcPr>
            <w:tcW w:w="4582" w:type="dxa"/>
            <w:tcBorders>
              <w:top w:val="single" w:color="000000" w:sz="4" w:space="0"/>
              <w:left w:val="single" w:color="000000" w:sz="4" w:space="0"/>
              <w:bottom w:val="single" w:color="000000" w:sz="4" w:space="0"/>
              <w:right w:val="single" w:color="000000" w:sz="4" w:space="0"/>
            </w:tcBorders>
            <w:noWrap w:val="0"/>
            <w:vAlign w:val="center"/>
          </w:tcPr>
          <w:p w14:paraId="74E14D7B">
            <w:pPr>
              <w:spacing w:beforeLines="0" w:line="590" w:lineRule="exact"/>
              <w:jc w:val="center"/>
              <w:rPr>
                <w:rFonts w:hint="eastAsia" w:ascii="仿宋_GB2312" w:hAnsi="仿宋_GB2312" w:eastAsia="仿宋_GB2312" w:cs="仿宋_GB2312"/>
                <w:b/>
                <w:bCs w:val="0"/>
                <w:color w:val="000000"/>
                <w:sz w:val="28"/>
                <w:szCs w:val="28"/>
              </w:rPr>
            </w:pPr>
          </w:p>
        </w:tc>
      </w:tr>
    </w:tbl>
    <w:p w14:paraId="7EC17BAF">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Style w:val="10"/>
          <w:rFonts w:hint="eastAsia" w:ascii="仿宋_GB2312" w:hAnsi="仿宋_GB2312" w:eastAsia="仿宋_GB2312" w:cs="仿宋_GB2312"/>
          <w:color w:val="000000"/>
          <w:sz w:val="32"/>
          <w:szCs w:val="32"/>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
    <w:altName w:val="C059"/>
    <w:panose1 w:val="00000000000000000000"/>
    <w:charset w:val="00"/>
    <w:family w:val="moder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30C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5D0F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05D0F3">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70636"/>
    <w:rsid w:val="027BE149"/>
    <w:rsid w:val="07195449"/>
    <w:rsid w:val="07FE4ADE"/>
    <w:rsid w:val="0D770636"/>
    <w:rsid w:val="0FFB47D7"/>
    <w:rsid w:val="1A3A0D1B"/>
    <w:rsid w:val="1CB98AF2"/>
    <w:rsid w:val="1F8F932A"/>
    <w:rsid w:val="307744C4"/>
    <w:rsid w:val="309EFA60"/>
    <w:rsid w:val="36CFB319"/>
    <w:rsid w:val="37BD89ED"/>
    <w:rsid w:val="38142540"/>
    <w:rsid w:val="38FE8AEC"/>
    <w:rsid w:val="3D8C7778"/>
    <w:rsid w:val="44CB22EE"/>
    <w:rsid w:val="45F97239"/>
    <w:rsid w:val="4EFB9C57"/>
    <w:rsid w:val="4EFFA3DF"/>
    <w:rsid w:val="53FCD099"/>
    <w:rsid w:val="56ED027A"/>
    <w:rsid w:val="575DBE6F"/>
    <w:rsid w:val="5BDF9141"/>
    <w:rsid w:val="5DA75C3D"/>
    <w:rsid w:val="5DBC3548"/>
    <w:rsid w:val="5DE6B054"/>
    <w:rsid w:val="5E94F188"/>
    <w:rsid w:val="5EFB7D00"/>
    <w:rsid w:val="5F2F0E1E"/>
    <w:rsid w:val="5FFE6FA4"/>
    <w:rsid w:val="63FB1116"/>
    <w:rsid w:val="66E7C65E"/>
    <w:rsid w:val="6BFF6A41"/>
    <w:rsid w:val="6EDEDB2E"/>
    <w:rsid w:val="6F891425"/>
    <w:rsid w:val="6FEFCC7F"/>
    <w:rsid w:val="73DFABAB"/>
    <w:rsid w:val="757FED7D"/>
    <w:rsid w:val="76BF7E68"/>
    <w:rsid w:val="76FAACC7"/>
    <w:rsid w:val="76FB1BE8"/>
    <w:rsid w:val="79DE0098"/>
    <w:rsid w:val="7BB713A5"/>
    <w:rsid w:val="7BD93290"/>
    <w:rsid w:val="7BFBDA28"/>
    <w:rsid w:val="7C6F1024"/>
    <w:rsid w:val="7C7E3C72"/>
    <w:rsid w:val="7CBFE71E"/>
    <w:rsid w:val="7D275196"/>
    <w:rsid w:val="7DC99DFB"/>
    <w:rsid w:val="7DE10583"/>
    <w:rsid w:val="7EFF18F0"/>
    <w:rsid w:val="7F0F7E25"/>
    <w:rsid w:val="7F4ED134"/>
    <w:rsid w:val="7F5D0DF7"/>
    <w:rsid w:val="7F6BB430"/>
    <w:rsid w:val="7F7FD08D"/>
    <w:rsid w:val="7F8F6C99"/>
    <w:rsid w:val="7FAFA64D"/>
    <w:rsid w:val="7FB2332F"/>
    <w:rsid w:val="7FCFA287"/>
    <w:rsid w:val="7FD49FCF"/>
    <w:rsid w:val="7FDD8408"/>
    <w:rsid w:val="975D278A"/>
    <w:rsid w:val="9BEFA814"/>
    <w:rsid w:val="9EFFE941"/>
    <w:rsid w:val="A2BED63D"/>
    <w:rsid w:val="ABFFC71D"/>
    <w:rsid w:val="AFFFC4F3"/>
    <w:rsid w:val="B5FF839F"/>
    <w:rsid w:val="B77FFEF5"/>
    <w:rsid w:val="BFFF3F09"/>
    <w:rsid w:val="BFFFE054"/>
    <w:rsid w:val="C61E5736"/>
    <w:rsid w:val="CF246A34"/>
    <w:rsid w:val="CFCBC0A7"/>
    <w:rsid w:val="CFCE0799"/>
    <w:rsid w:val="CFD784AB"/>
    <w:rsid w:val="D73EADAA"/>
    <w:rsid w:val="DBBC9B91"/>
    <w:rsid w:val="DF7F54AF"/>
    <w:rsid w:val="DF9F848E"/>
    <w:rsid w:val="DFA76577"/>
    <w:rsid w:val="DFE795CA"/>
    <w:rsid w:val="DFFF17AF"/>
    <w:rsid w:val="E3B7B334"/>
    <w:rsid w:val="E4EF4EFE"/>
    <w:rsid w:val="E6D55D96"/>
    <w:rsid w:val="ECF315F8"/>
    <w:rsid w:val="EDEE8207"/>
    <w:rsid w:val="EDF7F5E2"/>
    <w:rsid w:val="EEAF7C52"/>
    <w:rsid w:val="EEFE62B2"/>
    <w:rsid w:val="EF6D5E23"/>
    <w:rsid w:val="EFF6A3A0"/>
    <w:rsid w:val="F1FF42E7"/>
    <w:rsid w:val="F65EAC3E"/>
    <w:rsid w:val="F76E826A"/>
    <w:rsid w:val="F7D78930"/>
    <w:rsid w:val="F7FF84D5"/>
    <w:rsid w:val="F9B22C59"/>
    <w:rsid w:val="FA3D3410"/>
    <w:rsid w:val="FA9B307E"/>
    <w:rsid w:val="FAFB44B7"/>
    <w:rsid w:val="FB8D26F7"/>
    <w:rsid w:val="FBEDBB8F"/>
    <w:rsid w:val="FBEFA058"/>
    <w:rsid w:val="FC9EAEA6"/>
    <w:rsid w:val="FDBFC690"/>
    <w:rsid w:val="FDF1CE43"/>
    <w:rsid w:val="FDF216F6"/>
    <w:rsid w:val="FDFE72C5"/>
    <w:rsid w:val="FDFF4F74"/>
    <w:rsid w:val="FE3FF704"/>
    <w:rsid w:val="FE6FB441"/>
    <w:rsid w:val="FE7B45BB"/>
    <w:rsid w:val="FF10091A"/>
    <w:rsid w:val="FF398751"/>
    <w:rsid w:val="FF5F2641"/>
    <w:rsid w:val="FF6E4F1A"/>
    <w:rsid w:val="FF6EFB15"/>
    <w:rsid w:val="FF7E99AC"/>
    <w:rsid w:val="FF97C43D"/>
    <w:rsid w:val="FFCFC91E"/>
    <w:rsid w:val="FFDF1DF5"/>
    <w:rsid w:val="FFF9A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2"/>
    <w:qFormat/>
    <w:uiPriority w:val="0"/>
    <w:pPr>
      <w:widowControl w:val="0"/>
      <w:ind w:firstLine="720"/>
      <w:jc w:val="both"/>
    </w:pPr>
    <w:rPr>
      <w:rFonts w:ascii="Calibri" w:hAnsi="Calibri" w:eastAsia="华文仿宋" w:cs="Times New Roman"/>
      <w:kern w:val="2"/>
      <w:sz w:val="30"/>
      <w:szCs w:val="24"/>
      <w:lang w:val="en-US" w:eastAsia="zh-CN" w:bidi="ar-SA"/>
    </w:rPr>
  </w:style>
  <w:style w:type="paragraph" w:styleId="4">
    <w:name w:val="toc 5"/>
    <w:basedOn w:val="1"/>
    <w:next w:val="1"/>
    <w:qFormat/>
    <w:uiPriority w:val="0"/>
    <w:pPr>
      <w:ind w:left="1680"/>
    </w:pPr>
  </w:style>
  <w:style w:type="paragraph" w:styleId="5">
    <w:name w:val="Balloon Text"/>
    <w:basedOn w:val="1"/>
    <w:next w:val="4"/>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zhenwen141"/>
    <w:basedOn w:val="9"/>
    <w:qFormat/>
    <w:uiPriority w:val="99"/>
    <w:rPr>
      <w:rFonts w:ascii="??" w:hAnsi="??"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26</TotalTime>
  <ScaleCrop>false</ScaleCrop>
  <LinksUpToDate>false</LinksUpToDate>
  <CharactersWithSpaces>0</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2025-07-05T15:22:00Z</dcterms:created>
  <dc:creator>林洪</dc:creator>
  <cp:lastModifiedBy>kylin</cp:lastModifiedBy>
  <cp:lastPrinted>2026-06-22T15:37:26Z</cp:lastPrinted>
  <dcterms:modified xsi:type="dcterms:W3CDTF">2026-06-22T15:37:52Z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9976DADB9876ED80427670681110F830_43</vt:lpwstr>
  </property>
</Properties>
</file>