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0A08E7">
      <w:pPr>
        <w:rPr>
          <w:rFonts w:hint="eastAsia" w:ascii="黑体" w:eastAsia="黑体"/>
          <w:sz w:val="32"/>
          <w:szCs w:val="32"/>
          <w:lang w:eastAsia="zh-CN"/>
        </w:rPr>
      </w:pPr>
      <w:r>
        <w:rPr>
          <w:rFonts w:hint="eastAsia" w:ascii="黑体" w:eastAsia="黑体"/>
          <w:sz w:val="32"/>
          <w:szCs w:val="32"/>
        </w:rPr>
        <w:t>附件</w:t>
      </w:r>
      <w:r>
        <w:rPr>
          <w:rFonts w:hint="eastAsia" w:ascii="黑体" w:eastAsia="黑体"/>
          <w:sz w:val="32"/>
          <w:szCs w:val="32"/>
          <w:lang w:val="en-US" w:eastAsia="zh-CN"/>
        </w:rPr>
        <w:t>2</w:t>
      </w:r>
    </w:p>
    <w:p w14:paraId="7E81165F">
      <w:pPr>
        <w:pStyle w:val="6"/>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240" w:lineRule="auto"/>
        <w:textAlignment w:val="auto"/>
        <w:rPr>
          <w:rFonts w:hint="eastAsia" w:ascii="方正小标宋简体" w:hAnsi="宋体" w:eastAsia="方正小标宋简体"/>
          <w:b/>
          <w:bCs/>
          <w:sz w:val="44"/>
          <w:szCs w:val="44"/>
          <w:highlight w:val="none"/>
          <w:lang w:val="en-US" w:eastAsia="zh-CN"/>
        </w:rPr>
      </w:pPr>
      <w:r>
        <w:rPr>
          <w:rFonts w:hint="eastAsia" w:ascii="华文中宋" w:eastAsia="华文中宋" w:cs="宋体"/>
          <w:b/>
          <w:color w:val="333333"/>
          <w:sz w:val="44"/>
          <w:szCs w:val="44"/>
          <w:shd w:val="clear" w:color="auto" w:fill="FFFFFF"/>
        </w:rPr>
        <w:t xml:space="preserve"> </w:t>
      </w:r>
      <w:r>
        <w:rPr>
          <w:rFonts w:hint="eastAsia" w:ascii="华文中宋" w:eastAsia="华文中宋" w:cs="宋体"/>
          <w:b/>
          <w:color w:val="333333"/>
          <w:sz w:val="44"/>
          <w:szCs w:val="44"/>
          <w:highlight w:val="none"/>
          <w:shd w:val="clear" w:color="auto" w:fill="FFFFFF"/>
        </w:rPr>
        <w:t xml:space="preserve"> </w:t>
      </w:r>
      <w:r>
        <w:rPr>
          <w:rFonts w:hint="eastAsia" w:ascii="方正小标宋简体" w:hAnsi="宋体" w:eastAsia="方正小标宋简体"/>
          <w:b/>
          <w:bCs/>
          <w:sz w:val="44"/>
          <w:szCs w:val="44"/>
          <w:highlight w:val="none"/>
          <w:lang w:val="en-US" w:eastAsia="zh-CN"/>
        </w:rPr>
        <w:t xml:space="preserve">  2026年度福州市闽侯生态环境局“双随机、一公开”抽查工作计划  </w:t>
      </w:r>
    </w:p>
    <w:tbl>
      <w:tblPr>
        <w:tblStyle w:val="7"/>
        <w:tblpPr w:leftFromText="180" w:rightFromText="180" w:vertAnchor="text" w:horzAnchor="page" w:tblpX="1288" w:tblpY="877"/>
        <w:tblOverlap w:val="never"/>
        <w:tblW w:w="1387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691"/>
        <w:gridCol w:w="1528"/>
        <w:gridCol w:w="1580"/>
        <w:gridCol w:w="3581"/>
        <w:gridCol w:w="1896"/>
        <w:gridCol w:w="1980"/>
        <w:gridCol w:w="1272"/>
        <w:gridCol w:w="1342"/>
      </w:tblGrid>
      <w:tr w14:paraId="1A788D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28" w:hRule="atLeast"/>
        </w:trPr>
        <w:tc>
          <w:tcPr>
            <w:tcW w:w="691" w:type="dxa"/>
            <w:noWrap w:val="0"/>
            <w:vAlign w:val="center"/>
          </w:tcPr>
          <w:p w14:paraId="0805CB5F">
            <w:pPr>
              <w:jc w:val="center"/>
              <w:rPr>
                <w:rFonts w:ascii="仿宋_GB2312" w:eastAsia="仿宋_GB2312"/>
                <w:b/>
                <w:bCs/>
                <w:sz w:val="24"/>
                <w:highlight w:val="none"/>
              </w:rPr>
            </w:pPr>
            <w:r>
              <w:rPr>
                <w:rFonts w:hint="eastAsia" w:ascii="仿宋_GB2312" w:eastAsia="仿宋_GB2312"/>
                <w:b/>
                <w:bCs/>
                <w:sz w:val="24"/>
                <w:highlight w:val="none"/>
              </w:rPr>
              <w:t>序号</w:t>
            </w:r>
          </w:p>
        </w:tc>
        <w:tc>
          <w:tcPr>
            <w:tcW w:w="1528" w:type="dxa"/>
            <w:noWrap w:val="0"/>
            <w:vAlign w:val="center"/>
          </w:tcPr>
          <w:p w14:paraId="41348C12">
            <w:pPr>
              <w:jc w:val="center"/>
              <w:rPr>
                <w:rFonts w:ascii="仿宋_GB2312" w:eastAsia="仿宋_GB2312"/>
                <w:b/>
                <w:bCs/>
                <w:sz w:val="24"/>
                <w:highlight w:val="none"/>
              </w:rPr>
            </w:pPr>
            <w:r>
              <w:rPr>
                <w:rFonts w:hint="eastAsia" w:ascii="仿宋_GB2312" w:eastAsia="仿宋_GB2312"/>
                <w:b/>
                <w:bCs/>
                <w:sz w:val="24"/>
                <w:highlight w:val="none"/>
              </w:rPr>
              <w:t>任务名称</w:t>
            </w:r>
          </w:p>
        </w:tc>
        <w:tc>
          <w:tcPr>
            <w:tcW w:w="1580" w:type="dxa"/>
            <w:noWrap w:val="0"/>
            <w:vAlign w:val="center"/>
          </w:tcPr>
          <w:p w14:paraId="2A784AA4">
            <w:pPr>
              <w:jc w:val="center"/>
              <w:rPr>
                <w:rFonts w:ascii="仿宋_GB2312" w:eastAsia="仿宋_GB2312"/>
                <w:b/>
                <w:bCs/>
                <w:sz w:val="24"/>
                <w:highlight w:val="none"/>
              </w:rPr>
            </w:pPr>
            <w:r>
              <w:rPr>
                <w:rFonts w:hint="eastAsia" w:ascii="仿宋_GB2312" w:eastAsia="仿宋_GB2312"/>
                <w:b/>
                <w:bCs/>
                <w:sz w:val="24"/>
                <w:highlight w:val="none"/>
              </w:rPr>
              <w:t>检查对象</w:t>
            </w:r>
          </w:p>
        </w:tc>
        <w:tc>
          <w:tcPr>
            <w:tcW w:w="3581" w:type="dxa"/>
            <w:noWrap w:val="0"/>
            <w:vAlign w:val="center"/>
          </w:tcPr>
          <w:p w14:paraId="6FF4202A">
            <w:pPr>
              <w:jc w:val="center"/>
              <w:rPr>
                <w:rFonts w:hint="default" w:ascii="仿宋_GB2312" w:eastAsia="仿宋_GB2312"/>
                <w:b/>
                <w:bCs/>
                <w:sz w:val="24"/>
                <w:highlight w:val="none"/>
                <w:lang w:val="en-US" w:eastAsia="zh-CN"/>
              </w:rPr>
            </w:pPr>
            <w:r>
              <w:rPr>
                <w:rFonts w:hint="eastAsia" w:ascii="仿宋_GB2312" w:eastAsia="仿宋_GB2312"/>
                <w:b/>
                <w:bCs/>
                <w:sz w:val="24"/>
                <w:highlight w:val="none"/>
                <w:lang w:val="en-US" w:eastAsia="zh-CN"/>
              </w:rPr>
              <w:t>检查内容</w:t>
            </w:r>
          </w:p>
        </w:tc>
        <w:tc>
          <w:tcPr>
            <w:tcW w:w="1896" w:type="dxa"/>
            <w:noWrap w:val="0"/>
            <w:vAlign w:val="center"/>
          </w:tcPr>
          <w:p w14:paraId="3D5D09ED">
            <w:pPr>
              <w:jc w:val="center"/>
              <w:rPr>
                <w:rFonts w:ascii="仿宋_GB2312" w:eastAsia="仿宋_GB2312"/>
                <w:b/>
                <w:bCs/>
                <w:sz w:val="24"/>
                <w:highlight w:val="none"/>
              </w:rPr>
            </w:pPr>
            <w:r>
              <w:rPr>
                <w:rFonts w:hint="eastAsia" w:ascii="仿宋_GB2312" w:eastAsia="仿宋_GB2312"/>
                <w:b/>
                <w:bCs/>
                <w:sz w:val="24"/>
                <w:highlight w:val="none"/>
              </w:rPr>
              <w:t>检查比例</w:t>
            </w:r>
          </w:p>
        </w:tc>
        <w:tc>
          <w:tcPr>
            <w:tcW w:w="1980" w:type="dxa"/>
            <w:noWrap w:val="0"/>
            <w:vAlign w:val="center"/>
          </w:tcPr>
          <w:p w14:paraId="20F7621E">
            <w:pPr>
              <w:jc w:val="center"/>
              <w:rPr>
                <w:rFonts w:ascii="仿宋_GB2312" w:eastAsia="仿宋_GB2312"/>
                <w:b/>
                <w:bCs/>
                <w:sz w:val="24"/>
                <w:highlight w:val="none"/>
              </w:rPr>
            </w:pPr>
            <w:r>
              <w:rPr>
                <w:rFonts w:hint="eastAsia" w:ascii="仿宋_GB2312" w:eastAsia="仿宋_GB2312"/>
                <w:b/>
                <w:bCs/>
                <w:sz w:val="24"/>
                <w:highlight w:val="none"/>
              </w:rPr>
              <w:t>检查频次</w:t>
            </w:r>
          </w:p>
        </w:tc>
        <w:tc>
          <w:tcPr>
            <w:tcW w:w="1272" w:type="dxa"/>
            <w:noWrap w:val="0"/>
            <w:vAlign w:val="center"/>
          </w:tcPr>
          <w:p w14:paraId="5BFB0CDE">
            <w:pPr>
              <w:jc w:val="center"/>
              <w:rPr>
                <w:rFonts w:ascii="仿宋_GB2312" w:eastAsia="仿宋_GB2312"/>
                <w:b/>
                <w:bCs/>
                <w:sz w:val="24"/>
                <w:highlight w:val="none"/>
              </w:rPr>
            </w:pPr>
            <w:r>
              <w:rPr>
                <w:rFonts w:hint="eastAsia" w:ascii="仿宋_GB2312" w:eastAsia="仿宋_GB2312"/>
                <w:b/>
                <w:bCs/>
                <w:sz w:val="24"/>
                <w:highlight w:val="none"/>
              </w:rPr>
              <w:t>检查方式</w:t>
            </w:r>
          </w:p>
        </w:tc>
        <w:tc>
          <w:tcPr>
            <w:tcW w:w="1342" w:type="dxa"/>
            <w:noWrap w:val="0"/>
            <w:vAlign w:val="center"/>
          </w:tcPr>
          <w:p w14:paraId="49F5EB8D">
            <w:pPr>
              <w:jc w:val="center"/>
              <w:rPr>
                <w:rFonts w:ascii="仿宋_GB2312" w:eastAsia="仿宋_GB2312"/>
                <w:b/>
                <w:bCs/>
                <w:sz w:val="24"/>
                <w:highlight w:val="none"/>
              </w:rPr>
            </w:pPr>
            <w:r>
              <w:rPr>
                <w:rFonts w:hint="eastAsia" w:ascii="仿宋_GB2312" w:eastAsia="仿宋_GB2312"/>
                <w:b/>
                <w:bCs/>
                <w:sz w:val="24"/>
                <w:highlight w:val="none"/>
              </w:rPr>
              <w:t>检查时限</w:t>
            </w:r>
          </w:p>
        </w:tc>
      </w:tr>
      <w:tr w14:paraId="54BEF7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78" w:hRule="atLeast"/>
        </w:trPr>
        <w:tc>
          <w:tcPr>
            <w:tcW w:w="691" w:type="dxa"/>
            <w:noWrap w:val="0"/>
            <w:vAlign w:val="center"/>
          </w:tcPr>
          <w:p w14:paraId="70A57AD3">
            <w:pPr>
              <w:adjustRightInd w:val="0"/>
              <w:snapToGrid w:val="0"/>
              <w:jc w:val="center"/>
              <w:rPr>
                <w:rFonts w:hint="eastAsia" w:ascii="宋体" w:hAnsi="宋体" w:eastAsia="宋体" w:cs="宋体"/>
                <w:b w:val="0"/>
                <w:bCs w:val="0"/>
                <w:color w:val="000000"/>
                <w:kern w:val="2"/>
                <w:sz w:val="21"/>
                <w:szCs w:val="21"/>
                <w:highlight w:val="none"/>
                <w:lang w:val="en-US" w:eastAsia="zh-CN" w:bidi="ar"/>
              </w:rPr>
            </w:pPr>
            <w:r>
              <w:rPr>
                <w:rFonts w:hint="eastAsia" w:ascii="宋体" w:hAnsi="宋体" w:eastAsia="宋体" w:cs="宋体"/>
                <w:b w:val="0"/>
                <w:bCs w:val="0"/>
                <w:color w:val="000000"/>
                <w:kern w:val="2"/>
                <w:sz w:val="21"/>
                <w:szCs w:val="21"/>
                <w:highlight w:val="none"/>
                <w:lang w:val="en-US" w:eastAsia="zh-CN" w:bidi="ar"/>
              </w:rPr>
              <w:t>1</w:t>
            </w:r>
          </w:p>
        </w:tc>
        <w:tc>
          <w:tcPr>
            <w:tcW w:w="1528" w:type="dxa"/>
            <w:noWrap w:val="0"/>
            <w:vAlign w:val="top"/>
          </w:tcPr>
          <w:p w14:paraId="26491445">
            <w:pPr>
              <w:adjustRightInd w:val="0"/>
              <w:snapToGrid w:val="0"/>
              <w:jc w:val="left"/>
              <w:rPr>
                <w:rFonts w:hint="eastAsia" w:ascii="仿宋_GB2312" w:eastAsia="仿宋_GB2312"/>
                <w:color w:val="000000"/>
                <w:szCs w:val="21"/>
                <w:highlight w:val="none"/>
              </w:rPr>
            </w:pPr>
          </w:p>
          <w:p w14:paraId="71B068EE">
            <w:pPr>
              <w:adjustRightInd w:val="0"/>
              <w:snapToGrid w:val="0"/>
              <w:jc w:val="left"/>
              <w:rPr>
                <w:rFonts w:hint="eastAsia" w:ascii="仿宋_GB2312" w:eastAsia="仿宋_GB2312"/>
                <w:color w:val="000000"/>
                <w:szCs w:val="21"/>
                <w:highlight w:val="none"/>
              </w:rPr>
            </w:pPr>
          </w:p>
          <w:p w14:paraId="7DA8B50A">
            <w:pPr>
              <w:adjustRightInd w:val="0"/>
              <w:snapToGrid w:val="0"/>
              <w:jc w:val="left"/>
              <w:rPr>
                <w:rFonts w:hint="eastAsia" w:ascii="仿宋_GB2312" w:eastAsia="仿宋_GB2312"/>
                <w:color w:val="000000"/>
                <w:szCs w:val="21"/>
                <w:highlight w:val="none"/>
              </w:rPr>
            </w:pPr>
          </w:p>
          <w:p w14:paraId="7ACF4A44">
            <w:pPr>
              <w:adjustRightInd w:val="0"/>
              <w:snapToGrid w:val="0"/>
              <w:jc w:val="left"/>
              <w:rPr>
                <w:rFonts w:hint="eastAsia" w:ascii="仿宋_GB2312" w:eastAsia="仿宋_GB2312"/>
                <w:color w:val="000000"/>
                <w:szCs w:val="21"/>
                <w:highlight w:val="none"/>
              </w:rPr>
            </w:pPr>
          </w:p>
          <w:p w14:paraId="5A44DC35">
            <w:pPr>
              <w:adjustRightInd w:val="0"/>
              <w:snapToGrid w:val="0"/>
              <w:jc w:val="left"/>
              <w:rPr>
                <w:rFonts w:hint="eastAsia" w:ascii="仿宋_GB2312" w:eastAsia="仿宋_GB2312"/>
                <w:color w:val="000000"/>
                <w:szCs w:val="21"/>
                <w:highlight w:val="none"/>
              </w:rPr>
            </w:pPr>
          </w:p>
          <w:p w14:paraId="12A63E9C">
            <w:pPr>
              <w:adjustRightInd w:val="0"/>
              <w:snapToGrid w:val="0"/>
              <w:jc w:val="left"/>
              <w:rPr>
                <w:rFonts w:hint="eastAsia" w:ascii="仿宋_GB2312" w:eastAsia="仿宋_GB2312"/>
                <w:color w:val="000000"/>
                <w:szCs w:val="21"/>
                <w:highlight w:val="none"/>
              </w:rPr>
            </w:pPr>
          </w:p>
          <w:p w14:paraId="111CB35E">
            <w:pPr>
              <w:adjustRightInd w:val="0"/>
              <w:snapToGrid w:val="0"/>
              <w:jc w:val="left"/>
              <w:rPr>
                <w:rFonts w:hint="eastAsia" w:ascii="仿宋_GB2312" w:eastAsia="仿宋_GB2312"/>
                <w:color w:val="000000"/>
                <w:szCs w:val="21"/>
                <w:highlight w:val="none"/>
              </w:rPr>
            </w:pPr>
          </w:p>
          <w:p w14:paraId="1049C638">
            <w:pPr>
              <w:adjustRightInd w:val="0"/>
              <w:snapToGrid w:val="0"/>
              <w:jc w:val="left"/>
              <w:rPr>
                <w:rFonts w:ascii="仿宋_GB2312" w:eastAsia="仿宋_GB2312"/>
                <w:b/>
                <w:bCs/>
                <w:color w:val="000000"/>
                <w:highlight w:val="none"/>
              </w:rPr>
            </w:pPr>
            <w:r>
              <w:rPr>
                <w:rFonts w:hint="eastAsia" w:ascii="宋体" w:hAnsi="宋体" w:eastAsia="宋体" w:cs="宋体"/>
                <w:b w:val="0"/>
                <w:bCs w:val="0"/>
                <w:color w:val="000000"/>
                <w:kern w:val="2"/>
                <w:sz w:val="21"/>
                <w:szCs w:val="21"/>
                <w:highlight w:val="none"/>
                <w:lang w:val="en-US" w:eastAsia="zh-CN" w:bidi="ar"/>
              </w:rPr>
              <w:t>对排放污染物的企业事业单位和其他生产经营者的行政检查</w:t>
            </w:r>
          </w:p>
        </w:tc>
        <w:tc>
          <w:tcPr>
            <w:tcW w:w="1580" w:type="dxa"/>
            <w:noWrap w:val="0"/>
            <w:vAlign w:val="top"/>
          </w:tcPr>
          <w:p w14:paraId="0C775D3A">
            <w:pPr>
              <w:adjustRightInd w:val="0"/>
              <w:snapToGrid w:val="0"/>
              <w:jc w:val="left"/>
              <w:rPr>
                <w:rFonts w:hint="eastAsia" w:ascii="仿宋_GB2312" w:eastAsia="仿宋_GB2312"/>
                <w:color w:val="000000"/>
                <w:szCs w:val="21"/>
                <w:highlight w:val="none"/>
              </w:rPr>
            </w:pPr>
          </w:p>
          <w:p w14:paraId="597009EB">
            <w:pPr>
              <w:adjustRightInd w:val="0"/>
              <w:snapToGrid w:val="0"/>
              <w:jc w:val="left"/>
              <w:rPr>
                <w:rFonts w:hint="eastAsia" w:ascii="仿宋_GB2312" w:eastAsia="仿宋_GB2312"/>
                <w:color w:val="000000"/>
                <w:szCs w:val="21"/>
                <w:highlight w:val="none"/>
              </w:rPr>
            </w:pPr>
          </w:p>
          <w:p w14:paraId="26840961">
            <w:pPr>
              <w:adjustRightInd w:val="0"/>
              <w:snapToGrid w:val="0"/>
              <w:jc w:val="left"/>
              <w:rPr>
                <w:rFonts w:hint="eastAsia" w:ascii="仿宋_GB2312" w:eastAsia="仿宋_GB2312"/>
                <w:color w:val="000000"/>
                <w:szCs w:val="21"/>
                <w:highlight w:val="none"/>
              </w:rPr>
            </w:pPr>
          </w:p>
          <w:p w14:paraId="15E79740">
            <w:pPr>
              <w:adjustRightInd w:val="0"/>
              <w:snapToGrid w:val="0"/>
              <w:jc w:val="left"/>
              <w:rPr>
                <w:rFonts w:hint="eastAsia" w:ascii="仿宋_GB2312" w:eastAsia="仿宋_GB2312"/>
                <w:color w:val="000000"/>
                <w:szCs w:val="21"/>
                <w:highlight w:val="none"/>
              </w:rPr>
            </w:pPr>
          </w:p>
          <w:p w14:paraId="42579350">
            <w:pPr>
              <w:adjustRightInd w:val="0"/>
              <w:snapToGrid w:val="0"/>
              <w:jc w:val="left"/>
              <w:rPr>
                <w:rFonts w:hint="eastAsia" w:ascii="仿宋_GB2312" w:eastAsia="仿宋_GB2312"/>
                <w:color w:val="000000"/>
                <w:szCs w:val="21"/>
                <w:highlight w:val="none"/>
              </w:rPr>
            </w:pPr>
          </w:p>
          <w:p w14:paraId="5B626E89">
            <w:pPr>
              <w:adjustRightInd w:val="0"/>
              <w:snapToGrid w:val="0"/>
              <w:jc w:val="left"/>
              <w:rPr>
                <w:rFonts w:hint="eastAsia" w:ascii="仿宋_GB2312" w:eastAsia="仿宋_GB2312"/>
                <w:color w:val="000000"/>
                <w:szCs w:val="21"/>
                <w:highlight w:val="none"/>
              </w:rPr>
            </w:pPr>
          </w:p>
          <w:p w14:paraId="06D9E94C">
            <w:pPr>
              <w:adjustRightInd w:val="0"/>
              <w:snapToGrid w:val="0"/>
              <w:jc w:val="left"/>
              <w:rPr>
                <w:rFonts w:hint="eastAsia" w:ascii="仿宋_GB2312" w:eastAsia="仿宋_GB2312"/>
                <w:color w:val="000000"/>
                <w:szCs w:val="21"/>
                <w:highlight w:val="none"/>
              </w:rPr>
            </w:pPr>
          </w:p>
          <w:p w14:paraId="6A64D842">
            <w:pPr>
              <w:adjustRightInd w:val="0"/>
              <w:snapToGrid w:val="0"/>
              <w:jc w:val="left"/>
              <w:rPr>
                <w:rFonts w:ascii="仿宋_GB2312" w:eastAsia="仿宋_GB2312"/>
                <w:b/>
                <w:bCs/>
                <w:color w:val="000000"/>
                <w:highlight w:val="none"/>
              </w:rPr>
            </w:pPr>
            <w:r>
              <w:rPr>
                <w:rFonts w:hint="eastAsia" w:ascii="宋体" w:hAnsi="宋体" w:eastAsia="宋体" w:cs="宋体"/>
                <w:b w:val="0"/>
                <w:bCs w:val="0"/>
                <w:color w:val="000000"/>
                <w:kern w:val="2"/>
                <w:sz w:val="21"/>
                <w:szCs w:val="21"/>
                <w:highlight w:val="none"/>
                <w:lang w:val="en-US" w:eastAsia="en-US" w:bidi="ar"/>
              </w:rPr>
              <w:t>排放污染物的企业事业单位和其他生产经营者</w:t>
            </w:r>
          </w:p>
        </w:tc>
        <w:tc>
          <w:tcPr>
            <w:tcW w:w="3581" w:type="dxa"/>
            <w:noWrap w:val="0"/>
            <w:vAlign w:val="center"/>
          </w:tcPr>
          <w:p w14:paraId="3464305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b w:val="0"/>
                <w:bCs w:val="0"/>
                <w:color w:val="000000"/>
                <w:kern w:val="2"/>
                <w:sz w:val="21"/>
                <w:szCs w:val="21"/>
                <w:highlight w:val="none"/>
                <w:lang w:val="en-US" w:eastAsia="zh-CN" w:bidi="ar"/>
              </w:rPr>
            </w:pPr>
            <w:r>
              <w:rPr>
                <w:rFonts w:hint="eastAsia" w:ascii="宋体" w:hAnsi="宋体" w:eastAsia="宋体" w:cs="宋体"/>
                <w:b w:val="0"/>
                <w:bCs w:val="0"/>
                <w:color w:val="000000"/>
                <w:kern w:val="2"/>
                <w:sz w:val="21"/>
                <w:szCs w:val="21"/>
                <w:highlight w:val="none"/>
                <w:lang w:val="en-US" w:eastAsia="en-US" w:bidi="ar"/>
              </w:rPr>
              <w:t>1.</w:t>
            </w:r>
            <w:r>
              <w:rPr>
                <w:rFonts w:hint="eastAsia" w:ascii="宋体" w:hAnsi="宋体" w:eastAsia="宋体" w:cs="宋体"/>
                <w:b w:val="0"/>
                <w:bCs w:val="0"/>
                <w:color w:val="000000"/>
                <w:kern w:val="2"/>
                <w:sz w:val="21"/>
                <w:szCs w:val="21"/>
                <w:highlight w:val="none"/>
                <w:lang w:val="en-US" w:eastAsia="zh-CN" w:bidi="ar"/>
              </w:rPr>
              <w:t>排污单位环境影响</w:t>
            </w:r>
            <w:r>
              <w:rPr>
                <w:rFonts w:hint="eastAsia" w:ascii="宋体" w:hAnsi="宋体" w:eastAsia="宋体" w:cs="宋体"/>
                <w:b w:val="0"/>
                <w:bCs w:val="0"/>
                <w:color w:val="000000"/>
                <w:kern w:val="2"/>
                <w:sz w:val="21"/>
                <w:szCs w:val="21"/>
                <w:highlight w:val="none"/>
                <w:lang w:val="en-US" w:eastAsia="en-US" w:bidi="ar"/>
              </w:rPr>
              <w:t>评价审批手续办理情况，环境保护设施设计、施工、验收、投入生产或者使用情况，以及环境影响评价文件确定的其他环境保护措施的落实情况</w:t>
            </w:r>
            <w:r>
              <w:rPr>
                <w:rFonts w:hint="eastAsia" w:ascii="宋体" w:hAnsi="宋体" w:eastAsia="宋体" w:cs="宋体"/>
                <w:b w:val="0"/>
                <w:bCs w:val="0"/>
                <w:color w:val="000000"/>
                <w:kern w:val="2"/>
                <w:sz w:val="21"/>
                <w:szCs w:val="21"/>
                <w:highlight w:val="none"/>
                <w:lang w:val="en-US" w:eastAsia="zh-CN" w:bidi="ar"/>
              </w:rPr>
              <w:t>；</w:t>
            </w:r>
          </w:p>
          <w:p w14:paraId="452BFF7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b w:val="0"/>
                <w:bCs w:val="0"/>
                <w:color w:val="000000"/>
                <w:kern w:val="2"/>
                <w:sz w:val="21"/>
                <w:szCs w:val="21"/>
                <w:highlight w:val="none"/>
                <w:lang w:val="en-US" w:eastAsia="en-US" w:bidi="ar"/>
              </w:rPr>
            </w:pPr>
            <w:r>
              <w:rPr>
                <w:rFonts w:hint="eastAsia" w:ascii="宋体" w:hAnsi="宋体" w:eastAsia="宋体" w:cs="宋体"/>
                <w:b w:val="0"/>
                <w:bCs w:val="0"/>
                <w:color w:val="000000"/>
                <w:kern w:val="2"/>
                <w:sz w:val="21"/>
                <w:szCs w:val="21"/>
                <w:highlight w:val="none"/>
                <w:lang w:val="en-US" w:eastAsia="en-US" w:bidi="ar"/>
              </w:rPr>
              <w:t>2.</w:t>
            </w:r>
            <w:r>
              <w:rPr>
                <w:rFonts w:hint="eastAsia" w:ascii="宋体" w:hAnsi="宋体" w:eastAsia="宋体" w:cs="宋体"/>
                <w:b w:val="0"/>
                <w:bCs w:val="0"/>
                <w:color w:val="000000"/>
                <w:kern w:val="2"/>
                <w:sz w:val="21"/>
                <w:szCs w:val="21"/>
                <w:highlight w:val="none"/>
                <w:lang w:val="en-US" w:eastAsia="zh-CN" w:bidi="ar"/>
              </w:rPr>
              <w:t>排污单位是否</w:t>
            </w:r>
            <w:r>
              <w:rPr>
                <w:rFonts w:hint="eastAsia" w:ascii="宋体" w:hAnsi="宋体" w:eastAsia="宋体" w:cs="宋体"/>
                <w:b w:val="0"/>
                <w:bCs w:val="0"/>
                <w:color w:val="000000"/>
                <w:kern w:val="2"/>
                <w:sz w:val="21"/>
                <w:szCs w:val="21"/>
                <w:highlight w:val="none"/>
                <w:lang w:val="en-US" w:eastAsia="en-US" w:bidi="ar"/>
              </w:rPr>
              <w:t>依法持证排污、按证排污或者登记排污，</w:t>
            </w:r>
            <w:r>
              <w:rPr>
                <w:rFonts w:hint="eastAsia" w:ascii="宋体" w:hAnsi="宋体" w:eastAsia="宋体" w:cs="宋体"/>
                <w:b w:val="0"/>
                <w:bCs w:val="0"/>
                <w:color w:val="000000"/>
                <w:kern w:val="2"/>
                <w:sz w:val="21"/>
                <w:szCs w:val="21"/>
                <w:highlight w:val="none"/>
                <w:lang w:val="en-US" w:eastAsia="zh-CN" w:bidi="ar"/>
              </w:rPr>
              <w:t>以及</w:t>
            </w:r>
            <w:r>
              <w:rPr>
                <w:rFonts w:hint="eastAsia" w:ascii="宋体" w:hAnsi="宋体" w:eastAsia="宋体" w:cs="宋体"/>
                <w:b w:val="0"/>
                <w:bCs w:val="0"/>
                <w:color w:val="000000"/>
                <w:kern w:val="2"/>
                <w:sz w:val="21"/>
                <w:szCs w:val="21"/>
                <w:highlight w:val="none"/>
                <w:lang w:val="en-US" w:eastAsia="en-US" w:bidi="ar"/>
              </w:rPr>
              <w:t>排污许可证执行报告、</w:t>
            </w:r>
            <w:r>
              <w:rPr>
                <w:rFonts w:hint="eastAsia" w:ascii="宋体" w:hAnsi="宋体" w:eastAsia="宋体" w:cs="宋体"/>
                <w:b w:val="0"/>
                <w:bCs w:val="0"/>
                <w:color w:val="000000"/>
                <w:kern w:val="2"/>
                <w:sz w:val="21"/>
                <w:szCs w:val="21"/>
                <w:highlight w:val="none"/>
                <w:lang w:val="en-US" w:eastAsia="zh-CN" w:bidi="ar"/>
              </w:rPr>
              <w:t>自行监测、</w:t>
            </w:r>
            <w:r>
              <w:rPr>
                <w:rFonts w:hint="eastAsia" w:ascii="宋体" w:hAnsi="宋体" w:eastAsia="宋体" w:cs="宋体"/>
                <w:b w:val="0"/>
                <w:bCs w:val="0"/>
                <w:color w:val="000000"/>
                <w:kern w:val="2"/>
                <w:sz w:val="21"/>
                <w:szCs w:val="21"/>
                <w:highlight w:val="none"/>
                <w:lang w:val="en-US" w:eastAsia="en-US" w:bidi="ar"/>
              </w:rPr>
              <w:t>台账等管理情况；</w:t>
            </w:r>
          </w:p>
          <w:p w14:paraId="7A2DD66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b w:val="0"/>
                <w:bCs w:val="0"/>
                <w:color w:val="000000"/>
                <w:kern w:val="2"/>
                <w:sz w:val="21"/>
                <w:szCs w:val="21"/>
                <w:highlight w:val="none"/>
                <w:lang w:val="en-US" w:eastAsia="en-US" w:bidi="ar"/>
              </w:rPr>
            </w:pPr>
            <w:r>
              <w:rPr>
                <w:rFonts w:hint="eastAsia" w:ascii="宋体" w:hAnsi="宋体" w:eastAsia="宋体" w:cs="宋体"/>
                <w:b w:val="0"/>
                <w:bCs w:val="0"/>
                <w:color w:val="000000"/>
                <w:kern w:val="2"/>
                <w:sz w:val="21"/>
                <w:szCs w:val="21"/>
                <w:highlight w:val="none"/>
                <w:lang w:val="en-US" w:eastAsia="en-US" w:bidi="ar"/>
              </w:rPr>
              <w:t>3.</w:t>
            </w:r>
            <w:r>
              <w:rPr>
                <w:rFonts w:hint="eastAsia" w:ascii="宋体" w:hAnsi="宋体" w:eastAsia="宋体" w:cs="宋体"/>
                <w:b w:val="0"/>
                <w:bCs w:val="0"/>
                <w:color w:val="000000"/>
                <w:kern w:val="2"/>
                <w:sz w:val="21"/>
                <w:szCs w:val="21"/>
                <w:highlight w:val="none"/>
                <w:lang w:val="en-US" w:eastAsia="zh-CN" w:bidi="ar"/>
              </w:rPr>
              <w:t>排污单位</w:t>
            </w:r>
            <w:r>
              <w:rPr>
                <w:rFonts w:hint="eastAsia" w:ascii="宋体" w:hAnsi="宋体" w:eastAsia="宋体" w:cs="宋体"/>
                <w:b w:val="0"/>
                <w:bCs w:val="0"/>
                <w:color w:val="000000"/>
                <w:kern w:val="2"/>
                <w:sz w:val="21"/>
                <w:szCs w:val="21"/>
                <w:highlight w:val="none"/>
                <w:lang w:val="en-US" w:eastAsia="en-US" w:bidi="ar"/>
              </w:rPr>
              <w:t>污染防治设施管理、运行、变动等情况；</w:t>
            </w:r>
          </w:p>
          <w:p w14:paraId="2C700DC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b w:val="0"/>
                <w:bCs w:val="0"/>
                <w:color w:val="000000"/>
                <w:kern w:val="2"/>
                <w:sz w:val="21"/>
                <w:szCs w:val="21"/>
                <w:highlight w:val="none"/>
                <w:lang w:val="en-US" w:eastAsia="en-US" w:bidi="ar"/>
              </w:rPr>
            </w:pPr>
            <w:r>
              <w:rPr>
                <w:rFonts w:hint="eastAsia" w:ascii="宋体" w:hAnsi="宋体" w:eastAsia="宋体" w:cs="宋体"/>
                <w:b w:val="0"/>
                <w:bCs w:val="0"/>
                <w:color w:val="000000"/>
                <w:kern w:val="2"/>
                <w:sz w:val="21"/>
                <w:szCs w:val="21"/>
                <w:highlight w:val="none"/>
                <w:lang w:val="en-US" w:eastAsia="en-US" w:bidi="ar"/>
              </w:rPr>
              <w:t>4.排污单位环境风险评估、环境风险防控措施落实、环境安全隐患排查治理、环境应急预案编制备案和演练、环境应急能力保障建设等情况；</w:t>
            </w:r>
          </w:p>
          <w:p w14:paraId="7482404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b w:val="0"/>
                <w:bCs w:val="0"/>
                <w:color w:val="000000"/>
                <w:kern w:val="2"/>
                <w:sz w:val="21"/>
                <w:szCs w:val="21"/>
                <w:highlight w:val="none"/>
                <w:lang w:val="en-US" w:eastAsia="en-US" w:bidi="ar"/>
              </w:rPr>
            </w:pPr>
            <w:r>
              <w:rPr>
                <w:rFonts w:hint="eastAsia" w:ascii="宋体" w:hAnsi="宋体" w:eastAsia="宋体" w:cs="宋体"/>
                <w:b w:val="0"/>
                <w:bCs w:val="0"/>
                <w:color w:val="000000"/>
                <w:kern w:val="2"/>
                <w:sz w:val="21"/>
                <w:szCs w:val="21"/>
                <w:highlight w:val="none"/>
                <w:lang w:val="en-US" w:eastAsia="zh-CN" w:bidi="ar"/>
              </w:rPr>
              <w:t>5</w:t>
            </w:r>
            <w:r>
              <w:rPr>
                <w:rFonts w:hint="eastAsia" w:ascii="宋体" w:hAnsi="宋体" w:eastAsia="宋体" w:cs="宋体"/>
                <w:b w:val="0"/>
                <w:bCs w:val="0"/>
                <w:color w:val="000000"/>
                <w:kern w:val="2"/>
                <w:sz w:val="21"/>
                <w:szCs w:val="21"/>
                <w:highlight w:val="none"/>
                <w:lang w:val="en-US" w:eastAsia="en-US" w:bidi="ar"/>
              </w:rPr>
              <w:t>.</w:t>
            </w:r>
            <w:r>
              <w:rPr>
                <w:rFonts w:hint="eastAsia" w:ascii="宋体" w:hAnsi="宋体" w:eastAsia="宋体" w:cs="宋体"/>
                <w:b w:val="0"/>
                <w:bCs w:val="0"/>
                <w:color w:val="000000"/>
                <w:kern w:val="2"/>
                <w:sz w:val="21"/>
                <w:szCs w:val="21"/>
                <w:highlight w:val="none"/>
                <w:lang w:val="en-US" w:eastAsia="zh-CN" w:bidi="ar"/>
              </w:rPr>
              <w:t>排污单位</w:t>
            </w:r>
            <w:r>
              <w:rPr>
                <w:rFonts w:hint="eastAsia" w:ascii="宋体" w:hAnsi="宋体" w:eastAsia="宋体" w:cs="宋体"/>
                <w:b w:val="0"/>
                <w:bCs w:val="0"/>
                <w:color w:val="000000"/>
                <w:kern w:val="2"/>
                <w:sz w:val="21"/>
                <w:szCs w:val="21"/>
                <w:highlight w:val="none"/>
                <w:lang w:val="en-US" w:eastAsia="en-US" w:bidi="ar"/>
              </w:rPr>
              <w:t>是否健全完善工业固体废物产生、收集、贮存、运输、利用、处置全过程的污染环境防治责任制度，建立工业固体废物管理台账，以及采取防治工业固体废物污染环境的措施等情况。</w:t>
            </w:r>
          </w:p>
          <w:p w14:paraId="4840666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b w:val="0"/>
                <w:bCs w:val="0"/>
                <w:color w:val="000000"/>
                <w:kern w:val="2"/>
                <w:sz w:val="21"/>
                <w:szCs w:val="21"/>
                <w:highlight w:val="none"/>
                <w:lang w:val="en-US" w:eastAsia="zh-CN" w:bidi="ar"/>
              </w:rPr>
            </w:pPr>
            <w:r>
              <w:rPr>
                <w:rFonts w:hint="eastAsia" w:ascii="宋体" w:hAnsi="宋体" w:eastAsia="宋体" w:cs="宋体"/>
                <w:b w:val="0"/>
                <w:bCs w:val="0"/>
                <w:color w:val="000000"/>
                <w:kern w:val="2"/>
                <w:sz w:val="21"/>
                <w:szCs w:val="21"/>
                <w:highlight w:val="none"/>
                <w:lang w:val="en-US" w:eastAsia="zh-CN" w:bidi="ar"/>
              </w:rPr>
              <w:t>6.</w:t>
            </w:r>
            <w:r>
              <w:rPr>
                <w:rFonts w:hint="eastAsia" w:ascii="宋体" w:hAnsi="宋体" w:eastAsia="宋体" w:cs="宋体"/>
                <w:b w:val="0"/>
                <w:bCs w:val="0"/>
                <w:color w:val="000000"/>
                <w:kern w:val="2"/>
                <w:sz w:val="21"/>
                <w:szCs w:val="21"/>
                <w:highlight w:val="none"/>
                <w:lang w:val="en-US" w:eastAsia="en-US" w:bidi="ar"/>
              </w:rPr>
              <w:t>土壤污染重点监管单位隐患排查、自行监测及有毒有害物质排放年度报告等落实情况</w:t>
            </w:r>
            <w:r>
              <w:rPr>
                <w:rFonts w:hint="eastAsia" w:ascii="宋体" w:hAnsi="宋体" w:eastAsia="宋体" w:cs="宋体"/>
                <w:b w:val="0"/>
                <w:bCs w:val="0"/>
                <w:color w:val="000000"/>
                <w:kern w:val="2"/>
                <w:sz w:val="21"/>
                <w:szCs w:val="21"/>
                <w:highlight w:val="none"/>
                <w:lang w:val="en-US" w:eastAsia="zh-CN" w:bidi="ar"/>
              </w:rPr>
              <w:t>。</w:t>
            </w:r>
          </w:p>
          <w:p w14:paraId="542D127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b w:val="0"/>
                <w:bCs w:val="0"/>
                <w:color w:val="000000"/>
                <w:kern w:val="2"/>
                <w:sz w:val="21"/>
                <w:szCs w:val="21"/>
                <w:highlight w:val="none"/>
                <w:lang w:val="en-US" w:eastAsia="zh-CN" w:bidi="ar"/>
              </w:rPr>
            </w:pPr>
            <w:r>
              <w:rPr>
                <w:rFonts w:hint="eastAsia" w:ascii="宋体" w:hAnsi="宋体" w:eastAsia="宋体" w:cs="宋体"/>
                <w:b w:val="0"/>
                <w:bCs w:val="0"/>
                <w:color w:val="000000"/>
                <w:kern w:val="2"/>
                <w:sz w:val="21"/>
                <w:szCs w:val="21"/>
                <w:highlight w:val="none"/>
                <w:lang w:val="en-US" w:eastAsia="zh-CN" w:bidi="ar"/>
              </w:rPr>
              <w:t>7.对污染物排放自动监测设备运行维护等情况。</w:t>
            </w:r>
          </w:p>
          <w:p w14:paraId="31E04824">
            <w:pPr>
              <w:numPr>
                <w:ilvl w:val="0"/>
                <w:numId w:val="0"/>
              </w:numPr>
              <w:adjustRightInd w:val="0"/>
              <w:snapToGrid w:val="0"/>
              <w:jc w:val="left"/>
              <w:rPr>
                <w:rFonts w:hint="eastAsia" w:ascii="仿宋_GB2312" w:eastAsia="仿宋_GB2312"/>
                <w:color w:val="000000"/>
                <w:szCs w:val="21"/>
                <w:highlight w:val="none"/>
                <w:lang w:eastAsia="zh-CN"/>
              </w:rPr>
            </w:pPr>
            <w:r>
              <w:rPr>
                <w:rFonts w:hint="eastAsia" w:ascii="宋体" w:hAnsi="宋体" w:eastAsia="宋体" w:cs="宋体"/>
                <w:b w:val="0"/>
                <w:bCs w:val="0"/>
                <w:color w:val="000000"/>
                <w:kern w:val="2"/>
                <w:sz w:val="21"/>
                <w:szCs w:val="21"/>
                <w:highlight w:val="none"/>
                <w:lang w:val="en-US" w:eastAsia="zh-CN" w:bidi="ar"/>
              </w:rPr>
              <w:t>8.企业环境信息的披露情况。</w:t>
            </w:r>
          </w:p>
        </w:tc>
        <w:tc>
          <w:tcPr>
            <w:tcW w:w="1896" w:type="dxa"/>
            <w:noWrap w:val="0"/>
            <w:vAlign w:val="center"/>
          </w:tcPr>
          <w:p w14:paraId="582EA429">
            <w:pPr>
              <w:pStyle w:val="32"/>
              <w:keepNext w:val="0"/>
              <w:keepLines w:val="0"/>
              <w:pageBreakBefore w:val="0"/>
              <w:kinsoku/>
              <w:wordWrap/>
              <w:overflowPunct/>
              <w:topLinePunct w:val="0"/>
              <w:autoSpaceDE/>
              <w:autoSpaceDN/>
              <w:bidi w:val="0"/>
              <w:spacing w:before="69" w:line="236" w:lineRule="exact"/>
              <w:ind w:right="91"/>
              <w:jc w:val="both"/>
              <w:rPr>
                <w:rFonts w:hint="eastAsia" w:ascii="宋体" w:hAnsi="宋体" w:eastAsia="宋体" w:cs="宋体"/>
                <w:b w:val="0"/>
                <w:bCs w:val="0"/>
                <w:color w:val="000000"/>
                <w:kern w:val="2"/>
                <w:sz w:val="21"/>
                <w:szCs w:val="21"/>
                <w:highlight w:val="none"/>
                <w:lang w:val="en-US" w:eastAsia="zh-CN" w:bidi="ar"/>
              </w:rPr>
            </w:pPr>
            <w:r>
              <w:rPr>
                <w:rFonts w:hint="eastAsia" w:ascii="宋体" w:hAnsi="宋体" w:eastAsia="宋体" w:cs="宋体"/>
                <w:b w:val="0"/>
                <w:bCs w:val="0"/>
                <w:color w:val="000000"/>
                <w:kern w:val="2"/>
                <w:sz w:val="21"/>
                <w:szCs w:val="21"/>
                <w:highlight w:val="none"/>
                <w:lang w:val="en-US" w:eastAsia="zh-CN" w:bidi="ar"/>
              </w:rPr>
              <w:t>1.重点监管对象：每季度抽查比例不低于25%。</w:t>
            </w:r>
          </w:p>
          <w:p w14:paraId="290D9C52">
            <w:pPr>
              <w:keepNext w:val="0"/>
              <w:keepLines w:val="0"/>
              <w:pageBreakBefore w:val="0"/>
              <w:numPr>
                <w:ilvl w:val="0"/>
                <w:numId w:val="0"/>
              </w:numPr>
              <w:kinsoku/>
              <w:wordWrap/>
              <w:overflowPunct/>
              <w:topLinePunct w:val="0"/>
              <w:autoSpaceDE/>
              <w:autoSpaceDN/>
              <w:bidi w:val="0"/>
              <w:adjustRightInd w:val="0"/>
              <w:snapToGrid w:val="0"/>
              <w:spacing w:line="236" w:lineRule="exact"/>
              <w:rPr>
                <w:rFonts w:hint="eastAsia" w:ascii="宋体" w:hAnsi="宋体" w:eastAsia="宋体" w:cs="宋体"/>
                <w:b w:val="0"/>
                <w:bCs w:val="0"/>
                <w:color w:val="000000"/>
                <w:kern w:val="2"/>
                <w:sz w:val="21"/>
                <w:szCs w:val="21"/>
                <w:highlight w:val="none"/>
                <w:lang w:val="en-US" w:eastAsia="zh-CN" w:bidi="ar"/>
              </w:rPr>
            </w:pPr>
            <w:r>
              <w:rPr>
                <w:rFonts w:hint="eastAsia" w:ascii="宋体" w:hAnsi="宋体" w:eastAsia="宋体" w:cs="宋体"/>
                <w:b w:val="0"/>
                <w:bCs w:val="0"/>
                <w:color w:val="000000"/>
                <w:kern w:val="2"/>
                <w:sz w:val="21"/>
                <w:szCs w:val="21"/>
                <w:highlight w:val="none"/>
                <w:lang w:val="en-US" w:eastAsia="zh-CN" w:bidi="ar"/>
              </w:rPr>
              <w:t>2.特殊监管对象：每年抽查比例100%。</w:t>
            </w:r>
          </w:p>
          <w:p w14:paraId="4CF5C2CD">
            <w:pPr>
              <w:keepNext w:val="0"/>
              <w:keepLines w:val="0"/>
              <w:pageBreakBefore w:val="0"/>
              <w:numPr>
                <w:ilvl w:val="0"/>
                <w:numId w:val="0"/>
              </w:numPr>
              <w:kinsoku/>
              <w:wordWrap/>
              <w:overflowPunct/>
              <w:topLinePunct w:val="0"/>
              <w:autoSpaceDE/>
              <w:autoSpaceDN/>
              <w:bidi w:val="0"/>
              <w:adjustRightInd w:val="0"/>
              <w:snapToGrid w:val="0"/>
              <w:spacing w:line="236" w:lineRule="exact"/>
              <w:rPr>
                <w:rFonts w:hint="eastAsia" w:ascii="宋体" w:hAnsi="宋体" w:eastAsia="宋体" w:cs="宋体"/>
                <w:b w:val="0"/>
                <w:bCs w:val="0"/>
                <w:color w:val="000000"/>
                <w:kern w:val="2"/>
                <w:sz w:val="21"/>
                <w:szCs w:val="21"/>
                <w:highlight w:val="none"/>
                <w:lang w:val="en-US" w:eastAsia="zh-CN" w:bidi="ar"/>
              </w:rPr>
            </w:pPr>
            <w:r>
              <w:rPr>
                <w:rFonts w:hint="eastAsia" w:ascii="宋体" w:hAnsi="宋体" w:eastAsia="宋体" w:cs="宋体"/>
                <w:b w:val="0"/>
                <w:bCs w:val="0"/>
                <w:color w:val="000000"/>
                <w:kern w:val="2"/>
                <w:sz w:val="21"/>
                <w:szCs w:val="21"/>
                <w:highlight w:val="none"/>
                <w:lang w:val="en-US" w:eastAsia="zh-CN" w:bidi="ar"/>
              </w:rPr>
              <w:t>3.一般监管对象：每年抽查比例不低于1:5(在编在岗执法人员数除以抽查对象数)。</w:t>
            </w:r>
          </w:p>
          <w:p w14:paraId="6AFA3BF7">
            <w:pPr>
              <w:adjustRightInd w:val="0"/>
              <w:snapToGrid w:val="0"/>
              <w:jc w:val="left"/>
              <w:rPr>
                <w:rFonts w:ascii="仿宋_GB2312" w:eastAsia="仿宋_GB2312"/>
                <w:color w:val="000000"/>
                <w:szCs w:val="21"/>
                <w:highlight w:val="none"/>
              </w:rPr>
            </w:pPr>
          </w:p>
        </w:tc>
        <w:tc>
          <w:tcPr>
            <w:tcW w:w="1980" w:type="dxa"/>
            <w:noWrap w:val="0"/>
            <w:vAlign w:val="center"/>
          </w:tcPr>
          <w:p w14:paraId="05A6519F">
            <w:pPr>
              <w:pStyle w:val="32"/>
              <w:keepNext w:val="0"/>
              <w:keepLines w:val="0"/>
              <w:pageBreakBefore w:val="0"/>
              <w:kinsoku/>
              <w:wordWrap/>
              <w:overflowPunct/>
              <w:topLinePunct w:val="0"/>
              <w:autoSpaceDE/>
              <w:autoSpaceDN/>
              <w:bidi w:val="0"/>
              <w:spacing w:before="69" w:line="236" w:lineRule="exact"/>
              <w:ind w:right="91"/>
              <w:jc w:val="both"/>
              <w:rPr>
                <w:rFonts w:hint="eastAsia" w:ascii="宋体" w:hAnsi="宋体" w:eastAsia="宋体" w:cs="宋体"/>
                <w:b w:val="0"/>
                <w:bCs w:val="0"/>
                <w:color w:val="000000"/>
                <w:kern w:val="2"/>
                <w:sz w:val="21"/>
                <w:szCs w:val="21"/>
                <w:highlight w:val="none"/>
                <w:lang w:val="en-US" w:eastAsia="zh-CN" w:bidi="ar"/>
              </w:rPr>
            </w:pPr>
            <w:r>
              <w:rPr>
                <w:rFonts w:hint="eastAsia" w:ascii="宋体" w:hAnsi="宋体" w:eastAsia="宋体" w:cs="宋体"/>
                <w:b w:val="0"/>
                <w:bCs w:val="0"/>
                <w:color w:val="000000"/>
                <w:kern w:val="2"/>
                <w:sz w:val="21"/>
                <w:szCs w:val="21"/>
                <w:highlight w:val="none"/>
                <w:lang w:val="en-US" w:eastAsia="zh-CN" w:bidi="ar"/>
              </w:rPr>
              <w:t>1.重点监管对象：每季度抽查比例不低于25%。</w:t>
            </w:r>
          </w:p>
          <w:p w14:paraId="5E2C2B08">
            <w:pPr>
              <w:keepNext w:val="0"/>
              <w:keepLines w:val="0"/>
              <w:pageBreakBefore w:val="0"/>
              <w:numPr>
                <w:ilvl w:val="0"/>
                <w:numId w:val="0"/>
              </w:numPr>
              <w:kinsoku/>
              <w:wordWrap/>
              <w:overflowPunct/>
              <w:topLinePunct w:val="0"/>
              <w:autoSpaceDE/>
              <w:autoSpaceDN/>
              <w:bidi w:val="0"/>
              <w:adjustRightInd w:val="0"/>
              <w:snapToGrid w:val="0"/>
              <w:spacing w:line="236" w:lineRule="exact"/>
              <w:rPr>
                <w:rFonts w:hint="eastAsia" w:ascii="宋体" w:hAnsi="宋体" w:eastAsia="宋体" w:cs="宋体"/>
                <w:b w:val="0"/>
                <w:bCs w:val="0"/>
                <w:color w:val="000000"/>
                <w:kern w:val="2"/>
                <w:sz w:val="21"/>
                <w:szCs w:val="21"/>
                <w:highlight w:val="none"/>
                <w:lang w:val="en-US" w:eastAsia="zh-CN" w:bidi="ar"/>
              </w:rPr>
            </w:pPr>
            <w:r>
              <w:rPr>
                <w:rFonts w:hint="eastAsia" w:ascii="宋体" w:hAnsi="宋体" w:eastAsia="宋体" w:cs="宋体"/>
                <w:b w:val="0"/>
                <w:bCs w:val="0"/>
                <w:color w:val="000000"/>
                <w:kern w:val="2"/>
                <w:sz w:val="21"/>
                <w:szCs w:val="21"/>
                <w:highlight w:val="none"/>
                <w:lang w:val="en-US" w:eastAsia="zh-CN" w:bidi="ar"/>
              </w:rPr>
              <w:t>2.特殊监管对象：每年抽查比例100%。</w:t>
            </w:r>
          </w:p>
          <w:p w14:paraId="216C1C30">
            <w:pPr>
              <w:keepNext w:val="0"/>
              <w:keepLines w:val="0"/>
              <w:pageBreakBefore w:val="0"/>
              <w:numPr>
                <w:ilvl w:val="0"/>
                <w:numId w:val="0"/>
              </w:numPr>
              <w:kinsoku/>
              <w:wordWrap/>
              <w:overflowPunct/>
              <w:topLinePunct w:val="0"/>
              <w:autoSpaceDE/>
              <w:autoSpaceDN/>
              <w:bidi w:val="0"/>
              <w:adjustRightInd w:val="0"/>
              <w:snapToGrid w:val="0"/>
              <w:spacing w:line="236" w:lineRule="exact"/>
              <w:rPr>
                <w:rFonts w:hint="eastAsia" w:ascii="宋体" w:hAnsi="宋体" w:eastAsia="宋体" w:cs="宋体"/>
                <w:b w:val="0"/>
                <w:bCs w:val="0"/>
                <w:color w:val="000000"/>
                <w:kern w:val="2"/>
                <w:sz w:val="21"/>
                <w:szCs w:val="21"/>
                <w:highlight w:val="none"/>
                <w:lang w:val="en-US" w:eastAsia="zh-CN" w:bidi="ar"/>
              </w:rPr>
            </w:pPr>
            <w:r>
              <w:rPr>
                <w:rFonts w:hint="eastAsia" w:ascii="宋体" w:hAnsi="宋体" w:eastAsia="宋体" w:cs="宋体"/>
                <w:b w:val="0"/>
                <w:bCs w:val="0"/>
                <w:color w:val="000000"/>
                <w:kern w:val="2"/>
                <w:sz w:val="21"/>
                <w:szCs w:val="21"/>
                <w:highlight w:val="none"/>
                <w:lang w:val="en-US" w:eastAsia="zh-CN" w:bidi="ar"/>
              </w:rPr>
              <w:t>3.一般监管对象：每年抽查比例不低于1:5(在编在岗执法人员数除以抽查对象数)。</w:t>
            </w:r>
          </w:p>
          <w:p w14:paraId="443CBE69">
            <w:pPr>
              <w:adjustRightInd w:val="0"/>
              <w:snapToGrid w:val="0"/>
              <w:jc w:val="left"/>
              <w:rPr>
                <w:rFonts w:hint="eastAsia" w:ascii="仿宋_GB2312" w:eastAsia="仿宋_GB2312"/>
                <w:color w:val="000000"/>
                <w:szCs w:val="21"/>
                <w:highlight w:val="none"/>
              </w:rPr>
            </w:pPr>
          </w:p>
        </w:tc>
        <w:tc>
          <w:tcPr>
            <w:tcW w:w="1272" w:type="dxa"/>
            <w:noWrap w:val="0"/>
            <w:vAlign w:val="center"/>
          </w:tcPr>
          <w:p w14:paraId="195EF8B1">
            <w:pPr>
              <w:adjustRightInd w:val="0"/>
              <w:snapToGrid w:val="0"/>
              <w:jc w:val="left"/>
              <w:rPr>
                <w:rFonts w:hint="eastAsia" w:ascii="宋体" w:hAnsi="宋体" w:eastAsia="宋体" w:cs="宋体"/>
                <w:b w:val="0"/>
                <w:bCs w:val="0"/>
                <w:color w:val="000000"/>
                <w:kern w:val="2"/>
                <w:sz w:val="21"/>
                <w:szCs w:val="21"/>
                <w:highlight w:val="none"/>
                <w:lang w:val="en-US" w:eastAsia="zh-CN" w:bidi="ar"/>
              </w:rPr>
            </w:pPr>
            <w:r>
              <w:rPr>
                <w:rFonts w:hint="eastAsia" w:ascii="宋体" w:hAnsi="宋体" w:eastAsia="宋体" w:cs="宋体"/>
                <w:b w:val="0"/>
                <w:bCs w:val="0"/>
                <w:color w:val="000000"/>
                <w:kern w:val="2"/>
                <w:sz w:val="21"/>
                <w:szCs w:val="21"/>
                <w:highlight w:val="none"/>
                <w:lang w:val="en-US" w:eastAsia="zh-CN" w:bidi="ar"/>
              </w:rPr>
              <w:t>现场检查、非现场检查</w:t>
            </w:r>
          </w:p>
        </w:tc>
        <w:tc>
          <w:tcPr>
            <w:tcW w:w="1342" w:type="dxa"/>
            <w:noWrap w:val="0"/>
            <w:vAlign w:val="center"/>
          </w:tcPr>
          <w:p w14:paraId="676078CA">
            <w:pPr>
              <w:adjustRightInd w:val="0"/>
              <w:snapToGrid w:val="0"/>
              <w:jc w:val="left"/>
              <w:rPr>
                <w:rFonts w:hint="eastAsia" w:ascii="宋体" w:hAnsi="宋体" w:eastAsia="宋体" w:cs="宋体"/>
                <w:b w:val="0"/>
                <w:bCs w:val="0"/>
                <w:color w:val="000000"/>
                <w:kern w:val="2"/>
                <w:sz w:val="21"/>
                <w:szCs w:val="21"/>
                <w:highlight w:val="none"/>
                <w:lang w:val="en-US" w:eastAsia="zh-CN" w:bidi="ar"/>
              </w:rPr>
            </w:pPr>
            <w:r>
              <w:rPr>
                <w:rFonts w:hint="eastAsia" w:ascii="宋体" w:hAnsi="宋体" w:eastAsia="宋体" w:cs="宋体"/>
                <w:b w:val="0"/>
                <w:bCs w:val="0"/>
                <w:color w:val="000000"/>
                <w:kern w:val="2"/>
                <w:sz w:val="21"/>
                <w:szCs w:val="21"/>
                <w:highlight w:val="none"/>
                <w:lang w:val="en-US" w:eastAsia="zh-CN" w:bidi="ar"/>
              </w:rPr>
              <w:t>2026年底前</w:t>
            </w:r>
          </w:p>
        </w:tc>
      </w:tr>
      <w:tr w14:paraId="3A7996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723" w:hRule="atLeast"/>
        </w:trPr>
        <w:tc>
          <w:tcPr>
            <w:tcW w:w="691" w:type="dxa"/>
            <w:noWrap w:val="0"/>
            <w:vAlign w:val="center"/>
          </w:tcPr>
          <w:p w14:paraId="4D84AF1A">
            <w:pPr>
              <w:adjustRightInd w:val="0"/>
              <w:snapToGrid w:val="0"/>
              <w:jc w:val="center"/>
              <w:rPr>
                <w:rFonts w:hint="eastAsia" w:ascii="宋体" w:hAnsi="宋体" w:eastAsia="宋体" w:cs="宋体"/>
                <w:b w:val="0"/>
                <w:bCs w:val="0"/>
                <w:color w:val="000000"/>
                <w:kern w:val="2"/>
                <w:sz w:val="21"/>
                <w:szCs w:val="21"/>
                <w:highlight w:val="none"/>
                <w:lang w:val="en-US" w:eastAsia="zh-CN" w:bidi="ar"/>
              </w:rPr>
            </w:pPr>
            <w:r>
              <w:rPr>
                <w:rFonts w:hint="eastAsia" w:ascii="宋体" w:hAnsi="宋体" w:eastAsia="宋体" w:cs="宋体"/>
                <w:b w:val="0"/>
                <w:bCs w:val="0"/>
                <w:color w:val="000000"/>
                <w:kern w:val="2"/>
                <w:sz w:val="21"/>
                <w:szCs w:val="21"/>
                <w:highlight w:val="none"/>
                <w:lang w:val="en-US" w:eastAsia="zh-CN" w:bidi="ar"/>
              </w:rPr>
              <w:t>2</w:t>
            </w:r>
          </w:p>
        </w:tc>
        <w:tc>
          <w:tcPr>
            <w:tcW w:w="1528" w:type="dxa"/>
            <w:noWrap w:val="0"/>
            <w:vAlign w:val="top"/>
          </w:tcPr>
          <w:p w14:paraId="187E4F6D">
            <w:pPr>
              <w:adjustRightInd w:val="0"/>
              <w:snapToGrid w:val="0"/>
              <w:jc w:val="left"/>
              <w:rPr>
                <w:rFonts w:hint="eastAsia" w:ascii="仿宋_GB2312" w:eastAsia="仿宋_GB2312"/>
                <w:color w:val="000000"/>
                <w:szCs w:val="21"/>
                <w:highlight w:val="none"/>
              </w:rPr>
            </w:pPr>
          </w:p>
          <w:p w14:paraId="7EBEB1AE">
            <w:pPr>
              <w:adjustRightInd w:val="0"/>
              <w:snapToGrid w:val="0"/>
              <w:jc w:val="left"/>
              <w:rPr>
                <w:rFonts w:ascii="仿宋_GB2312" w:eastAsia="仿宋_GB2312"/>
                <w:color w:val="000000"/>
                <w:szCs w:val="21"/>
                <w:highlight w:val="none"/>
              </w:rPr>
            </w:pPr>
            <w:r>
              <w:rPr>
                <w:rFonts w:hint="eastAsia" w:ascii="宋体" w:hAnsi="宋体" w:eastAsia="宋体" w:cs="宋体"/>
                <w:color w:val="000000"/>
                <w:sz w:val="21"/>
                <w:szCs w:val="21"/>
                <w:highlight w:val="none"/>
                <w:shd w:val="clear" w:color="auto" w:fill="FFFFFF"/>
                <w:lang w:val="en-US" w:eastAsia="zh-CN"/>
              </w:rPr>
              <w:t>对建设项目环境保护“三同时”及竣工环境保护自主验收监管的行政检查</w:t>
            </w:r>
          </w:p>
        </w:tc>
        <w:tc>
          <w:tcPr>
            <w:tcW w:w="1580" w:type="dxa"/>
            <w:noWrap w:val="0"/>
            <w:vAlign w:val="top"/>
          </w:tcPr>
          <w:p w14:paraId="12A8E017">
            <w:pPr>
              <w:adjustRightInd w:val="0"/>
              <w:snapToGrid w:val="0"/>
              <w:jc w:val="left"/>
              <w:rPr>
                <w:rFonts w:hint="eastAsia" w:ascii="仿宋_GB2312" w:eastAsia="仿宋_GB2312"/>
                <w:color w:val="000000"/>
                <w:szCs w:val="21"/>
                <w:highlight w:val="none"/>
              </w:rPr>
            </w:pPr>
          </w:p>
          <w:p w14:paraId="3DB40B69">
            <w:pPr>
              <w:adjustRightInd w:val="0"/>
              <w:snapToGrid w:val="0"/>
              <w:jc w:val="left"/>
              <w:rPr>
                <w:rFonts w:hint="default" w:ascii="仿宋_GB2312" w:eastAsia="仿宋_GB2312"/>
                <w:color w:val="000000"/>
                <w:szCs w:val="21"/>
                <w:highlight w:val="none"/>
                <w:lang w:val="en-US" w:eastAsia="zh-CN"/>
              </w:rPr>
            </w:pPr>
            <w:r>
              <w:rPr>
                <w:rFonts w:hint="eastAsia" w:ascii="仿宋_GB2312" w:eastAsia="仿宋_GB2312"/>
                <w:color w:val="000000"/>
                <w:szCs w:val="21"/>
                <w:highlight w:val="none"/>
                <w:lang w:val="en-US" w:eastAsia="zh-CN"/>
              </w:rPr>
              <w:t>闽侯县内</w:t>
            </w:r>
            <w:r>
              <w:rPr>
                <w:rFonts w:hint="eastAsia" w:ascii="宋体" w:hAnsi="宋体" w:eastAsia="宋体" w:cs="宋体"/>
                <w:b w:val="0"/>
                <w:bCs w:val="0"/>
                <w:color w:val="000000"/>
                <w:kern w:val="2"/>
                <w:sz w:val="21"/>
                <w:szCs w:val="21"/>
                <w:highlight w:val="none"/>
                <w:lang w:val="en-US" w:eastAsia="zh-CN" w:bidi="ar"/>
              </w:rPr>
              <w:t>的建设项目</w:t>
            </w:r>
          </w:p>
        </w:tc>
        <w:tc>
          <w:tcPr>
            <w:tcW w:w="3581" w:type="dxa"/>
            <w:noWrap w:val="0"/>
            <w:vAlign w:val="center"/>
          </w:tcPr>
          <w:p w14:paraId="0C89683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6" w:lineRule="exact"/>
              <w:ind w:left="0" w:right="0"/>
              <w:jc w:val="left"/>
              <w:textAlignment w:val="center"/>
              <w:rPr>
                <w:rFonts w:hint="eastAsia" w:ascii="宋体" w:hAnsi="宋体" w:eastAsia="宋体" w:cs="宋体"/>
                <w:b w:val="0"/>
                <w:bCs/>
                <w:i w:val="0"/>
                <w:iCs w:val="0"/>
                <w:color w:val="000000"/>
                <w:sz w:val="21"/>
                <w:szCs w:val="21"/>
                <w:u w:val="none"/>
                <w:lang w:eastAsia="zh-CN"/>
              </w:rPr>
            </w:pPr>
            <w:r>
              <w:rPr>
                <w:rFonts w:hint="eastAsia" w:ascii="宋体" w:hAnsi="宋体" w:eastAsia="宋体" w:cs="宋体"/>
                <w:b w:val="0"/>
                <w:bCs/>
                <w:i w:val="0"/>
                <w:iCs w:val="0"/>
                <w:color w:val="000000"/>
                <w:sz w:val="21"/>
                <w:szCs w:val="21"/>
                <w:u w:val="none"/>
                <w:lang w:val="en-US" w:eastAsia="zh-CN"/>
              </w:rPr>
              <w:t>1.</w:t>
            </w:r>
            <w:r>
              <w:rPr>
                <w:rFonts w:hint="eastAsia" w:ascii="宋体" w:hAnsi="宋体" w:eastAsia="宋体" w:cs="宋体"/>
                <w:b w:val="0"/>
                <w:bCs/>
                <w:i w:val="0"/>
                <w:iCs w:val="0"/>
                <w:color w:val="000000"/>
                <w:sz w:val="21"/>
                <w:szCs w:val="21"/>
                <w:u w:val="none"/>
                <w:lang w:eastAsia="zh-CN"/>
              </w:rPr>
              <w:t>核查环境保护工程的设计是否完成、是否与主体工程同时施工建设。</w:t>
            </w:r>
          </w:p>
          <w:p w14:paraId="4823D0D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6" w:lineRule="exact"/>
              <w:ind w:left="0" w:right="0"/>
              <w:jc w:val="left"/>
              <w:textAlignment w:val="center"/>
              <w:rPr>
                <w:rFonts w:hint="eastAsia" w:ascii="宋体" w:hAnsi="宋体" w:eastAsia="宋体" w:cs="宋体"/>
                <w:b w:val="0"/>
                <w:bCs/>
                <w:i w:val="0"/>
                <w:iCs w:val="0"/>
                <w:color w:val="000000"/>
                <w:sz w:val="21"/>
                <w:szCs w:val="21"/>
                <w:u w:val="none"/>
                <w:lang w:eastAsia="zh-CN"/>
              </w:rPr>
            </w:pPr>
            <w:r>
              <w:rPr>
                <w:rFonts w:hint="eastAsia" w:ascii="宋体" w:hAnsi="宋体" w:eastAsia="宋体" w:cs="宋体"/>
                <w:b w:val="0"/>
                <w:bCs/>
                <w:i w:val="0"/>
                <w:iCs w:val="0"/>
                <w:color w:val="000000"/>
                <w:sz w:val="21"/>
                <w:szCs w:val="21"/>
                <w:u w:val="none"/>
                <w:lang w:val="en-US" w:eastAsia="zh-CN"/>
              </w:rPr>
              <w:t>2.</w:t>
            </w:r>
            <w:r>
              <w:rPr>
                <w:rFonts w:hint="eastAsia" w:ascii="宋体" w:hAnsi="宋体" w:eastAsia="宋体" w:cs="宋体"/>
                <w:b w:val="0"/>
                <w:bCs/>
                <w:i w:val="0"/>
                <w:iCs w:val="0"/>
                <w:color w:val="000000"/>
                <w:sz w:val="21"/>
                <w:szCs w:val="21"/>
                <w:u w:val="none"/>
                <w:lang w:eastAsia="zh-CN"/>
              </w:rPr>
              <w:t>核查项目建设内容是否属于重大变动。</w:t>
            </w:r>
          </w:p>
          <w:p w14:paraId="6BEAB164">
            <w:pPr>
              <w:numPr>
                <w:ilvl w:val="0"/>
                <w:numId w:val="0"/>
              </w:numPr>
              <w:adjustRightInd w:val="0"/>
              <w:snapToGrid w:val="0"/>
              <w:jc w:val="left"/>
              <w:rPr>
                <w:rFonts w:hint="eastAsia" w:ascii="仿宋_GB2312" w:eastAsia="仿宋_GB2312"/>
                <w:color w:val="000000"/>
                <w:szCs w:val="21"/>
                <w:highlight w:val="none"/>
              </w:rPr>
            </w:pPr>
            <w:r>
              <w:rPr>
                <w:rFonts w:hint="eastAsia" w:ascii="宋体" w:hAnsi="宋体" w:eastAsia="宋体" w:cs="宋体"/>
                <w:b w:val="0"/>
                <w:bCs/>
                <w:i w:val="0"/>
                <w:iCs w:val="0"/>
                <w:color w:val="000000"/>
                <w:sz w:val="21"/>
                <w:szCs w:val="21"/>
                <w:u w:val="none"/>
                <w:lang w:val="en-US" w:eastAsia="zh-CN"/>
              </w:rPr>
              <w:t>3.</w:t>
            </w:r>
            <w:r>
              <w:rPr>
                <w:rFonts w:hint="eastAsia" w:ascii="宋体" w:hAnsi="宋体" w:eastAsia="宋体" w:cs="宋体"/>
                <w:b w:val="0"/>
                <w:bCs/>
                <w:i w:val="0"/>
                <w:iCs w:val="0"/>
                <w:color w:val="000000"/>
                <w:sz w:val="21"/>
                <w:szCs w:val="21"/>
                <w:u w:val="none"/>
                <w:lang w:eastAsia="zh-CN"/>
              </w:rPr>
              <w:t>已经投入生产或者使用的，是否按要求开展自主验收。</w:t>
            </w:r>
          </w:p>
        </w:tc>
        <w:tc>
          <w:tcPr>
            <w:tcW w:w="1896" w:type="dxa"/>
            <w:noWrap w:val="0"/>
            <w:vAlign w:val="center"/>
          </w:tcPr>
          <w:p w14:paraId="5D410CF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6" w:lineRule="exact"/>
              <w:ind w:left="0" w:right="0"/>
              <w:jc w:val="left"/>
              <w:textAlignment w:val="center"/>
              <w:rPr>
                <w:rFonts w:hint="eastAsia" w:ascii="宋体" w:hAnsi="宋体" w:eastAsia="宋体" w:cs="宋体"/>
                <w:b w:val="0"/>
                <w:bCs w:val="0"/>
                <w:color w:val="000000"/>
                <w:kern w:val="2"/>
                <w:sz w:val="21"/>
                <w:szCs w:val="21"/>
                <w:highlight w:val="none"/>
                <w:lang w:val="en-US" w:eastAsia="zh-CN" w:bidi="ar"/>
              </w:rPr>
            </w:pPr>
            <w:r>
              <w:rPr>
                <w:rFonts w:hint="eastAsia" w:ascii="宋体" w:hAnsi="宋体" w:eastAsia="宋体" w:cs="宋体"/>
                <w:b w:val="0"/>
                <w:bCs w:val="0"/>
                <w:color w:val="000000"/>
                <w:kern w:val="2"/>
                <w:sz w:val="21"/>
                <w:szCs w:val="21"/>
                <w:highlight w:val="none"/>
                <w:lang w:val="en-US" w:eastAsia="zh-CN" w:bidi="ar"/>
              </w:rPr>
              <w:t>1.新申报报告书、报告表项目开展1次初次检查；</w:t>
            </w:r>
          </w:p>
          <w:p w14:paraId="30922B0F">
            <w:pPr>
              <w:adjustRightInd w:val="0"/>
              <w:snapToGrid w:val="0"/>
              <w:jc w:val="left"/>
              <w:rPr>
                <w:rFonts w:ascii="仿宋_GB2312" w:eastAsia="仿宋_GB2312"/>
                <w:color w:val="000000"/>
                <w:szCs w:val="21"/>
                <w:highlight w:val="none"/>
              </w:rPr>
            </w:pPr>
            <w:r>
              <w:rPr>
                <w:rFonts w:hint="eastAsia" w:ascii="宋体" w:hAnsi="宋体" w:eastAsia="宋体" w:cs="宋体"/>
                <w:b w:val="0"/>
                <w:bCs w:val="0"/>
                <w:color w:val="000000"/>
                <w:kern w:val="2"/>
                <w:sz w:val="21"/>
                <w:szCs w:val="21"/>
                <w:highlight w:val="none"/>
                <w:lang w:val="en-US" w:eastAsia="zh-CN" w:bidi="ar"/>
              </w:rPr>
              <w:t>2.在建项目报告书每年年度检查不少于2次，报告表、登记表每年年度抽查不少于5%。</w:t>
            </w:r>
            <w:r>
              <w:rPr>
                <w:rFonts w:ascii="仿宋_GB2312" w:eastAsia="仿宋_GB2312"/>
                <w:color w:val="000000"/>
                <w:szCs w:val="21"/>
                <w:highlight w:val="none"/>
              </w:rPr>
              <w:br w:type="textWrapping"/>
            </w:r>
          </w:p>
        </w:tc>
        <w:tc>
          <w:tcPr>
            <w:tcW w:w="1980" w:type="dxa"/>
            <w:noWrap w:val="0"/>
            <w:vAlign w:val="top"/>
          </w:tcPr>
          <w:p w14:paraId="6101C99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6" w:lineRule="exact"/>
              <w:ind w:left="0" w:right="0"/>
              <w:jc w:val="left"/>
              <w:textAlignment w:val="center"/>
              <w:rPr>
                <w:rFonts w:hint="eastAsia" w:ascii="宋体" w:hAnsi="宋体" w:eastAsia="宋体" w:cs="宋体"/>
                <w:b w:val="0"/>
                <w:bCs w:val="0"/>
                <w:color w:val="000000"/>
                <w:kern w:val="2"/>
                <w:sz w:val="21"/>
                <w:szCs w:val="21"/>
                <w:highlight w:val="none"/>
                <w:lang w:val="en-US" w:eastAsia="zh-CN" w:bidi="ar"/>
              </w:rPr>
            </w:pPr>
            <w:r>
              <w:rPr>
                <w:rFonts w:hint="eastAsia" w:ascii="宋体" w:hAnsi="宋体" w:eastAsia="宋体" w:cs="宋体"/>
                <w:b w:val="0"/>
                <w:bCs w:val="0"/>
                <w:color w:val="000000"/>
                <w:kern w:val="2"/>
                <w:sz w:val="21"/>
                <w:szCs w:val="21"/>
                <w:highlight w:val="none"/>
                <w:lang w:val="en-US" w:eastAsia="zh-CN" w:bidi="ar"/>
              </w:rPr>
              <w:t>1.新申报报告书、报告表项目开展1次初次检查；</w:t>
            </w:r>
          </w:p>
          <w:p w14:paraId="208A135A">
            <w:pPr>
              <w:adjustRightInd w:val="0"/>
              <w:snapToGrid w:val="0"/>
              <w:jc w:val="left"/>
              <w:rPr>
                <w:rFonts w:ascii="仿宋_GB2312" w:eastAsia="仿宋_GB2312"/>
                <w:color w:val="000000"/>
                <w:szCs w:val="21"/>
                <w:highlight w:val="none"/>
              </w:rPr>
            </w:pPr>
            <w:r>
              <w:rPr>
                <w:rFonts w:hint="eastAsia" w:ascii="宋体" w:hAnsi="宋体" w:eastAsia="宋体" w:cs="宋体"/>
                <w:b w:val="0"/>
                <w:bCs w:val="0"/>
                <w:color w:val="000000"/>
                <w:kern w:val="2"/>
                <w:sz w:val="21"/>
                <w:szCs w:val="21"/>
                <w:highlight w:val="none"/>
                <w:lang w:val="en-US" w:eastAsia="zh-CN" w:bidi="ar"/>
              </w:rPr>
              <w:t>2.在建项目报告书每年年度检查不少于2次，报告表、登记表每年年度抽查不少于5%。</w:t>
            </w:r>
          </w:p>
        </w:tc>
        <w:tc>
          <w:tcPr>
            <w:tcW w:w="1272" w:type="dxa"/>
            <w:noWrap w:val="0"/>
            <w:vAlign w:val="center"/>
          </w:tcPr>
          <w:p w14:paraId="3C3480A6">
            <w:pPr>
              <w:adjustRightInd w:val="0"/>
              <w:snapToGrid w:val="0"/>
              <w:jc w:val="left"/>
              <w:rPr>
                <w:rFonts w:hint="eastAsia" w:ascii="宋体" w:hAnsi="宋体" w:eastAsia="宋体" w:cs="宋体"/>
                <w:b w:val="0"/>
                <w:bCs w:val="0"/>
                <w:color w:val="000000"/>
                <w:kern w:val="2"/>
                <w:sz w:val="21"/>
                <w:szCs w:val="21"/>
                <w:highlight w:val="none"/>
                <w:lang w:val="en-US" w:eastAsia="zh-CN" w:bidi="ar"/>
              </w:rPr>
            </w:pPr>
            <w:r>
              <w:rPr>
                <w:rFonts w:hint="eastAsia" w:ascii="宋体" w:hAnsi="宋体" w:eastAsia="宋体" w:cs="宋体"/>
                <w:b w:val="0"/>
                <w:bCs w:val="0"/>
                <w:color w:val="000000"/>
                <w:kern w:val="2"/>
                <w:sz w:val="21"/>
                <w:szCs w:val="21"/>
                <w:highlight w:val="none"/>
                <w:lang w:val="en-US" w:eastAsia="zh-CN" w:bidi="ar"/>
              </w:rPr>
              <w:t>现场检查、非现场检查</w:t>
            </w:r>
          </w:p>
        </w:tc>
        <w:tc>
          <w:tcPr>
            <w:tcW w:w="1342" w:type="dxa"/>
            <w:noWrap w:val="0"/>
            <w:vAlign w:val="top"/>
          </w:tcPr>
          <w:p w14:paraId="51BC8CA2">
            <w:pPr>
              <w:adjustRightInd w:val="0"/>
              <w:snapToGrid w:val="0"/>
              <w:jc w:val="left"/>
              <w:rPr>
                <w:rFonts w:hint="eastAsia" w:ascii="宋体" w:hAnsi="宋体" w:eastAsia="宋体" w:cs="宋体"/>
                <w:b w:val="0"/>
                <w:bCs w:val="0"/>
                <w:color w:val="000000"/>
                <w:kern w:val="2"/>
                <w:sz w:val="21"/>
                <w:szCs w:val="21"/>
                <w:highlight w:val="none"/>
                <w:lang w:val="en-US" w:eastAsia="zh-CN" w:bidi="ar"/>
              </w:rPr>
            </w:pPr>
          </w:p>
          <w:p w14:paraId="5AD28AEB">
            <w:pPr>
              <w:adjustRightInd w:val="0"/>
              <w:snapToGrid w:val="0"/>
              <w:jc w:val="left"/>
              <w:rPr>
                <w:rFonts w:hint="eastAsia" w:ascii="宋体" w:hAnsi="宋体" w:eastAsia="宋体" w:cs="宋体"/>
                <w:b w:val="0"/>
                <w:bCs w:val="0"/>
                <w:color w:val="000000"/>
                <w:kern w:val="2"/>
                <w:sz w:val="21"/>
                <w:szCs w:val="21"/>
                <w:highlight w:val="none"/>
                <w:lang w:val="en-US" w:eastAsia="zh-CN" w:bidi="ar"/>
              </w:rPr>
            </w:pPr>
          </w:p>
          <w:p w14:paraId="4ED26179">
            <w:pPr>
              <w:adjustRightInd w:val="0"/>
              <w:snapToGrid w:val="0"/>
              <w:jc w:val="left"/>
              <w:rPr>
                <w:rFonts w:hint="eastAsia" w:ascii="宋体" w:hAnsi="宋体" w:eastAsia="宋体" w:cs="宋体"/>
                <w:b w:val="0"/>
                <w:bCs w:val="0"/>
                <w:color w:val="000000"/>
                <w:kern w:val="2"/>
                <w:sz w:val="21"/>
                <w:szCs w:val="21"/>
                <w:highlight w:val="none"/>
                <w:lang w:val="en-US" w:eastAsia="zh-CN" w:bidi="ar"/>
              </w:rPr>
            </w:pPr>
          </w:p>
          <w:p w14:paraId="22B40AA5">
            <w:pPr>
              <w:adjustRightInd w:val="0"/>
              <w:snapToGrid w:val="0"/>
              <w:jc w:val="left"/>
              <w:rPr>
                <w:rFonts w:hint="eastAsia" w:ascii="宋体" w:hAnsi="宋体" w:eastAsia="宋体" w:cs="宋体"/>
                <w:b w:val="0"/>
                <w:bCs w:val="0"/>
                <w:color w:val="000000"/>
                <w:kern w:val="2"/>
                <w:sz w:val="21"/>
                <w:szCs w:val="21"/>
                <w:highlight w:val="none"/>
                <w:lang w:val="en-US" w:eastAsia="zh-CN" w:bidi="ar"/>
              </w:rPr>
            </w:pPr>
          </w:p>
          <w:p w14:paraId="224A8F54">
            <w:pPr>
              <w:adjustRightInd w:val="0"/>
              <w:snapToGrid w:val="0"/>
              <w:jc w:val="left"/>
              <w:rPr>
                <w:rFonts w:hint="eastAsia" w:ascii="宋体" w:hAnsi="宋体" w:eastAsia="宋体" w:cs="宋体"/>
                <w:b w:val="0"/>
                <w:bCs w:val="0"/>
                <w:color w:val="000000"/>
                <w:kern w:val="2"/>
                <w:sz w:val="21"/>
                <w:szCs w:val="21"/>
                <w:highlight w:val="none"/>
                <w:lang w:val="en-US" w:eastAsia="zh-CN" w:bidi="ar"/>
              </w:rPr>
            </w:pPr>
            <w:r>
              <w:rPr>
                <w:rFonts w:hint="eastAsia" w:ascii="宋体" w:hAnsi="宋体" w:eastAsia="宋体" w:cs="宋体"/>
                <w:b w:val="0"/>
                <w:bCs w:val="0"/>
                <w:color w:val="000000"/>
                <w:kern w:val="2"/>
                <w:sz w:val="21"/>
                <w:szCs w:val="21"/>
                <w:highlight w:val="none"/>
                <w:lang w:val="en-US" w:eastAsia="zh-CN" w:bidi="ar"/>
              </w:rPr>
              <w:t>2026年底前</w:t>
            </w:r>
          </w:p>
        </w:tc>
      </w:tr>
      <w:tr w14:paraId="6F29D8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28" w:hRule="atLeast"/>
        </w:trPr>
        <w:tc>
          <w:tcPr>
            <w:tcW w:w="691" w:type="dxa"/>
            <w:noWrap w:val="0"/>
            <w:vAlign w:val="center"/>
          </w:tcPr>
          <w:p w14:paraId="0312949E">
            <w:pPr>
              <w:adjustRightInd w:val="0"/>
              <w:snapToGrid w:val="0"/>
              <w:jc w:val="center"/>
              <w:rPr>
                <w:rFonts w:hint="eastAsia" w:ascii="宋体" w:hAnsi="宋体" w:eastAsia="宋体" w:cs="宋体"/>
                <w:b w:val="0"/>
                <w:bCs w:val="0"/>
                <w:color w:val="000000"/>
                <w:kern w:val="2"/>
                <w:sz w:val="21"/>
                <w:szCs w:val="21"/>
                <w:highlight w:val="none"/>
                <w:lang w:val="en-US" w:eastAsia="zh-CN" w:bidi="ar"/>
              </w:rPr>
            </w:pPr>
            <w:r>
              <w:rPr>
                <w:rFonts w:hint="eastAsia" w:ascii="宋体" w:hAnsi="宋体" w:eastAsia="宋体" w:cs="宋体"/>
                <w:b w:val="0"/>
                <w:bCs w:val="0"/>
                <w:color w:val="000000"/>
                <w:kern w:val="2"/>
                <w:sz w:val="21"/>
                <w:szCs w:val="21"/>
                <w:highlight w:val="none"/>
                <w:lang w:val="en-US" w:eastAsia="zh-CN" w:bidi="ar"/>
              </w:rPr>
              <w:t>3</w:t>
            </w:r>
          </w:p>
        </w:tc>
        <w:tc>
          <w:tcPr>
            <w:tcW w:w="1528" w:type="dxa"/>
            <w:noWrap w:val="0"/>
            <w:vAlign w:val="center"/>
          </w:tcPr>
          <w:p w14:paraId="0FCEEB63">
            <w:pPr>
              <w:adjustRightInd w:val="0"/>
              <w:snapToGrid w:val="0"/>
              <w:jc w:val="left"/>
              <w:rPr>
                <w:rFonts w:ascii="仿宋_GB2312" w:eastAsia="仿宋_GB2312"/>
                <w:color w:val="000000"/>
                <w:szCs w:val="21"/>
                <w:highlight w:val="none"/>
              </w:rPr>
            </w:pPr>
            <w:r>
              <w:rPr>
                <w:rFonts w:hint="eastAsia" w:ascii="宋体" w:hAnsi="宋体" w:eastAsia="宋体" w:cs="宋体"/>
                <w:b w:val="0"/>
                <w:bCs w:val="0"/>
                <w:color w:val="auto"/>
                <w:kern w:val="2"/>
                <w:sz w:val="21"/>
                <w:szCs w:val="21"/>
                <w:highlight w:val="none"/>
                <w:u w:val="none"/>
                <w:lang w:val="en-US" w:eastAsia="en-US" w:bidi="ar"/>
              </w:rPr>
              <w:t>按职责对非道路移动机械大气污染物排放状况的行政检查</w:t>
            </w:r>
          </w:p>
        </w:tc>
        <w:tc>
          <w:tcPr>
            <w:tcW w:w="1580" w:type="dxa"/>
            <w:noWrap w:val="0"/>
            <w:vAlign w:val="center"/>
          </w:tcPr>
          <w:p w14:paraId="7C347A4D">
            <w:pPr>
              <w:adjustRightInd w:val="0"/>
              <w:snapToGrid w:val="0"/>
              <w:jc w:val="left"/>
              <w:rPr>
                <w:rFonts w:ascii="仿宋_GB2312" w:eastAsia="仿宋_GB2312"/>
                <w:color w:val="000000"/>
                <w:szCs w:val="21"/>
                <w:highlight w:val="none"/>
              </w:rPr>
            </w:pPr>
            <w:r>
              <w:rPr>
                <w:rFonts w:hint="eastAsia" w:ascii="宋体" w:hAnsi="宋体" w:eastAsia="宋体" w:cs="宋体"/>
                <w:b w:val="0"/>
                <w:bCs w:val="0"/>
                <w:color w:val="auto"/>
                <w:kern w:val="2"/>
                <w:sz w:val="21"/>
                <w:szCs w:val="21"/>
                <w:highlight w:val="none"/>
                <w:u w:val="none"/>
                <w:lang w:val="en-US" w:eastAsia="zh-CN" w:bidi="ar"/>
              </w:rPr>
              <w:t>非道路移动机械</w:t>
            </w:r>
          </w:p>
        </w:tc>
        <w:tc>
          <w:tcPr>
            <w:tcW w:w="3581" w:type="dxa"/>
            <w:noWrap w:val="0"/>
            <w:vAlign w:val="center"/>
          </w:tcPr>
          <w:p w14:paraId="68235A0C">
            <w:pPr>
              <w:adjustRightInd w:val="0"/>
              <w:snapToGrid w:val="0"/>
              <w:jc w:val="left"/>
              <w:rPr>
                <w:rFonts w:hint="default" w:ascii="仿宋_GB2312" w:eastAsia="仿宋_GB2312"/>
                <w:color w:val="000000"/>
                <w:szCs w:val="21"/>
                <w:highlight w:val="none"/>
                <w:lang w:val="en-US" w:eastAsia="zh-CN"/>
              </w:rPr>
            </w:pPr>
            <w:r>
              <w:rPr>
                <w:rFonts w:hint="eastAsia" w:ascii="宋体" w:hAnsi="宋体" w:eastAsia="宋体" w:cs="宋体"/>
                <w:b w:val="0"/>
                <w:bCs w:val="0"/>
                <w:color w:val="auto"/>
                <w:kern w:val="2"/>
                <w:sz w:val="21"/>
                <w:szCs w:val="21"/>
                <w:highlight w:val="none"/>
                <w:u w:val="none"/>
                <w:lang w:val="en-US" w:eastAsia="zh-CN" w:bidi="ar"/>
              </w:rPr>
              <w:t>非道路移动机械大气污染物排放状况监督检查以及污染控制装置使用情况检查。</w:t>
            </w:r>
          </w:p>
        </w:tc>
        <w:tc>
          <w:tcPr>
            <w:tcW w:w="1896" w:type="dxa"/>
            <w:noWrap w:val="0"/>
            <w:vAlign w:val="center"/>
          </w:tcPr>
          <w:p w14:paraId="53EA10F6">
            <w:pPr>
              <w:adjustRightInd w:val="0"/>
              <w:snapToGrid w:val="0"/>
              <w:jc w:val="left"/>
              <w:rPr>
                <w:rFonts w:hint="eastAsia" w:ascii="仿宋_GB2312" w:eastAsia="仿宋_GB2312"/>
                <w:color w:val="000000"/>
                <w:szCs w:val="21"/>
                <w:highlight w:val="none"/>
                <w:lang w:eastAsia="zh-CN"/>
              </w:rPr>
            </w:pPr>
            <w:r>
              <w:rPr>
                <w:rFonts w:hint="eastAsia" w:ascii="宋体" w:hAnsi="宋体" w:eastAsia="宋体" w:cs="宋体"/>
                <w:b w:val="0"/>
                <w:bCs w:val="0"/>
                <w:color w:val="auto"/>
                <w:kern w:val="2"/>
                <w:sz w:val="21"/>
                <w:szCs w:val="21"/>
                <w:highlight w:val="none"/>
                <w:u w:val="none"/>
                <w:lang w:val="en-US" w:eastAsia="zh-CN" w:bidi="ar"/>
              </w:rPr>
              <w:t>每年抽 查比例不低于年度新增非道路移动机械量的20%。</w:t>
            </w:r>
          </w:p>
        </w:tc>
        <w:tc>
          <w:tcPr>
            <w:tcW w:w="1980" w:type="dxa"/>
            <w:noWrap w:val="0"/>
            <w:vAlign w:val="center"/>
          </w:tcPr>
          <w:p w14:paraId="2C61BB8F">
            <w:pPr>
              <w:adjustRightInd w:val="0"/>
              <w:snapToGrid w:val="0"/>
              <w:jc w:val="left"/>
              <w:rPr>
                <w:rFonts w:ascii="仿宋_GB2312" w:eastAsia="仿宋_GB2312"/>
                <w:color w:val="000000"/>
                <w:szCs w:val="21"/>
                <w:highlight w:val="none"/>
              </w:rPr>
            </w:pPr>
            <w:r>
              <w:rPr>
                <w:rFonts w:hint="eastAsia" w:ascii="宋体" w:hAnsi="宋体" w:eastAsia="宋体" w:cs="宋体"/>
                <w:b w:val="0"/>
                <w:bCs w:val="0"/>
                <w:color w:val="auto"/>
                <w:kern w:val="2"/>
                <w:sz w:val="21"/>
                <w:szCs w:val="21"/>
                <w:highlight w:val="none"/>
                <w:u w:val="none"/>
                <w:lang w:val="en-US" w:eastAsia="zh-CN" w:bidi="ar"/>
              </w:rPr>
              <w:t>每年抽 查比例不低于年度新增非道路移动机械量的20%。</w:t>
            </w:r>
          </w:p>
        </w:tc>
        <w:tc>
          <w:tcPr>
            <w:tcW w:w="1272" w:type="dxa"/>
            <w:noWrap w:val="0"/>
            <w:vAlign w:val="center"/>
          </w:tcPr>
          <w:p w14:paraId="53094AED">
            <w:pPr>
              <w:adjustRightInd w:val="0"/>
              <w:snapToGrid w:val="0"/>
              <w:jc w:val="left"/>
              <w:rPr>
                <w:rFonts w:hint="eastAsia" w:ascii="宋体" w:hAnsi="宋体" w:eastAsia="宋体" w:cs="宋体"/>
                <w:b w:val="0"/>
                <w:bCs w:val="0"/>
                <w:color w:val="000000"/>
                <w:kern w:val="2"/>
                <w:sz w:val="21"/>
                <w:szCs w:val="21"/>
                <w:highlight w:val="none"/>
                <w:lang w:val="en-US" w:eastAsia="zh-CN" w:bidi="ar"/>
              </w:rPr>
            </w:pPr>
            <w:r>
              <w:rPr>
                <w:rFonts w:hint="eastAsia" w:ascii="宋体" w:hAnsi="宋体" w:eastAsia="宋体" w:cs="宋体"/>
                <w:b w:val="0"/>
                <w:bCs w:val="0"/>
                <w:color w:val="000000"/>
                <w:kern w:val="2"/>
                <w:sz w:val="21"/>
                <w:szCs w:val="21"/>
                <w:highlight w:val="none"/>
                <w:lang w:val="en-US" w:eastAsia="zh-CN" w:bidi="ar"/>
              </w:rPr>
              <w:t>现场检查</w:t>
            </w:r>
          </w:p>
        </w:tc>
        <w:tc>
          <w:tcPr>
            <w:tcW w:w="1342" w:type="dxa"/>
            <w:noWrap w:val="0"/>
            <w:vAlign w:val="center"/>
          </w:tcPr>
          <w:p w14:paraId="34D7A7E5">
            <w:pPr>
              <w:adjustRightInd w:val="0"/>
              <w:snapToGrid w:val="0"/>
              <w:jc w:val="left"/>
              <w:rPr>
                <w:rFonts w:hint="eastAsia" w:ascii="宋体" w:hAnsi="宋体" w:eastAsia="宋体" w:cs="宋体"/>
                <w:b w:val="0"/>
                <w:bCs w:val="0"/>
                <w:color w:val="000000"/>
                <w:kern w:val="2"/>
                <w:sz w:val="21"/>
                <w:szCs w:val="21"/>
                <w:highlight w:val="none"/>
                <w:lang w:val="en-US" w:eastAsia="zh-CN" w:bidi="ar"/>
              </w:rPr>
            </w:pPr>
            <w:r>
              <w:rPr>
                <w:rFonts w:hint="eastAsia" w:ascii="宋体" w:hAnsi="宋体" w:eastAsia="宋体" w:cs="宋体"/>
                <w:b w:val="0"/>
                <w:bCs w:val="0"/>
                <w:color w:val="000000"/>
                <w:kern w:val="2"/>
                <w:sz w:val="21"/>
                <w:szCs w:val="21"/>
                <w:highlight w:val="none"/>
                <w:lang w:val="en-US" w:eastAsia="zh-CN" w:bidi="ar"/>
              </w:rPr>
              <w:t>2026年底前</w:t>
            </w:r>
          </w:p>
        </w:tc>
      </w:tr>
      <w:tr w14:paraId="3F8019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28" w:hRule="atLeast"/>
        </w:trPr>
        <w:tc>
          <w:tcPr>
            <w:tcW w:w="691" w:type="dxa"/>
            <w:noWrap w:val="0"/>
            <w:vAlign w:val="center"/>
          </w:tcPr>
          <w:p w14:paraId="1FC0EBE2">
            <w:pPr>
              <w:adjustRightInd w:val="0"/>
              <w:snapToGrid w:val="0"/>
              <w:jc w:val="center"/>
              <w:rPr>
                <w:rFonts w:hint="eastAsia" w:ascii="宋体" w:hAnsi="宋体" w:eastAsia="宋体" w:cs="宋体"/>
                <w:b w:val="0"/>
                <w:bCs w:val="0"/>
                <w:color w:val="000000"/>
                <w:kern w:val="2"/>
                <w:sz w:val="21"/>
                <w:szCs w:val="21"/>
                <w:highlight w:val="none"/>
                <w:lang w:val="en-US" w:eastAsia="zh-CN" w:bidi="ar"/>
              </w:rPr>
            </w:pPr>
            <w:r>
              <w:rPr>
                <w:rFonts w:hint="eastAsia" w:ascii="宋体" w:hAnsi="宋体" w:eastAsia="宋体" w:cs="宋体"/>
                <w:b w:val="0"/>
                <w:bCs w:val="0"/>
                <w:color w:val="000000"/>
                <w:kern w:val="2"/>
                <w:sz w:val="21"/>
                <w:szCs w:val="21"/>
                <w:highlight w:val="none"/>
                <w:lang w:val="en-US" w:eastAsia="zh-CN" w:bidi="ar"/>
              </w:rPr>
              <w:t>4</w:t>
            </w:r>
          </w:p>
        </w:tc>
        <w:tc>
          <w:tcPr>
            <w:tcW w:w="1528" w:type="dxa"/>
            <w:noWrap w:val="0"/>
            <w:vAlign w:val="center"/>
          </w:tcPr>
          <w:p w14:paraId="03217663">
            <w:pPr>
              <w:adjustRightInd w:val="0"/>
              <w:snapToGrid w:val="0"/>
              <w:jc w:val="left"/>
              <w:rPr>
                <w:rFonts w:ascii="仿宋_GB2312" w:eastAsia="仿宋_GB2312"/>
                <w:szCs w:val="21"/>
                <w:highlight w:val="none"/>
              </w:rPr>
            </w:pPr>
            <w:r>
              <w:rPr>
                <w:rFonts w:hint="eastAsia" w:ascii="宋体" w:hAnsi="宋体" w:eastAsia="宋体" w:cs="宋体"/>
                <w:color w:val="000000"/>
                <w:sz w:val="21"/>
                <w:szCs w:val="21"/>
                <w:highlight w:val="none"/>
                <w:lang w:val="en-US" w:eastAsia="zh-CN"/>
              </w:rPr>
              <w:t>对</w:t>
            </w:r>
            <w:r>
              <w:rPr>
                <w:rFonts w:hint="eastAsia" w:ascii="宋体" w:hAnsi="宋体" w:eastAsia="宋体" w:cs="宋体"/>
                <w:color w:val="000000"/>
                <w:sz w:val="21"/>
                <w:szCs w:val="21"/>
                <w:highlight w:val="none"/>
              </w:rPr>
              <w:t>机动车排放检验机构</w:t>
            </w:r>
            <w:r>
              <w:rPr>
                <w:rFonts w:hint="eastAsia" w:ascii="宋体" w:hAnsi="宋体" w:eastAsia="宋体" w:cs="宋体"/>
                <w:b w:val="0"/>
                <w:bCs w:val="0"/>
                <w:color w:val="000000"/>
                <w:kern w:val="2"/>
                <w:sz w:val="21"/>
                <w:szCs w:val="21"/>
                <w:highlight w:val="none"/>
                <w:lang w:val="en-US" w:eastAsia="zh-CN" w:bidi="ar"/>
              </w:rPr>
              <w:t>排放检验情况</w:t>
            </w:r>
            <w:r>
              <w:rPr>
                <w:rFonts w:hint="eastAsia" w:ascii="宋体" w:hAnsi="宋体" w:eastAsia="宋体" w:cs="宋体"/>
                <w:color w:val="000000"/>
                <w:sz w:val="21"/>
                <w:szCs w:val="21"/>
                <w:highlight w:val="none"/>
              </w:rPr>
              <w:t>的</w:t>
            </w:r>
            <w:r>
              <w:rPr>
                <w:rFonts w:hint="eastAsia" w:ascii="宋体" w:hAnsi="宋体" w:eastAsia="宋体" w:cs="宋体"/>
                <w:color w:val="000000"/>
                <w:sz w:val="21"/>
                <w:szCs w:val="21"/>
                <w:highlight w:val="none"/>
                <w:lang w:eastAsia="zh-CN"/>
              </w:rPr>
              <w:t>行政检查</w:t>
            </w:r>
          </w:p>
        </w:tc>
        <w:tc>
          <w:tcPr>
            <w:tcW w:w="1580" w:type="dxa"/>
            <w:noWrap w:val="0"/>
            <w:vAlign w:val="center"/>
          </w:tcPr>
          <w:p w14:paraId="02F6B923">
            <w:pPr>
              <w:adjustRightInd w:val="0"/>
              <w:snapToGrid w:val="0"/>
              <w:jc w:val="left"/>
              <w:rPr>
                <w:rFonts w:ascii="仿宋_GB2312" w:eastAsia="仿宋_GB2312"/>
                <w:color w:val="000000"/>
                <w:szCs w:val="21"/>
                <w:highlight w:val="none"/>
              </w:rPr>
            </w:pPr>
            <w:r>
              <w:rPr>
                <w:rFonts w:hint="eastAsia" w:ascii="宋体" w:hAnsi="宋体" w:eastAsia="宋体" w:cs="宋体"/>
                <w:b w:val="0"/>
                <w:bCs/>
                <w:i w:val="0"/>
                <w:iCs w:val="0"/>
                <w:color w:val="000000"/>
                <w:sz w:val="21"/>
                <w:szCs w:val="21"/>
                <w:u w:val="none"/>
                <w:lang w:eastAsia="zh-CN"/>
              </w:rPr>
              <w:t>机动车排放检验机构</w:t>
            </w:r>
          </w:p>
        </w:tc>
        <w:tc>
          <w:tcPr>
            <w:tcW w:w="3581" w:type="dxa"/>
            <w:noWrap w:val="0"/>
            <w:vAlign w:val="center"/>
          </w:tcPr>
          <w:p w14:paraId="7DCB9B06">
            <w:pPr>
              <w:adjustRightInd w:val="0"/>
              <w:snapToGrid w:val="0"/>
              <w:jc w:val="left"/>
              <w:rPr>
                <w:rFonts w:hint="eastAsia" w:ascii="仿宋_GB2312" w:eastAsia="仿宋_GB2312"/>
                <w:szCs w:val="21"/>
                <w:highlight w:val="none"/>
              </w:rPr>
            </w:pPr>
            <w:r>
              <w:rPr>
                <w:rFonts w:hint="eastAsia" w:ascii="宋体" w:hAnsi="宋体" w:eastAsia="宋体" w:cs="宋体"/>
                <w:b w:val="0"/>
                <w:bCs/>
                <w:i w:val="0"/>
                <w:iCs w:val="0"/>
                <w:color w:val="000000"/>
                <w:sz w:val="21"/>
                <w:szCs w:val="21"/>
                <w:u w:val="none"/>
                <w:lang w:eastAsia="zh-CN"/>
              </w:rPr>
              <w:t>重点检查机动车排放检验机构出具机动车排放检验检测报告等制作规范性、结论准确性、原始记录符合性、指控措施全面性等情况。</w:t>
            </w:r>
          </w:p>
        </w:tc>
        <w:tc>
          <w:tcPr>
            <w:tcW w:w="1896" w:type="dxa"/>
            <w:noWrap w:val="0"/>
            <w:vAlign w:val="center"/>
          </w:tcPr>
          <w:p w14:paraId="3923751F">
            <w:pPr>
              <w:pStyle w:val="6"/>
              <w:keepNext w:val="0"/>
              <w:keepLines w:val="0"/>
              <w:pageBreakBefore w:val="0"/>
              <w:numPr>
                <w:ilvl w:val="0"/>
                <w:numId w:val="0"/>
              </w:numPr>
              <w:kinsoku/>
              <w:wordWrap/>
              <w:overflowPunct/>
              <w:topLinePunct w:val="0"/>
              <w:autoSpaceDE/>
              <w:autoSpaceDN/>
              <w:bidi w:val="0"/>
              <w:adjustRightInd/>
              <w:snapToGrid/>
              <w:spacing w:line="240" w:lineRule="exact"/>
              <w:rPr>
                <w:rFonts w:hint="eastAsia" w:ascii="宋体" w:hAnsi="宋体" w:eastAsia="宋体" w:cs="宋体"/>
                <w:b w:val="0"/>
                <w:bCs w:val="0"/>
                <w:color w:val="000000"/>
                <w:kern w:val="2"/>
                <w:sz w:val="21"/>
                <w:szCs w:val="21"/>
                <w:highlight w:val="none"/>
                <w:lang w:val="en-US" w:eastAsia="zh-CN" w:bidi="ar"/>
              </w:rPr>
            </w:pPr>
            <w:r>
              <w:rPr>
                <w:rFonts w:hint="eastAsia" w:ascii="宋体" w:hAnsi="宋体" w:eastAsia="宋体" w:cs="宋体"/>
                <w:b w:val="0"/>
                <w:bCs w:val="0"/>
                <w:color w:val="000000"/>
                <w:kern w:val="2"/>
                <w:sz w:val="21"/>
                <w:szCs w:val="21"/>
                <w:highlight w:val="none"/>
                <w:lang w:val="en-US" w:eastAsia="zh-CN" w:bidi="ar"/>
              </w:rPr>
              <w:t>1.重点监管对象：每季度抽查比例不低于25%。</w:t>
            </w:r>
          </w:p>
          <w:p w14:paraId="48FB0C5A">
            <w:pPr>
              <w:pStyle w:val="6"/>
              <w:keepNext w:val="0"/>
              <w:keepLines w:val="0"/>
              <w:pageBreakBefore w:val="0"/>
              <w:numPr>
                <w:ilvl w:val="0"/>
                <w:numId w:val="0"/>
              </w:numPr>
              <w:kinsoku/>
              <w:wordWrap/>
              <w:overflowPunct/>
              <w:topLinePunct w:val="0"/>
              <w:autoSpaceDE/>
              <w:autoSpaceDN/>
              <w:bidi w:val="0"/>
              <w:adjustRightInd/>
              <w:snapToGrid/>
              <w:spacing w:line="240" w:lineRule="exact"/>
              <w:rPr>
                <w:rFonts w:hint="eastAsia" w:ascii="宋体" w:hAnsi="宋体" w:eastAsia="宋体" w:cs="宋体"/>
                <w:b w:val="0"/>
                <w:bCs w:val="0"/>
                <w:color w:val="000000"/>
                <w:kern w:val="2"/>
                <w:sz w:val="21"/>
                <w:szCs w:val="21"/>
                <w:highlight w:val="none"/>
                <w:lang w:val="en-US" w:eastAsia="zh-CN" w:bidi="ar"/>
              </w:rPr>
            </w:pPr>
            <w:r>
              <w:rPr>
                <w:rFonts w:hint="eastAsia" w:ascii="宋体" w:hAnsi="宋体" w:eastAsia="宋体" w:cs="宋体"/>
                <w:b w:val="0"/>
                <w:bCs w:val="0"/>
                <w:color w:val="000000"/>
                <w:kern w:val="2"/>
                <w:sz w:val="21"/>
                <w:szCs w:val="21"/>
                <w:highlight w:val="none"/>
                <w:lang w:val="en-US" w:eastAsia="zh-CN" w:bidi="ar"/>
              </w:rPr>
              <w:t>2.特殊监管对象：每年抽查比例100%。</w:t>
            </w:r>
          </w:p>
          <w:p w14:paraId="069F0BEF">
            <w:pPr>
              <w:adjustRightInd w:val="0"/>
              <w:snapToGrid w:val="0"/>
              <w:jc w:val="left"/>
              <w:rPr>
                <w:rFonts w:ascii="仿宋_GB2312" w:eastAsia="仿宋_GB2312"/>
                <w:szCs w:val="21"/>
                <w:highlight w:val="none"/>
              </w:rPr>
            </w:pPr>
            <w:r>
              <w:rPr>
                <w:rFonts w:hint="eastAsia" w:ascii="宋体" w:hAnsi="宋体" w:eastAsia="宋体" w:cs="宋体"/>
                <w:b w:val="0"/>
                <w:bCs w:val="0"/>
                <w:color w:val="000000"/>
                <w:kern w:val="2"/>
                <w:sz w:val="21"/>
                <w:szCs w:val="21"/>
                <w:highlight w:val="none"/>
                <w:lang w:val="en-US" w:eastAsia="zh-CN" w:bidi="ar"/>
              </w:rPr>
              <w:t>3.一般监管对象：对机动车排放检验机构每年抽查比例不低于机动车排放检验机构总数的25%。</w:t>
            </w:r>
          </w:p>
        </w:tc>
        <w:tc>
          <w:tcPr>
            <w:tcW w:w="1980" w:type="dxa"/>
            <w:noWrap w:val="0"/>
            <w:vAlign w:val="center"/>
          </w:tcPr>
          <w:p w14:paraId="0036C54F">
            <w:pPr>
              <w:pStyle w:val="6"/>
              <w:keepNext w:val="0"/>
              <w:keepLines w:val="0"/>
              <w:pageBreakBefore w:val="0"/>
              <w:numPr>
                <w:ilvl w:val="0"/>
                <w:numId w:val="0"/>
              </w:numPr>
              <w:kinsoku/>
              <w:wordWrap/>
              <w:overflowPunct/>
              <w:topLinePunct w:val="0"/>
              <w:autoSpaceDE/>
              <w:autoSpaceDN/>
              <w:bidi w:val="0"/>
              <w:adjustRightInd/>
              <w:snapToGrid/>
              <w:spacing w:line="240" w:lineRule="exact"/>
              <w:rPr>
                <w:rFonts w:hint="eastAsia" w:ascii="宋体" w:hAnsi="宋体" w:eastAsia="宋体" w:cs="宋体"/>
                <w:b w:val="0"/>
                <w:bCs w:val="0"/>
                <w:color w:val="000000"/>
                <w:kern w:val="2"/>
                <w:sz w:val="21"/>
                <w:szCs w:val="21"/>
                <w:highlight w:val="none"/>
                <w:lang w:val="en-US" w:eastAsia="zh-CN" w:bidi="ar"/>
              </w:rPr>
            </w:pPr>
            <w:r>
              <w:rPr>
                <w:rFonts w:hint="eastAsia" w:ascii="宋体" w:hAnsi="宋体" w:eastAsia="宋体" w:cs="宋体"/>
                <w:b w:val="0"/>
                <w:bCs w:val="0"/>
                <w:color w:val="000000"/>
                <w:kern w:val="2"/>
                <w:sz w:val="21"/>
                <w:szCs w:val="21"/>
                <w:highlight w:val="none"/>
                <w:lang w:val="en-US" w:eastAsia="zh-CN" w:bidi="ar"/>
              </w:rPr>
              <w:t>1.重点监管对象：每季度抽查比例不低于25%。</w:t>
            </w:r>
          </w:p>
          <w:p w14:paraId="7BAE526F">
            <w:pPr>
              <w:pStyle w:val="6"/>
              <w:keepNext w:val="0"/>
              <w:keepLines w:val="0"/>
              <w:pageBreakBefore w:val="0"/>
              <w:numPr>
                <w:ilvl w:val="0"/>
                <w:numId w:val="0"/>
              </w:numPr>
              <w:kinsoku/>
              <w:wordWrap/>
              <w:overflowPunct/>
              <w:topLinePunct w:val="0"/>
              <w:autoSpaceDE/>
              <w:autoSpaceDN/>
              <w:bidi w:val="0"/>
              <w:adjustRightInd/>
              <w:snapToGrid/>
              <w:spacing w:line="240" w:lineRule="exact"/>
              <w:rPr>
                <w:rFonts w:hint="eastAsia" w:ascii="宋体" w:hAnsi="宋体" w:eastAsia="宋体" w:cs="宋体"/>
                <w:b w:val="0"/>
                <w:bCs w:val="0"/>
                <w:color w:val="000000"/>
                <w:kern w:val="2"/>
                <w:sz w:val="21"/>
                <w:szCs w:val="21"/>
                <w:highlight w:val="none"/>
                <w:lang w:val="en-US" w:eastAsia="zh-CN" w:bidi="ar"/>
              </w:rPr>
            </w:pPr>
            <w:r>
              <w:rPr>
                <w:rFonts w:hint="eastAsia" w:ascii="宋体" w:hAnsi="宋体" w:eastAsia="宋体" w:cs="宋体"/>
                <w:b w:val="0"/>
                <w:bCs w:val="0"/>
                <w:color w:val="000000"/>
                <w:kern w:val="2"/>
                <w:sz w:val="21"/>
                <w:szCs w:val="21"/>
                <w:highlight w:val="none"/>
                <w:lang w:val="en-US" w:eastAsia="zh-CN" w:bidi="ar"/>
              </w:rPr>
              <w:t>2.特殊监管对象：每年抽查比例100%。</w:t>
            </w:r>
          </w:p>
          <w:p w14:paraId="61813DA5">
            <w:pPr>
              <w:adjustRightInd w:val="0"/>
              <w:snapToGrid w:val="0"/>
              <w:jc w:val="left"/>
              <w:rPr>
                <w:rFonts w:hint="eastAsia" w:ascii="仿宋_GB2312" w:eastAsia="仿宋_GB2312"/>
                <w:szCs w:val="21"/>
                <w:highlight w:val="none"/>
                <w:lang w:eastAsia="zh-CN"/>
              </w:rPr>
            </w:pPr>
            <w:r>
              <w:rPr>
                <w:rFonts w:hint="eastAsia" w:ascii="宋体" w:hAnsi="宋体" w:eastAsia="宋体" w:cs="宋体"/>
                <w:b w:val="0"/>
                <w:bCs w:val="0"/>
                <w:color w:val="000000"/>
                <w:kern w:val="2"/>
                <w:sz w:val="21"/>
                <w:szCs w:val="21"/>
                <w:highlight w:val="none"/>
                <w:lang w:val="en-US" w:eastAsia="zh-CN" w:bidi="ar"/>
              </w:rPr>
              <w:t>3.一般监管对象：对机动车排放检验机构每年抽查比例不低于机动车排放检验机构总数的25%。</w:t>
            </w:r>
          </w:p>
        </w:tc>
        <w:tc>
          <w:tcPr>
            <w:tcW w:w="1272" w:type="dxa"/>
            <w:noWrap w:val="0"/>
            <w:vAlign w:val="center"/>
          </w:tcPr>
          <w:p w14:paraId="0877A90C">
            <w:pPr>
              <w:adjustRightInd w:val="0"/>
              <w:snapToGrid w:val="0"/>
              <w:jc w:val="left"/>
              <w:rPr>
                <w:rFonts w:hint="eastAsia" w:ascii="宋体" w:hAnsi="宋体" w:eastAsia="宋体" w:cs="宋体"/>
                <w:b w:val="0"/>
                <w:bCs w:val="0"/>
                <w:color w:val="000000"/>
                <w:kern w:val="2"/>
                <w:sz w:val="21"/>
                <w:szCs w:val="21"/>
                <w:highlight w:val="none"/>
                <w:lang w:val="en-US" w:eastAsia="zh-CN" w:bidi="ar"/>
              </w:rPr>
            </w:pPr>
            <w:r>
              <w:rPr>
                <w:rFonts w:hint="eastAsia" w:ascii="宋体" w:hAnsi="宋体" w:eastAsia="宋体" w:cs="宋体"/>
                <w:b w:val="0"/>
                <w:bCs w:val="0"/>
                <w:color w:val="000000"/>
                <w:kern w:val="2"/>
                <w:sz w:val="21"/>
                <w:szCs w:val="21"/>
                <w:highlight w:val="none"/>
                <w:lang w:val="en-US" w:eastAsia="zh-CN" w:bidi="ar"/>
              </w:rPr>
              <w:t>现场检查、 非现场检 查</w:t>
            </w:r>
          </w:p>
        </w:tc>
        <w:tc>
          <w:tcPr>
            <w:tcW w:w="1342" w:type="dxa"/>
            <w:noWrap w:val="0"/>
            <w:vAlign w:val="center"/>
          </w:tcPr>
          <w:p w14:paraId="42FB1539">
            <w:pPr>
              <w:adjustRightInd w:val="0"/>
              <w:snapToGrid w:val="0"/>
              <w:jc w:val="left"/>
              <w:rPr>
                <w:rFonts w:hint="eastAsia" w:ascii="宋体" w:hAnsi="宋体" w:eastAsia="宋体" w:cs="宋体"/>
                <w:b w:val="0"/>
                <w:bCs w:val="0"/>
                <w:color w:val="000000"/>
                <w:kern w:val="2"/>
                <w:sz w:val="21"/>
                <w:szCs w:val="21"/>
                <w:highlight w:val="none"/>
                <w:lang w:val="en-US" w:eastAsia="zh-CN" w:bidi="ar"/>
              </w:rPr>
            </w:pPr>
            <w:r>
              <w:rPr>
                <w:rFonts w:hint="eastAsia" w:ascii="宋体" w:hAnsi="宋体" w:eastAsia="宋体" w:cs="宋体"/>
                <w:b w:val="0"/>
                <w:bCs w:val="0"/>
                <w:color w:val="000000"/>
                <w:kern w:val="2"/>
                <w:sz w:val="21"/>
                <w:szCs w:val="21"/>
                <w:highlight w:val="none"/>
                <w:lang w:val="en-US" w:eastAsia="zh-CN" w:bidi="ar"/>
              </w:rPr>
              <w:t>2026年底前</w:t>
            </w:r>
          </w:p>
        </w:tc>
      </w:tr>
      <w:tr w14:paraId="6E70F5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28" w:hRule="atLeast"/>
        </w:trPr>
        <w:tc>
          <w:tcPr>
            <w:tcW w:w="691" w:type="dxa"/>
            <w:noWrap w:val="0"/>
            <w:vAlign w:val="center"/>
          </w:tcPr>
          <w:p w14:paraId="6B237DDB">
            <w:pPr>
              <w:adjustRightInd w:val="0"/>
              <w:snapToGrid w:val="0"/>
              <w:jc w:val="center"/>
              <w:rPr>
                <w:rFonts w:hint="eastAsia" w:ascii="宋体" w:hAnsi="宋体" w:eastAsia="宋体" w:cs="宋体"/>
                <w:b w:val="0"/>
                <w:bCs w:val="0"/>
                <w:color w:val="000000"/>
                <w:kern w:val="2"/>
                <w:sz w:val="21"/>
                <w:szCs w:val="21"/>
                <w:highlight w:val="none"/>
                <w:lang w:val="en-US" w:eastAsia="zh-CN" w:bidi="ar"/>
              </w:rPr>
            </w:pPr>
            <w:r>
              <w:rPr>
                <w:rFonts w:hint="eastAsia" w:ascii="宋体" w:hAnsi="宋体" w:eastAsia="宋体" w:cs="宋体"/>
                <w:b w:val="0"/>
                <w:bCs w:val="0"/>
                <w:color w:val="000000"/>
                <w:kern w:val="2"/>
                <w:sz w:val="21"/>
                <w:szCs w:val="21"/>
                <w:highlight w:val="none"/>
                <w:lang w:val="en-US" w:eastAsia="zh-CN" w:bidi="ar"/>
              </w:rPr>
              <w:t>5</w:t>
            </w:r>
          </w:p>
        </w:tc>
        <w:tc>
          <w:tcPr>
            <w:tcW w:w="1528" w:type="dxa"/>
            <w:noWrap w:val="0"/>
            <w:vAlign w:val="center"/>
          </w:tcPr>
          <w:p w14:paraId="1FE5F731">
            <w:pPr>
              <w:adjustRightInd w:val="0"/>
              <w:snapToGrid w:val="0"/>
              <w:jc w:val="left"/>
              <w:rPr>
                <w:rFonts w:hint="eastAsia" w:ascii="宋体" w:hAnsi="宋体" w:eastAsia="宋体" w:cs="宋体"/>
                <w:b w:val="0"/>
                <w:bCs/>
                <w:i w:val="0"/>
                <w:iCs w:val="0"/>
                <w:color w:val="000000"/>
                <w:sz w:val="21"/>
                <w:szCs w:val="21"/>
                <w:u w:val="none"/>
                <w:lang w:eastAsia="zh-CN"/>
              </w:rPr>
            </w:pPr>
            <w:r>
              <w:rPr>
                <w:rFonts w:hint="eastAsia" w:ascii="宋体" w:hAnsi="宋体" w:eastAsia="宋体" w:cs="宋体"/>
                <w:b w:val="0"/>
                <w:bCs/>
                <w:i w:val="0"/>
                <w:iCs w:val="0"/>
                <w:color w:val="000000"/>
                <w:sz w:val="21"/>
                <w:szCs w:val="21"/>
                <w:u w:val="none"/>
                <w:lang w:val="en-US" w:eastAsia="zh-CN"/>
              </w:rPr>
              <w:t>对水电站最小生态下泄流量执行情况的行政检查</w:t>
            </w:r>
          </w:p>
        </w:tc>
        <w:tc>
          <w:tcPr>
            <w:tcW w:w="1580" w:type="dxa"/>
            <w:noWrap w:val="0"/>
            <w:vAlign w:val="center"/>
          </w:tcPr>
          <w:p w14:paraId="5FA82652">
            <w:pPr>
              <w:adjustRightInd w:val="0"/>
              <w:snapToGrid w:val="0"/>
              <w:jc w:val="left"/>
              <w:rPr>
                <w:rFonts w:hint="default" w:ascii="宋体" w:hAnsi="宋体" w:eastAsia="宋体" w:cs="宋体"/>
                <w:b w:val="0"/>
                <w:bCs/>
                <w:i w:val="0"/>
                <w:iCs w:val="0"/>
                <w:color w:val="000000"/>
                <w:sz w:val="21"/>
                <w:szCs w:val="21"/>
                <w:u w:val="none"/>
                <w:lang w:val="en-US" w:eastAsia="zh-CN"/>
              </w:rPr>
            </w:pPr>
            <w:r>
              <w:rPr>
                <w:rFonts w:hint="eastAsia" w:ascii="宋体" w:hAnsi="宋体" w:eastAsia="宋体" w:cs="宋体"/>
                <w:b w:val="0"/>
                <w:bCs/>
                <w:i w:val="0"/>
                <w:iCs w:val="0"/>
                <w:color w:val="000000"/>
                <w:sz w:val="21"/>
                <w:szCs w:val="21"/>
                <w:u w:val="none"/>
                <w:lang w:val="en-US" w:eastAsia="zh-CN"/>
              </w:rPr>
              <w:t>联网福建省生态流量监控考核系统平台的水电站</w:t>
            </w:r>
          </w:p>
        </w:tc>
        <w:tc>
          <w:tcPr>
            <w:tcW w:w="3581" w:type="dxa"/>
            <w:noWrap w:val="0"/>
            <w:vAlign w:val="center"/>
          </w:tcPr>
          <w:p w14:paraId="17AA7820">
            <w:pPr>
              <w:adjustRightInd w:val="0"/>
              <w:snapToGrid w:val="0"/>
              <w:jc w:val="left"/>
              <w:rPr>
                <w:rFonts w:hint="eastAsia" w:ascii="宋体" w:hAnsi="宋体" w:eastAsia="宋体" w:cs="宋体"/>
                <w:b w:val="0"/>
                <w:bCs/>
                <w:i w:val="0"/>
                <w:iCs w:val="0"/>
                <w:color w:val="000000"/>
                <w:sz w:val="21"/>
                <w:szCs w:val="21"/>
                <w:u w:val="none"/>
                <w:lang w:eastAsia="zh-CN"/>
              </w:rPr>
            </w:pPr>
            <w:r>
              <w:rPr>
                <w:rFonts w:hint="eastAsia" w:ascii="宋体" w:hAnsi="宋体" w:eastAsia="宋体" w:cs="宋体"/>
                <w:b w:val="0"/>
                <w:bCs/>
                <w:i w:val="0"/>
                <w:iCs w:val="0"/>
                <w:color w:val="000000"/>
                <w:sz w:val="21"/>
                <w:szCs w:val="21"/>
                <w:u w:val="none"/>
                <w:lang w:val="en-US" w:eastAsia="en-US"/>
              </w:rPr>
              <w:t>重点检查</w:t>
            </w:r>
            <w:r>
              <w:rPr>
                <w:rFonts w:hint="eastAsia" w:ascii="宋体" w:hAnsi="宋体" w:eastAsia="宋体" w:cs="宋体"/>
                <w:b w:val="0"/>
                <w:bCs/>
                <w:i w:val="0"/>
                <w:iCs w:val="0"/>
                <w:color w:val="000000"/>
                <w:sz w:val="21"/>
                <w:szCs w:val="21"/>
                <w:u w:val="none"/>
                <w:lang w:val="en-US" w:eastAsia="zh-CN"/>
              </w:rPr>
              <w:t>水电站是否存在</w:t>
            </w:r>
            <w:r>
              <w:rPr>
                <w:rFonts w:hint="eastAsia" w:ascii="宋体" w:hAnsi="宋体" w:eastAsia="宋体" w:cs="宋体"/>
                <w:b w:val="0"/>
                <w:bCs/>
                <w:i w:val="0"/>
                <w:iCs w:val="0"/>
                <w:color w:val="000000"/>
                <w:sz w:val="21"/>
                <w:szCs w:val="21"/>
                <w:u w:val="none"/>
                <w:lang w:val="en-US" w:eastAsia="en-US"/>
              </w:rPr>
              <w:t>不按规定建设生态流量泄放设施、不按规定安装生态流量监控设施、生态流量泄放设施建成后不使用、下泄流量不满足要求等未执行最小生态下泄流量行为。</w:t>
            </w:r>
          </w:p>
        </w:tc>
        <w:tc>
          <w:tcPr>
            <w:tcW w:w="1896" w:type="dxa"/>
            <w:noWrap w:val="0"/>
            <w:vAlign w:val="center"/>
          </w:tcPr>
          <w:p w14:paraId="4283FF79">
            <w:pPr>
              <w:adjustRightInd w:val="0"/>
              <w:snapToGrid w:val="0"/>
              <w:jc w:val="left"/>
              <w:rPr>
                <w:rFonts w:hint="eastAsia" w:ascii="宋体" w:hAnsi="宋体" w:eastAsia="宋体" w:cs="宋体"/>
                <w:b w:val="0"/>
                <w:bCs/>
                <w:i w:val="0"/>
                <w:iCs w:val="0"/>
                <w:color w:val="000000"/>
                <w:sz w:val="21"/>
                <w:szCs w:val="21"/>
                <w:u w:val="none"/>
                <w:lang w:eastAsia="zh-CN"/>
              </w:rPr>
            </w:pPr>
            <w:r>
              <w:rPr>
                <w:rFonts w:hint="eastAsia" w:ascii="宋体" w:hAnsi="宋体" w:eastAsia="宋体" w:cs="宋体"/>
                <w:b w:val="0"/>
                <w:bCs/>
                <w:i w:val="0"/>
                <w:iCs w:val="0"/>
                <w:color w:val="000000"/>
                <w:sz w:val="21"/>
                <w:szCs w:val="21"/>
                <w:u w:val="none"/>
                <w:lang w:val="en-US" w:eastAsia="zh-CN"/>
              </w:rPr>
              <w:t>每季度按照水电站总数的10%随机抽取。</w:t>
            </w:r>
          </w:p>
        </w:tc>
        <w:tc>
          <w:tcPr>
            <w:tcW w:w="1980" w:type="dxa"/>
            <w:noWrap w:val="0"/>
            <w:vAlign w:val="center"/>
          </w:tcPr>
          <w:p w14:paraId="4EAF4F75">
            <w:pPr>
              <w:adjustRightInd w:val="0"/>
              <w:snapToGrid w:val="0"/>
              <w:jc w:val="left"/>
              <w:rPr>
                <w:rFonts w:hint="eastAsia" w:ascii="宋体" w:hAnsi="宋体" w:eastAsia="宋体" w:cs="宋体"/>
                <w:b w:val="0"/>
                <w:bCs/>
                <w:i w:val="0"/>
                <w:iCs w:val="0"/>
                <w:color w:val="000000"/>
                <w:sz w:val="21"/>
                <w:szCs w:val="21"/>
                <w:u w:val="none"/>
                <w:lang w:eastAsia="zh-CN"/>
              </w:rPr>
            </w:pPr>
            <w:r>
              <w:rPr>
                <w:rFonts w:hint="eastAsia" w:ascii="宋体" w:hAnsi="宋体" w:eastAsia="宋体" w:cs="宋体"/>
                <w:b w:val="0"/>
                <w:bCs/>
                <w:i w:val="0"/>
                <w:iCs w:val="0"/>
                <w:color w:val="000000"/>
                <w:sz w:val="21"/>
                <w:szCs w:val="21"/>
                <w:u w:val="none"/>
                <w:lang w:val="en-US" w:eastAsia="zh-CN"/>
              </w:rPr>
              <w:t>每季度按照水电站总数的10%随机抽取。</w:t>
            </w:r>
          </w:p>
        </w:tc>
        <w:tc>
          <w:tcPr>
            <w:tcW w:w="1272" w:type="dxa"/>
            <w:noWrap w:val="0"/>
            <w:vAlign w:val="center"/>
          </w:tcPr>
          <w:p w14:paraId="40E2FDB3">
            <w:pPr>
              <w:adjustRightInd w:val="0"/>
              <w:snapToGrid w:val="0"/>
              <w:jc w:val="left"/>
              <w:rPr>
                <w:rFonts w:hint="eastAsia" w:ascii="宋体" w:hAnsi="宋体" w:eastAsia="宋体" w:cs="宋体"/>
                <w:b w:val="0"/>
                <w:bCs/>
                <w:i w:val="0"/>
                <w:iCs w:val="0"/>
                <w:color w:val="000000"/>
                <w:sz w:val="21"/>
                <w:szCs w:val="21"/>
                <w:u w:val="none"/>
                <w:lang w:val="en-US" w:eastAsia="zh-CN"/>
              </w:rPr>
            </w:pPr>
            <w:r>
              <w:rPr>
                <w:rFonts w:hint="eastAsia" w:ascii="宋体" w:hAnsi="宋体" w:eastAsia="宋体" w:cs="宋体"/>
                <w:b w:val="0"/>
                <w:bCs/>
                <w:i w:val="0"/>
                <w:iCs w:val="0"/>
                <w:color w:val="000000"/>
                <w:sz w:val="21"/>
                <w:szCs w:val="21"/>
                <w:u w:val="none"/>
                <w:lang w:val="en-US" w:eastAsia="zh-CN"/>
              </w:rPr>
              <w:t>现场检查、 非现场检 查</w:t>
            </w:r>
          </w:p>
        </w:tc>
        <w:tc>
          <w:tcPr>
            <w:tcW w:w="1342" w:type="dxa"/>
            <w:noWrap w:val="0"/>
            <w:vAlign w:val="center"/>
          </w:tcPr>
          <w:p w14:paraId="226D8C5E">
            <w:pPr>
              <w:adjustRightInd w:val="0"/>
              <w:snapToGrid w:val="0"/>
              <w:jc w:val="left"/>
              <w:rPr>
                <w:rFonts w:hint="eastAsia" w:ascii="宋体" w:hAnsi="宋体" w:eastAsia="宋体" w:cs="宋体"/>
                <w:b w:val="0"/>
                <w:bCs/>
                <w:i w:val="0"/>
                <w:iCs w:val="0"/>
                <w:color w:val="000000"/>
                <w:sz w:val="21"/>
                <w:szCs w:val="21"/>
                <w:u w:val="none"/>
                <w:lang w:val="en-US" w:eastAsia="zh-CN"/>
              </w:rPr>
            </w:pPr>
            <w:r>
              <w:rPr>
                <w:rFonts w:hint="eastAsia" w:ascii="宋体" w:hAnsi="宋体" w:eastAsia="宋体" w:cs="宋体"/>
                <w:b w:val="0"/>
                <w:bCs/>
                <w:i w:val="0"/>
                <w:iCs w:val="0"/>
                <w:color w:val="000000"/>
                <w:sz w:val="21"/>
                <w:szCs w:val="21"/>
                <w:u w:val="none"/>
                <w:lang w:val="en-US" w:eastAsia="zh-CN"/>
              </w:rPr>
              <w:t>2026年底前</w:t>
            </w:r>
          </w:p>
        </w:tc>
      </w:tr>
    </w:tbl>
    <w:p w14:paraId="75864BE0">
      <w:pPr>
        <w:snapToGrid w:val="0"/>
        <w:spacing w:line="560" w:lineRule="exact"/>
        <w:rPr>
          <w:rFonts w:ascii="黑体" w:eastAsia="黑体"/>
          <w:sz w:val="32"/>
          <w:szCs w:val="32"/>
        </w:rPr>
      </w:pPr>
      <w:bookmarkStart w:id="0" w:name="_GoBack"/>
      <w:bookmarkEnd w:id="0"/>
    </w:p>
    <w:sectPr>
      <w:footerReference r:id="rId3" w:type="default"/>
      <w:pgSz w:w="16838" w:h="11906" w:orient="landscape"/>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2F306">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21C5A5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421C5A5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779A"/>
    <w:rsid w:val="00013D42"/>
    <w:rsid w:val="000236B6"/>
    <w:rsid w:val="00025EF8"/>
    <w:rsid w:val="00047736"/>
    <w:rsid w:val="00061725"/>
    <w:rsid w:val="000651A3"/>
    <w:rsid w:val="000722AE"/>
    <w:rsid w:val="00075D76"/>
    <w:rsid w:val="00090AED"/>
    <w:rsid w:val="000A586B"/>
    <w:rsid w:val="000A7014"/>
    <w:rsid w:val="000C745B"/>
    <w:rsid w:val="000D4FFC"/>
    <w:rsid w:val="000D6214"/>
    <w:rsid w:val="000E131B"/>
    <w:rsid w:val="000E3E4C"/>
    <w:rsid w:val="00103847"/>
    <w:rsid w:val="0011445C"/>
    <w:rsid w:val="00115824"/>
    <w:rsid w:val="001355ED"/>
    <w:rsid w:val="001356BA"/>
    <w:rsid w:val="00135B4B"/>
    <w:rsid w:val="00137EE1"/>
    <w:rsid w:val="00142724"/>
    <w:rsid w:val="001454AF"/>
    <w:rsid w:val="00146796"/>
    <w:rsid w:val="001545E2"/>
    <w:rsid w:val="001604FB"/>
    <w:rsid w:val="00160B6E"/>
    <w:rsid w:val="001613B2"/>
    <w:rsid w:val="00172A27"/>
    <w:rsid w:val="00184FE3"/>
    <w:rsid w:val="0019490B"/>
    <w:rsid w:val="00197462"/>
    <w:rsid w:val="001C1F6C"/>
    <w:rsid w:val="001D6E50"/>
    <w:rsid w:val="001E597E"/>
    <w:rsid w:val="001E7FF4"/>
    <w:rsid w:val="00205A55"/>
    <w:rsid w:val="00206E6E"/>
    <w:rsid w:val="00213CE6"/>
    <w:rsid w:val="00215AB8"/>
    <w:rsid w:val="00221DE2"/>
    <w:rsid w:val="00223935"/>
    <w:rsid w:val="002370E9"/>
    <w:rsid w:val="00245BC1"/>
    <w:rsid w:val="00246176"/>
    <w:rsid w:val="00283365"/>
    <w:rsid w:val="0029396E"/>
    <w:rsid w:val="0029408E"/>
    <w:rsid w:val="00296B85"/>
    <w:rsid w:val="002972AE"/>
    <w:rsid w:val="002B367B"/>
    <w:rsid w:val="002B574B"/>
    <w:rsid w:val="002D331C"/>
    <w:rsid w:val="002D666B"/>
    <w:rsid w:val="002E59C3"/>
    <w:rsid w:val="002F391D"/>
    <w:rsid w:val="00315E1E"/>
    <w:rsid w:val="00333B19"/>
    <w:rsid w:val="00337480"/>
    <w:rsid w:val="00354311"/>
    <w:rsid w:val="00354D5C"/>
    <w:rsid w:val="00364FCD"/>
    <w:rsid w:val="00366FBC"/>
    <w:rsid w:val="003701CB"/>
    <w:rsid w:val="00377A66"/>
    <w:rsid w:val="00377AD6"/>
    <w:rsid w:val="00380C0E"/>
    <w:rsid w:val="00393941"/>
    <w:rsid w:val="003A1371"/>
    <w:rsid w:val="003A3BF7"/>
    <w:rsid w:val="003A5C21"/>
    <w:rsid w:val="003B4599"/>
    <w:rsid w:val="003C08E2"/>
    <w:rsid w:val="003C231F"/>
    <w:rsid w:val="003D3203"/>
    <w:rsid w:val="003F436C"/>
    <w:rsid w:val="004047AA"/>
    <w:rsid w:val="0042031B"/>
    <w:rsid w:val="00425A0F"/>
    <w:rsid w:val="00425B6B"/>
    <w:rsid w:val="00433A75"/>
    <w:rsid w:val="004553C9"/>
    <w:rsid w:val="00456761"/>
    <w:rsid w:val="00464F2E"/>
    <w:rsid w:val="004775F7"/>
    <w:rsid w:val="00486191"/>
    <w:rsid w:val="00486FE4"/>
    <w:rsid w:val="004939CF"/>
    <w:rsid w:val="004953D1"/>
    <w:rsid w:val="004A11BC"/>
    <w:rsid w:val="004B69EB"/>
    <w:rsid w:val="004C3D33"/>
    <w:rsid w:val="004F2A2C"/>
    <w:rsid w:val="004F2EA5"/>
    <w:rsid w:val="004F4DB3"/>
    <w:rsid w:val="00512725"/>
    <w:rsid w:val="00514BF7"/>
    <w:rsid w:val="00550C39"/>
    <w:rsid w:val="00562818"/>
    <w:rsid w:val="00563D2C"/>
    <w:rsid w:val="00587D07"/>
    <w:rsid w:val="005C4452"/>
    <w:rsid w:val="005D2738"/>
    <w:rsid w:val="005E794E"/>
    <w:rsid w:val="006176D6"/>
    <w:rsid w:val="006228E0"/>
    <w:rsid w:val="00625CE1"/>
    <w:rsid w:val="0064370A"/>
    <w:rsid w:val="00646D29"/>
    <w:rsid w:val="006543F5"/>
    <w:rsid w:val="00667816"/>
    <w:rsid w:val="006732F4"/>
    <w:rsid w:val="0067435F"/>
    <w:rsid w:val="00684331"/>
    <w:rsid w:val="006A2770"/>
    <w:rsid w:val="006C1B43"/>
    <w:rsid w:val="006C3A3F"/>
    <w:rsid w:val="006C40B7"/>
    <w:rsid w:val="006C6FA5"/>
    <w:rsid w:val="006C7710"/>
    <w:rsid w:val="006E0113"/>
    <w:rsid w:val="006E32A3"/>
    <w:rsid w:val="006F1E39"/>
    <w:rsid w:val="006F31FB"/>
    <w:rsid w:val="00706BAE"/>
    <w:rsid w:val="00707746"/>
    <w:rsid w:val="00707A4F"/>
    <w:rsid w:val="00716344"/>
    <w:rsid w:val="0072134F"/>
    <w:rsid w:val="007265CE"/>
    <w:rsid w:val="00736A45"/>
    <w:rsid w:val="00736D49"/>
    <w:rsid w:val="00745A90"/>
    <w:rsid w:val="0075117D"/>
    <w:rsid w:val="00777769"/>
    <w:rsid w:val="00796342"/>
    <w:rsid w:val="007B5C05"/>
    <w:rsid w:val="007B5CEC"/>
    <w:rsid w:val="007C5067"/>
    <w:rsid w:val="007F322C"/>
    <w:rsid w:val="007F3DF3"/>
    <w:rsid w:val="008066FA"/>
    <w:rsid w:val="00813E10"/>
    <w:rsid w:val="008256A4"/>
    <w:rsid w:val="008277D2"/>
    <w:rsid w:val="00834678"/>
    <w:rsid w:val="00866E5B"/>
    <w:rsid w:val="00871A12"/>
    <w:rsid w:val="0087293C"/>
    <w:rsid w:val="008B165A"/>
    <w:rsid w:val="008B690F"/>
    <w:rsid w:val="008D5F53"/>
    <w:rsid w:val="008E0E36"/>
    <w:rsid w:val="008E2809"/>
    <w:rsid w:val="008E4E3C"/>
    <w:rsid w:val="0090134A"/>
    <w:rsid w:val="0090244A"/>
    <w:rsid w:val="0090275E"/>
    <w:rsid w:val="00902827"/>
    <w:rsid w:val="00902A4F"/>
    <w:rsid w:val="00905C16"/>
    <w:rsid w:val="00924E51"/>
    <w:rsid w:val="00925BF7"/>
    <w:rsid w:val="00927DB3"/>
    <w:rsid w:val="00930995"/>
    <w:rsid w:val="009342A4"/>
    <w:rsid w:val="009615C8"/>
    <w:rsid w:val="00973029"/>
    <w:rsid w:val="009739D2"/>
    <w:rsid w:val="009A5D35"/>
    <w:rsid w:val="009B6D03"/>
    <w:rsid w:val="009C1A96"/>
    <w:rsid w:val="009C3BF2"/>
    <w:rsid w:val="009C632D"/>
    <w:rsid w:val="009D08E8"/>
    <w:rsid w:val="009D12FC"/>
    <w:rsid w:val="009D2F85"/>
    <w:rsid w:val="009F3EFF"/>
    <w:rsid w:val="009F6B48"/>
    <w:rsid w:val="00A07ADE"/>
    <w:rsid w:val="00A16505"/>
    <w:rsid w:val="00A339B9"/>
    <w:rsid w:val="00A42481"/>
    <w:rsid w:val="00A50102"/>
    <w:rsid w:val="00A51489"/>
    <w:rsid w:val="00A53EA9"/>
    <w:rsid w:val="00A55205"/>
    <w:rsid w:val="00A64F63"/>
    <w:rsid w:val="00A7464F"/>
    <w:rsid w:val="00A8562D"/>
    <w:rsid w:val="00A918E8"/>
    <w:rsid w:val="00AA7527"/>
    <w:rsid w:val="00AB3BD9"/>
    <w:rsid w:val="00AB51E5"/>
    <w:rsid w:val="00B03DDB"/>
    <w:rsid w:val="00B06E9F"/>
    <w:rsid w:val="00B142F7"/>
    <w:rsid w:val="00B15B62"/>
    <w:rsid w:val="00B20F75"/>
    <w:rsid w:val="00B44FF9"/>
    <w:rsid w:val="00B45569"/>
    <w:rsid w:val="00B54044"/>
    <w:rsid w:val="00B5729A"/>
    <w:rsid w:val="00B82084"/>
    <w:rsid w:val="00B8543B"/>
    <w:rsid w:val="00B94AC1"/>
    <w:rsid w:val="00B96716"/>
    <w:rsid w:val="00BC07BB"/>
    <w:rsid w:val="00BC6CF4"/>
    <w:rsid w:val="00BF44AC"/>
    <w:rsid w:val="00C117B1"/>
    <w:rsid w:val="00C15DC6"/>
    <w:rsid w:val="00C1722C"/>
    <w:rsid w:val="00C2755C"/>
    <w:rsid w:val="00C31BA1"/>
    <w:rsid w:val="00C32EBC"/>
    <w:rsid w:val="00C72B31"/>
    <w:rsid w:val="00C87BC8"/>
    <w:rsid w:val="00CB6F13"/>
    <w:rsid w:val="00CC267E"/>
    <w:rsid w:val="00CC369D"/>
    <w:rsid w:val="00CC49EA"/>
    <w:rsid w:val="00CD1E20"/>
    <w:rsid w:val="00CE2889"/>
    <w:rsid w:val="00CE6A19"/>
    <w:rsid w:val="00CE78C5"/>
    <w:rsid w:val="00CF5379"/>
    <w:rsid w:val="00D03E6B"/>
    <w:rsid w:val="00D04546"/>
    <w:rsid w:val="00D12AB3"/>
    <w:rsid w:val="00D142AA"/>
    <w:rsid w:val="00D15AAF"/>
    <w:rsid w:val="00D15B9B"/>
    <w:rsid w:val="00D22486"/>
    <w:rsid w:val="00D36C85"/>
    <w:rsid w:val="00D37926"/>
    <w:rsid w:val="00D86BBE"/>
    <w:rsid w:val="00DA69B2"/>
    <w:rsid w:val="00DB4F30"/>
    <w:rsid w:val="00DF3161"/>
    <w:rsid w:val="00E026AB"/>
    <w:rsid w:val="00E05979"/>
    <w:rsid w:val="00E06AF7"/>
    <w:rsid w:val="00E11653"/>
    <w:rsid w:val="00E25EF5"/>
    <w:rsid w:val="00E36B3F"/>
    <w:rsid w:val="00E44C25"/>
    <w:rsid w:val="00E600B6"/>
    <w:rsid w:val="00E63178"/>
    <w:rsid w:val="00E656E8"/>
    <w:rsid w:val="00E71ED1"/>
    <w:rsid w:val="00E72BC2"/>
    <w:rsid w:val="00E77070"/>
    <w:rsid w:val="00E8211A"/>
    <w:rsid w:val="00E872D0"/>
    <w:rsid w:val="00E90B4D"/>
    <w:rsid w:val="00E9790B"/>
    <w:rsid w:val="00EA2364"/>
    <w:rsid w:val="00EA53DB"/>
    <w:rsid w:val="00EB227A"/>
    <w:rsid w:val="00EB38C7"/>
    <w:rsid w:val="00EB65BD"/>
    <w:rsid w:val="00EC010E"/>
    <w:rsid w:val="00EE3ED3"/>
    <w:rsid w:val="00EE46D0"/>
    <w:rsid w:val="00EF2AB6"/>
    <w:rsid w:val="00EF3B22"/>
    <w:rsid w:val="00EF408B"/>
    <w:rsid w:val="00F17BE3"/>
    <w:rsid w:val="00F33056"/>
    <w:rsid w:val="00F43404"/>
    <w:rsid w:val="00F44C55"/>
    <w:rsid w:val="00F50790"/>
    <w:rsid w:val="00F558E7"/>
    <w:rsid w:val="00F6331D"/>
    <w:rsid w:val="00F738D5"/>
    <w:rsid w:val="00F76841"/>
    <w:rsid w:val="00F8287F"/>
    <w:rsid w:val="00F90258"/>
    <w:rsid w:val="00F93672"/>
    <w:rsid w:val="00FA24D1"/>
    <w:rsid w:val="00FB520F"/>
    <w:rsid w:val="00FD64C2"/>
    <w:rsid w:val="00FD7014"/>
    <w:rsid w:val="00FD7357"/>
    <w:rsid w:val="01B34E22"/>
    <w:rsid w:val="02CE17E8"/>
    <w:rsid w:val="03AF33C7"/>
    <w:rsid w:val="04D72BD5"/>
    <w:rsid w:val="05234C3E"/>
    <w:rsid w:val="05316A5B"/>
    <w:rsid w:val="056D7096"/>
    <w:rsid w:val="063E3A7B"/>
    <w:rsid w:val="06687794"/>
    <w:rsid w:val="071719AF"/>
    <w:rsid w:val="072C1D39"/>
    <w:rsid w:val="07996868"/>
    <w:rsid w:val="09905A49"/>
    <w:rsid w:val="0A0E11EE"/>
    <w:rsid w:val="0C1D1FA2"/>
    <w:rsid w:val="0C71390F"/>
    <w:rsid w:val="0C755D0D"/>
    <w:rsid w:val="0C7E15E4"/>
    <w:rsid w:val="0C8278CB"/>
    <w:rsid w:val="0D442DD2"/>
    <w:rsid w:val="0D470B14"/>
    <w:rsid w:val="0DB55A7E"/>
    <w:rsid w:val="0DFD0315"/>
    <w:rsid w:val="0E567261"/>
    <w:rsid w:val="0EED1247"/>
    <w:rsid w:val="0FEB39D9"/>
    <w:rsid w:val="0FF46D31"/>
    <w:rsid w:val="112278CE"/>
    <w:rsid w:val="12105979"/>
    <w:rsid w:val="12A8795F"/>
    <w:rsid w:val="13180F89"/>
    <w:rsid w:val="13B80076"/>
    <w:rsid w:val="142179C9"/>
    <w:rsid w:val="144E2002"/>
    <w:rsid w:val="14B52807"/>
    <w:rsid w:val="15746E05"/>
    <w:rsid w:val="16023694"/>
    <w:rsid w:val="169F551D"/>
    <w:rsid w:val="17025F0C"/>
    <w:rsid w:val="1915708E"/>
    <w:rsid w:val="19355CC5"/>
    <w:rsid w:val="193776CF"/>
    <w:rsid w:val="195F2D42"/>
    <w:rsid w:val="1A393593"/>
    <w:rsid w:val="1A827396"/>
    <w:rsid w:val="1AC509AC"/>
    <w:rsid w:val="1B8B42C2"/>
    <w:rsid w:val="1CA13A92"/>
    <w:rsid w:val="1CAC31A1"/>
    <w:rsid w:val="1E737BE5"/>
    <w:rsid w:val="1ED3045A"/>
    <w:rsid w:val="1F120F82"/>
    <w:rsid w:val="1FC41B50"/>
    <w:rsid w:val="20D3012A"/>
    <w:rsid w:val="211D776A"/>
    <w:rsid w:val="21585494"/>
    <w:rsid w:val="226E2973"/>
    <w:rsid w:val="227E692E"/>
    <w:rsid w:val="23C50B92"/>
    <w:rsid w:val="23DD1433"/>
    <w:rsid w:val="242157C3"/>
    <w:rsid w:val="24570714"/>
    <w:rsid w:val="24743B45"/>
    <w:rsid w:val="247C6E9E"/>
    <w:rsid w:val="24DC16EA"/>
    <w:rsid w:val="254617E5"/>
    <w:rsid w:val="25D52D09"/>
    <w:rsid w:val="27483067"/>
    <w:rsid w:val="27C070A1"/>
    <w:rsid w:val="27F51A4F"/>
    <w:rsid w:val="28A45831"/>
    <w:rsid w:val="28CF3A40"/>
    <w:rsid w:val="2948057D"/>
    <w:rsid w:val="29824F56"/>
    <w:rsid w:val="29A50527"/>
    <w:rsid w:val="29EC6874"/>
    <w:rsid w:val="2A383867"/>
    <w:rsid w:val="2A41271B"/>
    <w:rsid w:val="2A6F342B"/>
    <w:rsid w:val="2A895E70"/>
    <w:rsid w:val="2AE15CAC"/>
    <w:rsid w:val="2B4C75CA"/>
    <w:rsid w:val="2CCD0296"/>
    <w:rsid w:val="2CCF3FA6"/>
    <w:rsid w:val="2D23435A"/>
    <w:rsid w:val="2D9139BA"/>
    <w:rsid w:val="2E05627E"/>
    <w:rsid w:val="2E516CA5"/>
    <w:rsid w:val="2E6115DE"/>
    <w:rsid w:val="30CC7A3E"/>
    <w:rsid w:val="31D062D9"/>
    <w:rsid w:val="326E6078"/>
    <w:rsid w:val="32D35D4B"/>
    <w:rsid w:val="33D07B64"/>
    <w:rsid w:val="34B31083"/>
    <w:rsid w:val="380401B7"/>
    <w:rsid w:val="382673F4"/>
    <w:rsid w:val="39693D6F"/>
    <w:rsid w:val="39DF5AAD"/>
    <w:rsid w:val="3A2417C5"/>
    <w:rsid w:val="3B245879"/>
    <w:rsid w:val="3B4F4D37"/>
    <w:rsid w:val="3BD078B3"/>
    <w:rsid w:val="3C6A11AE"/>
    <w:rsid w:val="3CE87565"/>
    <w:rsid w:val="3D2863BA"/>
    <w:rsid w:val="3D2D37CE"/>
    <w:rsid w:val="3D5669D9"/>
    <w:rsid w:val="3DA70690"/>
    <w:rsid w:val="3E4E139B"/>
    <w:rsid w:val="3E7569E0"/>
    <w:rsid w:val="3EA33963"/>
    <w:rsid w:val="3F9115F7"/>
    <w:rsid w:val="3FB83028"/>
    <w:rsid w:val="3FCD761C"/>
    <w:rsid w:val="40324B88"/>
    <w:rsid w:val="4145643D"/>
    <w:rsid w:val="41D02A92"/>
    <w:rsid w:val="42071629"/>
    <w:rsid w:val="43A17A6C"/>
    <w:rsid w:val="444906F3"/>
    <w:rsid w:val="45E03569"/>
    <w:rsid w:val="47262F6D"/>
    <w:rsid w:val="47411C12"/>
    <w:rsid w:val="47D66741"/>
    <w:rsid w:val="48C26CC5"/>
    <w:rsid w:val="49942410"/>
    <w:rsid w:val="4A4C6847"/>
    <w:rsid w:val="4C0118B3"/>
    <w:rsid w:val="4CE23492"/>
    <w:rsid w:val="4D5048A0"/>
    <w:rsid w:val="4E4D39E3"/>
    <w:rsid w:val="4EAB0BAB"/>
    <w:rsid w:val="4FD90AF0"/>
    <w:rsid w:val="50993DD0"/>
    <w:rsid w:val="50B96C00"/>
    <w:rsid w:val="515406D7"/>
    <w:rsid w:val="54BC0A6D"/>
    <w:rsid w:val="557C7187"/>
    <w:rsid w:val="58735FD7"/>
    <w:rsid w:val="58E76403"/>
    <w:rsid w:val="598853FF"/>
    <w:rsid w:val="59F20A8D"/>
    <w:rsid w:val="5A8D34C9"/>
    <w:rsid w:val="5A8F3564"/>
    <w:rsid w:val="5AF02FEA"/>
    <w:rsid w:val="5C891B7C"/>
    <w:rsid w:val="5D6E241A"/>
    <w:rsid w:val="5F043CEF"/>
    <w:rsid w:val="5FA16CA8"/>
    <w:rsid w:val="5FAD7930"/>
    <w:rsid w:val="615653C7"/>
    <w:rsid w:val="61D03838"/>
    <w:rsid w:val="63274F9F"/>
    <w:rsid w:val="63693162"/>
    <w:rsid w:val="63807109"/>
    <w:rsid w:val="64403171"/>
    <w:rsid w:val="65BF0E1B"/>
    <w:rsid w:val="65E43BC0"/>
    <w:rsid w:val="67B6134C"/>
    <w:rsid w:val="691F416D"/>
    <w:rsid w:val="694D1C86"/>
    <w:rsid w:val="69831177"/>
    <w:rsid w:val="6A0E6814"/>
    <w:rsid w:val="6A1F142A"/>
    <w:rsid w:val="6B4F5D3F"/>
    <w:rsid w:val="6BAF67DE"/>
    <w:rsid w:val="6BC73B27"/>
    <w:rsid w:val="6D1159A2"/>
    <w:rsid w:val="6D2154B9"/>
    <w:rsid w:val="6E4F0B96"/>
    <w:rsid w:val="6F834209"/>
    <w:rsid w:val="6FE23626"/>
    <w:rsid w:val="706C7393"/>
    <w:rsid w:val="70757FF6"/>
    <w:rsid w:val="721A6198"/>
    <w:rsid w:val="72585F86"/>
    <w:rsid w:val="72CC074D"/>
    <w:rsid w:val="72E70F53"/>
    <w:rsid w:val="73137F9A"/>
    <w:rsid w:val="73797DFD"/>
    <w:rsid w:val="746C1710"/>
    <w:rsid w:val="74AE1D28"/>
    <w:rsid w:val="77846D70"/>
    <w:rsid w:val="77E51524"/>
    <w:rsid w:val="7A6C06BC"/>
    <w:rsid w:val="7AF86381"/>
    <w:rsid w:val="7B247B1D"/>
    <w:rsid w:val="7B412FB5"/>
    <w:rsid w:val="7B4C229B"/>
    <w:rsid w:val="7C8141C6"/>
    <w:rsid w:val="7CC61B54"/>
    <w:rsid w:val="7D026EE0"/>
    <w:rsid w:val="7D3B6123"/>
    <w:rsid w:val="7D902913"/>
    <w:rsid w:val="7DC205F3"/>
    <w:rsid w:val="7E000C55"/>
    <w:rsid w:val="7E5A082B"/>
    <w:rsid w:val="7EE22F44"/>
    <w:rsid w:val="7FBB6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next w:val="3"/>
    <w:link w:val="14"/>
    <w:qFormat/>
    <w:uiPriority w:val="0"/>
    <w:pPr>
      <w:widowControl w:val="0"/>
    </w:pPr>
    <w:rPr>
      <w:rFonts w:ascii="Times New Roman" w:hAnsi="Times New Roman" w:eastAsia="宋体" w:cs="Times New Roman"/>
      <w:kern w:val="2"/>
      <w:sz w:val="21"/>
      <w:szCs w:val="21"/>
      <w:lang w:val="en-US" w:eastAsia="zh-CN"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Date"/>
    <w:basedOn w:val="1"/>
    <w:next w:val="1"/>
    <w:qFormat/>
    <w:uiPriority w:val="0"/>
    <w:rPr>
      <w:rFonts w:ascii="Times New Roman" w:hAnsi="Times New Roman" w:eastAsia="楷体_GB2312" w:cs="Times New Roman"/>
      <w:sz w:val="32"/>
      <w:szCs w:val="20"/>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Normal (Web)"/>
    <w:basedOn w:val="1"/>
    <w:qFormat/>
    <w:uiPriority w:val="0"/>
    <w:pPr>
      <w:spacing w:before="100" w:beforeAutospacing="1" w:after="100" w:afterAutospacing="1"/>
      <w:jc w:val="left"/>
    </w:pPr>
    <w:rPr>
      <w:rFonts w:ascii="Calibri" w:hAnsi="Calibri" w:eastAsia="宋体" w:cs="Times New Roman"/>
      <w:kern w:val="0"/>
      <w:sz w:val="24"/>
    </w:rPr>
  </w:style>
  <w:style w:type="character" w:styleId="9">
    <w:name w:val="page number"/>
    <w:basedOn w:val="8"/>
    <w:qFormat/>
    <w:uiPriority w:val="0"/>
  </w:style>
  <w:style w:type="character" w:styleId="10">
    <w:name w:val="FollowedHyperlink"/>
    <w:basedOn w:val="8"/>
    <w:unhideWhenUsed/>
    <w:qFormat/>
    <w:uiPriority w:val="99"/>
    <w:rPr>
      <w:color w:val="800080"/>
      <w:u w:val="single"/>
    </w:rPr>
  </w:style>
  <w:style w:type="character" w:styleId="11">
    <w:name w:val="Hyperlink"/>
    <w:basedOn w:val="8"/>
    <w:unhideWhenUsed/>
    <w:qFormat/>
    <w:uiPriority w:val="99"/>
    <w:rPr>
      <w:color w:val="0000FF"/>
      <w:u w:val="single"/>
    </w:rPr>
  </w:style>
  <w:style w:type="paragraph" w:customStyle="1" w:styleId="12">
    <w:name w:val="列出段落1"/>
    <w:basedOn w:val="1"/>
    <w:qFormat/>
    <w:uiPriority w:val="0"/>
    <w:pPr>
      <w:ind w:firstLine="420" w:firstLineChars="200"/>
    </w:pPr>
    <w:rPr>
      <w:rFonts w:ascii="Calibri" w:hAnsi="Calibri" w:eastAsia="仿宋" w:cs="Times New Roman"/>
      <w:sz w:val="32"/>
      <w:szCs w:val="22"/>
    </w:rPr>
  </w:style>
  <w:style w:type="paragraph" w:customStyle="1" w:styleId="13">
    <w:name w:val="_Style 1"/>
    <w:basedOn w:val="1"/>
    <w:qFormat/>
    <w:uiPriority w:val="34"/>
    <w:pPr>
      <w:ind w:firstLine="420" w:firstLineChars="200"/>
    </w:pPr>
  </w:style>
  <w:style w:type="character" w:customStyle="1" w:styleId="14">
    <w:name w:val="批注文字 Char"/>
    <w:basedOn w:val="8"/>
    <w:link w:val="2"/>
    <w:qFormat/>
    <w:uiPriority w:val="0"/>
    <w:rPr>
      <w:kern w:val="2"/>
      <w:sz w:val="21"/>
      <w:szCs w:val="21"/>
    </w:rPr>
  </w:style>
  <w:style w:type="paragraph" w:styleId="15">
    <w:name w:val="List Paragraph"/>
    <w:basedOn w:val="1"/>
    <w:unhideWhenUsed/>
    <w:qFormat/>
    <w:uiPriority w:val="99"/>
    <w:pPr>
      <w:ind w:firstLine="420" w:firstLineChars="200"/>
    </w:pPr>
  </w:style>
  <w:style w:type="paragraph" w:customStyle="1" w:styleId="16">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7">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8">
    <w:name w:val="font7"/>
    <w:basedOn w:val="1"/>
    <w:qFormat/>
    <w:uiPriority w:val="0"/>
    <w:pPr>
      <w:widowControl/>
      <w:spacing w:before="100" w:beforeAutospacing="1" w:after="100" w:afterAutospacing="1"/>
      <w:jc w:val="left"/>
    </w:pPr>
    <w:rPr>
      <w:rFonts w:ascii="宋体" w:hAnsi="宋体" w:eastAsia="宋体" w:cs="宋体"/>
      <w:kern w:val="0"/>
      <w:sz w:val="28"/>
      <w:szCs w:val="28"/>
    </w:rPr>
  </w:style>
  <w:style w:type="paragraph" w:customStyle="1" w:styleId="19">
    <w:name w:val="xl65"/>
    <w:basedOn w:val="1"/>
    <w:qFormat/>
    <w:uiPriority w:val="0"/>
    <w:pPr>
      <w:widowControl/>
      <w:spacing w:before="100" w:beforeAutospacing="1" w:after="100" w:afterAutospacing="1"/>
      <w:jc w:val="left"/>
    </w:pPr>
    <w:rPr>
      <w:rFonts w:ascii="宋体" w:hAnsi="宋体" w:eastAsia="宋体" w:cs="宋体"/>
      <w:color w:val="FF0000"/>
      <w:kern w:val="0"/>
      <w:sz w:val="24"/>
    </w:rPr>
  </w:style>
  <w:style w:type="paragraph" w:customStyle="1" w:styleId="20">
    <w:name w:val="xl66"/>
    <w:basedOn w:val="1"/>
    <w:qFormat/>
    <w:uiPriority w:val="0"/>
    <w:pPr>
      <w:widowControl/>
      <w:spacing w:before="100" w:beforeAutospacing="1" w:after="100" w:afterAutospacing="1"/>
      <w:jc w:val="left"/>
      <w:textAlignment w:val="center"/>
    </w:pPr>
    <w:rPr>
      <w:rFonts w:ascii="宋体" w:hAnsi="宋体" w:eastAsia="宋体" w:cs="宋体"/>
      <w:kern w:val="0"/>
      <w:sz w:val="24"/>
    </w:rPr>
  </w:style>
  <w:style w:type="paragraph" w:customStyle="1" w:styleId="21">
    <w:name w:val="xl67"/>
    <w:basedOn w:val="1"/>
    <w:qFormat/>
    <w:uiPriority w:val="0"/>
    <w:pPr>
      <w:widowControl/>
      <w:spacing w:before="100" w:beforeAutospacing="1" w:after="100" w:afterAutospacing="1"/>
      <w:jc w:val="left"/>
    </w:pPr>
    <w:rPr>
      <w:rFonts w:ascii="宋体" w:hAnsi="宋体" w:eastAsia="宋体" w:cs="宋体"/>
      <w:color w:val="FF0000"/>
      <w:kern w:val="0"/>
      <w:sz w:val="24"/>
    </w:rPr>
  </w:style>
  <w:style w:type="paragraph" w:customStyle="1" w:styleId="22">
    <w:name w:val="xl68"/>
    <w:basedOn w:val="1"/>
    <w:qFormat/>
    <w:uiPriority w:val="0"/>
    <w:pPr>
      <w:widowControl/>
      <w:spacing w:before="100" w:beforeAutospacing="1" w:after="100" w:afterAutospacing="1"/>
      <w:jc w:val="center"/>
    </w:pPr>
    <w:rPr>
      <w:rFonts w:ascii="宋体" w:hAnsi="宋体" w:eastAsia="宋体" w:cs="宋体"/>
      <w:kern w:val="0"/>
      <w:sz w:val="24"/>
    </w:rPr>
  </w:style>
  <w:style w:type="paragraph" w:customStyle="1" w:styleId="23">
    <w:name w:val="xl69"/>
    <w:basedOn w:val="1"/>
    <w:qFormat/>
    <w:uiPriority w:val="0"/>
    <w:pPr>
      <w:widowControl/>
      <w:spacing w:before="100" w:beforeAutospacing="1" w:after="100" w:afterAutospacing="1"/>
      <w:jc w:val="center"/>
      <w:textAlignment w:val="center"/>
    </w:pPr>
    <w:rPr>
      <w:rFonts w:ascii="宋体" w:hAnsi="宋体" w:eastAsia="宋体" w:cs="宋体"/>
      <w:kern w:val="0"/>
      <w:sz w:val="28"/>
      <w:szCs w:val="28"/>
    </w:rPr>
  </w:style>
  <w:style w:type="paragraph" w:customStyle="1" w:styleId="24">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rPr>
  </w:style>
  <w:style w:type="paragraph" w:customStyle="1" w:styleId="2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rPr>
  </w:style>
  <w:style w:type="paragraph" w:customStyle="1" w:styleId="2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24"/>
    </w:rPr>
  </w:style>
  <w:style w:type="paragraph" w:customStyle="1" w:styleId="2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4"/>
    </w:rPr>
  </w:style>
  <w:style w:type="paragraph" w:customStyle="1" w:styleId="28">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4"/>
    </w:rPr>
  </w:style>
  <w:style w:type="paragraph" w:customStyle="1" w:styleId="29">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24"/>
    </w:rPr>
  </w:style>
  <w:style w:type="paragraph" w:customStyle="1" w:styleId="3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4"/>
    </w:rPr>
  </w:style>
  <w:style w:type="paragraph" w:customStyle="1" w:styleId="31">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color w:val="000000"/>
      <w:kern w:val="0"/>
      <w:sz w:val="20"/>
      <w:szCs w:val="20"/>
    </w:rPr>
  </w:style>
  <w:style w:type="paragraph" w:customStyle="1" w:styleId="32">
    <w:name w:val="Table Text"/>
    <w:basedOn w:val="1"/>
    <w:semiHidden/>
    <w:qFormat/>
    <w:uiPriority w:val="0"/>
    <w:rPr>
      <w:rFonts w:ascii="FangSong_GB2312" w:hAnsi="FangSong_GB2312" w:eastAsia="FangSong_GB2312" w:cs="FangSong_GB2312"/>
      <w:sz w:val="19"/>
      <w:szCs w:val="19"/>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2B4CAC-08C3-4500-B7ED-9B7513748AC5}">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3919</Words>
  <Characters>4085</Characters>
  <Lines>115</Lines>
  <Paragraphs>32</Paragraphs>
  <TotalTime>5</TotalTime>
  <ScaleCrop>false</ScaleCrop>
  <LinksUpToDate>false</LinksUpToDate>
  <CharactersWithSpaces>4167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2023-12-28T01:01:00Z</dcterms:created>
  <dc:creator>Administrator</dc:creator>
  <cp:lastModifiedBy>丹丹</cp:lastModifiedBy>
  <cp:lastPrinted>2026-03-06T00:34:00Z</cp:lastPrinted>
  <dcterms:modified xsi:type="dcterms:W3CDTF">2026-03-10T00:54:15Z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E36258E9C60749EB93A3EE22DB9C0496_13</vt:lpwstr>
  </property>
  <property fmtid="{D5CDD505-2E9C-101B-9397-08002B2CF9AE}" pid="4" name="KSOTemplateDocerSaveRecord">
    <vt:lpwstr>eyJoZGlkIjoiYTk3MzJiOTdlM2ZhOTEzMmY0YTk0ZGE0NDA3MWU3YWEiLCJ1c2VySWQiOiIzNTIyODA2ODcifQ==</vt:lpwstr>
  </property>
</Properties>
</file>