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FBD61">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spacing w:val="-11"/>
          <w:sz w:val="32"/>
          <w:szCs w:val="32"/>
          <w:lang w:val="en-US" w:eastAsia="zh-CN"/>
        </w:rPr>
      </w:pPr>
    </w:p>
    <w:p w14:paraId="488EEBA9">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default" w:ascii="仿宋_GB2312" w:hAnsi="仿宋_GB2312" w:eastAsia="仿宋_GB2312" w:cs="仿宋_GB2312"/>
          <w:b w:val="0"/>
          <w:bCs w:val="0"/>
          <w:spacing w:val="-11"/>
          <w:sz w:val="32"/>
          <w:szCs w:val="32"/>
          <w:lang w:val="en-US" w:eastAsia="zh-CN"/>
        </w:rPr>
      </w:pPr>
      <w:r>
        <w:rPr>
          <w:rFonts w:hint="eastAsia" w:ascii="仿宋_GB2312" w:hAnsi="仿宋_GB2312" w:eastAsia="仿宋_GB2312" w:cs="仿宋_GB2312"/>
          <w:b w:val="0"/>
          <w:bCs w:val="0"/>
          <w:spacing w:val="-11"/>
          <w:sz w:val="32"/>
          <w:szCs w:val="32"/>
          <w:lang w:val="en-US" w:eastAsia="zh-CN"/>
        </w:rPr>
        <w:t>附件：</w:t>
      </w:r>
    </w:p>
    <w:p w14:paraId="7E296838">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spacing w:val="-11"/>
          <w:sz w:val="32"/>
          <w:szCs w:val="32"/>
          <w:lang w:val="en-US" w:eastAsia="zh-CN"/>
        </w:rPr>
      </w:pPr>
    </w:p>
    <w:p w14:paraId="10674FF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b w:val="0"/>
          <w:bCs w:val="0"/>
          <w:color w:val="000000" w:themeColor="text1"/>
          <w:spacing w:val="-11"/>
          <w:sz w:val="44"/>
          <w:szCs w:val="44"/>
          <w:lang w:val="en-US" w:eastAsia="zh-CN"/>
          <w14:textFill>
            <w14:solidFill>
              <w14:schemeClr w14:val="tx1"/>
            </w14:solidFill>
          </w14:textFill>
        </w:rPr>
        <w:t>闽侯县免除基本殡葬服务费实施方案</w:t>
      </w:r>
      <w:bookmarkEnd w:id="0"/>
    </w:p>
    <w:p w14:paraId="2795A2C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85D9F1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进一步健全殡葬基本服务保障制度，全面推行惠民殡葬政策，促进我县殡葬基本公共服务均等化，切实减轻群众丧事负担，进一步深化殡葬改革，根据民政部关于印发《关于进一步推动殡葬改革促进殡葬事业发展的指导意见》的通知（民发〔2018〕5号）、福州市人民政府办公厅《关于印发福州市免除基本殡葬服务费实施方案的通知》（榕政办〔2019〕69号）等有关文件精神，结合我县实际，决定对现有免除殡葬基本服务费用政策进行调整。现将有关事项通知如下：</w:t>
      </w:r>
    </w:p>
    <w:p w14:paraId="3836C38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一、免除对象</w:t>
      </w:r>
    </w:p>
    <w:p w14:paraId="34924D9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由闽侯县殡仪馆承办遗体接运、冷藏存放、火化和骨灰寄存的死亡人员，生前为：</w:t>
      </w:r>
    </w:p>
    <w:p w14:paraId="138DE6C5">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闽侯县户籍的城乡居民；</w:t>
      </w:r>
    </w:p>
    <w:p w14:paraId="7825256E">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驻闽侯县的部队现役军人，在闽侯县大中专院校就学的全日制非闽侯户籍学生；</w:t>
      </w:r>
    </w:p>
    <w:p w14:paraId="0C659C2C">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在闽侯县居住并取得《居住证》的非闽侯户籍人员；</w:t>
      </w:r>
    </w:p>
    <w:p w14:paraId="46CA5715">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因突发公共事件在闽侯辖区死亡的非闽侯户籍人员；</w:t>
      </w:r>
    </w:p>
    <w:p w14:paraId="66E7C53A">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经公安机关出具证明允许火化的无名尸体、刑事案件涉案尸体。</w:t>
      </w:r>
    </w:p>
    <w:p w14:paraId="733065D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二、免除项目及标准</w:t>
      </w:r>
    </w:p>
    <w:tbl>
      <w:tblPr>
        <w:tblStyle w:val="14"/>
        <w:tblW w:w="88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25"/>
        <w:gridCol w:w="2314"/>
        <w:gridCol w:w="1841"/>
        <w:gridCol w:w="3856"/>
      </w:tblGrid>
      <w:tr w14:paraId="31682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blHeader/>
        </w:trPr>
        <w:tc>
          <w:tcPr>
            <w:tcW w:w="825"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7C2C46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序号</w:t>
            </w:r>
          </w:p>
        </w:tc>
        <w:tc>
          <w:tcPr>
            <w:tcW w:w="2314"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6A0275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免除项目</w:t>
            </w:r>
          </w:p>
        </w:tc>
        <w:tc>
          <w:tcPr>
            <w:tcW w:w="1841"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5A7BE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标准/金额</w:t>
            </w:r>
          </w:p>
        </w:tc>
        <w:tc>
          <w:tcPr>
            <w:tcW w:w="3856"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1D46DF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备注说明</w:t>
            </w:r>
          </w:p>
        </w:tc>
      </w:tr>
      <w:tr w14:paraId="76B4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3AAF8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1</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4DEBB3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遗体火化费</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4A3D8D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380元/具</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2067B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使用普通火化炉</w:t>
            </w:r>
          </w:p>
        </w:tc>
      </w:tr>
      <w:tr w14:paraId="3382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3DA859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2</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14B0CA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遗体接运费</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E2F7E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380元/具</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C25D5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全县范围内普通殡仪车，含抬尸、消毒</w:t>
            </w:r>
          </w:p>
        </w:tc>
      </w:tr>
      <w:tr w14:paraId="5EB2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4BEED6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3</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2E80A0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遗体存放费（冷藏72小时以内）</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1756C1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360元（上限）</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7E901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存放3天以内，每天120元，按实际时间结算</w:t>
            </w:r>
          </w:p>
        </w:tc>
      </w:tr>
      <w:tr w14:paraId="27F83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2CCE68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4</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777485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骨灰寄存费</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4FF06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30元/年</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A2E89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限寄存县殡仪馆内，一年以内</w:t>
            </w:r>
          </w:p>
        </w:tc>
      </w:tr>
      <w:tr w14:paraId="60AB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655B70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5</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6EFCBF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遗体普通卫生床（棺）费</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41C220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280元/具</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14DA15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超出部分由丧属自行承担</w:t>
            </w:r>
          </w:p>
        </w:tc>
      </w:tr>
      <w:tr w14:paraId="6CC0A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25"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09313B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6</w:t>
            </w:r>
          </w:p>
        </w:tc>
        <w:tc>
          <w:tcPr>
            <w:tcW w:w="2314"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2F285A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骨灰盒</w:t>
            </w:r>
          </w:p>
        </w:tc>
        <w:tc>
          <w:tcPr>
            <w:tcW w:w="1841"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6D4450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180元/个</w:t>
            </w:r>
          </w:p>
        </w:tc>
        <w:tc>
          <w:tcPr>
            <w:tcW w:w="3856" w:type="dxa"/>
            <w:tcBorders>
              <w:top w:val="single" w:color="DEE0E3" w:sz="6" w:space="0"/>
              <w:left w:val="single" w:color="DEE0E3" w:sz="6" w:space="0"/>
              <w:bottom w:val="single" w:color="DEE0E3" w:sz="6" w:space="0"/>
              <w:right w:val="single" w:color="DEE0E3" w:sz="6" w:space="0"/>
            </w:tcBorders>
            <w:shd w:val="clear" w:color="auto" w:fill="auto"/>
            <w:tcMar>
              <w:top w:w="120" w:type="dxa"/>
              <w:left w:w="120" w:type="dxa"/>
              <w:bottom w:w="120" w:type="dxa"/>
              <w:right w:w="120" w:type="dxa"/>
            </w:tcMar>
            <w:vAlign w:val="center"/>
          </w:tcPr>
          <w:p w14:paraId="544E4C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超出部分由丧属自行承担</w:t>
            </w:r>
          </w:p>
        </w:tc>
      </w:tr>
    </w:tbl>
    <w:p w14:paraId="17CB7972">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7.无名尸体的遗体由公安部门处置，在县殡仪馆办理费用免除手续，免除金额按实结算</w:t>
      </w:r>
    </w:p>
    <w:p w14:paraId="49F506C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8.殡葬基本服务费免除项目标准实行动态管理，按照县发改局核准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的收费标准</w:t>
      </w:r>
      <w:r>
        <w:rPr>
          <w:rFonts w:hint="eastAsia" w:ascii="仿宋_GB2312" w:hAnsi="仿宋_GB2312" w:eastAsia="仿宋_GB2312" w:cs="仿宋_GB2312"/>
          <w:sz w:val="32"/>
          <w:szCs w:val="32"/>
          <w:lang w:val="en-US" w:eastAsia="zh-CN"/>
        </w:rPr>
        <w:t>执行，不再另行发文。</w:t>
      </w:r>
    </w:p>
    <w:p w14:paraId="20AA570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9.常住人口（不含公安部门处置的无名尸体）最高免费金额：1610元/人。</w:t>
      </w:r>
    </w:p>
    <w:p w14:paraId="438DF12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lang w:val="en-US" w:eastAsia="zh-CN"/>
        </w:rPr>
        <w:t>三、办理流程</w:t>
      </w:r>
    </w:p>
    <w:p w14:paraId="1B6FB11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免除条件的，丧属直系亲属或经丧属直系亲属委托的丧事承办人，凭医疗机构出具的《居民死亡医学推断书》或公安机关出具的《死亡证明书》，到辖区村（居）委会领取《闽侯县免除殡葬基本服务费用申请表》并认真如实填写。对符合规定的，由村（居）委会盖章确认后到县殡仪馆办理相关火化手续，在结算丧事费时，由县殡仪馆直接免除其殡葬基本服务费用。办理应当提交以下有效证明材料：</w:t>
      </w:r>
    </w:p>
    <w:p w14:paraId="5CFE3AF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1.户口簿首页和逝者页原件及复印件一份（复印在同一张A4纸）；</w:t>
      </w:r>
    </w:p>
    <w:p w14:paraId="2937329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2.逝者身份证原件及复印件一份；</w:t>
      </w:r>
    </w:p>
    <w:p w14:paraId="7BF0FFAD">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3.丧事承办人身份证原件及复印件一份；</w:t>
      </w:r>
    </w:p>
    <w:p w14:paraId="088109C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4.死亡证明原件及复印件一份；</w:t>
      </w:r>
    </w:p>
    <w:p w14:paraId="267D916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5.逝者为</w:t>
      </w:r>
      <w:r>
        <w:rPr>
          <w:rFonts w:hint="eastAsia" w:ascii="仿宋_GB2312" w:hAnsi="仿宋_GB2312" w:eastAsia="仿宋_GB2312" w:cs="仿宋_GB2312"/>
          <w:i w:val="0"/>
          <w:iCs w:val="0"/>
          <w:caps w:val="0"/>
          <w:spacing w:val="0"/>
          <w:sz w:val="32"/>
          <w:szCs w:val="32"/>
          <w:shd w:val="clear"/>
        </w:rPr>
        <w:t>非闽侯县户籍人员</w:t>
      </w:r>
      <w:r>
        <w:rPr>
          <w:rFonts w:hint="eastAsia" w:ascii="仿宋_GB2312" w:hAnsi="仿宋_GB2312" w:eastAsia="仿宋_GB2312" w:cs="仿宋_GB2312"/>
          <w:sz w:val="32"/>
          <w:szCs w:val="32"/>
          <w:lang w:val="en-US" w:eastAsia="zh-CN"/>
        </w:rPr>
        <w:t>的，需提供闽侯县居住证和户口簿的原件及复印件一份；</w:t>
      </w:r>
    </w:p>
    <w:p w14:paraId="1890824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6.尚未登记户口的婴儿、公安机关经办处理的无名尸体需提供医院、公安等单位出具的有效证明材料；</w:t>
      </w:r>
    </w:p>
    <w:p w14:paraId="78A2B36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7.规范填写《闽侯县免除殡葬基本服务费用申请表、承诺书》一份。</w:t>
      </w:r>
    </w:p>
    <w:p w14:paraId="5DEBC59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四、资金安排和结算办法</w:t>
      </w:r>
    </w:p>
    <w:p w14:paraId="03BE3AFF">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（一）资金来源与预算</w:t>
      </w:r>
    </w:p>
    <w:p w14:paraId="141167DC">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免除的殡葬基本服务费用由县财政承担。按每年6‰的人口死亡率（县统计局2025年统计全县人口数据103.7万人×6‰＝6420人）、最高免费限额1610元的标准（按物价部门确定的收费标准）纳入财政预算管理，列入县民政局的年度预算，并根据免费对象数量增减和物价部门收费标准调整适时作出相应调整。</w:t>
      </w:r>
    </w:p>
    <w:p w14:paraId="67A93BA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（二）结算方式</w:t>
      </w:r>
    </w:p>
    <w:p w14:paraId="67291C63">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免除的殡葬基本服务费用按月结算。县殡仪馆应建立完整的财务管理制度，于每月5日前填报上一个月的殡葬基本服务费用结算清册（一式3份），并附带《闽侯县免除殡葬基本服务费用申请表》以及闽侯县殡仪馆殡仪服务费用清单（加盖闽侯县福闽殡仪馆有限公司公章），报县殡葬管理所审核，由县民政局在费用结算清册上签署审核意见加盖公章后按部门预算管理规定拨付。</w:t>
      </w:r>
    </w:p>
    <w:p w14:paraId="124C627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五、工作要求</w:t>
      </w:r>
    </w:p>
    <w:p w14:paraId="7398DA0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（一）提高认识，加强领导</w:t>
      </w:r>
    </w:p>
    <w:p w14:paraId="5AE7D58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全面推行免除殡葬基本服务费用制度，是一项保障基本民生、促进社会和谐的重要措施。各相关单位要高度重视，认真组织，坚决落实到位。</w:t>
      </w:r>
    </w:p>
    <w:p w14:paraId="6308FF5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（二）从严审核，确保无误</w:t>
      </w:r>
    </w:p>
    <w:p w14:paraId="083A6FB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居）委会应当做好审核工作，经办人审核时要对丧属提供的所有证件复印件与原件核对无误后，在《闽侯县免除殡葬基本服务费用申请表》上签注“逝者确系闽侯县户籍城乡居民（或为闽侯县常住登记人口）”，签字并盖村（居）委会公章，防止申请人伪造、变更或者冒用他人的身份证、证明材料等，确保人员身份信息准确无误。</w:t>
      </w:r>
    </w:p>
    <w:p w14:paraId="5199C7BD">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（三）遵守规定，严禁作假</w:t>
      </w:r>
    </w:p>
    <w:p w14:paraId="10B406F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免除对象应按规定进行火化，杜绝弄虚作假和虚报冒领现象。对免除过程中采取虚报、隐瞒、伪造等手段骗取免除费用的，由属地乡镇责令限期退还，并依法对相关人员予以处罚，情节严重的提请有权机关追究相关法律责任。</w:t>
      </w:r>
    </w:p>
    <w:p w14:paraId="5B3CD143">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（四）完善制度，规范管理</w:t>
      </w:r>
    </w:p>
    <w:p w14:paraId="268DB94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要严格按照免除对象和标准，规范免除费用的申请、审核、发放流程。加强档案管理工作，做到政策公开、程序规范、结果透明。</w:t>
      </w:r>
    </w:p>
    <w:p w14:paraId="512F0FC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（五）严格管理，提升服务</w:t>
      </w:r>
    </w:p>
    <w:p w14:paraId="4A46D993">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殡仪馆应认真做好各项宣传和服务工作，在醒目位置张贴免除殡葬基本服务费用的相关政策，公示免费项目价格和非免费项目价格，应完善规章制度，加强人员管理，提供优质服务。县殡仪馆应履行事先告知程序，向丧属明确告知免费项目以外所有服务项目的内容及收费标准；不得利用垄断地位高价销售配套产品搭售商品；不得捆绑销售，强迫或误导消费；不得以任何形式限制或拒绝使用丧属自带的非封建迷信殡葬用品；不得以不在县殡仪馆买丧葬用品为由降低服务标准；同类殡葬用品不得高于市场价；确保中低价位殡葬用品足量供应，满足群众多层次需求。</w:t>
      </w:r>
    </w:p>
    <w:p w14:paraId="30667542">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1.规范车辆调度</w:t>
      </w:r>
    </w:p>
    <w:p w14:paraId="3BF2258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应保障普通殡葬专用车7部，以确保正常运行。二是调度值班电话要按顺序做好预约登记工作。三是做好灵车派遣计划，车辆调配严格按照公司管理规定，除保留1部机动车外，其余6部车辆按顺序逐一调度。四是规范调度员服务，接听电话要详细耐心，确认调度内容准确无误；准确告知丧属候车时间、地点、注意事项。五是严禁调度人员与礼仪公司相互勾结，将丧属信息泄露给礼仪公司及以盈利为目的的个人，由此造成纠纷的，应追究相关人员责任。</w:t>
      </w:r>
    </w:p>
    <w:p w14:paraId="7D26521F">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2.提高服务质量</w:t>
      </w:r>
    </w:p>
    <w:p w14:paraId="30C956B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提升殡仪服务管理。工作人员应挂牌上岗，严格遵守操作规程，严守职业道德，不得粗暴搬运遗体，不得侮辱遗体，杜绝发生工作差错。在各个服务环节不得接受馈赠（钱物），杜绝“吃、拿、卡、要”等行为。二是加强火化车间管理。车间内除当班工作人员外，禁止无关人员入内；做到一炉一尸、一灰，每炉必清，按“先来后到”的原则火化遗体和办理手续（提前预约除外）；车间内的出入口、各窗口及出灰口必须安装监控设备。因不按操作规程操作，发生工作差错或因服务态度差和丧属发生矛盾，造成负面影响的，由工作人员承担后果并追究其责任。</w:t>
      </w:r>
    </w:p>
    <w:p w14:paraId="4FF08FA9">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3.加强日常管理</w:t>
      </w:r>
    </w:p>
    <w:p w14:paraId="152DA26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加强监控确保安全。在馆内重点地段、重点部位，尤其是各个门口、转弯、楼梯处以及骨灰进出口处等要安装监控设备，并确保监控设备处于开机使用状态。二是加强骨灰管理。骨灰寄存处要执行双人双锁制，保证定人、定锁责任制，上下班统一进出，防止抢夺骨灰事件发生。</w:t>
      </w:r>
    </w:p>
    <w:p w14:paraId="2E82E0EF">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六、其它事项</w:t>
      </w:r>
    </w:p>
    <w:p w14:paraId="70E0DFB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（一）本通知施行后，原闽侯县人民政府办公室《关于免除殡葬基本服务费用的通知》（侯政办〔2019〕39号）同时废止。</w:t>
      </w:r>
    </w:p>
    <w:p w14:paraId="19B87A8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（二）本通知在实施期间，由县民政局负责解释。</w:t>
      </w:r>
    </w:p>
    <w:p w14:paraId="148719A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（三）本通知自印发之日起实施，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有效期为5年</w:t>
      </w:r>
      <w:r>
        <w:rPr>
          <w:rFonts w:hint="eastAsia" w:ascii="仿宋_GB2312" w:hAnsi="仿宋_GB2312" w:eastAsia="仿宋_GB2312" w:cs="仿宋_GB2312"/>
          <w:sz w:val="32"/>
          <w:szCs w:val="32"/>
          <w:lang w:val="en-US" w:eastAsia="zh-CN"/>
        </w:rPr>
        <w:t>。</w:t>
      </w:r>
    </w:p>
    <w:p w14:paraId="18BC9F14">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rPr>
        <w:t>闽侯县免除殡葬基本服务费用</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承诺书</w:t>
      </w:r>
    </w:p>
    <w:p w14:paraId="3980994E">
      <w:pPr>
        <w:keepNext w:val="0"/>
        <w:keepLines w:val="0"/>
        <w:pageBreakBefore w:val="0"/>
        <w:kinsoku/>
        <w:wordWrap/>
        <w:overflowPunct/>
        <w:topLinePunct w:val="0"/>
        <w:autoSpaceDE/>
        <w:autoSpaceDN/>
        <w:bidi w:val="0"/>
        <w:adjustRightInd/>
        <w:snapToGrid/>
        <w:spacing w:line="560" w:lineRule="exact"/>
        <w:ind w:firstLine="1600" w:firstLineChars="500"/>
        <w:rPr>
          <w:rFonts w:hint="eastAsia" w:ascii="方正黑体_GBK" w:hAnsi="方正黑体_GBK" w:eastAsia="方正黑体_GBK" w:cs="方正黑体_GBK"/>
          <w:sz w:val="32"/>
          <w:szCs w:val="32"/>
          <w:shd w:val="clear" w:color="auto" w:fill="FFFFFF"/>
          <w:lang w:val="en-US" w:eastAsia="zh-CN"/>
        </w:rPr>
        <w:sectPr>
          <w:headerReference r:id="rId3" w:type="default"/>
          <w:footerReference r:id="rId4" w:type="default"/>
          <w:pgSz w:w="11906" w:h="16838"/>
          <w:pgMar w:top="1440" w:right="1587" w:bottom="1440" w:left="1587"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2.闽侯县免除殡葬基本服务费用结算清册</w:t>
      </w:r>
    </w:p>
    <w:p w14:paraId="000D0A54">
      <w:pPr>
        <w:pStyle w:val="6"/>
        <w:keepNext w:val="0"/>
        <w:keepLines w:val="0"/>
        <w:pageBreakBefore w:val="0"/>
        <w:kinsoku/>
        <w:wordWrap/>
        <w:overflowPunct/>
        <w:topLinePunct w:val="0"/>
        <w:autoSpaceDE/>
        <w:autoSpaceDN/>
        <w:bidi w:val="0"/>
        <w:adjustRightInd/>
        <w:spacing w:line="560" w:lineRule="exact"/>
        <w:ind w:left="0" w:leftChars="0" w:firstLine="0" w:firstLineChars="0"/>
        <w:rPr>
          <w:rFonts w:hint="eastAsia" w:ascii="方正黑体_GBK" w:hAnsi="方正黑体_GBK" w:eastAsia="方正黑体_GBK" w:cs="方正黑体_GBK"/>
          <w:sz w:val="32"/>
          <w:szCs w:val="32"/>
          <w:shd w:val="clear" w:color="auto" w:fill="FFFFFF"/>
          <w:lang w:val="en-US" w:eastAsia="zh-CN"/>
        </w:rPr>
      </w:pPr>
    </w:p>
    <w:sectPr>
      <w:footerReference r:id="rId5" w:type="default"/>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14E9C">
    <w:pPr>
      <w:pStyle w:val="9"/>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8729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18729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70C1E">
    <w:pPr>
      <w:pStyle w:val="9"/>
      <w:ind w:right="360"/>
      <w:rPr>
        <w:rFonts w:hint="eastAsia"/>
      </w:rPr>
    </w:pPr>
  </w:p>
  <w:p w14:paraId="4B9F78D9">
    <w:pPr>
      <w:pStyle w:val="9"/>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1C9C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B0B7F"/>
    <w:multiLevelType w:val="singleLevel"/>
    <w:tmpl w:val="A52B0B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iOWEyYmM1NTJiNzVlZTE0MGNjYjMxOTMwMjAzNWYifQ=="/>
  </w:docVars>
  <w:rsids>
    <w:rsidRoot w:val="001D7DF2"/>
    <w:rsid w:val="00021408"/>
    <w:rsid w:val="00163580"/>
    <w:rsid w:val="0017370B"/>
    <w:rsid w:val="001D7DF2"/>
    <w:rsid w:val="00232BB3"/>
    <w:rsid w:val="002443BB"/>
    <w:rsid w:val="002616BE"/>
    <w:rsid w:val="003F2295"/>
    <w:rsid w:val="003F6477"/>
    <w:rsid w:val="004B0922"/>
    <w:rsid w:val="00570297"/>
    <w:rsid w:val="00682959"/>
    <w:rsid w:val="006A1079"/>
    <w:rsid w:val="006D6275"/>
    <w:rsid w:val="00837AA7"/>
    <w:rsid w:val="00A84EF9"/>
    <w:rsid w:val="00AD38F1"/>
    <w:rsid w:val="00C32755"/>
    <w:rsid w:val="00C46961"/>
    <w:rsid w:val="00C5254E"/>
    <w:rsid w:val="00D3135C"/>
    <w:rsid w:val="00E04ED1"/>
    <w:rsid w:val="00E9711D"/>
    <w:rsid w:val="00EE69EA"/>
    <w:rsid w:val="01C32EC9"/>
    <w:rsid w:val="03E5499C"/>
    <w:rsid w:val="040F6C9C"/>
    <w:rsid w:val="04F11F83"/>
    <w:rsid w:val="05090911"/>
    <w:rsid w:val="0586026A"/>
    <w:rsid w:val="07921D5E"/>
    <w:rsid w:val="0A004281"/>
    <w:rsid w:val="0A797775"/>
    <w:rsid w:val="0AB90061"/>
    <w:rsid w:val="0BB72DD9"/>
    <w:rsid w:val="0BC06CF5"/>
    <w:rsid w:val="0CD05111"/>
    <w:rsid w:val="0D8D3F01"/>
    <w:rsid w:val="0DA109C3"/>
    <w:rsid w:val="0DC52D99"/>
    <w:rsid w:val="0E5471E1"/>
    <w:rsid w:val="0E96333F"/>
    <w:rsid w:val="0ED5252D"/>
    <w:rsid w:val="0F293D6D"/>
    <w:rsid w:val="0FBCCDD4"/>
    <w:rsid w:val="0FE32D76"/>
    <w:rsid w:val="11447E82"/>
    <w:rsid w:val="116705F3"/>
    <w:rsid w:val="11867AE0"/>
    <w:rsid w:val="121D1E44"/>
    <w:rsid w:val="13EE1CA5"/>
    <w:rsid w:val="165D0E88"/>
    <w:rsid w:val="16B94A49"/>
    <w:rsid w:val="16D55B8F"/>
    <w:rsid w:val="18D96A25"/>
    <w:rsid w:val="199A23E9"/>
    <w:rsid w:val="1BB36E25"/>
    <w:rsid w:val="1BEA723A"/>
    <w:rsid w:val="1C0166DD"/>
    <w:rsid w:val="1C207C94"/>
    <w:rsid w:val="1C902712"/>
    <w:rsid w:val="1D04432C"/>
    <w:rsid w:val="1D123A59"/>
    <w:rsid w:val="1D3166FE"/>
    <w:rsid w:val="1E224B88"/>
    <w:rsid w:val="1EDE5E84"/>
    <w:rsid w:val="1FB6A7F1"/>
    <w:rsid w:val="21C36564"/>
    <w:rsid w:val="228A3D70"/>
    <w:rsid w:val="22B72035"/>
    <w:rsid w:val="23E78FF7"/>
    <w:rsid w:val="24311EAA"/>
    <w:rsid w:val="24E9441D"/>
    <w:rsid w:val="276F7551"/>
    <w:rsid w:val="28520BC4"/>
    <w:rsid w:val="290C5867"/>
    <w:rsid w:val="29EE0554"/>
    <w:rsid w:val="2CE14FC5"/>
    <w:rsid w:val="2D487A54"/>
    <w:rsid w:val="2DD0172D"/>
    <w:rsid w:val="2DD347A7"/>
    <w:rsid w:val="2DED26C9"/>
    <w:rsid w:val="2ED26145"/>
    <w:rsid w:val="2F781D26"/>
    <w:rsid w:val="2FDF4CA9"/>
    <w:rsid w:val="314A2862"/>
    <w:rsid w:val="31911F8C"/>
    <w:rsid w:val="32B96CC9"/>
    <w:rsid w:val="32C9041C"/>
    <w:rsid w:val="3304078A"/>
    <w:rsid w:val="33605D91"/>
    <w:rsid w:val="336629E5"/>
    <w:rsid w:val="37B91BD5"/>
    <w:rsid w:val="3917790C"/>
    <w:rsid w:val="3A7C356E"/>
    <w:rsid w:val="3B052D1C"/>
    <w:rsid w:val="3B146F31"/>
    <w:rsid w:val="3B44537A"/>
    <w:rsid w:val="3B542C3A"/>
    <w:rsid w:val="3C2C1DFC"/>
    <w:rsid w:val="3EBB705C"/>
    <w:rsid w:val="3EF33793"/>
    <w:rsid w:val="3F2E5DF4"/>
    <w:rsid w:val="3FC120DA"/>
    <w:rsid w:val="3FCFD49A"/>
    <w:rsid w:val="403663D2"/>
    <w:rsid w:val="44557E88"/>
    <w:rsid w:val="44564BBE"/>
    <w:rsid w:val="45E23EA2"/>
    <w:rsid w:val="45EB1DEE"/>
    <w:rsid w:val="46B63871"/>
    <w:rsid w:val="476810D4"/>
    <w:rsid w:val="48091B95"/>
    <w:rsid w:val="480D2F09"/>
    <w:rsid w:val="49A34401"/>
    <w:rsid w:val="4AE812F2"/>
    <w:rsid w:val="4DEA3D4D"/>
    <w:rsid w:val="4E242655"/>
    <w:rsid w:val="4E957D3C"/>
    <w:rsid w:val="4ED7404F"/>
    <w:rsid w:val="4EED36D7"/>
    <w:rsid w:val="4EFC579A"/>
    <w:rsid w:val="4FFFF607"/>
    <w:rsid w:val="50162C96"/>
    <w:rsid w:val="51C370C5"/>
    <w:rsid w:val="52183ABE"/>
    <w:rsid w:val="52426CE1"/>
    <w:rsid w:val="5257222D"/>
    <w:rsid w:val="536A2FE1"/>
    <w:rsid w:val="54210AC1"/>
    <w:rsid w:val="55417A88"/>
    <w:rsid w:val="56001705"/>
    <w:rsid w:val="56310D74"/>
    <w:rsid w:val="567D051E"/>
    <w:rsid w:val="57B7005B"/>
    <w:rsid w:val="57F86838"/>
    <w:rsid w:val="59657925"/>
    <w:rsid w:val="5B30019B"/>
    <w:rsid w:val="5BCC33FD"/>
    <w:rsid w:val="5C3C6A7A"/>
    <w:rsid w:val="5CC9174E"/>
    <w:rsid w:val="5D204456"/>
    <w:rsid w:val="5D9E19AB"/>
    <w:rsid w:val="5F527772"/>
    <w:rsid w:val="607A6257"/>
    <w:rsid w:val="61111180"/>
    <w:rsid w:val="624C4AB4"/>
    <w:rsid w:val="62F56786"/>
    <w:rsid w:val="65423168"/>
    <w:rsid w:val="65D966B5"/>
    <w:rsid w:val="661F62B5"/>
    <w:rsid w:val="66604F23"/>
    <w:rsid w:val="67186AE0"/>
    <w:rsid w:val="672807A2"/>
    <w:rsid w:val="67E675AA"/>
    <w:rsid w:val="68373BF8"/>
    <w:rsid w:val="6A3870F3"/>
    <w:rsid w:val="6AEA60B6"/>
    <w:rsid w:val="6BD75F9D"/>
    <w:rsid w:val="6C795481"/>
    <w:rsid w:val="6D167D6B"/>
    <w:rsid w:val="6D1C18EE"/>
    <w:rsid w:val="6DA82CD3"/>
    <w:rsid w:val="6EE86439"/>
    <w:rsid w:val="6EF851D4"/>
    <w:rsid w:val="6EFDA5C3"/>
    <w:rsid w:val="6FF6A46C"/>
    <w:rsid w:val="6FFD27CB"/>
    <w:rsid w:val="6FFFE3FA"/>
    <w:rsid w:val="706C0300"/>
    <w:rsid w:val="707774D1"/>
    <w:rsid w:val="71BC264E"/>
    <w:rsid w:val="720D3A0A"/>
    <w:rsid w:val="721C533E"/>
    <w:rsid w:val="73E32E82"/>
    <w:rsid w:val="74034510"/>
    <w:rsid w:val="77F3045A"/>
    <w:rsid w:val="7A7D5EE5"/>
    <w:rsid w:val="7BABE34A"/>
    <w:rsid w:val="7C873840"/>
    <w:rsid w:val="7CFD8DDA"/>
    <w:rsid w:val="7D9D4079"/>
    <w:rsid w:val="7DBEC2B4"/>
    <w:rsid w:val="7EB527AA"/>
    <w:rsid w:val="7F56DECD"/>
    <w:rsid w:val="7F57779D"/>
    <w:rsid w:val="7F76FFD6"/>
    <w:rsid w:val="7FBBBB0E"/>
    <w:rsid w:val="7FF7F547"/>
    <w:rsid w:val="7FFE5808"/>
    <w:rsid w:val="9EF5C400"/>
    <w:rsid w:val="BEE50B26"/>
    <w:rsid w:val="BFFFD8DD"/>
    <w:rsid w:val="DEDF7536"/>
    <w:rsid w:val="E3F89FB6"/>
    <w:rsid w:val="EBFF2AF2"/>
    <w:rsid w:val="EDBA6611"/>
    <w:rsid w:val="F6F4DCF2"/>
    <w:rsid w:val="F71FBF8F"/>
    <w:rsid w:val="F9DFA343"/>
    <w:rsid w:val="FAF1D18B"/>
    <w:rsid w:val="FB62036B"/>
    <w:rsid w:val="FBBBD168"/>
    <w:rsid w:val="FCF5CC20"/>
    <w:rsid w:val="FDBA89E3"/>
    <w:rsid w:val="FDCD0EBC"/>
    <w:rsid w:val="FEFA8D07"/>
    <w:rsid w:val="FF531B0C"/>
    <w:rsid w:val="FFFAA852"/>
    <w:rsid w:val="FFFD2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qFormat/>
    <w:uiPriority w:val="0"/>
    <w:pPr>
      <w:spacing w:after="120" w:afterLines="0"/>
      <w:ind w:left="420" w:leftChars="200"/>
    </w:pPr>
    <w:rPr>
      <w:rFonts w:ascii="Times New Roman" w:hAnsi="Times New Roman" w:eastAsia="宋体" w:cs="Times New Roman"/>
    </w:rPr>
  </w:style>
  <w:style w:type="paragraph" w:styleId="7">
    <w:name w:val="Plain Text"/>
    <w:basedOn w:val="1"/>
    <w:qFormat/>
    <w:uiPriority w:val="0"/>
    <w:rPr>
      <w:rFonts w:ascii="宋体" w:eastAsia="宋体" w:cs="Courier New"/>
      <w:color w:val="auto"/>
      <w:sz w:val="21"/>
      <w:szCs w:val="21"/>
      <w:lang w:bidi="ar-SA"/>
    </w:rPr>
  </w:style>
  <w:style w:type="paragraph" w:styleId="8">
    <w:name w:val="Balloon Text"/>
    <w:basedOn w:val="1"/>
    <w:qFormat/>
    <w:uiPriority w:val="99"/>
    <w:rPr>
      <w:rFonts w:ascii="Times New Roman" w:hAnsi="Times New Roman"/>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next w:val="5"/>
    <w:qFormat/>
    <w:uiPriority w:val="0"/>
    <w:pPr>
      <w:widowControl/>
      <w:autoSpaceDE w:val="0"/>
      <w:jc w:val="left"/>
    </w:pPr>
    <w:rPr>
      <w:rFonts w:ascii="宋体" w:eastAsia="宋体" w:cs="宋体"/>
      <w:color w:val="auto"/>
      <w:kern w:val="0"/>
      <w:sz w:val="24"/>
      <w:szCs w:val="24"/>
      <w:lang w:bidi="ar-SA"/>
    </w:rPr>
  </w:style>
  <w:style w:type="paragraph" w:styleId="13">
    <w:name w:val="Title"/>
    <w:basedOn w:val="1"/>
    <w:next w:val="1"/>
    <w:qFormat/>
    <w:uiPriority w:val="0"/>
    <w:pPr>
      <w:spacing w:before="240" w:after="60"/>
      <w:jc w:val="center"/>
    </w:pPr>
    <w:rPr>
      <w:rFonts w:ascii="Cambria" w:hAnsi="Cambria" w:cs="Times New Roman"/>
      <w:b/>
      <w:bCs/>
      <w:sz w:val="32"/>
      <w:szCs w:val="32"/>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rPr>
  </w:style>
  <w:style w:type="paragraph" w:customStyle="1" w:styleId="18">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customStyle="1" w:styleId="19">
    <w:name w:val="List Paragraph"/>
    <w:basedOn w:val="1"/>
    <w:qFormat/>
    <w:uiPriority w:val="34"/>
    <w:pPr>
      <w:ind w:firstLine="420" w:firstLineChars="200"/>
    </w:pPr>
  </w:style>
  <w:style w:type="character" w:customStyle="1" w:styleId="20">
    <w:name w:val="页眉 Char"/>
    <w:basedOn w:val="16"/>
    <w:link w:val="10"/>
    <w:qFormat/>
    <w:uiPriority w:val="99"/>
    <w:rPr>
      <w:rFonts w:ascii="Times New Roman" w:hAnsi="Times New Roman" w:eastAsia="宋体" w:cs="Times New Roman"/>
      <w:sz w:val="18"/>
      <w:szCs w:val="18"/>
    </w:rPr>
  </w:style>
  <w:style w:type="character" w:customStyle="1" w:styleId="21">
    <w:name w:val="页脚 Char"/>
    <w:basedOn w:val="16"/>
    <w:link w:val="9"/>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2849</Words>
  <Characters>2907</Characters>
  <Lines>23</Lines>
  <Paragraphs>6</Paragraphs>
  <TotalTime>152</TotalTime>
  <ScaleCrop>false</ScaleCrop>
  <LinksUpToDate>false</LinksUpToDate>
  <CharactersWithSpaces>2907</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2021-04-28T17:24:00Z</dcterms:created>
  <dc:creator>AAA1</dc:creator>
  <cp:lastModifiedBy>Administrator</cp:lastModifiedBy>
  <cp:lastPrinted>2026-08-21T02:15:25Z</cp:lastPrinted>
  <dcterms:modified xsi:type="dcterms:W3CDTF">2026-08-21T02:18:02Z</dcterms:modified>
  <dc:title>县政府专题会议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39A3804034BE46B3AD9AC8E8426ECB2A_13</vt:lpwstr>
  </property>
  <property fmtid="{D5CDD505-2E9C-101B-9397-08002B2CF9AE}" pid="4" name="commondata">
    <vt:lpwstr>eyJoZGlkIjoiZGViOWEyYmM1NTJiNzVlZTE0MGNjYjMxOTMwMjAzNWYifQ==</vt:lpwstr>
  </property>
  <property fmtid="{D5CDD505-2E9C-101B-9397-08002B2CF9AE}" pid="5" name="KSOTemplateDocerSaveRecord">
    <vt:lpwstr>eyJoZGlkIjoiMzEwNTM5NzYwMDRjMzkwZTVkZjY2ODkwMGIxNGU0OTUiLCJ1c2VySWQiOiIyNjU5OTAxNzAifQ==</vt:lpwstr>
  </property>
</Properties>
</file>