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FACAF">
      <w:pPr>
        <w:widowControl/>
        <w:snapToGrid w:val="0"/>
        <w:spacing w:line="576" w:lineRule="exact"/>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rPr>
        <w:t>附件</w:t>
      </w:r>
      <w:r>
        <w:rPr>
          <w:rFonts w:hint="eastAsia" w:ascii="楷体" w:hAnsi="楷体" w:eastAsia="楷体" w:cs="楷体"/>
          <w:sz w:val="28"/>
          <w:szCs w:val="28"/>
          <w:highlight w:val="none"/>
          <w:lang w:val="en-US" w:eastAsia="zh-CN"/>
        </w:rPr>
        <w:t>2</w:t>
      </w:r>
    </w:p>
    <w:p w14:paraId="6AA30195">
      <w:pPr>
        <w:widowControl/>
        <w:snapToGrid w:val="0"/>
        <w:spacing w:line="576" w:lineRule="exact"/>
        <w:rPr>
          <w:rFonts w:ascii="楷体_GB2312" w:hAnsi="仿宋" w:eastAsia="楷体_GB2312" w:cs="宋体"/>
          <w:sz w:val="32"/>
          <w:szCs w:val="32"/>
          <w:highlight w:val="none"/>
        </w:rPr>
      </w:pPr>
    </w:p>
    <w:p w14:paraId="3BA51A65">
      <w:pPr>
        <w:spacing w:line="840" w:lineRule="exact"/>
        <w:jc w:val="center"/>
        <w:rPr>
          <w:rFonts w:ascii="宋体" w:hAnsi="宋体"/>
          <w:b/>
          <w:color w:val="000000"/>
          <w:sz w:val="44"/>
          <w:szCs w:val="44"/>
          <w:highlight w:val="none"/>
        </w:rPr>
      </w:pPr>
      <w:r>
        <w:rPr>
          <w:rFonts w:hint="eastAsia" w:ascii="方正小标宋简体" w:hAnsi="宋体" w:eastAsia="方正小标宋简体"/>
          <w:b/>
          <w:color w:val="000000"/>
          <w:sz w:val="44"/>
          <w:szCs w:val="44"/>
          <w:highlight w:val="none"/>
        </w:rPr>
        <w:t xml:space="preserve">  </w:t>
      </w:r>
      <w:r>
        <w:rPr>
          <w:rFonts w:hint="eastAsia" w:ascii="宋体" w:hAnsi="宋体"/>
          <w:b/>
          <w:color w:val="000000"/>
          <w:sz w:val="44"/>
          <w:szCs w:val="44"/>
          <w:highlight w:val="none"/>
        </w:rPr>
        <w:t>闽侯县城市公共汽电车运营财政</w:t>
      </w:r>
    </w:p>
    <w:p w14:paraId="7873F402">
      <w:pPr>
        <w:spacing w:line="840" w:lineRule="exact"/>
        <w:jc w:val="center"/>
        <w:rPr>
          <w:rFonts w:ascii="宋体" w:hAnsi="宋体"/>
          <w:b/>
          <w:color w:val="000000"/>
          <w:sz w:val="44"/>
          <w:szCs w:val="44"/>
          <w:highlight w:val="none"/>
        </w:rPr>
      </w:pPr>
      <w:r>
        <w:rPr>
          <w:rFonts w:hint="eastAsia" w:ascii="宋体" w:hAnsi="宋体"/>
          <w:b/>
          <w:color w:val="000000"/>
          <w:sz w:val="44"/>
          <w:szCs w:val="44"/>
          <w:highlight w:val="none"/>
        </w:rPr>
        <w:t xml:space="preserve"> 补贴办法</w:t>
      </w:r>
    </w:p>
    <w:p w14:paraId="456BB455">
      <w:pPr>
        <w:widowControl/>
        <w:snapToGrid w:val="0"/>
        <w:spacing w:line="576" w:lineRule="exact"/>
        <w:ind w:firstLine="320" w:firstLineChars="100"/>
        <w:jc w:val="center"/>
        <w:rPr>
          <w:rFonts w:ascii="楷体_GB2312" w:hAnsi="仿宋" w:eastAsia="楷体_GB2312" w:cs="宋体"/>
          <w:sz w:val="32"/>
          <w:szCs w:val="32"/>
          <w:highlight w:val="none"/>
        </w:rPr>
      </w:pPr>
      <w:r>
        <w:rPr>
          <w:rFonts w:hint="eastAsia" w:ascii="楷体_GB2312" w:hAnsi="仿宋" w:eastAsia="楷体_GB2312" w:cs="宋体"/>
          <w:sz w:val="32"/>
          <w:szCs w:val="32"/>
          <w:highlight w:val="none"/>
        </w:rPr>
        <w:t xml:space="preserve"> </w:t>
      </w:r>
    </w:p>
    <w:p w14:paraId="1D5F588A">
      <w:pPr>
        <w:spacing w:line="608" w:lineRule="exact"/>
        <w:ind w:firstLine="640" w:firstLineChars="200"/>
        <w:rPr>
          <w:rFonts w:ascii="仿宋" w:hAnsi="仿宋" w:eastAsia="仿宋" w:cs="仿宋_GB2312"/>
          <w:b/>
          <w:sz w:val="32"/>
          <w:szCs w:val="32"/>
          <w:highlight w:val="none"/>
        </w:rPr>
      </w:pPr>
      <w:r>
        <w:rPr>
          <w:rFonts w:hint="eastAsia" w:ascii="仿宋" w:hAnsi="仿宋" w:eastAsia="仿宋" w:cs="仿宋_GB2312"/>
          <w:sz w:val="32"/>
          <w:szCs w:val="32"/>
          <w:highlight w:val="none"/>
        </w:rPr>
        <w:t>为推动建立城市公共汽电车基本服务标准与质量、运营成本、财政补贴与票制票价调整科学联动机制，保障我县公共交通基本服务供给，充分调动公共汽电车运营企业（以下简称“公交企业”）合理控制运营成本、提升服务质量的积极性，提高财政补贴资金使用效益，实现“财政可负担、企业可持续、市民可承受”的政策目标，根据《国务院关于城市优先发展公共交通的指导意见》（国发〔2012〕64号）、《财政部 民政部 工商总局关于印发〈政府购买服务管理办法（暂行）〉的通知》（财综〔2014〕96号）等文件要求</w:t>
      </w:r>
      <w:r>
        <w:rPr>
          <w:rFonts w:hint="eastAsia" w:ascii="仿宋" w:hAnsi="仿宋" w:eastAsia="仿宋" w:cs="仿宋_GB2312"/>
          <w:kern w:val="0"/>
          <w:sz w:val="32"/>
          <w:szCs w:val="32"/>
          <w:highlight w:val="none"/>
        </w:rPr>
        <w:t>，并参照《</w:t>
      </w:r>
      <w:r>
        <w:rPr>
          <w:rFonts w:hint="eastAsia" w:ascii="仿宋" w:hAnsi="仿宋" w:eastAsia="仿宋" w:cs="仿宋_GB2312"/>
          <w:color w:val="000000"/>
          <w:sz w:val="32"/>
          <w:szCs w:val="32"/>
          <w:highlight w:val="none"/>
        </w:rPr>
        <w:t>福州市财政局 福州市交通运输局关于印发</w:t>
      </w:r>
      <w:r>
        <w:rPr>
          <w:rFonts w:hint="eastAsia" w:ascii="仿宋" w:hAnsi="仿宋" w:eastAsia="仿宋" w:cs="仿宋"/>
          <w:color w:val="000000"/>
          <w:sz w:val="32"/>
          <w:szCs w:val="32"/>
          <w:highlight w:val="none"/>
          <w:lang w:eastAsia="zh-CN"/>
        </w:rPr>
        <w:t>〈</w:t>
      </w:r>
      <w:r>
        <w:rPr>
          <w:rFonts w:hint="eastAsia" w:ascii="仿宋" w:hAnsi="仿宋" w:eastAsia="仿宋" w:cs="仿宋_GB2312"/>
          <w:color w:val="000000"/>
          <w:sz w:val="32"/>
          <w:szCs w:val="32"/>
          <w:highlight w:val="none"/>
        </w:rPr>
        <w:t>福州市城市公共汽电车客运服务成本规制实施办法（修订）</w:t>
      </w:r>
      <w:r>
        <w:rPr>
          <w:rFonts w:hint="eastAsia" w:ascii="仿宋" w:hAnsi="仿宋" w:eastAsia="仿宋" w:cs="仿宋_GB2312"/>
          <w:color w:val="000000"/>
          <w:sz w:val="32"/>
          <w:szCs w:val="32"/>
          <w:highlight w:val="none"/>
          <w:lang w:eastAsia="zh-CN"/>
        </w:rPr>
        <w:t>〉</w:t>
      </w:r>
      <w:r>
        <w:rPr>
          <w:rFonts w:hint="eastAsia" w:ascii="仿宋" w:hAnsi="仿宋" w:eastAsia="仿宋" w:cs="仿宋_GB2312"/>
          <w:color w:val="000000"/>
          <w:sz w:val="32"/>
          <w:szCs w:val="32"/>
          <w:highlight w:val="none"/>
        </w:rPr>
        <w:t>等三个办法的通知》（榕财企</w:t>
      </w:r>
      <w:r>
        <w:rPr>
          <w:rFonts w:hint="eastAsia" w:ascii="仿宋" w:hAnsi="仿宋" w:eastAsia="仿宋" w:cs="仿宋_GB2312"/>
          <w:sz w:val="32"/>
          <w:szCs w:val="32"/>
          <w:highlight w:val="none"/>
        </w:rPr>
        <w:t>〔2021〕</w:t>
      </w:r>
      <w:r>
        <w:rPr>
          <w:rFonts w:hint="eastAsia" w:ascii="仿宋" w:hAnsi="仿宋" w:eastAsia="仿宋" w:cs="仿宋_GB2312"/>
          <w:color w:val="000000"/>
          <w:sz w:val="32"/>
          <w:szCs w:val="32"/>
          <w:highlight w:val="none"/>
        </w:rPr>
        <w:t>16号）</w:t>
      </w:r>
      <w:r>
        <w:rPr>
          <w:rFonts w:hint="eastAsia" w:ascii="仿宋" w:hAnsi="仿宋" w:eastAsia="仿宋" w:cs="仿宋_GB2312"/>
          <w:sz w:val="32"/>
          <w:szCs w:val="32"/>
          <w:highlight w:val="none"/>
        </w:rPr>
        <w:t>，制定本办法。</w:t>
      </w:r>
      <w:bookmarkStart w:id="0" w:name="_Toc430242460"/>
      <w:bookmarkStart w:id="1" w:name="_Toc427336733"/>
      <w:bookmarkStart w:id="2" w:name="_Toc423556250"/>
    </w:p>
    <w:p w14:paraId="18C38FB0">
      <w:pPr>
        <w:spacing w:line="608" w:lineRule="exact"/>
        <w:ind w:firstLine="643" w:firstLineChars="200"/>
        <w:rPr>
          <w:rFonts w:ascii="仿宋" w:hAnsi="仿宋" w:eastAsia="仿宋" w:cs="仿宋_GB2312"/>
          <w:b/>
          <w:sz w:val="32"/>
          <w:szCs w:val="32"/>
          <w:highlight w:val="none"/>
        </w:rPr>
      </w:pPr>
      <w:r>
        <w:rPr>
          <w:rFonts w:hint="eastAsia" w:ascii="仿宋" w:hAnsi="仿宋" w:eastAsia="仿宋" w:cs="仿宋_GB2312"/>
          <w:b/>
          <w:bCs/>
          <w:kern w:val="44"/>
          <w:sz w:val="32"/>
          <w:szCs w:val="32"/>
          <w:highlight w:val="none"/>
        </w:rPr>
        <w:t>一、</w:t>
      </w:r>
      <w:bookmarkEnd w:id="0"/>
      <w:bookmarkEnd w:id="1"/>
      <w:bookmarkEnd w:id="2"/>
      <w:bookmarkStart w:id="3" w:name="_Toc430242461"/>
      <w:bookmarkStart w:id="4" w:name="_Toc423556251"/>
      <w:bookmarkStart w:id="5" w:name="_Toc427336734"/>
      <w:r>
        <w:rPr>
          <w:rFonts w:hint="eastAsia" w:ascii="仿宋" w:hAnsi="仿宋" w:eastAsia="仿宋" w:cs="仿宋_GB2312"/>
          <w:b/>
          <w:bCs/>
          <w:sz w:val="32"/>
          <w:szCs w:val="32"/>
          <w:highlight w:val="none"/>
        </w:rPr>
        <w:t>基本原则</w:t>
      </w:r>
      <w:bookmarkEnd w:id="3"/>
      <w:bookmarkEnd w:id="4"/>
      <w:bookmarkEnd w:id="5"/>
    </w:p>
    <w:p w14:paraId="3DFC54E4">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1.公益性原则。贯彻落实公交优先发展战略，保障市民公共交通基本出行需求，在财政可承受范围内不断提高公共汽电车运营服务质量与水平。</w:t>
      </w:r>
    </w:p>
    <w:p w14:paraId="279EFDE9">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2.可持续原则。坚持公共汽电车基本服务标准与城市经济社会发展水平及财政承受力相适应，保障公共汽电车运营服务与财政补贴可持续，促进公共交通事业健康稳定发展。</w:t>
      </w:r>
    </w:p>
    <w:p w14:paraId="7AC695A3">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3.合理性原则。</w:t>
      </w:r>
      <w:r>
        <w:rPr>
          <w:rFonts w:hint="eastAsia" w:ascii="仿宋" w:hAnsi="仿宋" w:eastAsia="仿宋" w:cs="仿宋_GB2312"/>
          <w:bCs/>
          <w:sz w:val="32"/>
          <w:szCs w:val="32"/>
          <w:highlight w:val="none"/>
        </w:rPr>
        <w:t>对公交企业实施低票价、减免票、承担政府指令性任务等形成的政策性亏损，科学核定运营成本，合理界定政府补贴范围</w:t>
      </w:r>
      <w:r>
        <w:rPr>
          <w:rFonts w:hint="eastAsia" w:ascii="仿宋" w:hAnsi="仿宋" w:eastAsia="仿宋" w:cs="仿宋_GB2312"/>
          <w:kern w:val="0"/>
          <w:sz w:val="32"/>
          <w:szCs w:val="32"/>
          <w:highlight w:val="none"/>
        </w:rPr>
        <w:t>。</w:t>
      </w:r>
    </w:p>
    <w:p w14:paraId="1A9C33D5">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4.激励性原则。推动公交企业建立完善现代企业制度，实施运营成本约束与服务质量考核惩治机制，深化城市公共交通行业体制改革。</w:t>
      </w:r>
      <w:bookmarkStart w:id="6" w:name="_Toc430242462"/>
      <w:bookmarkStart w:id="7" w:name="_Toc423556252"/>
      <w:bookmarkStart w:id="8" w:name="_Toc427336735"/>
    </w:p>
    <w:p w14:paraId="2102055D">
      <w:pPr>
        <w:spacing w:line="608" w:lineRule="exact"/>
        <w:ind w:firstLine="643" w:firstLineChars="200"/>
        <w:rPr>
          <w:rFonts w:ascii="仿宋" w:hAnsi="仿宋" w:eastAsia="仿宋" w:cs="仿宋_GB2312"/>
          <w:b/>
          <w:kern w:val="0"/>
          <w:sz w:val="32"/>
          <w:szCs w:val="32"/>
          <w:highlight w:val="none"/>
        </w:rPr>
      </w:pPr>
      <w:r>
        <w:rPr>
          <w:rFonts w:hint="eastAsia" w:ascii="仿宋" w:hAnsi="仿宋" w:eastAsia="仿宋" w:cs="仿宋_GB2312"/>
          <w:b/>
          <w:bCs/>
          <w:kern w:val="0"/>
          <w:sz w:val="32"/>
          <w:szCs w:val="32"/>
          <w:highlight w:val="none"/>
        </w:rPr>
        <w:t>二、财政补贴范围与对象</w:t>
      </w:r>
      <w:bookmarkEnd w:id="6"/>
      <w:bookmarkEnd w:id="7"/>
      <w:bookmarkEnd w:id="8"/>
    </w:p>
    <w:p w14:paraId="626B3B37">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1.公共汽电车运营财政补贴范围。指公交企业实施《闽侯县公共汽电车年度运营服务计划》所产生的公共汽电车政策性运营亏损。</w:t>
      </w:r>
    </w:p>
    <w:p w14:paraId="74088A49">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kern w:val="0"/>
          <w:sz w:val="32"/>
          <w:szCs w:val="32"/>
          <w:highlight w:val="none"/>
        </w:rPr>
        <w:t>2.公共汽电车运营财政补贴对象。指按照《闽侯县公共汽电车年度运营服务计划》要求提供相应运营服务的公交企业。</w:t>
      </w:r>
    </w:p>
    <w:p w14:paraId="35B28CAC">
      <w:pPr>
        <w:spacing w:line="608" w:lineRule="exact"/>
        <w:ind w:firstLine="640" w:firstLineChars="200"/>
        <w:rPr>
          <w:rFonts w:ascii="仿宋" w:hAnsi="仿宋" w:eastAsia="仿宋" w:cs="仿宋_GB2312"/>
          <w:kern w:val="0"/>
          <w:sz w:val="32"/>
          <w:szCs w:val="32"/>
          <w:highlight w:val="none"/>
        </w:rPr>
      </w:pPr>
      <w:r>
        <w:rPr>
          <w:rFonts w:hint="eastAsia" w:ascii="仿宋" w:hAnsi="仿宋" w:eastAsia="仿宋" w:cs="仿宋_GB2312"/>
          <w:sz w:val="32"/>
          <w:szCs w:val="32"/>
          <w:highlight w:val="none"/>
        </w:rPr>
        <w:t>在</w:t>
      </w:r>
      <w:r>
        <w:rPr>
          <w:rFonts w:hint="eastAsia" w:ascii="仿宋" w:hAnsi="仿宋" w:eastAsia="仿宋" w:cs="仿宋_GB2312"/>
          <w:kern w:val="0"/>
          <w:sz w:val="32"/>
          <w:szCs w:val="32"/>
          <w:highlight w:val="none"/>
        </w:rPr>
        <w:t>《闽侯县公共汽电车年度运营服务计划》之外</w:t>
      </w:r>
      <w:r>
        <w:rPr>
          <w:rFonts w:hint="eastAsia" w:ascii="仿宋" w:hAnsi="仿宋" w:eastAsia="仿宋" w:cs="仿宋_GB2312"/>
          <w:sz w:val="32"/>
          <w:szCs w:val="32"/>
          <w:highlight w:val="none"/>
        </w:rPr>
        <w:t>新开、延长</w:t>
      </w:r>
      <w:r>
        <w:rPr>
          <w:rFonts w:hint="eastAsia" w:ascii="仿宋" w:hAnsi="仿宋" w:eastAsia="仿宋" w:cs="仿宋_GB2312"/>
          <w:kern w:val="0"/>
          <w:sz w:val="32"/>
          <w:szCs w:val="32"/>
          <w:highlight w:val="none"/>
        </w:rPr>
        <w:t>或变更公共汽电车运营线路以及公交企业为完成政府临时性任务所发生的运营成本，按照本办法相关规定另行核定。</w:t>
      </w:r>
    </w:p>
    <w:p w14:paraId="73331AF9">
      <w:pPr>
        <w:spacing w:line="608" w:lineRule="exact"/>
        <w:ind w:firstLine="643" w:firstLineChars="200"/>
        <w:rPr>
          <w:rFonts w:ascii="仿宋" w:hAnsi="仿宋" w:eastAsia="仿宋" w:cs="仿宋_GB2312"/>
          <w:b/>
          <w:kern w:val="0"/>
          <w:sz w:val="32"/>
          <w:szCs w:val="32"/>
          <w:highlight w:val="none"/>
        </w:rPr>
      </w:pPr>
      <w:r>
        <w:rPr>
          <w:rFonts w:hint="eastAsia" w:ascii="仿宋" w:hAnsi="仿宋" w:eastAsia="仿宋" w:cs="仿宋_GB2312"/>
          <w:b/>
          <w:bCs/>
          <w:kern w:val="44"/>
          <w:sz w:val="32"/>
          <w:szCs w:val="32"/>
          <w:highlight w:val="none"/>
        </w:rPr>
        <w:t>三、财政补贴资金来源</w:t>
      </w:r>
    </w:p>
    <w:p w14:paraId="6823147D">
      <w:pPr>
        <w:spacing w:line="608" w:lineRule="exact"/>
        <w:ind w:firstLine="640" w:firstLineChars="200"/>
        <w:rPr>
          <w:rFonts w:ascii="仿宋" w:hAnsi="仿宋" w:eastAsia="仿宋" w:cs="仿宋_GB2312"/>
          <w:sz w:val="32"/>
          <w:szCs w:val="32"/>
          <w:highlight w:val="none"/>
        </w:rPr>
      </w:pPr>
      <w:bookmarkStart w:id="9" w:name="_Toc423556253"/>
      <w:bookmarkStart w:id="10" w:name="_Toc427336736"/>
      <w:bookmarkStart w:id="11" w:name="_Toc430242464"/>
      <w:r>
        <w:rPr>
          <w:rFonts w:hint="eastAsia" w:ascii="仿宋" w:hAnsi="仿宋" w:eastAsia="仿宋" w:cs="仿宋_GB2312"/>
          <w:sz w:val="32"/>
          <w:szCs w:val="32"/>
          <w:highlight w:val="none"/>
        </w:rPr>
        <w:t xml:space="preserve">县财政局应多方式筹集资金，建立稳定的补贴资金渠道，并纳入财政预算。 </w:t>
      </w:r>
    </w:p>
    <w:p w14:paraId="2C3E5C37">
      <w:pPr>
        <w:spacing w:line="608" w:lineRule="exact"/>
        <w:ind w:firstLine="643" w:firstLineChars="200"/>
        <w:rPr>
          <w:rFonts w:ascii="仿宋" w:hAnsi="仿宋" w:eastAsia="仿宋" w:cs="仿宋_GB2312"/>
          <w:b/>
          <w:bCs/>
          <w:kern w:val="44"/>
          <w:sz w:val="32"/>
          <w:szCs w:val="32"/>
          <w:highlight w:val="none"/>
        </w:rPr>
      </w:pPr>
      <w:r>
        <w:rPr>
          <w:rFonts w:hint="eastAsia" w:ascii="仿宋" w:hAnsi="仿宋" w:eastAsia="仿宋" w:cs="仿宋_GB2312"/>
          <w:b/>
          <w:bCs/>
          <w:kern w:val="44"/>
          <w:sz w:val="32"/>
          <w:szCs w:val="32"/>
          <w:highlight w:val="none"/>
        </w:rPr>
        <w:t>四、财政补贴核</w:t>
      </w:r>
      <w:bookmarkEnd w:id="9"/>
      <w:r>
        <w:rPr>
          <w:rFonts w:hint="eastAsia" w:ascii="仿宋" w:hAnsi="仿宋" w:eastAsia="仿宋" w:cs="仿宋_GB2312"/>
          <w:b/>
          <w:bCs/>
          <w:kern w:val="44"/>
          <w:sz w:val="32"/>
          <w:szCs w:val="32"/>
          <w:highlight w:val="none"/>
        </w:rPr>
        <w:t>定与预算方法</w:t>
      </w:r>
      <w:bookmarkEnd w:id="10"/>
      <w:bookmarkEnd w:id="11"/>
      <w:bookmarkStart w:id="12" w:name="_Toc430242465"/>
      <w:bookmarkStart w:id="13" w:name="_Toc423556255"/>
      <w:bookmarkStart w:id="14" w:name="_Toc427336737"/>
    </w:p>
    <w:bookmarkEnd w:id="12"/>
    <w:p w14:paraId="26C9F0A2">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核定财政补贴根据补贴年度公交企业核定运营成本和核定公交客运收入进行核算；实发财政补贴根据核定财政补贴及公交企业运营服务质量考核绩效进行核算。</w:t>
      </w:r>
      <w:bookmarkStart w:id="15" w:name="_Toc430242466"/>
    </w:p>
    <w:p w14:paraId="28C88517">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1.核定财政补贴计算公式</w:t>
      </w:r>
      <w:bookmarkEnd w:id="13"/>
      <w:bookmarkEnd w:id="14"/>
      <w:bookmarkEnd w:id="15"/>
    </w:p>
    <w:p w14:paraId="313CBCE1">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核定财政补贴=∑公交企业核定财政补贴=∑公交企业（核定运营成本-核定公交客运收入）</w:t>
      </w:r>
    </w:p>
    <w:p w14:paraId="71A87478">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式中：</w:t>
      </w:r>
    </w:p>
    <w:p w14:paraId="1CCCB23B">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（1）核定运营成本按照《闽侯县城市公共交通客运服务成本规制实施办法》核定。</w:t>
      </w:r>
    </w:p>
    <w:p w14:paraId="481B4AFE">
      <w:pPr>
        <w:spacing w:line="608" w:lineRule="exact"/>
        <w:ind w:firstLine="640" w:firstLineChars="200"/>
        <w:rPr>
          <w:rFonts w:hint="eastAsia" w:ascii="仿宋" w:hAnsi="仿宋" w:eastAsia="仿宋" w:cs="仿宋_GB2312"/>
          <w:sz w:val="32"/>
          <w:szCs w:val="32"/>
          <w:highlight w:val="none"/>
          <w:lang w:eastAsia="zh-CN"/>
        </w:rPr>
      </w:pPr>
      <w:r>
        <w:rPr>
          <w:rFonts w:hint="eastAsia" w:ascii="仿宋" w:hAnsi="仿宋" w:eastAsia="仿宋" w:cs="仿宋_GB2312"/>
          <w:sz w:val="32"/>
          <w:szCs w:val="32"/>
          <w:highlight w:val="none"/>
        </w:rPr>
        <w:t>（2）核定公交客运收入=主营业务收入+其他业务净收入+其他财政专项补贴+其他收入</w:t>
      </w:r>
    </w:p>
    <w:p w14:paraId="68E4A14B">
      <w:pPr>
        <w:pStyle w:val="2"/>
        <w:spacing w:before="218" w:line="346" w:lineRule="auto"/>
        <w:ind w:right="120" w:firstLine="659"/>
        <w:jc w:val="both"/>
        <w:rPr>
          <w:rFonts w:hint="eastAsia" w:ascii="仿宋" w:hAnsi="仿宋" w:eastAsia="仿宋" w:cs="仿宋_GB2312"/>
          <w:b w:val="0"/>
          <w:bCs w:val="0"/>
          <w:kern w:val="2"/>
          <w:sz w:val="32"/>
          <w:szCs w:val="32"/>
          <w:highlight w:val="none"/>
          <w:lang w:val="en-US" w:eastAsia="zh-CN" w:bidi="ar-SA"/>
        </w:rPr>
      </w:pPr>
      <w:r>
        <w:rPr>
          <w:rFonts w:hint="eastAsia" w:ascii="仿宋" w:hAnsi="仿宋" w:eastAsia="仿宋" w:cs="仿宋_GB2312"/>
          <w:b w:val="0"/>
          <w:bCs w:val="0"/>
          <w:kern w:val="2"/>
          <w:sz w:val="32"/>
          <w:szCs w:val="32"/>
          <w:highlight w:val="none"/>
          <w:lang w:val="en-US" w:eastAsia="zh-CN" w:bidi="ar-SA"/>
        </w:rPr>
        <w:t>原文：主营业务收入指公交企业的公交业务收入，按照客流采集仪采集的客流数据作为规制收入数。如果实际收入数未达到规制收入数的，以规制收入数为核定收入；如果实际收入数超过规制收入数的，以实际收入数为核定收入。</w:t>
      </w:r>
    </w:p>
    <w:p w14:paraId="28E8054F">
      <w:pPr>
        <w:spacing w:line="608" w:lineRule="exact"/>
        <w:ind w:firstLine="643" w:firstLineChars="200"/>
        <w:rPr>
          <w:rFonts w:hint="eastAsia" w:ascii="仿宋" w:hAnsi="仿宋" w:eastAsia="仿宋" w:cs="仿宋_GB2312"/>
          <w:sz w:val="32"/>
          <w:szCs w:val="32"/>
          <w:highlight w:val="none"/>
        </w:rPr>
      </w:pPr>
      <w:r>
        <w:rPr>
          <w:rFonts w:hint="eastAsia" w:ascii="仿宋" w:hAnsi="仿宋" w:eastAsia="仿宋" w:cs="仿宋_GB2312"/>
          <w:b/>
          <w:bCs/>
          <w:sz w:val="32"/>
          <w:szCs w:val="32"/>
          <w:highlight w:val="none"/>
          <w:lang w:val="en-US" w:eastAsia="zh-CN"/>
        </w:rPr>
        <w:t>修改后：</w:t>
      </w:r>
      <w:r>
        <w:rPr>
          <w:rFonts w:hint="eastAsia" w:ascii="仿宋" w:hAnsi="仿宋" w:eastAsia="仿宋" w:cs="仿宋_GB2312"/>
          <w:b w:val="0"/>
          <w:bCs w:val="0"/>
          <w:sz w:val="32"/>
          <w:szCs w:val="32"/>
          <w:highlight w:val="none"/>
        </w:rPr>
        <w:t>主营业务收入指公交企业的公交业务收入，按照</w:t>
      </w:r>
      <w:r>
        <w:rPr>
          <w:rFonts w:hint="eastAsia" w:ascii="仿宋" w:hAnsi="仿宋" w:eastAsia="仿宋" w:cs="仿宋_GB2312"/>
          <w:b w:val="0"/>
          <w:bCs w:val="0"/>
          <w:sz w:val="32"/>
          <w:szCs w:val="32"/>
          <w:highlight w:val="none"/>
          <w:lang w:val="en-US" w:eastAsia="zh-CN"/>
        </w:rPr>
        <w:t>当年收益客运量乘以实际票价乘以前两年折扣系数平均数</w:t>
      </w:r>
      <w:r>
        <w:rPr>
          <w:rFonts w:hint="eastAsia" w:ascii="仿宋" w:hAnsi="仿宋" w:eastAsia="仿宋" w:cs="仿宋_GB2312"/>
          <w:b w:val="0"/>
          <w:bCs w:val="0"/>
          <w:sz w:val="32"/>
          <w:szCs w:val="32"/>
          <w:highlight w:val="none"/>
        </w:rPr>
        <w:t>作为规制收入数</w:t>
      </w:r>
      <w:r>
        <w:rPr>
          <w:rFonts w:hint="eastAsia" w:ascii="仿宋" w:hAnsi="仿宋" w:eastAsia="仿宋" w:cs="仿宋_GB2312"/>
          <w:b w:val="0"/>
          <w:bCs w:val="0"/>
          <w:sz w:val="32"/>
          <w:szCs w:val="32"/>
          <w:highlight w:val="none"/>
          <w:lang w:eastAsia="zh-CN"/>
        </w:rPr>
        <w:t>，</w:t>
      </w:r>
      <w:r>
        <w:rPr>
          <w:rFonts w:hint="eastAsia" w:ascii="仿宋" w:hAnsi="仿宋" w:eastAsia="仿宋" w:cs="仿宋_GB2312"/>
          <w:b w:val="0"/>
          <w:bCs w:val="0"/>
          <w:sz w:val="32"/>
          <w:szCs w:val="32"/>
          <w:highlight w:val="none"/>
          <w:lang w:val="en-US" w:eastAsia="zh-CN"/>
        </w:rPr>
        <w:t>其中折扣系数为实际票价收入除以测算的不打折票价收入</w:t>
      </w:r>
      <w:r>
        <w:rPr>
          <w:rFonts w:hint="eastAsia" w:ascii="仿宋" w:hAnsi="仿宋" w:eastAsia="仿宋" w:cs="仿宋_GB2312"/>
          <w:b w:val="0"/>
          <w:bCs w:val="0"/>
          <w:sz w:val="32"/>
          <w:szCs w:val="32"/>
          <w:highlight w:val="none"/>
        </w:rPr>
        <w:t>。如果实际收入数未达到规制收入数的，以规制收入数为核定收入；如果实际收入数超过规制收入数的，以实际收入数为核定收入。</w:t>
      </w:r>
    </w:p>
    <w:p w14:paraId="42816F77">
      <w:pPr>
        <w:pStyle w:val="2"/>
        <w:spacing w:before="234" w:line="349" w:lineRule="auto"/>
        <w:ind w:right="123" w:firstLine="659"/>
        <w:jc w:val="both"/>
        <w:rPr>
          <w:rFonts w:hint="eastAsia" w:ascii="仿宋" w:hAnsi="仿宋" w:eastAsia="仿宋" w:cs="仿宋_GB2312"/>
          <w:color w:val="auto"/>
          <w:kern w:val="2"/>
          <w:sz w:val="32"/>
          <w:szCs w:val="32"/>
          <w:highlight w:val="none"/>
          <w:lang w:val="en-US" w:eastAsia="zh-CN" w:bidi="ar-SA"/>
        </w:rPr>
      </w:pPr>
      <w:r>
        <w:rPr>
          <w:rFonts w:hint="eastAsia" w:ascii="仿宋" w:hAnsi="仿宋" w:eastAsia="仿宋" w:cs="仿宋_GB2312"/>
          <w:color w:val="auto"/>
          <w:kern w:val="2"/>
          <w:sz w:val="32"/>
          <w:szCs w:val="32"/>
          <w:highlight w:val="none"/>
          <w:lang w:val="en-US" w:eastAsia="zh-CN" w:bidi="ar-SA"/>
        </w:rPr>
        <w:t>原文：其他业务净收入包括租赁收入、广告等收入，经公开招投标的按合同确认当年收入，未经公开招投标的以前两年实际其他业务净收入平均数为基数，环比增长5%为考核目标；如果审计确认的收入未达到考核目标的，以目标数确定收入。</w:t>
      </w:r>
    </w:p>
    <w:p w14:paraId="6B6EE58F">
      <w:pPr>
        <w:spacing w:line="608" w:lineRule="exact"/>
        <w:ind w:firstLine="640" w:firstLineChars="200"/>
        <w:rPr>
          <w:rFonts w:hint="eastAsia" w:ascii="仿宋" w:hAnsi="仿宋" w:eastAsia="仿宋" w:cs="仿宋_GB2312"/>
          <w:color w:val="auto"/>
          <w:sz w:val="32"/>
          <w:szCs w:val="32"/>
          <w:highlight w:val="none"/>
          <w:lang w:val="en-US" w:eastAsia="zh-CN"/>
        </w:rPr>
      </w:pPr>
      <w:r>
        <w:rPr>
          <w:rFonts w:hint="eastAsia" w:ascii="仿宋" w:hAnsi="仿宋" w:eastAsia="仿宋" w:cs="仿宋_GB2312"/>
          <w:color w:val="auto"/>
          <w:sz w:val="32"/>
          <w:szCs w:val="32"/>
          <w:highlight w:val="none"/>
          <w:lang w:val="en-US" w:eastAsia="zh-CN"/>
        </w:rPr>
        <w:t>修改后：</w:t>
      </w:r>
      <w:r>
        <w:rPr>
          <w:rFonts w:hint="eastAsia" w:ascii="仿宋" w:hAnsi="仿宋" w:eastAsia="仿宋" w:cs="仿宋_GB2312"/>
          <w:color w:val="auto"/>
          <w:sz w:val="32"/>
          <w:szCs w:val="32"/>
          <w:highlight w:val="none"/>
        </w:rPr>
        <w:t>其他业务净收入包括租赁收入、广告等收入，经公开招投标的按合同确认当年收入，未经公开招投标的以</w:t>
      </w:r>
      <w:r>
        <w:rPr>
          <w:rFonts w:hint="eastAsia" w:ascii="仿宋" w:hAnsi="仿宋" w:eastAsia="仿宋" w:cs="仿宋_GB2312"/>
          <w:color w:val="auto"/>
          <w:sz w:val="32"/>
          <w:szCs w:val="32"/>
          <w:highlight w:val="none"/>
          <w:lang w:val="en-US" w:eastAsia="zh-CN"/>
        </w:rPr>
        <w:t>实际净收入为当年收入。（修改收入认定方式）</w:t>
      </w:r>
    </w:p>
    <w:p w14:paraId="730F7A74">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其他财政专项补贴指各级政府落实公共交通优先发展政策所给予的财政专项补贴，包括由中央财政拨付的城市公交车成品油价格补助与新能源公交车运营补助等。</w:t>
      </w:r>
    </w:p>
    <w:p w14:paraId="14FD276C">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其他收入包括捐赠收入、罚没收入、固定资产处置收入等。</w:t>
      </w:r>
    </w:p>
    <w:p w14:paraId="5244FC8B">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2.公交企业运营服务质量考核绩效核定方法</w:t>
      </w:r>
    </w:p>
    <w:p w14:paraId="0F359494">
      <w:pPr>
        <w:spacing w:line="608" w:lineRule="exact"/>
        <w:ind w:firstLine="640" w:firstLineChars="200"/>
        <w:rPr>
          <w:rFonts w:ascii="仿宋" w:hAnsi="仿宋" w:eastAsia="仿宋" w:cs="仿宋_GB2312"/>
          <w:b/>
          <w:bCs/>
          <w:sz w:val="32"/>
          <w:szCs w:val="32"/>
          <w:highlight w:val="none"/>
        </w:rPr>
      </w:pPr>
      <w:bookmarkStart w:id="16" w:name="_Toc427336739"/>
      <w:bookmarkStart w:id="17" w:name="_Toc423556257"/>
      <w:r>
        <w:rPr>
          <w:rFonts w:hint="eastAsia" w:ascii="仿宋" w:hAnsi="仿宋" w:eastAsia="仿宋" w:cs="仿宋_GB2312"/>
          <w:bCs/>
          <w:sz w:val="32"/>
          <w:szCs w:val="32"/>
          <w:highlight w:val="none"/>
        </w:rPr>
        <w:t>服务</w:t>
      </w:r>
      <w:r>
        <w:rPr>
          <w:rFonts w:hint="eastAsia" w:ascii="仿宋" w:hAnsi="仿宋" w:eastAsia="仿宋" w:cs="仿宋_GB2312"/>
          <w:sz w:val="32"/>
          <w:szCs w:val="32"/>
          <w:highlight w:val="none"/>
        </w:rPr>
        <w:t>质量考核绩效根据公交企业质量考核成绩，采取“逆向激励”与核定财政补贴挂钩，即：对质量考核成绩未达到规定要求的，扣减一定比例财政补贴。质量考核成绩根据《闽侯县公共汽电车运营服务质量考核办法》对公交企业进行考核后确定。</w:t>
      </w:r>
      <w:r>
        <w:rPr>
          <w:rFonts w:hint="eastAsia" w:ascii="仿宋" w:hAnsi="仿宋" w:eastAsia="仿宋" w:cs="仿宋_GB2312"/>
          <w:b/>
          <w:bCs/>
          <w:sz w:val="32"/>
          <w:szCs w:val="32"/>
          <w:highlight w:val="none"/>
        </w:rPr>
        <w:t>质量考核满分1000分（低于800分时按800分计），考核绩效按以下计算公式核定：</w:t>
      </w:r>
    </w:p>
    <w:p w14:paraId="2EA91915">
      <w:pPr>
        <w:spacing w:line="608" w:lineRule="exact"/>
        <w:ind w:firstLine="643" w:firstLineChars="200"/>
        <w:rPr>
          <w:rFonts w:ascii="仿宋" w:hAnsi="仿宋" w:eastAsia="仿宋" w:cs="仿宋_GB2312"/>
          <w:b/>
          <w:bCs/>
          <w:sz w:val="32"/>
          <w:szCs w:val="32"/>
          <w:highlight w:val="none"/>
        </w:rPr>
      </w:pPr>
      <w:r>
        <w:rPr>
          <w:rFonts w:hint="eastAsia" w:ascii="仿宋" w:hAnsi="仿宋" w:eastAsia="仿宋" w:cs="仿宋_GB2312"/>
          <w:b/>
          <w:bCs/>
          <w:sz w:val="32"/>
          <w:szCs w:val="32"/>
          <w:highlight w:val="none"/>
        </w:rPr>
        <w:t>质量考核绩效＝（质量考核成绩－1000）/1000*核定财政补贴</w:t>
      </w:r>
    </w:p>
    <w:p w14:paraId="2E0C671F">
      <w:pPr>
        <w:spacing w:line="608" w:lineRule="exact"/>
        <w:ind w:firstLine="640" w:firstLineChars="200"/>
        <w:rPr>
          <w:rFonts w:hint="eastAsia" w:ascii="仿宋" w:hAnsi="仿宋" w:eastAsia="仿宋" w:cs="仿宋_GB2312"/>
          <w:bCs/>
          <w:color w:val="auto"/>
          <w:sz w:val="32"/>
          <w:szCs w:val="32"/>
          <w:highlight w:val="none"/>
          <w:lang w:val="en-US" w:eastAsia="zh-CN"/>
        </w:rPr>
      </w:pPr>
      <w:bookmarkStart w:id="18" w:name="_Toc430242468"/>
      <w:r>
        <w:rPr>
          <w:rFonts w:hint="eastAsia" w:ascii="仿宋" w:hAnsi="仿宋" w:eastAsia="仿宋" w:cs="仿宋_GB2312"/>
          <w:bCs/>
          <w:color w:val="auto"/>
          <w:sz w:val="32"/>
          <w:szCs w:val="32"/>
          <w:highlight w:val="none"/>
          <w:lang w:val="en-US" w:eastAsia="zh-CN"/>
        </w:rPr>
        <w:t>新增内容：</w:t>
      </w:r>
    </w:p>
    <w:p w14:paraId="5B1407E2">
      <w:pPr>
        <w:spacing w:line="608" w:lineRule="exact"/>
        <w:ind w:firstLine="640" w:firstLineChars="200"/>
        <w:rPr>
          <w:rFonts w:hint="eastAsia" w:ascii="仿宋" w:hAnsi="仿宋" w:eastAsia="仿宋" w:cs="仿宋_GB2312"/>
          <w:bCs/>
          <w:color w:val="auto"/>
          <w:sz w:val="32"/>
          <w:szCs w:val="32"/>
          <w:highlight w:val="none"/>
          <w:lang w:eastAsia="zh-CN"/>
        </w:rPr>
      </w:pPr>
      <w:r>
        <w:rPr>
          <w:rFonts w:hint="eastAsia" w:ascii="仿宋" w:hAnsi="仿宋" w:eastAsia="仿宋" w:cs="仿宋_GB2312"/>
          <w:bCs/>
          <w:color w:val="auto"/>
          <w:sz w:val="32"/>
          <w:szCs w:val="32"/>
          <w:highlight w:val="none"/>
        </w:rPr>
        <w:t>3.规制成本</w:t>
      </w:r>
      <w:r>
        <w:rPr>
          <w:rFonts w:hint="eastAsia" w:ascii="仿宋" w:hAnsi="仿宋" w:eastAsia="仿宋" w:cs="仿宋_GB2312"/>
          <w:bCs/>
          <w:color w:val="auto"/>
          <w:sz w:val="32"/>
          <w:szCs w:val="32"/>
          <w:highlight w:val="none"/>
          <w:lang w:val="en-US" w:eastAsia="zh-CN"/>
        </w:rPr>
        <w:t>奖励</w:t>
      </w:r>
    </w:p>
    <w:p w14:paraId="0EF33CE3">
      <w:pPr>
        <w:spacing w:line="608" w:lineRule="exact"/>
        <w:ind w:firstLine="640" w:firstLineChars="200"/>
        <w:rPr>
          <w:rFonts w:hint="eastAsia" w:ascii="仿宋" w:hAnsi="仿宋" w:eastAsia="仿宋" w:cs="仿宋_GB2312"/>
          <w:bCs/>
          <w:color w:val="auto"/>
          <w:sz w:val="32"/>
          <w:szCs w:val="32"/>
          <w:highlight w:val="none"/>
          <w:lang w:eastAsia="zh-CN"/>
        </w:rPr>
      </w:pPr>
      <w:r>
        <w:rPr>
          <w:rFonts w:hint="eastAsia" w:ascii="仿宋" w:hAnsi="仿宋" w:eastAsia="仿宋" w:cs="仿宋_GB2312"/>
          <w:bCs/>
          <w:color w:val="auto"/>
          <w:sz w:val="32"/>
          <w:szCs w:val="32"/>
          <w:highlight w:val="none"/>
        </w:rPr>
        <w:t>公交车辆折旧期满后延长使用期限（动力电池质保期需在有效期内），</w:t>
      </w:r>
      <w:r>
        <w:rPr>
          <w:rFonts w:hint="eastAsia" w:ascii="仿宋" w:hAnsi="仿宋" w:eastAsia="仿宋" w:cs="仿宋_GB2312"/>
          <w:bCs/>
          <w:color w:val="auto"/>
          <w:sz w:val="32"/>
          <w:szCs w:val="32"/>
          <w:highlight w:val="none"/>
          <w:lang w:val="en-US" w:eastAsia="zh-CN"/>
        </w:rPr>
        <w:t>年</w:t>
      </w:r>
      <w:r>
        <w:rPr>
          <w:rFonts w:hint="eastAsia" w:ascii="仿宋" w:hAnsi="仿宋" w:eastAsia="仿宋" w:cs="仿宋_GB2312"/>
          <w:bCs/>
          <w:color w:val="auto"/>
          <w:sz w:val="32"/>
          <w:szCs w:val="32"/>
          <w:highlight w:val="none"/>
        </w:rPr>
        <w:t>运营里程达到</w:t>
      </w:r>
      <w:r>
        <w:rPr>
          <w:rFonts w:hint="eastAsia" w:ascii="仿宋" w:hAnsi="仿宋" w:eastAsia="仿宋" w:cs="仿宋_GB2312"/>
          <w:bCs/>
          <w:color w:val="auto"/>
          <w:sz w:val="32"/>
          <w:szCs w:val="32"/>
          <w:highlight w:val="none"/>
          <w:lang w:val="en-US" w:eastAsia="zh-CN"/>
        </w:rPr>
        <w:t>3万公里</w:t>
      </w:r>
      <w:r>
        <w:rPr>
          <w:rFonts w:hint="eastAsia" w:ascii="仿宋" w:hAnsi="仿宋" w:eastAsia="仿宋" w:cs="仿宋_GB2312"/>
          <w:bCs/>
          <w:color w:val="auto"/>
          <w:sz w:val="32"/>
          <w:szCs w:val="32"/>
          <w:highlight w:val="none"/>
        </w:rPr>
        <w:t>以上且未发生公共汽电车责任事故，</w:t>
      </w:r>
      <w:r>
        <w:rPr>
          <w:rFonts w:hint="eastAsia" w:ascii="仿宋" w:hAnsi="仿宋" w:eastAsia="仿宋" w:cs="仿宋_GB2312"/>
          <w:bCs/>
          <w:color w:val="auto"/>
          <w:sz w:val="32"/>
          <w:szCs w:val="32"/>
          <w:highlight w:val="none"/>
          <w:lang w:eastAsia="zh-CN"/>
        </w:rPr>
        <w:t>在扣除动力电池更换折旧成本后，延长使用期限所节约的折旧成本，按</w:t>
      </w:r>
      <w:r>
        <w:rPr>
          <w:rFonts w:hint="eastAsia" w:ascii="仿宋" w:hAnsi="仿宋" w:eastAsia="仿宋" w:cs="仿宋_GB2312"/>
          <w:bCs/>
          <w:color w:val="auto"/>
          <w:sz w:val="32"/>
          <w:szCs w:val="32"/>
          <w:highlight w:val="none"/>
          <w:lang w:val="en-US" w:eastAsia="zh-CN"/>
        </w:rPr>
        <w:t>40%的比例奖励给企业</w:t>
      </w:r>
      <w:r>
        <w:rPr>
          <w:rFonts w:hint="eastAsia" w:ascii="仿宋" w:hAnsi="仿宋" w:eastAsia="仿宋" w:cs="仿宋_GB2312"/>
          <w:bCs/>
          <w:color w:val="auto"/>
          <w:sz w:val="32"/>
          <w:szCs w:val="32"/>
          <w:highlight w:val="none"/>
        </w:rPr>
        <w:t>。</w:t>
      </w:r>
      <w:r>
        <w:rPr>
          <w:rFonts w:hint="eastAsia" w:ascii="仿宋" w:hAnsi="仿宋" w:eastAsia="仿宋" w:cs="仿宋_GB2312"/>
          <w:bCs/>
          <w:color w:val="auto"/>
          <w:sz w:val="32"/>
          <w:szCs w:val="32"/>
          <w:highlight w:val="none"/>
          <w:lang w:val="en-US" w:eastAsia="zh-CN"/>
        </w:rPr>
        <w:t>车辆在延长使用期间办理报废手续或因线路停运导致车辆退出时，月运营里程达到2500公里以上</w:t>
      </w:r>
      <w:r>
        <w:rPr>
          <w:rFonts w:hint="eastAsia" w:ascii="仿宋" w:hAnsi="仿宋" w:eastAsia="仿宋" w:cs="仿宋_GB2312"/>
          <w:bCs/>
          <w:color w:val="auto"/>
          <w:sz w:val="32"/>
          <w:szCs w:val="32"/>
          <w:highlight w:val="none"/>
        </w:rPr>
        <w:t>且未发生公共汽电车责任事故</w:t>
      </w:r>
      <w:r>
        <w:rPr>
          <w:rFonts w:hint="eastAsia" w:ascii="仿宋" w:hAnsi="仿宋" w:eastAsia="仿宋" w:cs="仿宋_GB2312"/>
          <w:bCs/>
          <w:color w:val="auto"/>
          <w:sz w:val="32"/>
          <w:szCs w:val="32"/>
          <w:highlight w:val="none"/>
          <w:lang w:val="en-US" w:eastAsia="zh-CN"/>
        </w:rPr>
        <w:t>，按实际运营月数折算奖励。</w:t>
      </w:r>
      <w:r>
        <w:rPr>
          <w:rFonts w:hint="eastAsia" w:ascii="仿宋" w:hAnsi="仿宋" w:eastAsia="仿宋" w:cs="仿宋_GB2312"/>
          <w:bCs/>
          <w:color w:val="auto"/>
          <w:sz w:val="32"/>
          <w:szCs w:val="32"/>
          <w:highlight w:val="none"/>
        </w:rPr>
        <w:t>延长使用期的车辆纳入运营服务质量日常考核的重点督查车辆，进行全面考核。</w:t>
      </w:r>
      <w:r>
        <w:rPr>
          <w:rFonts w:hint="eastAsia" w:ascii="仿宋" w:hAnsi="仿宋" w:eastAsia="仿宋" w:cs="仿宋_GB2312"/>
          <w:bCs/>
          <w:color w:val="auto"/>
          <w:sz w:val="32"/>
          <w:szCs w:val="32"/>
          <w:highlight w:val="none"/>
          <w:lang w:eastAsia="zh-CN"/>
        </w:rPr>
        <w:t>（</w:t>
      </w:r>
      <w:r>
        <w:rPr>
          <w:rFonts w:hint="eastAsia" w:ascii="仿宋" w:hAnsi="仿宋" w:eastAsia="仿宋" w:cs="仿宋_GB2312"/>
          <w:bCs/>
          <w:color w:val="auto"/>
          <w:sz w:val="32"/>
          <w:szCs w:val="32"/>
          <w:highlight w:val="none"/>
          <w:lang w:val="en-US" w:eastAsia="zh-CN"/>
        </w:rPr>
        <w:t>新增折旧奖励</w:t>
      </w:r>
      <w:r>
        <w:rPr>
          <w:rFonts w:hint="eastAsia" w:ascii="仿宋" w:hAnsi="仿宋" w:eastAsia="仿宋" w:cs="仿宋_GB2312"/>
          <w:bCs/>
          <w:color w:val="auto"/>
          <w:sz w:val="32"/>
          <w:szCs w:val="32"/>
          <w:highlight w:val="none"/>
          <w:lang w:eastAsia="zh-CN"/>
        </w:rPr>
        <w:t>）</w:t>
      </w:r>
    </w:p>
    <w:p w14:paraId="78856709">
      <w:pPr>
        <w:spacing w:line="608" w:lineRule="exact"/>
        <w:ind w:firstLine="640" w:firstLineChars="200"/>
        <w:rPr>
          <w:rFonts w:ascii="仿宋" w:hAnsi="仿宋" w:eastAsia="仿宋" w:cs="仿宋_GB2312"/>
          <w:bCs/>
          <w:sz w:val="32"/>
          <w:szCs w:val="32"/>
          <w:highlight w:val="none"/>
        </w:rPr>
      </w:pPr>
      <w:r>
        <w:rPr>
          <w:rFonts w:hint="eastAsia" w:ascii="仿宋" w:hAnsi="仿宋" w:eastAsia="仿宋" w:cs="仿宋_GB2312"/>
          <w:bCs/>
          <w:sz w:val="32"/>
          <w:szCs w:val="32"/>
          <w:highlight w:val="none"/>
          <w:lang w:val="en-US" w:eastAsia="zh-CN"/>
        </w:rPr>
        <w:t>4</w:t>
      </w:r>
      <w:r>
        <w:rPr>
          <w:rFonts w:hint="eastAsia" w:ascii="仿宋" w:hAnsi="仿宋" w:eastAsia="仿宋" w:cs="仿宋_GB2312"/>
          <w:bCs/>
          <w:sz w:val="32"/>
          <w:szCs w:val="32"/>
          <w:highlight w:val="none"/>
        </w:rPr>
        <w:t>.实发财政补贴计算公式</w:t>
      </w:r>
      <w:bookmarkEnd w:id="18"/>
    </w:p>
    <w:p w14:paraId="2ADAD0B1">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实发财政补贴=核定财政补贴+服务质量考核绩效</w:t>
      </w:r>
    </w:p>
    <w:p w14:paraId="2367F783">
      <w:pPr>
        <w:spacing w:line="608" w:lineRule="exact"/>
        <w:ind w:firstLine="643" w:firstLineChars="200"/>
        <w:rPr>
          <w:rFonts w:ascii="仿宋" w:hAnsi="仿宋" w:eastAsia="仿宋" w:cs="仿宋_GB2312"/>
          <w:b/>
          <w:sz w:val="32"/>
          <w:szCs w:val="32"/>
          <w:highlight w:val="none"/>
        </w:rPr>
      </w:pPr>
      <w:bookmarkStart w:id="19" w:name="_Toc430242471"/>
      <w:r>
        <w:rPr>
          <w:rFonts w:hint="eastAsia" w:ascii="仿宋" w:hAnsi="仿宋" w:eastAsia="仿宋" w:cs="仿宋_GB2312"/>
          <w:b/>
          <w:bCs/>
          <w:kern w:val="44"/>
          <w:sz w:val="32"/>
          <w:szCs w:val="32"/>
          <w:highlight w:val="none"/>
        </w:rPr>
        <w:t>五、</w:t>
      </w:r>
      <w:bookmarkEnd w:id="19"/>
      <w:bookmarkStart w:id="20" w:name="_Toc449293605"/>
      <w:r>
        <w:rPr>
          <w:rFonts w:hint="eastAsia" w:ascii="仿宋" w:hAnsi="仿宋" w:eastAsia="仿宋" w:cs="仿宋_GB2312"/>
          <w:b/>
          <w:bCs/>
          <w:kern w:val="44"/>
          <w:sz w:val="32"/>
          <w:szCs w:val="32"/>
          <w:highlight w:val="none"/>
        </w:rPr>
        <w:t>财政补贴预算编制、拨付、结算、核定与清算程</w:t>
      </w:r>
      <w:bookmarkEnd w:id="20"/>
      <w:bookmarkStart w:id="21" w:name="_Toc430242472"/>
      <w:r>
        <w:rPr>
          <w:rFonts w:hint="eastAsia" w:ascii="仿宋" w:hAnsi="仿宋" w:eastAsia="仿宋" w:cs="仿宋_GB2312"/>
          <w:b/>
          <w:bCs/>
          <w:kern w:val="44"/>
          <w:sz w:val="32"/>
          <w:szCs w:val="32"/>
          <w:highlight w:val="none"/>
        </w:rPr>
        <w:t>序</w:t>
      </w:r>
    </w:p>
    <w:p w14:paraId="481B6F09">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（一）</w:t>
      </w:r>
      <w:bookmarkEnd w:id="21"/>
      <w:r>
        <w:rPr>
          <w:rFonts w:hint="eastAsia" w:ascii="仿宋" w:hAnsi="仿宋" w:eastAsia="仿宋" w:cs="仿宋_GB2312"/>
          <w:sz w:val="32"/>
          <w:szCs w:val="32"/>
          <w:highlight w:val="none"/>
        </w:rPr>
        <w:t>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局编制</w:t>
      </w:r>
      <w:r>
        <w:rPr>
          <w:rFonts w:hint="eastAsia" w:ascii="仿宋" w:hAnsi="仿宋" w:eastAsia="仿宋" w:cs="仿宋_GB2312"/>
          <w:bCs/>
          <w:sz w:val="32"/>
          <w:szCs w:val="32"/>
          <w:highlight w:val="none"/>
        </w:rPr>
        <w:t>《闽侯县公共汽电车年度运营服务计划》</w:t>
      </w:r>
      <w:r>
        <w:rPr>
          <w:rFonts w:hint="eastAsia" w:ascii="仿宋" w:hAnsi="仿宋" w:eastAsia="仿宋" w:cs="仿宋_GB2312"/>
          <w:sz w:val="32"/>
          <w:szCs w:val="32"/>
          <w:highlight w:val="none"/>
        </w:rPr>
        <w:t>，并将计划下达给公交企业，同时按照年度运营服务计划对年度财政补贴进行测算。</w:t>
      </w:r>
    </w:p>
    <w:p w14:paraId="63632407">
      <w:pPr>
        <w:spacing w:line="608" w:lineRule="exact"/>
        <w:ind w:firstLine="640" w:firstLineChars="200"/>
        <w:rPr>
          <w:rFonts w:ascii="仿宋" w:hAnsi="仿宋" w:eastAsia="仿宋" w:cs="仿宋_GB2312"/>
          <w:bCs/>
          <w:sz w:val="32"/>
          <w:szCs w:val="32"/>
          <w:highlight w:val="none"/>
        </w:rPr>
      </w:pPr>
      <w:bookmarkStart w:id="22" w:name="_Toc430242473"/>
      <w:r>
        <w:rPr>
          <w:rFonts w:hint="eastAsia" w:ascii="仿宋" w:hAnsi="仿宋" w:eastAsia="仿宋" w:cs="仿宋_GB2312"/>
          <w:bCs/>
          <w:sz w:val="32"/>
          <w:szCs w:val="32"/>
          <w:highlight w:val="none"/>
        </w:rPr>
        <w:t>（二）</w:t>
      </w:r>
      <w:bookmarkEnd w:id="22"/>
      <w:r>
        <w:rPr>
          <w:rFonts w:hint="eastAsia" w:ascii="仿宋" w:hAnsi="仿宋" w:eastAsia="仿宋" w:cs="仿宋_GB2312"/>
          <w:sz w:val="32"/>
          <w:szCs w:val="32"/>
          <w:highlight w:val="none"/>
        </w:rPr>
        <w:t>县</w:t>
      </w:r>
      <w:r>
        <w:rPr>
          <w:rFonts w:hint="eastAsia" w:ascii="仿宋" w:hAnsi="仿宋" w:eastAsia="仿宋" w:cs="仿宋_GB2312"/>
          <w:bCs/>
          <w:sz w:val="32"/>
          <w:szCs w:val="32"/>
          <w:highlight w:val="none"/>
        </w:rPr>
        <w:t>财政局在安排年度部门预算时，将县交通</w:t>
      </w:r>
      <w:r>
        <w:rPr>
          <w:rFonts w:hint="eastAsia" w:ascii="仿宋" w:hAnsi="仿宋" w:eastAsia="仿宋" w:cs="仿宋_GB2312"/>
          <w:bCs/>
          <w:sz w:val="32"/>
          <w:szCs w:val="32"/>
          <w:highlight w:val="none"/>
          <w:lang w:eastAsia="zh-CN"/>
        </w:rPr>
        <w:t>运输</w:t>
      </w:r>
      <w:r>
        <w:rPr>
          <w:rFonts w:hint="eastAsia" w:ascii="仿宋" w:hAnsi="仿宋" w:eastAsia="仿宋" w:cs="仿宋_GB2312"/>
          <w:bCs/>
          <w:sz w:val="32"/>
          <w:szCs w:val="32"/>
          <w:highlight w:val="none"/>
        </w:rPr>
        <w:t>局测算的年度财政补贴资金纳入其年度部门预算。</w:t>
      </w:r>
    </w:p>
    <w:p w14:paraId="7BD8E331">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（三）</w:t>
      </w:r>
      <w:r>
        <w:rPr>
          <w:rFonts w:hint="eastAsia" w:ascii="仿宋" w:hAnsi="仿宋" w:eastAsia="仿宋" w:cs="仿宋_GB2312"/>
          <w:sz w:val="32"/>
          <w:szCs w:val="32"/>
          <w:highlight w:val="none"/>
        </w:rPr>
        <w:t>县</w:t>
      </w:r>
      <w:r>
        <w:rPr>
          <w:rFonts w:hint="eastAsia" w:ascii="仿宋" w:hAnsi="仿宋" w:eastAsia="仿宋" w:cs="仿宋_GB2312"/>
          <w:bCs/>
          <w:sz w:val="32"/>
          <w:szCs w:val="32"/>
          <w:highlight w:val="none"/>
        </w:rPr>
        <w:t>财政局根据年度预算安排公交企业成本规制财政补贴资金，</w:t>
      </w:r>
      <w:r>
        <w:rPr>
          <w:rFonts w:hint="eastAsia" w:ascii="仿宋" w:hAnsi="仿宋" w:eastAsia="仿宋" w:cs="仿宋_GB2312"/>
          <w:bCs/>
          <w:sz w:val="32"/>
          <w:szCs w:val="32"/>
          <w:highlight w:val="none"/>
          <w:lang w:val="en-US" w:eastAsia="zh-CN"/>
        </w:rPr>
        <w:t>经审核后予以拨付</w:t>
      </w:r>
      <w:r>
        <w:rPr>
          <w:rFonts w:hint="eastAsia" w:ascii="仿宋" w:hAnsi="仿宋" w:eastAsia="仿宋" w:cs="仿宋_GB2312"/>
          <w:sz w:val="32"/>
          <w:szCs w:val="32"/>
          <w:highlight w:val="none"/>
        </w:rPr>
        <w:t>。</w:t>
      </w:r>
    </w:p>
    <w:p w14:paraId="6B8110DD">
      <w:pPr>
        <w:spacing w:line="608" w:lineRule="exact"/>
        <w:ind w:firstLine="640" w:firstLineChars="200"/>
        <w:rPr>
          <w:rFonts w:ascii="仿宋" w:hAnsi="仿宋" w:eastAsia="仿宋" w:cs="仿宋_GB2312"/>
          <w:bCs/>
          <w:sz w:val="32"/>
          <w:szCs w:val="32"/>
          <w:highlight w:val="none"/>
        </w:rPr>
      </w:pPr>
      <w:r>
        <w:rPr>
          <w:rFonts w:hint="eastAsia" w:ascii="仿宋" w:hAnsi="仿宋" w:eastAsia="仿宋" w:cs="仿宋_GB2312"/>
          <w:sz w:val="32"/>
          <w:szCs w:val="32"/>
          <w:highlight w:val="none"/>
        </w:rPr>
        <w:t>（四）县交通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w:t>
      </w:r>
      <w:r>
        <w:rPr>
          <w:rFonts w:hint="eastAsia" w:ascii="仿宋" w:hAnsi="仿宋" w:eastAsia="仿宋" w:cs="仿宋_GB2312"/>
          <w:bCs/>
          <w:sz w:val="32"/>
          <w:szCs w:val="32"/>
          <w:highlight w:val="none"/>
        </w:rPr>
        <w:t>按照</w:t>
      </w:r>
      <w:r>
        <w:rPr>
          <w:rFonts w:hint="eastAsia" w:ascii="仿宋" w:hAnsi="仿宋" w:eastAsia="仿宋" w:cs="仿宋_GB2312"/>
          <w:sz w:val="32"/>
          <w:szCs w:val="32"/>
          <w:highlight w:val="none"/>
        </w:rPr>
        <w:t>《闽侯县公共汽电车运营服务质量考核办法》规定，对公交企业进行考核。</w:t>
      </w:r>
    </w:p>
    <w:p w14:paraId="678039C4">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（五）</w:t>
      </w:r>
      <w:r>
        <w:rPr>
          <w:rFonts w:hint="eastAsia" w:ascii="仿宋" w:hAnsi="仿宋" w:eastAsia="仿宋" w:cs="仿宋_GB2312"/>
          <w:sz w:val="32"/>
          <w:szCs w:val="32"/>
          <w:highlight w:val="none"/>
        </w:rPr>
        <w:t>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县财政局牵头，委托第三方中介审计机构，按照《闽侯县城市公共交通客运服务成本规制实施办法》对公交企业进行审计，公交企业应按照要求及时提交企业当年的年度财务审计报告、年度财务综合报表、运营生产报表和人员、车辆台账以及其他和成本规制有关的必要资料。审计结束后，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局根据本办法结合公交企业数量与质量考核绩效核定实发财政补贴额报县政府研究后，县财政局予以补助。</w:t>
      </w:r>
    </w:p>
    <w:p w14:paraId="0D1F81F1">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sz w:val="32"/>
          <w:szCs w:val="32"/>
          <w:highlight w:val="none"/>
        </w:rPr>
        <w:t>（七）</w:t>
      </w:r>
      <w:r>
        <w:rPr>
          <w:rFonts w:hint="eastAsia" w:ascii="仿宋" w:hAnsi="仿宋" w:eastAsia="仿宋" w:cs="仿宋_GB2312"/>
          <w:sz w:val="32"/>
          <w:szCs w:val="32"/>
          <w:highlight w:val="none"/>
        </w:rPr>
        <w:t>公交企业要建立健全各项结算、考核等基础数据库，实现信息共享，满足结算和考评等工作需要。因公交企业不能提供真实、完整的数据资料而导致无法考评的，不予补贴。</w:t>
      </w:r>
      <w:bookmarkStart w:id="23" w:name="_Toc423556265"/>
      <w:bookmarkStart w:id="24" w:name="_Toc430242479"/>
      <w:bookmarkStart w:id="25" w:name="_Toc427336747"/>
    </w:p>
    <w:p w14:paraId="46A71712">
      <w:pPr>
        <w:spacing w:line="608" w:lineRule="exact"/>
        <w:ind w:firstLine="643" w:firstLineChars="200"/>
        <w:rPr>
          <w:rFonts w:ascii="仿宋" w:hAnsi="仿宋" w:eastAsia="仿宋" w:cs="仿宋_GB2312"/>
          <w:b/>
          <w:bCs/>
          <w:sz w:val="32"/>
          <w:szCs w:val="32"/>
          <w:highlight w:val="none"/>
        </w:rPr>
      </w:pPr>
      <w:r>
        <w:rPr>
          <w:rFonts w:hint="eastAsia" w:ascii="仿宋" w:hAnsi="仿宋" w:eastAsia="仿宋" w:cs="仿宋_GB2312"/>
          <w:b/>
          <w:bCs/>
          <w:kern w:val="44"/>
          <w:sz w:val="32"/>
          <w:szCs w:val="32"/>
          <w:highlight w:val="none"/>
          <w:lang w:eastAsia="zh-CN"/>
        </w:rPr>
        <w:t>六</w:t>
      </w:r>
      <w:bookmarkStart w:id="29" w:name="_GoBack"/>
      <w:bookmarkEnd w:id="29"/>
      <w:r>
        <w:rPr>
          <w:rFonts w:hint="eastAsia" w:ascii="仿宋" w:hAnsi="仿宋" w:eastAsia="仿宋" w:cs="仿宋_GB2312"/>
          <w:b/>
          <w:bCs/>
          <w:kern w:val="44"/>
          <w:sz w:val="32"/>
          <w:szCs w:val="32"/>
          <w:highlight w:val="none"/>
        </w:rPr>
        <w:t>、监督与绩效考核</w:t>
      </w:r>
      <w:bookmarkEnd w:id="23"/>
      <w:bookmarkEnd w:id="24"/>
      <w:bookmarkEnd w:id="25"/>
    </w:p>
    <w:p w14:paraId="157709CE">
      <w:pPr>
        <w:pStyle w:val="2"/>
        <w:shd w:val="clear" w:fill="FFFFFF" w:themeFill="background1"/>
        <w:spacing w:before="203" w:line="317" w:lineRule="auto"/>
        <w:ind w:right="20" w:firstLine="639"/>
        <w:rPr>
          <w:color w:val="auto"/>
          <w:sz w:val="32"/>
          <w:szCs w:val="32"/>
          <w:highlight w:val="none"/>
        </w:rPr>
      </w:pPr>
      <w:r>
        <w:rPr>
          <w:rFonts w:ascii="宋体" w:hAnsi="宋体" w:eastAsia="宋体" w:cs="宋体"/>
          <w:color w:val="auto"/>
          <w:spacing w:val="-9"/>
          <w:sz w:val="32"/>
          <w:szCs w:val="32"/>
          <w:highlight w:val="none"/>
        </w:rPr>
        <w:t>1.</w:t>
      </w:r>
      <w:r>
        <w:rPr>
          <w:color w:val="auto"/>
          <w:spacing w:val="-9"/>
          <w:sz w:val="32"/>
          <w:szCs w:val="32"/>
          <w:highlight w:val="none"/>
        </w:rPr>
        <w:t>县财政局、县交通运输局对公交企业弄虚作假、骗取套取、</w:t>
      </w:r>
      <w:r>
        <w:rPr>
          <w:color w:val="auto"/>
          <w:spacing w:val="-1"/>
          <w:sz w:val="32"/>
          <w:szCs w:val="32"/>
          <w:highlight w:val="none"/>
        </w:rPr>
        <w:t>挤占挪用财政资金的行为，依法依规严厉查处，保障财政资金安</w:t>
      </w:r>
      <w:r>
        <w:rPr>
          <w:color w:val="auto"/>
          <w:spacing w:val="-11"/>
          <w:sz w:val="32"/>
          <w:szCs w:val="32"/>
          <w:highlight w:val="none"/>
        </w:rPr>
        <w:t>全。</w:t>
      </w:r>
    </w:p>
    <w:p w14:paraId="09D82E31">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2.县财政局按照《国务院关于城市优先发展公共交通的指导意见》（国发〔2012〕64号）要求，建立全过程预算绩效管理机制，加强公交企业成本效益分析，推进公共汽电车运营财政补贴绩效评价工作。</w:t>
      </w:r>
      <w:bookmarkStart w:id="26" w:name="_Toc430242480"/>
      <w:bookmarkStart w:id="27" w:name="_Toc423556266"/>
      <w:bookmarkStart w:id="28" w:name="_Toc427336748"/>
    </w:p>
    <w:bookmarkEnd w:id="26"/>
    <w:bookmarkEnd w:id="27"/>
    <w:bookmarkEnd w:id="28"/>
    <w:p w14:paraId="1BE7522D">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bCs/>
          <w:kern w:val="44"/>
          <w:sz w:val="32"/>
          <w:szCs w:val="32"/>
          <w:highlight w:val="none"/>
        </w:rPr>
        <w:t>3.</w:t>
      </w:r>
      <w:r>
        <w:rPr>
          <w:rFonts w:hint="eastAsia" w:ascii="仿宋" w:hAnsi="仿宋" w:eastAsia="仿宋" w:cs="仿宋_GB2312"/>
          <w:sz w:val="32"/>
          <w:szCs w:val="32"/>
          <w:highlight w:val="none"/>
        </w:rPr>
        <w:t>因特殊原因需在《闽侯县公共汽电车年度运营服务计划》之外新开、延长或变更运营线路的，由县交通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局组织编制运营服务调整计划，核定运营财政补贴，并在实发财政补贴资金清算时一并兑付。公交企业未经批准自行开通公共汽电车运营线路的，财政部门不予核定财政补贴。县交通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局组织开通特色公共汽电车运营线路的应会商县财政局，具体财政补贴办法另行制定。</w:t>
      </w:r>
    </w:p>
    <w:p w14:paraId="7D5A2CF9">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4.公交企业有责任和义务完成县政府因突发应急事件下达的公共汽电车运营服务临时性任务。县交通</w:t>
      </w:r>
      <w:r>
        <w:rPr>
          <w:rFonts w:hint="eastAsia" w:ascii="仿宋" w:hAnsi="仿宋" w:eastAsia="仿宋" w:cs="仿宋_GB2312"/>
          <w:sz w:val="32"/>
          <w:szCs w:val="32"/>
          <w:highlight w:val="none"/>
          <w:lang w:eastAsia="zh-CN"/>
        </w:rPr>
        <w:t>运输</w:t>
      </w:r>
      <w:r>
        <w:rPr>
          <w:rFonts w:hint="eastAsia" w:ascii="仿宋" w:hAnsi="仿宋" w:eastAsia="仿宋" w:cs="仿宋_GB2312"/>
          <w:sz w:val="32"/>
          <w:szCs w:val="32"/>
          <w:highlight w:val="none"/>
        </w:rPr>
        <w:t>局应在公交企业完成临时性任务后出具证明材料，会同县财政局核定临时性任务运营财政补贴，并在实发财政补贴资金清算时一并兑付。</w:t>
      </w:r>
    </w:p>
    <w:p w14:paraId="3BEE2C12">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rPr>
        <w:t>5.本办法由县财政局会同有关部门负责解释。</w:t>
      </w:r>
    </w:p>
    <w:p w14:paraId="6A3780F1">
      <w:pPr>
        <w:pStyle w:val="2"/>
        <w:spacing w:before="226" w:line="221" w:lineRule="auto"/>
        <w:ind w:left="629"/>
        <w:rPr>
          <w:highlight w:val="none"/>
        </w:rPr>
      </w:pPr>
      <w:r>
        <w:rPr>
          <w:rFonts w:hint="eastAsia" w:ascii="仿宋" w:hAnsi="仿宋" w:eastAsia="仿宋" w:cs="仿宋_GB2312"/>
          <w:sz w:val="32"/>
          <w:szCs w:val="32"/>
          <w:highlight w:val="none"/>
          <w:lang w:val="en-US" w:eastAsia="zh-CN"/>
        </w:rPr>
        <w:t>原文：</w:t>
      </w:r>
      <w:r>
        <w:rPr>
          <w:spacing w:val="34"/>
          <w:highlight w:val="none"/>
        </w:rPr>
        <w:t>6.本办法自2022年1月1日起执行。</w:t>
      </w:r>
    </w:p>
    <w:p w14:paraId="3BD0FF04">
      <w:pPr>
        <w:spacing w:line="608" w:lineRule="exact"/>
        <w:ind w:firstLine="640" w:firstLineChars="200"/>
        <w:rPr>
          <w:rFonts w:ascii="仿宋" w:hAnsi="仿宋" w:eastAsia="仿宋" w:cs="仿宋_GB2312"/>
          <w:sz w:val="32"/>
          <w:szCs w:val="32"/>
          <w:highlight w:val="none"/>
        </w:rPr>
      </w:pPr>
      <w:r>
        <w:rPr>
          <w:rFonts w:hint="eastAsia" w:ascii="仿宋" w:hAnsi="仿宋" w:eastAsia="仿宋" w:cs="仿宋_GB2312"/>
          <w:sz w:val="32"/>
          <w:szCs w:val="32"/>
          <w:highlight w:val="none"/>
          <w:lang w:val="en-US" w:eastAsia="zh-CN"/>
        </w:rPr>
        <w:t>修改后：</w:t>
      </w:r>
      <w:r>
        <w:rPr>
          <w:rFonts w:hint="eastAsia" w:ascii="仿宋" w:hAnsi="仿宋" w:eastAsia="仿宋" w:cs="仿宋_GB2312"/>
          <w:sz w:val="32"/>
          <w:szCs w:val="32"/>
          <w:highlight w:val="none"/>
        </w:rPr>
        <w:t>6.</w:t>
      </w:r>
      <w:bookmarkEnd w:id="16"/>
      <w:bookmarkEnd w:id="17"/>
      <w:r>
        <w:rPr>
          <w:rFonts w:hint="eastAsia" w:ascii="仿宋" w:hAnsi="仿宋" w:eastAsia="仿宋" w:cs="仿宋_GB2312"/>
          <w:color w:val="000000"/>
          <w:sz w:val="32"/>
          <w:szCs w:val="32"/>
          <w:highlight w:val="none"/>
        </w:rPr>
        <w:t>本办法自</w:t>
      </w:r>
      <w:r>
        <w:rPr>
          <w:rFonts w:hint="eastAsia" w:ascii="仿宋" w:hAnsi="仿宋" w:eastAsia="仿宋" w:cs="仿宋_GB2312"/>
          <w:color w:val="000000"/>
          <w:sz w:val="32"/>
          <w:szCs w:val="32"/>
          <w:highlight w:val="none"/>
          <w:lang w:val="en-US" w:eastAsia="zh-CN"/>
        </w:rPr>
        <w:t>公布之日</w:t>
      </w:r>
      <w:r>
        <w:rPr>
          <w:rFonts w:hint="eastAsia" w:ascii="仿宋" w:hAnsi="仿宋" w:eastAsia="仿宋" w:cs="仿宋_GB2312"/>
          <w:color w:val="000000"/>
          <w:sz w:val="32"/>
          <w:szCs w:val="32"/>
          <w:highlight w:val="none"/>
        </w:rPr>
        <w:t>起施行</w:t>
      </w:r>
      <w:r>
        <w:rPr>
          <w:rFonts w:hint="eastAsia" w:ascii="仿宋" w:hAnsi="仿宋" w:eastAsia="仿宋" w:cs="仿宋_GB2312"/>
          <w:color w:val="000000"/>
          <w:sz w:val="32"/>
          <w:szCs w:val="32"/>
          <w:highlight w:val="none"/>
          <w:lang w:eastAsia="zh-CN"/>
        </w:rPr>
        <w:t>，</w:t>
      </w:r>
      <w:r>
        <w:rPr>
          <w:rFonts w:hint="eastAsia" w:ascii="仿宋" w:hAnsi="仿宋" w:eastAsia="仿宋" w:cs="仿宋_GB2312"/>
          <w:color w:val="000000"/>
          <w:sz w:val="32"/>
          <w:szCs w:val="32"/>
          <w:highlight w:val="none"/>
          <w:lang w:val="en-US" w:eastAsia="zh-CN"/>
        </w:rPr>
        <w:t>有效期至2029年12月31日</w:t>
      </w:r>
      <w:r>
        <w:rPr>
          <w:rFonts w:hint="eastAsia" w:ascii="仿宋" w:hAnsi="仿宋" w:eastAsia="仿宋" w:cs="仿宋_GB2312"/>
          <w:color w:val="000000"/>
          <w:sz w:val="32"/>
          <w:szCs w:val="32"/>
          <w:highlight w:val="none"/>
        </w:rPr>
        <w:t>。</w:t>
      </w:r>
      <w:r>
        <w:rPr>
          <w:rFonts w:hint="eastAsia" w:ascii="仿宋" w:hAnsi="仿宋" w:eastAsia="仿宋" w:cs="仿宋_GB2312"/>
          <w:color w:val="000000"/>
          <w:sz w:val="32"/>
          <w:szCs w:val="32"/>
          <w:highlight w:val="none"/>
          <w:lang w:eastAsia="zh-CN"/>
        </w:rPr>
        <w:t>《</w:t>
      </w:r>
      <w:r>
        <w:rPr>
          <w:rFonts w:hint="eastAsia" w:ascii="仿宋" w:hAnsi="仿宋" w:eastAsia="仿宋" w:cs="仿宋_GB2312"/>
          <w:color w:val="000000"/>
          <w:sz w:val="32"/>
          <w:szCs w:val="32"/>
          <w:highlight w:val="none"/>
          <w:lang w:val="en-US" w:eastAsia="zh-CN"/>
        </w:rPr>
        <w:t>闽侯县交通运输局 闽侯县财政局关于印发〈闽侯县城市公共汽电车客运服务成本规制办法〉等三个办法的通知》（侯交〔2022〕136号）、《闽侯县交通运输局关于印发〈闽侯县城市公共汽电车运营服务质量考核办法〉的通知》（侯交〔2024〕13号）同时废止。</w:t>
      </w:r>
    </w:p>
    <w:p w14:paraId="7C04030A">
      <w:pPr>
        <w:spacing w:line="608" w:lineRule="exact"/>
        <w:ind w:firstLine="200"/>
        <w:rPr>
          <w:rFonts w:ascii="仿宋" w:hAnsi="仿宋" w:eastAsia="仿宋"/>
          <w:sz w:val="32"/>
          <w:szCs w:val="32"/>
          <w:highlight w:val="none"/>
        </w:rPr>
      </w:pPr>
    </w:p>
    <w:p w14:paraId="488B6FEA">
      <w:pPr>
        <w:rPr>
          <w:highlight w:val="none"/>
        </w:rPr>
      </w:pPr>
    </w:p>
    <w:p w14:paraId="2DACE514">
      <w:pPr>
        <w:rPr>
          <w:highlight w:val="none"/>
        </w:rPr>
      </w:pPr>
    </w:p>
    <w:sectPr>
      <w:headerReference r:id="rId3" w:type="default"/>
      <w:footerReference r:id="rId4" w:type="default"/>
      <w:footerReference r:id="rId5" w:type="even"/>
      <w:pgSz w:w="11906" w:h="16838"/>
      <w:pgMar w:top="1440" w:right="136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A7F50">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14:paraId="2933453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A9986">
    <w:pPr>
      <w:pStyle w:val="3"/>
      <w:framePr w:wrap="around" w:vAnchor="text" w:hAnchor="margin" w:xAlign="center" w:y="1"/>
      <w:rPr>
        <w:rStyle w:val="7"/>
      </w:rPr>
    </w:pPr>
    <w:r>
      <w:fldChar w:fldCharType="begin"/>
    </w:r>
    <w:r>
      <w:rPr>
        <w:rStyle w:val="7"/>
      </w:rPr>
      <w:instrText xml:space="preserve">PAGE  </w:instrText>
    </w:r>
    <w:r>
      <w:fldChar w:fldCharType="end"/>
    </w:r>
  </w:p>
  <w:p w14:paraId="0E26972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31B3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EE7"/>
    <w:rsid w:val="00245207"/>
    <w:rsid w:val="00A93EE7"/>
    <w:rsid w:val="05B5419D"/>
    <w:rsid w:val="08FD3530"/>
    <w:rsid w:val="09EA6895"/>
    <w:rsid w:val="0AD32091"/>
    <w:rsid w:val="0C8427D5"/>
    <w:rsid w:val="11383CD5"/>
    <w:rsid w:val="123B7C33"/>
    <w:rsid w:val="1D7F708B"/>
    <w:rsid w:val="20F639BC"/>
    <w:rsid w:val="27743E5C"/>
    <w:rsid w:val="29DC7B73"/>
    <w:rsid w:val="2C934F4D"/>
    <w:rsid w:val="2E367A7C"/>
    <w:rsid w:val="2FC915A5"/>
    <w:rsid w:val="34BF69CF"/>
    <w:rsid w:val="36190BA4"/>
    <w:rsid w:val="3A4B6C9E"/>
    <w:rsid w:val="3B8928AF"/>
    <w:rsid w:val="3CA57222"/>
    <w:rsid w:val="40F77B80"/>
    <w:rsid w:val="42BB5B34"/>
    <w:rsid w:val="43422D96"/>
    <w:rsid w:val="458C4D3B"/>
    <w:rsid w:val="46AA018F"/>
    <w:rsid w:val="48C8205E"/>
    <w:rsid w:val="4C6641C5"/>
    <w:rsid w:val="54DA5757"/>
    <w:rsid w:val="59280447"/>
    <w:rsid w:val="5B6055E2"/>
    <w:rsid w:val="5DBC3B29"/>
    <w:rsid w:val="5FB240F2"/>
    <w:rsid w:val="68A5246C"/>
    <w:rsid w:val="6BAD7D40"/>
    <w:rsid w:val="6BBF2091"/>
    <w:rsid w:val="6FBA2F50"/>
    <w:rsid w:val="7726434C"/>
    <w:rsid w:val="BB51D51A"/>
    <w:rsid w:val="BFF74DC3"/>
    <w:rsid w:val="FBFF5BAA"/>
    <w:rsid w:val="FFB52A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eastAsia="Times New Roman"/>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3248</Words>
  <Characters>3331</Characters>
  <Lines>1</Lines>
  <Paragraphs>5</Paragraphs>
  <TotalTime>13</TotalTime>
  <ScaleCrop>false</ScaleCrop>
  <LinksUpToDate>false</LinksUpToDate>
  <CharactersWithSpaces>3340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杨高潮</cp:lastModifiedBy>
  <cp:lastPrinted>2026-03-14T16:45:00Z</cp:lastPrinted>
  <dcterms:modified xsi:type="dcterms:W3CDTF">2026-09-07T10:06:39Z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7FEB30F8D37C4198B9169E6AB65F5882_43</vt:lpwstr>
  </property>
  <property fmtid="{D5CDD505-2E9C-101B-9397-08002B2CF9AE}" pid="4" name="KSOTemplateDocerSaveRecord">
    <vt:lpwstr>eyJoZGlkIjoiNzhmMDRiOTliZjE2YTU4MTMwYmJmODQ5N2U4NjBmOTciLCJ1c2VySWQiOiIzNjE1MTAzMjkifQ==</vt:lpwstr>
  </property>
</Properties>
</file>