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909CE">
      <w:pPr>
        <w:rPr>
          <w:rFonts w:hint="eastAsia" w:ascii="楷体" w:hAnsi="楷体" w:eastAsia="楷体" w:cs="楷体"/>
          <w:color w:val="000000"/>
          <w:sz w:val="28"/>
          <w:szCs w:val="28"/>
          <w:highlight w:val="none"/>
          <w:lang w:val="en-US" w:eastAsia="zh-CN"/>
        </w:rPr>
      </w:pPr>
      <w:r>
        <w:rPr>
          <w:rFonts w:hint="eastAsia" w:ascii="楷体" w:hAnsi="楷体" w:eastAsia="楷体" w:cs="楷体"/>
          <w:color w:val="000000"/>
          <w:sz w:val="28"/>
          <w:szCs w:val="28"/>
          <w:highlight w:val="none"/>
        </w:rPr>
        <w:t>附件</w:t>
      </w:r>
      <w:r>
        <w:rPr>
          <w:rFonts w:hint="eastAsia" w:ascii="楷体" w:hAnsi="楷体" w:eastAsia="楷体" w:cs="楷体"/>
          <w:color w:val="000000"/>
          <w:sz w:val="28"/>
          <w:szCs w:val="28"/>
          <w:highlight w:val="none"/>
          <w:lang w:val="en-US" w:eastAsia="zh-CN"/>
        </w:rPr>
        <w:t>3</w:t>
      </w:r>
    </w:p>
    <w:p w14:paraId="465B1F0B">
      <w:pPr>
        <w:jc w:val="center"/>
        <w:rPr>
          <w:rFonts w:ascii="宋体" w:hAnsi="宋体" w:eastAsia="宋体"/>
          <w:b/>
          <w:color w:val="000000"/>
          <w:sz w:val="44"/>
          <w:szCs w:val="44"/>
          <w:highlight w:val="none"/>
        </w:rPr>
      </w:pPr>
    </w:p>
    <w:p w14:paraId="4BE3D5DC">
      <w:pPr>
        <w:jc w:val="center"/>
        <w:rPr>
          <w:rFonts w:hint="eastAsia" w:ascii="方正小标宋简体" w:hAnsi="宋体" w:eastAsia="方正小标宋简体"/>
          <w:color w:val="000000"/>
          <w:sz w:val="44"/>
          <w:szCs w:val="44"/>
          <w:highlight w:val="none"/>
        </w:rPr>
      </w:pPr>
      <w:r>
        <w:rPr>
          <w:rFonts w:hint="eastAsia" w:ascii="方正小标宋简体" w:hAnsi="宋体" w:eastAsia="方正小标宋简体"/>
          <w:color w:val="000000"/>
          <w:sz w:val="44"/>
          <w:szCs w:val="44"/>
          <w:highlight w:val="none"/>
        </w:rPr>
        <w:t>闽侯县城</w:t>
      </w:r>
      <w:r>
        <w:rPr>
          <w:rFonts w:hint="eastAsia" w:ascii="方正小标宋简体" w:hAnsi="宋体" w:eastAsia="方正小标宋简体"/>
          <w:color w:val="000000"/>
          <w:sz w:val="44"/>
          <w:szCs w:val="44"/>
          <w:highlight w:val="none"/>
          <w:lang w:eastAsia="zh-CN"/>
        </w:rPr>
        <w:t>市</w:t>
      </w:r>
      <w:r>
        <w:rPr>
          <w:rFonts w:hint="eastAsia" w:ascii="方正小标宋简体" w:hAnsi="宋体" w:eastAsia="方正小标宋简体"/>
          <w:color w:val="000000"/>
          <w:sz w:val="44"/>
          <w:szCs w:val="44"/>
          <w:highlight w:val="none"/>
        </w:rPr>
        <w:t>公共汽电车运营</w:t>
      </w:r>
    </w:p>
    <w:p w14:paraId="0B8B1253">
      <w:pPr>
        <w:jc w:val="center"/>
        <w:rPr>
          <w:rFonts w:hint="eastAsia" w:ascii="方正小标宋简体" w:hAnsi="宋体" w:eastAsia="方正小标宋简体"/>
          <w:color w:val="000000"/>
          <w:sz w:val="44"/>
          <w:szCs w:val="44"/>
          <w:highlight w:val="none"/>
          <w:lang w:val="en-US" w:eastAsia="zh-CN"/>
        </w:rPr>
      </w:pPr>
      <w:r>
        <w:rPr>
          <w:rFonts w:hint="eastAsia" w:ascii="方正小标宋简体" w:hAnsi="宋体" w:eastAsia="方正小标宋简体"/>
          <w:color w:val="000000"/>
          <w:sz w:val="44"/>
          <w:szCs w:val="44"/>
          <w:highlight w:val="none"/>
        </w:rPr>
        <w:t>服务质量考核办</w:t>
      </w:r>
      <w:r>
        <w:rPr>
          <w:rFonts w:hint="eastAsia" w:ascii="方正小标宋简体" w:hAnsi="宋体" w:eastAsia="方正小标宋简体"/>
          <w:color w:val="000000"/>
          <w:sz w:val="44"/>
          <w:szCs w:val="44"/>
          <w:highlight w:val="none"/>
          <w:lang w:eastAsia="zh-CN"/>
        </w:rPr>
        <w:t>法</w:t>
      </w:r>
    </w:p>
    <w:p w14:paraId="065C84CF">
      <w:pPr>
        <w:jc w:val="center"/>
        <w:rPr>
          <w:rFonts w:hint="eastAsia" w:ascii="仿宋" w:hAnsi="仿宋" w:eastAsia="仿宋" w:cs="Calibri"/>
          <w:b/>
          <w:bCs/>
          <w:color w:val="000000"/>
          <w:kern w:val="44"/>
          <w:szCs w:val="32"/>
          <w:highlight w:val="none"/>
        </w:rPr>
      </w:pPr>
      <w:bookmarkStart w:id="0" w:name="_Toc430592147"/>
    </w:p>
    <w:p w14:paraId="6C506330">
      <w:pPr>
        <w:jc w:val="center"/>
        <w:rPr>
          <w:rFonts w:ascii="仿宋" w:hAnsi="仿宋" w:eastAsia="仿宋" w:cs="Calibri"/>
          <w:b/>
          <w:bCs/>
          <w:color w:val="000000"/>
          <w:kern w:val="44"/>
          <w:szCs w:val="32"/>
          <w:highlight w:val="none"/>
        </w:rPr>
      </w:pPr>
      <w:r>
        <w:rPr>
          <w:rFonts w:hint="eastAsia" w:ascii="仿宋" w:hAnsi="仿宋" w:eastAsia="仿宋" w:cs="Calibri"/>
          <w:b/>
          <w:bCs/>
          <w:color w:val="000000"/>
          <w:kern w:val="44"/>
          <w:szCs w:val="32"/>
          <w:highlight w:val="none"/>
        </w:rPr>
        <w:t>第一章 总  则</w:t>
      </w:r>
      <w:bookmarkEnd w:id="0"/>
    </w:p>
    <w:p w14:paraId="5C479DB3">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第一条</w:t>
      </w:r>
      <w:r>
        <w:rPr>
          <w:rFonts w:hint="eastAsia" w:ascii="仿宋" w:hAnsi="仿宋" w:eastAsia="仿宋"/>
          <w:color w:val="000000"/>
          <w:szCs w:val="32"/>
          <w:highlight w:val="none"/>
        </w:rPr>
        <w:t>为加强城县公交行业监督和管理，全面提升我县公共汽电车运营服务质量，促进公共交通健康持续发展，根据《城县公共汽车和电车客运管理规定》（交通运输部令2017年第5号）、《福建省道路运输条例》、《城</w:t>
      </w:r>
      <w:r>
        <w:rPr>
          <w:rFonts w:hint="eastAsia" w:ascii="仿宋" w:hAnsi="仿宋" w:eastAsia="仿宋"/>
          <w:color w:val="000000"/>
          <w:szCs w:val="32"/>
          <w:highlight w:val="none"/>
          <w:lang w:eastAsia="zh-CN"/>
        </w:rPr>
        <w:t>市</w:t>
      </w:r>
      <w:r>
        <w:rPr>
          <w:rFonts w:hint="eastAsia" w:ascii="仿宋" w:hAnsi="仿宋" w:eastAsia="仿宋"/>
          <w:color w:val="000000"/>
          <w:szCs w:val="32"/>
          <w:highlight w:val="none"/>
        </w:rPr>
        <w:t>公共汽（电）车运营服务规范》（DB35/T1432-2014）等文件要求，并参照</w:t>
      </w:r>
      <w:r>
        <w:rPr>
          <w:rFonts w:hint="eastAsia" w:ascii="仿宋" w:hAnsi="仿宋" w:eastAsia="仿宋" w:cs="仿宋_GB2312"/>
          <w:color w:val="000000"/>
          <w:szCs w:val="32"/>
          <w:highlight w:val="none"/>
        </w:rPr>
        <w:t>《福州市财政局 福州市交通运输局关于印发</w:t>
      </w:r>
      <w:r>
        <w:rPr>
          <w:rFonts w:hint="eastAsia" w:ascii="仿宋" w:hAnsi="仿宋" w:eastAsia="仿宋" w:cs="仿宋_GB2312"/>
          <w:color w:val="000000"/>
          <w:szCs w:val="32"/>
          <w:highlight w:val="none"/>
          <w:lang w:eastAsia="zh-CN"/>
        </w:rPr>
        <w:t>〈</w:t>
      </w:r>
      <w:r>
        <w:rPr>
          <w:rFonts w:hint="eastAsia" w:ascii="仿宋" w:hAnsi="仿宋" w:eastAsia="仿宋" w:cs="仿宋_GB2312"/>
          <w:color w:val="000000"/>
          <w:szCs w:val="32"/>
          <w:highlight w:val="none"/>
        </w:rPr>
        <w:t>福州市城市公共汽电车客运服务成本规制实施办法（修订）</w:t>
      </w:r>
      <w:r>
        <w:rPr>
          <w:rFonts w:hint="eastAsia" w:ascii="仿宋" w:hAnsi="仿宋" w:eastAsia="仿宋" w:cs="仿宋_GB2312"/>
          <w:color w:val="000000"/>
          <w:szCs w:val="32"/>
          <w:highlight w:val="none"/>
          <w:lang w:eastAsia="zh-CN"/>
        </w:rPr>
        <w:t>〉</w:t>
      </w:r>
      <w:r>
        <w:rPr>
          <w:rFonts w:hint="eastAsia" w:ascii="仿宋" w:hAnsi="仿宋" w:eastAsia="仿宋" w:cs="仿宋_GB2312"/>
          <w:color w:val="000000"/>
          <w:szCs w:val="32"/>
          <w:highlight w:val="none"/>
        </w:rPr>
        <w:t>等三个办法的通知》（榕财企</w:t>
      </w:r>
      <w:r>
        <w:rPr>
          <w:rFonts w:hint="eastAsia" w:ascii="仿宋" w:hAnsi="仿宋" w:eastAsia="仿宋" w:cs="仿宋_GB2312"/>
          <w:szCs w:val="32"/>
          <w:highlight w:val="none"/>
        </w:rPr>
        <w:t>〔2021〕</w:t>
      </w:r>
      <w:r>
        <w:rPr>
          <w:rFonts w:hint="eastAsia" w:ascii="仿宋" w:hAnsi="仿宋" w:eastAsia="仿宋" w:cs="仿宋_GB2312"/>
          <w:color w:val="000000"/>
          <w:szCs w:val="32"/>
          <w:highlight w:val="none"/>
        </w:rPr>
        <w:t>16号）</w:t>
      </w:r>
      <w:r>
        <w:rPr>
          <w:rFonts w:hint="eastAsia" w:ascii="仿宋" w:hAnsi="仿宋" w:eastAsia="仿宋"/>
          <w:color w:val="000000"/>
          <w:szCs w:val="32"/>
          <w:highlight w:val="none"/>
        </w:rPr>
        <w:t>制定本办法。</w:t>
      </w:r>
    </w:p>
    <w:p w14:paraId="6DEB186E">
      <w:pPr>
        <w:ind w:firstLine="643" w:firstLineChars="200"/>
        <w:rPr>
          <w:rFonts w:ascii="仿宋" w:hAnsi="仿宋" w:eastAsia="仿宋" w:cs="宋体"/>
          <w:color w:val="000000"/>
          <w:szCs w:val="32"/>
          <w:highlight w:val="none"/>
        </w:rPr>
      </w:pPr>
      <w:r>
        <w:rPr>
          <w:rFonts w:hint="eastAsia" w:ascii="仿宋" w:hAnsi="仿宋" w:eastAsia="仿宋" w:cs="Calibri"/>
          <w:b/>
          <w:bCs/>
          <w:color w:val="000000"/>
          <w:kern w:val="44"/>
          <w:szCs w:val="32"/>
          <w:highlight w:val="none"/>
        </w:rPr>
        <w:t>第二条</w:t>
      </w:r>
      <w:r>
        <w:rPr>
          <w:rFonts w:hint="eastAsia" w:ascii="仿宋" w:hAnsi="仿宋" w:eastAsia="仿宋" w:cs="宋体"/>
          <w:color w:val="000000"/>
          <w:szCs w:val="32"/>
          <w:highlight w:val="none"/>
        </w:rPr>
        <w:t>本办法实施对象是指按照《</w:t>
      </w:r>
      <w:r>
        <w:rPr>
          <w:rFonts w:hint="eastAsia" w:ascii="仿宋" w:hAnsi="仿宋" w:eastAsia="仿宋"/>
          <w:color w:val="000000"/>
          <w:szCs w:val="32"/>
          <w:highlight w:val="none"/>
        </w:rPr>
        <w:t>闽侯县</w:t>
      </w:r>
      <w:r>
        <w:rPr>
          <w:rFonts w:hint="eastAsia" w:ascii="仿宋" w:hAnsi="仿宋" w:eastAsia="仿宋" w:cs="宋体"/>
          <w:color w:val="000000"/>
          <w:szCs w:val="32"/>
          <w:highlight w:val="none"/>
        </w:rPr>
        <w:t>公共汽电车年度运营服务计划》（附件1）要求提供相应运营服务的公交企</w:t>
      </w:r>
      <w:r>
        <w:rPr>
          <w:rFonts w:hint="eastAsia" w:ascii="仿宋" w:hAnsi="仿宋" w:eastAsia="仿宋"/>
          <w:color w:val="000000"/>
          <w:szCs w:val="32"/>
          <w:highlight w:val="none"/>
        </w:rPr>
        <w:t>业。《闽侯县公共汽电车年度运营服务计划》应兼顾县民基本出行需求与财政承受能力按照年度进行编制，确定每条公交线路的配车数、线路里程、首末班时间、发车间隔、计划趟次、计划运营里程等信息。</w:t>
      </w:r>
    </w:p>
    <w:p w14:paraId="31543DD6">
      <w:pPr>
        <w:ind w:firstLine="643" w:firstLineChars="200"/>
        <w:jc w:val="left"/>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第三条</w:t>
      </w:r>
      <w:r>
        <w:rPr>
          <w:rFonts w:hint="eastAsia" w:ascii="仿宋" w:hAnsi="仿宋" w:eastAsia="仿宋"/>
          <w:color w:val="000000"/>
          <w:szCs w:val="32"/>
          <w:highlight w:val="none"/>
        </w:rPr>
        <w:t xml:space="preserve">  服务质量考核坚持以人为本、公平、公正、公开的原则，采取公共汽电车运营服务质量考核，建立考核结果与过程监督相结合的考核机制，确保行业管理部门对公共汽电车运营企业（以下简称“公交企业”）运营服务过程公平考核、服务公正评价、结果公开透明。</w:t>
      </w:r>
    </w:p>
    <w:p w14:paraId="43685471">
      <w:pPr>
        <w:ind w:firstLine="643" w:firstLineChars="200"/>
        <w:jc w:val="left"/>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第四条</w:t>
      </w:r>
      <w:r>
        <w:rPr>
          <w:rFonts w:hint="eastAsia" w:ascii="仿宋" w:hAnsi="仿宋" w:eastAsia="仿宋"/>
          <w:color w:val="000000"/>
          <w:szCs w:val="32"/>
          <w:highlight w:val="none"/>
        </w:rPr>
        <w:t xml:space="preserve">  考核内容</w:t>
      </w:r>
      <w:bookmarkStart w:id="1" w:name="_Toc430592151"/>
      <w:r>
        <w:rPr>
          <w:rFonts w:hint="eastAsia" w:ascii="仿宋" w:hAnsi="仿宋" w:eastAsia="仿宋"/>
          <w:color w:val="000000"/>
          <w:szCs w:val="32"/>
          <w:highlight w:val="none"/>
        </w:rPr>
        <w:t>以《闽侯县</w:t>
      </w:r>
      <w:r>
        <w:rPr>
          <w:rFonts w:hint="eastAsia" w:ascii="仿宋" w:hAnsi="仿宋" w:eastAsia="仿宋" w:cs="宋体"/>
          <w:color w:val="000000"/>
          <w:szCs w:val="32"/>
          <w:highlight w:val="none"/>
        </w:rPr>
        <w:t>公共汽电车年度运营服务计划</w:t>
      </w:r>
      <w:r>
        <w:rPr>
          <w:rFonts w:hint="eastAsia" w:ascii="仿宋" w:hAnsi="仿宋" w:eastAsia="仿宋"/>
          <w:color w:val="000000"/>
          <w:szCs w:val="32"/>
          <w:highlight w:val="none"/>
        </w:rPr>
        <w:t>》中规定的各公交企业运营数量指标的执行情况和企业管理、安全生产管理、经营管理、服务质量和履行社会责任等方面进行的综合考核。</w:t>
      </w:r>
    </w:p>
    <w:p w14:paraId="22E9354B">
      <w:pPr>
        <w:jc w:val="center"/>
        <w:rPr>
          <w:rFonts w:ascii="仿宋" w:hAnsi="仿宋" w:eastAsia="仿宋" w:cs="Calibri"/>
          <w:b/>
          <w:bCs/>
          <w:color w:val="000000"/>
          <w:kern w:val="44"/>
          <w:szCs w:val="32"/>
          <w:highlight w:val="none"/>
        </w:rPr>
      </w:pPr>
      <w:r>
        <w:rPr>
          <w:rFonts w:hint="eastAsia" w:ascii="仿宋" w:hAnsi="仿宋" w:eastAsia="仿宋" w:cs="Calibri"/>
          <w:b/>
          <w:bCs/>
          <w:color w:val="000000"/>
          <w:kern w:val="44"/>
          <w:szCs w:val="32"/>
          <w:highlight w:val="none"/>
        </w:rPr>
        <w:t>第二章 考核方式及组织实施机构</w:t>
      </w:r>
      <w:bookmarkEnd w:id="1"/>
      <w:bookmarkStart w:id="2" w:name="_Toc430592152"/>
      <w:bookmarkStart w:id="3" w:name="_Toc430187813"/>
      <w:bookmarkStart w:id="4" w:name="_Toc430337261"/>
      <w:bookmarkStart w:id="5" w:name="_Toc430591595"/>
    </w:p>
    <w:p w14:paraId="6489EC89">
      <w:pPr>
        <w:ind w:firstLine="643" w:firstLineChars="200"/>
        <w:rPr>
          <w:rFonts w:ascii="仿宋" w:hAnsi="仿宋" w:eastAsia="仿宋" w:cs="Calibri"/>
          <w:bCs/>
          <w:color w:val="000000"/>
          <w:kern w:val="44"/>
          <w:szCs w:val="32"/>
          <w:highlight w:val="none"/>
        </w:rPr>
      </w:pPr>
      <w:r>
        <w:rPr>
          <w:rFonts w:hint="eastAsia" w:ascii="仿宋" w:hAnsi="仿宋" w:eastAsia="仿宋" w:cs="Calibri"/>
          <w:b/>
          <w:bCs/>
          <w:color w:val="000000"/>
          <w:kern w:val="44"/>
          <w:szCs w:val="32"/>
          <w:highlight w:val="none"/>
        </w:rPr>
        <w:t>第五条</w:t>
      </w:r>
      <w:bookmarkEnd w:id="2"/>
      <w:bookmarkEnd w:id="3"/>
      <w:bookmarkEnd w:id="4"/>
      <w:bookmarkEnd w:id="5"/>
      <w:r>
        <w:rPr>
          <w:rFonts w:hint="eastAsia" w:ascii="仿宋" w:hAnsi="仿宋" w:eastAsia="仿宋"/>
          <w:color w:val="000000"/>
          <w:szCs w:val="32"/>
          <w:highlight w:val="none"/>
        </w:rPr>
        <w:t>公共汽电车运营服务质量考核采用</w:t>
      </w:r>
      <w:bookmarkStart w:id="6" w:name="_Toc430591596"/>
      <w:bookmarkStart w:id="7" w:name="_Toc430187815"/>
      <w:bookmarkStart w:id="8" w:name="_Toc430337262"/>
      <w:bookmarkStart w:id="9" w:name="_Toc430592153"/>
      <w:r>
        <w:rPr>
          <w:rFonts w:hint="eastAsia" w:ascii="仿宋" w:hAnsi="仿宋" w:eastAsia="仿宋"/>
          <w:color w:val="000000"/>
          <w:szCs w:val="32"/>
          <w:highlight w:val="none"/>
        </w:rPr>
        <w:t>年度考核和日常考核相结合，考核成绩采用千分制计分方式。</w:t>
      </w:r>
    </w:p>
    <w:bookmarkEnd w:id="6"/>
    <w:bookmarkEnd w:id="7"/>
    <w:bookmarkEnd w:id="8"/>
    <w:bookmarkEnd w:id="9"/>
    <w:p w14:paraId="14019B25">
      <w:pPr>
        <w:ind w:firstLine="643" w:firstLineChars="200"/>
        <w:rPr>
          <w:rFonts w:ascii="仿宋" w:hAnsi="仿宋" w:eastAsia="仿宋"/>
          <w:color w:val="000000"/>
          <w:szCs w:val="32"/>
          <w:highlight w:val="none"/>
        </w:rPr>
      </w:pPr>
      <w:bookmarkStart w:id="10" w:name="_Toc430187816"/>
      <w:bookmarkStart w:id="11" w:name="_Toc430591597"/>
      <w:bookmarkStart w:id="12" w:name="_Toc430337263"/>
      <w:bookmarkStart w:id="13" w:name="_Toc430592154"/>
      <w:r>
        <w:rPr>
          <w:rFonts w:hint="eastAsia" w:ascii="仿宋" w:hAnsi="仿宋" w:eastAsia="仿宋" w:cs="Calibri"/>
          <w:b/>
          <w:bCs/>
          <w:color w:val="000000"/>
          <w:kern w:val="44"/>
          <w:szCs w:val="32"/>
          <w:highlight w:val="none"/>
        </w:rPr>
        <w:t>第六条</w:t>
      </w:r>
      <w:bookmarkEnd w:id="10"/>
      <w:bookmarkEnd w:id="11"/>
      <w:bookmarkEnd w:id="12"/>
      <w:bookmarkEnd w:id="13"/>
      <w:r>
        <w:rPr>
          <w:rFonts w:hint="eastAsia" w:ascii="仿宋" w:hAnsi="仿宋" w:eastAsia="仿宋"/>
          <w:bCs/>
          <w:color w:val="000000"/>
          <w:szCs w:val="32"/>
          <w:highlight w:val="none"/>
        </w:rPr>
        <w:t>由</w:t>
      </w:r>
      <w:r>
        <w:rPr>
          <w:rFonts w:hint="eastAsia" w:ascii="仿宋" w:hAnsi="仿宋" w:eastAsia="仿宋"/>
          <w:color w:val="000000"/>
          <w:szCs w:val="32"/>
          <w:highlight w:val="none"/>
        </w:rPr>
        <w:t>县交通</w:t>
      </w:r>
      <w:r>
        <w:rPr>
          <w:rFonts w:hint="eastAsia" w:ascii="仿宋" w:hAnsi="仿宋" w:eastAsia="仿宋"/>
          <w:color w:val="000000"/>
          <w:szCs w:val="32"/>
          <w:highlight w:val="none"/>
          <w:lang w:eastAsia="zh-CN"/>
        </w:rPr>
        <w:t>运输</w:t>
      </w:r>
      <w:r>
        <w:rPr>
          <w:rFonts w:hint="eastAsia" w:ascii="仿宋" w:hAnsi="仿宋" w:eastAsia="仿宋"/>
          <w:color w:val="000000"/>
          <w:szCs w:val="32"/>
          <w:highlight w:val="none"/>
        </w:rPr>
        <w:t>局组织成立考核组，负责公共汽电车运营服务质量的考核工作</w:t>
      </w:r>
      <w:r>
        <w:rPr>
          <w:rFonts w:hint="eastAsia" w:ascii="仿宋" w:hAnsi="仿宋" w:eastAsia="仿宋"/>
          <w:color w:val="000000"/>
          <w:szCs w:val="32"/>
          <w:highlight w:val="none"/>
          <w:lang w:eastAsia="zh-CN"/>
        </w:rPr>
        <w:t>，也可以通过聘请第三方组成考核组进行考核，</w:t>
      </w:r>
      <w:r>
        <w:rPr>
          <w:rFonts w:hint="eastAsia" w:ascii="仿宋" w:hAnsi="仿宋" w:eastAsia="仿宋"/>
          <w:color w:val="000000"/>
          <w:szCs w:val="32"/>
          <w:highlight w:val="none"/>
        </w:rPr>
        <w:t>考核组成员由具有公共交通管理经验的相关人员组成。</w:t>
      </w:r>
      <w:bookmarkStart w:id="14" w:name="_Toc430187817"/>
      <w:bookmarkStart w:id="15" w:name="_Toc430591598"/>
      <w:bookmarkStart w:id="16" w:name="_Toc430592155"/>
      <w:bookmarkStart w:id="17" w:name="_Toc430337264"/>
    </w:p>
    <w:bookmarkEnd w:id="14"/>
    <w:bookmarkEnd w:id="15"/>
    <w:bookmarkEnd w:id="16"/>
    <w:bookmarkEnd w:id="17"/>
    <w:p w14:paraId="10F4D930">
      <w:pPr>
        <w:ind w:firstLine="643" w:firstLineChars="200"/>
        <w:jc w:val="center"/>
        <w:rPr>
          <w:rFonts w:ascii="仿宋" w:hAnsi="仿宋" w:eastAsia="仿宋" w:cs="Calibri"/>
          <w:b/>
          <w:bCs/>
          <w:color w:val="000000"/>
          <w:kern w:val="44"/>
          <w:szCs w:val="32"/>
          <w:highlight w:val="none"/>
        </w:rPr>
      </w:pPr>
      <w:bookmarkStart w:id="18" w:name="_Toc430592157"/>
      <w:r>
        <w:rPr>
          <w:rFonts w:hint="eastAsia" w:ascii="仿宋" w:hAnsi="仿宋" w:eastAsia="仿宋" w:cs="Calibri"/>
          <w:b/>
          <w:bCs/>
          <w:color w:val="000000"/>
          <w:kern w:val="44"/>
          <w:szCs w:val="32"/>
          <w:highlight w:val="none"/>
        </w:rPr>
        <w:t>第三章 考核与评价方法</w:t>
      </w:r>
      <w:bookmarkEnd w:id="18"/>
      <w:bookmarkStart w:id="19" w:name="_Toc430187823"/>
      <w:bookmarkEnd w:id="19"/>
      <w:bookmarkStart w:id="20" w:name="_Toc430187821"/>
      <w:bookmarkEnd w:id="20"/>
      <w:bookmarkStart w:id="21" w:name="_Toc430187820"/>
      <w:bookmarkEnd w:id="21"/>
      <w:bookmarkStart w:id="22" w:name="_Toc430187822"/>
      <w:bookmarkEnd w:id="22"/>
    </w:p>
    <w:p w14:paraId="6311185E">
      <w:pPr>
        <w:ind w:firstLine="643" w:firstLineChars="200"/>
        <w:rPr>
          <w:rFonts w:ascii="仿宋" w:hAnsi="仿宋" w:eastAsia="仿宋" w:cs="Calibri"/>
          <w:b/>
          <w:bCs/>
          <w:color w:val="000000"/>
          <w:kern w:val="44"/>
          <w:szCs w:val="32"/>
          <w:highlight w:val="none"/>
        </w:rPr>
      </w:pPr>
      <w:r>
        <w:rPr>
          <w:rFonts w:hint="eastAsia" w:ascii="仿宋" w:hAnsi="仿宋" w:eastAsia="仿宋" w:cs="Calibri"/>
          <w:b/>
          <w:bCs/>
          <w:color w:val="000000"/>
          <w:kern w:val="44"/>
          <w:szCs w:val="32"/>
          <w:highlight w:val="none"/>
        </w:rPr>
        <w:t>第七条</w:t>
      </w:r>
      <w:r>
        <w:rPr>
          <w:rFonts w:hint="eastAsia" w:ascii="仿宋" w:hAnsi="仿宋" w:eastAsia="仿宋"/>
          <w:color w:val="000000"/>
          <w:szCs w:val="32"/>
          <w:highlight w:val="none"/>
        </w:rPr>
        <w:t>日常质量指标包括：服务设施完备率、运营服务合格率、车辆整洁合格率3项指标，满分150分。考核各项指标评分标准与计分方法（见附件2）。</w:t>
      </w:r>
    </w:p>
    <w:p w14:paraId="3A17FE69">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第八条</w:t>
      </w:r>
      <w:r>
        <w:rPr>
          <w:rFonts w:hint="eastAsia" w:ascii="仿宋" w:hAnsi="仿宋" w:eastAsia="仿宋" w:cs="Calibri"/>
          <w:color w:val="000000"/>
          <w:kern w:val="44"/>
          <w:szCs w:val="32"/>
          <w:highlight w:val="none"/>
        </w:rPr>
        <w:t>年度考核指标</w:t>
      </w:r>
      <w:r>
        <w:rPr>
          <w:rFonts w:hint="eastAsia" w:ascii="仿宋" w:hAnsi="仿宋" w:eastAsia="仿宋"/>
          <w:color w:val="000000"/>
          <w:szCs w:val="32"/>
          <w:highlight w:val="none"/>
        </w:rPr>
        <w:t>包括数量指标和质量指标。其中，数量指标包括：日均发车间隔完成率和</w:t>
      </w:r>
      <w:r>
        <w:rPr>
          <w:rFonts w:hint="eastAsia" w:ascii="仿宋" w:hAnsi="仿宋" w:eastAsia="仿宋"/>
          <w:bCs/>
          <w:szCs w:val="32"/>
          <w:highlight w:val="none"/>
        </w:rPr>
        <w:t>计划载客里程完成率</w:t>
      </w:r>
      <w:r>
        <w:rPr>
          <w:rFonts w:hint="eastAsia" w:ascii="仿宋" w:hAnsi="仿宋" w:eastAsia="仿宋"/>
          <w:color w:val="000000"/>
          <w:szCs w:val="32"/>
          <w:highlight w:val="none"/>
        </w:rPr>
        <w:t>2项指标，满分400分；质量指标</w:t>
      </w:r>
      <w:r>
        <w:rPr>
          <w:rFonts w:hint="eastAsia" w:ascii="仿宋" w:hAnsi="仿宋" w:eastAsia="仿宋"/>
          <w:color w:val="auto"/>
          <w:szCs w:val="32"/>
          <w:highlight w:val="none"/>
        </w:rPr>
        <w:t>包括：公共汽电车责任事故死亡率、公共汽电车责任事故率、投诉案件数、违</w:t>
      </w:r>
      <w:r>
        <w:rPr>
          <w:rFonts w:hint="eastAsia" w:ascii="仿宋" w:hAnsi="仿宋" w:eastAsia="仿宋"/>
          <w:szCs w:val="32"/>
          <w:highlight w:val="none"/>
        </w:rPr>
        <w:t>规通报占客运量比率、</w:t>
      </w:r>
      <w:r>
        <w:rPr>
          <w:rFonts w:hint="eastAsia" w:ascii="仿宋" w:hAnsi="仿宋" w:eastAsia="仿宋"/>
          <w:color w:val="000000"/>
          <w:szCs w:val="32"/>
          <w:highlight w:val="none"/>
        </w:rPr>
        <w:t>交通运输保障任务和行业管理政策执行情况等5项指标，满分450分。考核各项指标评分标准与计分方法（见附件3）。</w:t>
      </w:r>
    </w:p>
    <w:p w14:paraId="38227BD7">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第九条</w:t>
      </w:r>
      <w:r>
        <w:rPr>
          <w:rFonts w:hint="eastAsia" w:ascii="仿宋" w:hAnsi="仿宋" w:eastAsia="仿宋"/>
          <w:color w:val="000000"/>
          <w:szCs w:val="32"/>
          <w:highlight w:val="none"/>
        </w:rPr>
        <w:t xml:space="preserve"> 考核测算方法。公交企业运营服务质量考核成绩=日常质量指标考核成绩+年度质量指标考核成绩+年度数量指标考核成绩</w:t>
      </w:r>
    </w:p>
    <w:p w14:paraId="5F13334F">
      <w:pPr>
        <w:numPr>
          <w:ilvl w:val="0"/>
          <w:numId w:val="1"/>
        </w:numPr>
        <w:ind w:firstLine="643" w:firstLineChars="200"/>
        <w:jc w:val="center"/>
        <w:rPr>
          <w:rFonts w:ascii="仿宋" w:hAnsi="仿宋" w:eastAsia="仿宋" w:cs="Calibri"/>
          <w:b/>
          <w:bCs/>
          <w:color w:val="000000"/>
          <w:kern w:val="44"/>
          <w:szCs w:val="32"/>
          <w:highlight w:val="none"/>
        </w:rPr>
      </w:pPr>
      <w:bookmarkStart w:id="23" w:name="_Toc430591612"/>
      <w:bookmarkEnd w:id="23"/>
      <w:bookmarkStart w:id="24" w:name="_Toc430592163"/>
      <w:bookmarkEnd w:id="24"/>
      <w:bookmarkStart w:id="25" w:name="_Toc430592169"/>
      <w:bookmarkEnd w:id="25"/>
      <w:bookmarkStart w:id="26" w:name="_Toc430591606"/>
      <w:bookmarkEnd w:id="26"/>
      <w:bookmarkStart w:id="27" w:name="_Toc430592170"/>
      <w:r>
        <w:rPr>
          <w:rFonts w:hint="eastAsia" w:ascii="仿宋" w:hAnsi="仿宋" w:eastAsia="仿宋" w:cs="Calibri"/>
          <w:b/>
          <w:bCs/>
          <w:color w:val="000000"/>
          <w:kern w:val="44"/>
          <w:szCs w:val="32"/>
          <w:highlight w:val="none"/>
        </w:rPr>
        <w:t>考核流程</w:t>
      </w:r>
      <w:bookmarkEnd w:id="27"/>
    </w:p>
    <w:p w14:paraId="48CAD881">
      <w:pPr>
        <w:rPr>
          <w:rFonts w:ascii="仿宋" w:hAnsi="仿宋" w:eastAsia="仿宋" w:cs="Calibri"/>
          <w:b/>
          <w:bCs/>
          <w:color w:val="000000"/>
          <w:kern w:val="44"/>
          <w:szCs w:val="32"/>
          <w:highlight w:val="none"/>
        </w:rPr>
      </w:pPr>
    </w:p>
    <w:p w14:paraId="5302A212">
      <w:pPr>
        <w:ind w:firstLine="643" w:firstLineChars="200"/>
        <w:rPr>
          <w:rFonts w:ascii="仿宋" w:hAnsi="仿宋" w:eastAsia="仿宋" w:cs="Calibri"/>
          <w:bCs/>
          <w:color w:val="000000"/>
          <w:kern w:val="44"/>
          <w:szCs w:val="32"/>
          <w:highlight w:val="none"/>
        </w:rPr>
      </w:pPr>
      <w:r>
        <w:rPr>
          <w:rFonts w:hint="eastAsia" w:ascii="仿宋" w:hAnsi="仿宋" w:eastAsia="仿宋" w:cs="Calibri"/>
          <w:b/>
          <w:bCs/>
          <w:color w:val="000000"/>
          <w:kern w:val="44"/>
          <w:szCs w:val="32"/>
          <w:highlight w:val="none"/>
        </w:rPr>
        <w:t>第十条</w:t>
      </w:r>
      <w:r>
        <w:rPr>
          <w:rFonts w:hint="eastAsia" w:ascii="仿宋" w:hAnsi="仿宋" w:eastAsia="仿宋"/>
          <w:bCs/>
          <w:color w:val="000000"/>
          <w:szCs w:val="32"/>
          <w:highlight w:val="none"/>
        </w:rPr>
        <w:t>年度考核流程</w:t>
      </w:r>
      <w:r>
        <w:rPr>
          <w:rFonts w:hint="eastAsia" w:ascii="仿宋" w:hAnsi="仿宋" w:eastAsia="仿宋" w:cs="Calibri"/>
          <w:bCs/>
          <w:color w:val="000000"/>
          <w:kern w:val="44"/>
          <w:szCs w:val="32"/>
          <w:highlight w:val="none"/>
        </w:rPr>
        <w:t>。</w:t>
      </w:r>
      <w:r>
        <w:rPr>
          <w:rFonts w:hint="eastAsia" w:ascii="仿宋" w:hAnsi="仿宋" w:eastAsia="仿宋"/>
          <w:color w:val="000000"/>
          <w:szCs w:val="32"/>
          <w:highlight w:val="none"/>
        </w:rPr>
        <w:t>考核年度次年2月底前公交企业</w:t>
      </w:r>
      <w:r>
        <w:rPr>
          <w:rFonts w:hint="eastAsia" w:ascii="仿宋" w:hAnsi="仿宋" w:eastAsia="仿宋"/>
          <w:color w:val="000000"/>
          <w:szCs w:val="32"/>
          <w:highlight w:val="none"/>
          <w:lang w:eastAsia="zh-CN"/>
        </w:rPr>
        <w:t>应</w:t>
      </w:r>
      <w:r>
        <w:rPr>
          <w:rFonts w:hint="eastAsia" w:ascii="仿宋" w:hAnsi="仿宋" w:eastAsia="仿宋"/>
          <w:color w:val="000000"/>
          <w:szCs w:val="32"/>
          <w:highlight w:val="none"/>
        </w:rPr>
        <w:t>将运营服务数量指标和质量指标年度考核自评报告提交考核组。</w:t>
      </w:r>
    </w:p>
    <w:p w14:paraId="2916B96D">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1.考核自评报告包括考核指标值、指标计算过程、数据来源及相关证明材料等内容。</w:t>
      </w:r>
    </w:p>
    <w:p w14:paraId="00CA06B0">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2.对公交企业报送材料不符合要求的，考核组应一次性告知公交企业在5个工作日内补充提供相关材料。</w:t>
      </w:r>
    </w:p>
    <w:p w14:paraId="04F86024">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3.考核组于考核年度次年3月中旬对报送材料符合要求的公交企业进行考核，并结合公交企业年度考核自评报告审查情况，通过检查公交企业信息管理系统和查阅相关台账等方式对数量指标和质量指标的计算过程、基础数据等进行实地查验。</w:t>
      </w:r>
    </w:p>
    <w:p w14:paraId="14A0CC77">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4.考核组于考核年度次年3月底前完成年度考核工作，并按照年度考核评分标准与计分方法，分别计算考核数量指标成绩和质量指标成绩。</w:t>
      </w:r>
      <w:bookmarkStart w:id="28" w:name="_Toc430591616"/>
      <w:bookmarkEnd w:id="28"/>
      <w:bookmarkStart w:id="29" w:name="_Toc430591617"/>
      <w:bookmarkEnd w:id="29"/>
      <w:bookmarkStart w:id="30" w:name="_Toc430592174"/>
      <w:bookmarkEnd w:id="30"/>
      <w:bookmarkStart w:id="31" w:name="_Toc430591615"/>
      <w:bookmarkEnd w:id="31"/>
      <w:bookmarkStart w:id="32" w:name="_Toc430592173"/>
      <w:bookmarkEnd w:id="32"/>
      <w:bookmarkStart w:id="33" w:name="_Toc430592172"/>
      <w:bookmarkEnd w:id="33"/>
    </w:p>
    <w:p w14:paraId="7FE9E927">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第十一条</w:t>
      </w:r>
      <w:r>
        <w:rPr>
          <w:rFonts w:hint="eastAsia" w:ascii="仿宋" w:hAnsi="仿宋" w:eastAsia="仿宋"/>
          <w:bCs/>
          <w:color w:val="000000"/>
          <w:szCs w:val="32"/>
          <w:highlight w:val="none"/>
        </w:rPr>
        <w:t>日常考核流程</w:t>
      </w:r>
      <w:r>
        <w:rPr>
          <w:rFonts w:hint="eastAsia" w:ascii="仿宋" w:hAnsi="仿宋" w:eastAsia="仿宋"/>
          <w:color w:val="000000"/>
          <w:szCs w:val="32"/>
          <w:highlight w:val="none"/>
        </w:rPr>
        <w:t>。考核组根据日常考核频次及时间间隔等考核要求，随机选择考核时间，以公交企业为单位并结合公众对各公交企业线路投诉建议及线路总体布局情况，抽取各公交企业部分线路开展考核工作，每次抽取各公交企业线路总数的5%。</w:t>
      </w:r>
    </w:p>
    <w:p w14:paraId="100E5E13">
      <w:pPr>
        <w:ind w:firstLine="640" w:firstLineChars="200"/>
        <w:rPr>
          <w:rFonts w:ascii="仿宋" w:hAnsi="仿宋" w:eastAsia="仿宋"/>
          <w:bCs/>
          <w:color w:val="000000"/>
          <w:szCs w:val="32"/>
          <w:highlight w:val="none"/>
        </w:rPr>
      </w:pPr>
      <w:bookmarkStart w:id="34" w:name="_Toc430592176"/>
      <w:bookmarkEnd w:id="34"/>
      <w:bookmarkStart w:id="35" w:name="_Toc430591619"/>
      <w:bookmarkEnd w:id="35"/>
      <w:r>
        <w:rPr>
          <w:rFonts w:hint="eastAsia" w:ascii="仿宋" w:hAnsi="仿宋" w:eastAsia="仿宋"/>
          <w:color w:val="000000"/>
          <w:szCs w:val="32"/>
          <w:highlight w:val="none"/>
        </w:rPr>
        <w:t>考核组从每条被考核线路中抽取2-3辆公交车进行随车检查，对服务设施完备率、运营服务合格率、车辆整洁合格率等指标进行考核，并根据各项考核指标权重和抽取的车辆数，测算每条线路的日常考核质量指标考核成绩。所有被考核线路平均考核成绩为公交企业当次日常考核质量指标成绩。</w:t>
      </w:r>
      <w:bookmarkStart w:id="36" w:name="_Toc430187835"/>
      <w:bookmarkEnd w:id="36"/>
      <w:bookmarkStart w:id="37" w:name="_Toc430187836"/>
      <w:bookmarkEnd w:id="37"/>
      <w:bookmarkStart w:id="38" w:name="_Toc430187837"/>
      <w:bookmarkEnd w:id="38"/>
      <w:bookmarkStart w:id="39" w:name="_Toc430187838"/>
      <w:bookmarkEnd w:id="39"/>
      <w:bookmarkStart w:id="40" w:name="_Toc430592179"/>
      <w:bookmarkStart w:id="41" w:name="_Toc430591622"/>
      <w:bookmarkStart w:id="42" w:name="_Toc430187839"/>
      <w:bookmarkStart w:id="43" w:name="_Toc430337283"/>
    </w:p>
    <w:bookmarkEnd w:id="40"/>
    <w:bookmarkEnd w:id="41"/>
    <w:bookmarkEnd w:id="42"/>
    <w:bookmarkEnd w:id="43"/>
    <w:p w14:paraId="5B9D951A">
      <w:pPr>
        <w:ind w:firstLine="643" w:firstLineChars="200"/>
        <w:rPr>
          <w:rFonts w:ascii="仿宋" w:hAnsi="仿宋" w:eastAsia="仿宋"/>
          <w:color w:val="000000"/>
          <w:szCs w:val="32"/>
          <w:highlight w:val="none"/>
        </w:rPr>
      </w:pPr>
      <w:bookmarkStart w:id="44" w:name="_Toc430337284"/>
      <w:bookmarkStart w:id="45" w:name="_Toc430187840"/>
      <w:bookmarkStart w:id="46" w:name="_Toc430591623"/>
      <w:bookmarkStart w:id="47" w:name="_Toc430592180"/>
      <w:r>
        <w:rPr>
          <w:rFonts w:hint="eastAsia" w:ascii="仿宋" w:hAnsi="仿宋" w:eastAsia="仿宋" w:cs="Calibri"/>
          <w:b/>
          <w:bCs/>
          <w:color w:val="000000"/>
          <w:kern w:val="44"/>
          <w:szCs w:val="32"/>
          <w:highlight w:val="none"/>
        </w:rPr>
        <w:t>第十二条</w:t>
      </w:r>
      <w:r>
        <w:rPr>
          <w:rFonts w:hint="eastAsia" w:ascii="仿宋" w:hAnsi="仿宋" w:eastAsia="仿宋"/>
          <w:bCs/>
          <w:color w:val="000000"/>
          <w:szCs w:val="32"/>
          <w:highlight w:val="none"/>
        </w:rPr>
        <w:t>考核结果公示</w:t>
      </w:r>
      <w:bookmarkEnd w:id="44"/>
      <w:bookmarkEnd w:id="45"/>
      <w:bookmarkEnd w:id="46"/>
      <w:bookmarkEnd w:id="47"/>
    </w:p>
    <w:p w14:paraId="20C79864">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1.县交通</w:t>
      </w:r>
      <w:r>
        <w:rPr>
          <w:rFonts w:hint="eastAsia" w:ascii="仿宋" w:hAnsi="仿宋" w:eastAsia="仿宋"/>
          <w:color w:val="000000"/>
          <w:szCs w:val="32"/>
          <w:highlight w:val="none"/>
          <w:lang w:eastAsia="zh-CN"/>
        </w:rPr>
        <w:t>运输</w:t>
      </w:r>
      <w:r>
        <w:rPr>
          <w:rFonts w:hint="eastAsia" w:ascii="仿宋" w:hAnsi="仿宋" w:eastAsia="仿宋"/>
          <w:color w:val="000000"/>
          <w:szCs w:val="32"/>
          <w:highlight w:val="none"/>
        </w:rPr>
        <w:t>局应自公共汽电车运营服务质量考核综合评价成绩确定之日起3个工作日内在其官方网站上予以公示，公示期为7个工作日。综合评价成绩同时抄送县财政局、县国资委、县物价局和相关企业主管部门。</w:t>
      </w:r>
    </w:p>
    <w:p w14:paraId="45B10F64">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2.公交企业对考核结果有异议的，可以自收到考核结果之日起10个工作日内向县交通</w:t>
      </w:r>
      <w:r>
        <w:rPr>
          <w:rFonts w:hint="eastAsia" w:ascii="仿宋" w:hAnsi="仿宋" w:eastAsia="仿宋"/>
          <w:color w:val="000000"/>
          <w:szCs w:val="32"/>
          <w:highlight w:val="none"/>
          <w:lang w:eastAsia="zh-CN"/>
        </w:rPr>
        <w:t>运输</w:t>
      </w:r>
      <w:r>
        <w:rPr>
          <w:rFonts w:hint="eastAsia" w:ascii="仿宋" w:hAnsi="仿宋" w:eastAsia="仿宋"/>
          <w:color w:val="000000"/>
          <w:szCs w:val="32"/>
          <w:highlight w:val="none"/>
        </w:rPr>
        <w:t>局申请按照本办法有关规定重新考核。是否重新考核由县交通</w:t>
      </w:r>
      <w:r>
        <w:rPr>
          <w:rFonts w:hint="eastAsia" w:ascii="仿宋" w:hAnsi="仿宋" w:eastAsia="仿宋"/>
          <w:color w:val="000000"/>
          <w:szCs w:val="32"/>
          <w:highlight w:val="none"/>
          <w:lang w:eastAsia="zh-CN"/>
        </w:rPr>
        <w:t>运输</w:t>
      </w:r>
      <w:r>
        <w:rPr>
          <w:rFonts w:hint="eastAsia" w:ascii="仿宋" w:hAnsi="仿宋" w:eastAsia="仿宋"/>
          <w:color w:val="000000"/>
          <w:szCs w:val="32"/>
          <w:highlight w:val="none"/>
        </w:rPr>
        <w:t>局征求其他考核单位意见后决定。决定不予重新考核的，县交通</w:t>
      </w:r>
      <w:r>
        <w:rPr>
          <w:rFonts w:hint="eastAsia" w:ascii="仿宋" w:hAnsi="仿宋" w:eastAsia="仿宋"/>
          <w:color w:val="000000"/>
          <w:szCs w:val="32"/>
          <w:highlight w:val="none"/>
          <w:lang w:eastAsia="zh-CN"/>
        </w:rPr>
        <w:t>运输</w:t>
      </w:r>
      <w:r>
        <w:rPr>
          <w:rFonts w:hint="eastAsia" w:ascii="仿宋" w:hAnsi="仿宋" w:eastAsia="仿宋"/>
          <w:color w:val="000000"/>
          <w:szCs w:val="32"/>
          <w:highlight w:val="none"/>
        </w:rPr>
        <w:t>局应当书面告知公交企业。</w:t>
      </w:r>
    </w:p>
    <w:p w14:paraId="28A0261D">
      <w:pPr>
        <w:jc w:val="center"/>
        <w:rPr>
          <w:rFonts w:ascii="仿宋" w:hAnsi="仿宋" w:eastAsia="仿宋" w:cs="Calibri"/>
          <w:b/>
          <w:bCs/>
          <w:color w:val="000000"/>
          <w:kern w:val="44"/>
          <w:szCs w:val="32"/>
          <w:highlight w:val="none"/>
        </w:rPr>
      </w:pPr>
      <w:bookmarkStart w:id="48" w:name="_Toc430592181"/>
      <w:r>
        <w:rPr>
          <w:rFonts w:hint="eastAsia" w:ascii="仿宋" w:hAnsi="仿宋" w:eastAsia="仿宋" w:cs="Calibri"/>
          <w:b/>
          <w:bCs/>
          <w:color w:val="000000"/>
          <w:kern w:val="44"/>
          <w:szCs w:val="32"/>
          <w:highlight w:val="none"/>
        </w:rPr>
        <w:t>第五章 考核结果应用</w:t>
      </w:r>
      <w:bookmarkEnd w:id="48"/>
    </w:p>
    <w:p w14:paraId="3CE03A1F">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第十三条</w:t>
      </w:r>
      <w:r>
        <w:rPr>
          <w:rFonts w:hint="eastAsia" w:ascii="仿宋" w:hAnsi="仿宋" w:eastAsia="仿宋"/>
          <w:color w:val="000000"/>
          <w:szCs w:val="32"/>
          <w:highlight w:val="none"/>
        </w:rPr>
        <w:t xml:space="preserve"> 公交企业运营服务数量考核成绩与质量考核成绩通过公交企业数量考核绩效与质量考核绩效方式分别与公交企业实发财政补贴挂钩。考核绩效的核定按照《</w:t>
      </w:r>
      <w:r>
        <w:rPr>
          <w:rFonts w:hint="eastAsia" w:ascii="仿宋" w:hAnsi="仿宋" w:eastAsia="仿宋"/>
          <w:color w:val="000000"/>
          <w:highlight w:val="none"/>
        </w:rPr>
        <w:t>闽侯县</w:t>
      </w:r>
      <w:r>
        <w:rPr>
          <w:rFonts w:hint="eastAsia" w:ascii="仿宋" w:hAnsi="仿宋" w:eastAsia="仿宋"/>
          <w:color w:val="000000"/>
          <w:highlight w:val="none"/>
          <w:lang w:eastAsia="zh-CN"/>
        </w:rPr>
        <w:t>城市</w:t>
      </w:r>
      <w:r>
        <w:rPr>
          <w:rFonts w:hint="eastAsia" w:ascii="仿宋" w:hAnsi="仿宋" w:eastAsia="仿宋"/>
          <w:color w:val="000000"/>
          <w:highlight w:val="none"/>
        </w:rPr>
        <w:t>公共交通客运财政补贴办法</w:t>
      </w:r>
      <w:r>
        <w:rPr>
          <w:rFonts w:hint="eastAsia" w:ascii="仿宋" w:hAnsi="仿宋" w:eastAsia="仿宋"/>
          <w:color w:val="000000"/>
          <w:szCs w:val="32"/>
          <w:highlight w:val="none"/>
        </w:rPr>
        <w:t>》有关规定执行。</w:t>
      </w:r>
    </w:p>
    <w:p w14:paraId="49F1AF89">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第十四条</w:t>
      </w:r>
      <w:r>
        <w:rPr>
          <w:rFonts w:hint="eastAsia" w:ascii="仿宋" w:hAnsi="仿宋" w:eastAsia="仿宋"/>
          <w:color w:val="000000"/>
          <w:szCs w:val="32"/>
          <w:highlight w:val="none"/>
        </w:rPr>
        <w:t xml:space="preserve"> 公共汽电车运营服务数量指标考核采集的相关数据作为按照</w:t>
      </w:r>
      <w:r>
        <w:rPr>
          <w:rFonts w:hint="eastAsia" w:ascii="仿宋" w:hAnsi="仿宋" w:eastAsia="仿宋"/>
          <w:color w:val="000000"/>
          <w:highlight w:val="none"/>
        </w:rPr>
        <w:t>《闽侯县</w:t>
      </w:r>
      <w:r>
        <w:rPr>
          <w:rFonts w:hint="eastAsia" w:ascii="仿宋" w:hAnsi="仿宋" w:eastAsia="仿宋"/>
          <w:color w:val="000000"/>
          <w:highlight w:val="none"/>
          <w:lang w:eastAsia="zh-CN"/>
        </w:rPr>
        <w:t>城市</w:t>
      </w:r>
      <w:r>
        <w:rPr>
          <w:rFonts w:hint="eastAsia" w:ascii="仿宋" w:hAnsi="仿宋" w:eastAsia="仿宋"/>
          <w:color w:val="000000"/>
          <w:highlight w:val="none"/>
        </w:rPr>
        <w:t>公共交通客运服务成本规制实施办法》</w:t>
      </w:r>
      <w:r>
        <w:rPr>
          <w:rFonts w:hint="eastAsia" w:ascii="仿宋" w:hAnsi="仿宋" w:eastAsia="仿宋"/>
          <w:color w:val="000000"/>
          <w:szCs w:val="32"/>
          <w:highlight w:val="none"/>
        </w:rPr>
        <w:t>核定公交企业运营成本的依据。</w:t>
      </w:r>
    </w:p>
    <w:p w14:paraId="41FB6B92">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 xml:space="preserve">第十五条  </w:t>
      </w:r>
      <w:r>
        <w:rPr>
          <w:rFonts w:hint="eastAsia" w:ascii="仿宋" w:hAnsi="仿宋" w:eastAsia="仿宋"/>
          <w:color w:val="000000"/>
          <w:szCs w:val="32"/>
          <w:highlight w:val="none"/>
        </w:rPr>
        <w:t>公交企业运营服务质量考核综合成绩作为公交企业经营班子的绩效考核项目，公交企业应当将考评结果作为决定聘任或者解聘主要负责人、高级管理人员，以及其年终考核、薪酬调整事项的重要依据。</w:t>
      </w:r>
    </w:p>
    <w:p w14:paraId="5839E4B8">
      <w:pPr>
        <w:jc w:val="center"/>
        <w:rPr>
          <w:rFonts w:ascii="仿宋" w:hAnsi="仿宋" w:eastAsia="仿宋" w:cs="Calibri"/>
          <w:b/>
          <w:bCs/>
          <w:color w:val="000000"/>
          <w:kern w:val="44"/>
          <w:szCs w:val="32"/>
          <w:highlight w:val="none"/>
        </w:rPr>
      </w:pPr>
      <w:bookmarkStart w:id="49" w:name="_Toc430592182"/>
      <w:bookmarkEnd w:id="49"/>
      <w:bookmarkStart w:id="50" w:name="_Toc430592183"/>
      <w:bookmarkEnd w:id="50"/>
      <w:bookmarkStart w:id="51" w:name="_Toc430592184"/>
      <w:bookmarkEnd w:id="51"/>
      <w:bookmarkStart w:id="52" w:name="_Toc430592185"/>
      <w:bookmarkEnd w:id="52"/>
      <w:bookmarkStart w:id="53" w:name="_Toc430592186"/>
      <w:r>
        <w:rPr>
          <w:rFonts w:hint="eastAsia" w:ascii="仿宋" w:hAnsi="仿宋" w:eastAsia="仿宋" w:cs="Calibri"/>
          <w:b/>
          <w:bCs/>
          <w:color w:val="000000"/>
          <w:kern w:val="44"/>
          <w:szCs w:val="32"/>
          <w:highlight w:val="none"/>
        </w:rPr>
        <w:t>第六章 监督管理</w:t>
      </w:r>
      <w:bookmarkEnd w:id="53"/>
    </w:p>
    <w:p w14:paraId="50B1AB93">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第十六条</w:t>
      </w:r>
      <w:r>
        <w:rPr>
          <w:rFonts w:hint="eastAsia" w:ascii="仿宋" w:hAnsi="仿宋" w:eastAsia="仿宋"/>
          <w:color w:val="000000"/>
          <w:szCs w:val="32"/>
          <w:highlight w:val="none"/>
        </w:rPr>
        <w:t xml:space="preserve"> 考核人员在考核工作中弄虚作假、严重失职、利用职权谋取利益或者侵犯公交企业合法权益的，由所在单位依法依规处理。</w:t>
      </w:r>
    </w:p>
    <w:p w14:paraId="489ADC7E">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第十七条</w:t>
      </w:r>
      <w:r>
        <w:rPr>
          <w:rFonts w:hint="eastAsia" w:ascii="仿宋" w:hAnsi="仿宋" w:eastAsia="仿宋"/>
          <w:color w:val="000000"/>
          <w:szCs w:val="32"/>
          <w:highlight w:val="none"/>
        </w:rPr>
        <w:t xml:space="preserve"> 公交企业在考核过程中弄虚作假的，依法依规追究有关责任人责任。</w:t>
      </w:r>
    </w:p>
    <w:p w14:paraId="48A6DA68">
      <w:pPr>
        <w:ind w:firstLine="643" w:firstLineChars="200"/>
        <w:jc w:val="center"/>
        <w:rPr>
          <w:rFonts w:ascii="仿宋" w:hAnsi="仿宋" w:eastAsia="仿宋" w:cs="Calibri"/>
          <w:b/>
          <w:bCs/>
          <w:color w:val="000000"/>
          <w:kern w:val="44"/>
          <w:szCs w:val="32"/>
          <w:highlight w:val="none"/>
        </w:rPr>
      </w:pPr>
      <w:bookmarkStart w:id="54" w:name="_Toc430592188"/>
      <w:r>
        <w:rPr>
          <w:rFonts w:hint="eastAsia" w:ascii="仿宋" w:hAnsi="仿宋" w:eastAsia="仿宋" w:cs="Calibri"/>
          <w:b/>
          <w:bCs/>
          <w:color w:val="000000"/>
          <w:kern w:val="44"/>
          <w:szCs w:val="32"/>
          <w:highlight w:val="none"/>
        </w:rPr>
        <w:t>第七章 附  则</w:t>
      </w:r>
      <w:bookmarkEnd w:id="54"/>
    </w:p>
    <w:p w14:paraId="46FF4370">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第十八条</w:t>
      </w:r>
      <w:r>
        <w:rPr>
          <w:rFonts w:hint="eastAsia" w:ascii="仿宋" w:hAnsi="仿宋" w:eastAsia="仿宋"/>
          <w:color w:val="000000"/>
          <w:szCs w:val="32"/>
          <w:highlight w:val="none"/>
        </w:rPr>
        <w:t xml:space="preserve"> 公交企业应建立以路单、卫星定位数据等为基础的线路运营统计制度，全面记录每条线路运行的车辆、里程、班次、客流量、营收等数据并完整保存。</w:t>
      </w:r>
    </w:p>
    <w:p w14:paraId="5C21711C">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第十九条</w:t>
      </w:r>
      <w:r>
        <w:rPr>
          <w:rFonts w:hint="eastAsia" w:ascii="仿宋" w:hAnsi="仿宋" w:eastAsia="仿宋"/>
          <w:color w:val="000000"/>
          <w:szCs w:val="32"/>
          <w:highlight w:val="none"/>
        </w:rPr>
        <w:t xml:space="preserve"> 公交企业应当按照行业管理部门要求建立与运营服务质量考核相关基础数据采集相适应的信息化管理平台，并与管理部门指定的公共监管平台对接，实现数据互联互通。</w:t>
      </w:r>
    </w:p>
    <w:p w14:paraId="15E0ED40">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第二十条</w:t>
      </w:r>
      <w:r>
        <w:rPr>
          <w:rFonts w:hint="eastAsia" w:ascii="仿宋" w:hAnsi="仿宋" w:eastAsia="仿宋"/>
          <w:color w:val="000000"/>
          <w:szCs w:val="32"/>
          <w:highlight w:val="none"/>
        </w:rPr>
        <w:t xml:space="preserve"> 本办法由县交通</w:t>
      </w:r>
      <w:r>
        <w:rPr>
          <w:rFonts w:hint="eastAsia" w:ascii="仿宋" w:hAnsi="仿宋" w:eastAsia="仿宋"/>
          <w:color w:val="000000"/>
          <w:szCs w:val="32"/>
          <w:highlight w:val="none"/>
          <w:lang w:eastAsia="zh-CN"/>
        </w:rPr>
        <w:t>运输</w:t>
      </w:r>
      <w:r>
        <w:rPr>
          <w:rFonts w:hint="eastAsia" w:ascii="仿宋" w:hAnsi="仿宋" w:eastAsia="仿宋"/>
          <w:color w:val="000000"/>
          <w:szCs w:val="32"/>
          <w:highlight w:val="none"/>
        </w:rPr>
        <w:t>局会同县财政局负责解释。</w:t>
      </w:r>
    </w:p>
    <w:p w14:paraId="4E02CC31">
      <w:pPr>
        <w:ind w:firstLine="643" w:firstLineChars="200"/>
        <w:rPr>
          <w:rFonts w:ascii="仿宋" w:hAnsi="仿宋" w:eastAsia="仿宋"/>
          <w:color w:val="000000"/>
          <w:szCs w:val="32"/>
          <w:highlight w:val="none"/>
        </w:rPr>
      </w:pPr>
      <w:r>
        <w:rPr>
          <w:rFonts w:hint="eastAsia" w:ascii="仿宋" w:hAnsi="仿宋" w:eastAsia="仿宋" w:cs="Calibri"/>
          <w:b/>
          <w:bCs/>
          <w:color w:val="000000"/>
          <w:kern w:val="44"/>
          <w:szCs w:val="32"/>
          <w:highlight w:val="none"/>
        </w:rPr>
        <w:t>第二十一条</w:t>
      </w:r>
      <w:r>
        <w:rPr>
          <w:rFonts w:hint="eastAsia" w:ascii="仿宋" w:hAnsi="仿宋" w:eastAsia="仿宋"/>
          <w:color w:val="000000"/>
          <w:szCs w:val="32"/>
          <w:highlight w:val="none"/>
        </w:rPr>
        <w:t xml:space="preserve"> 县交通</w:t>
      </w:r>
      <w:r>
        <w:rPr>
          <w:rFonts w:hint="eastAsia" w:ascii="仿宋" w:hAnsi="仿宋" w:eastAsia="仿宋"/>
          <w:color w:val="000000"/>
          <w:szCs w:val="32"/>
          <w:highlight w:val="none"/>
          <w:lang w:eastAsia="zh-CN"/>
        </w:rPr>
        <w:t>运输</w:t>
      </w:r>
      <w:r>
        <w:rPr>
          <w:rFonts w:hint="eastAsia" w:ascii="仿宋" w:hAnsi="仿宋" w:eastAsia="仿宋"/>
          <w:color w:val="000000"/>
          <w:szCs w:val="32"/>
          <w:highlight w:val="none"/>
        </w:rPr>
        <w:t>局可以根据公交运营服务的有关要求，适时修改</w:t>
      </w:r>
      <w:r>
        <w:rPr>
          <w:rFonts w:hint="eastAsia" w:ascii="仿宋" w:hAnsi="仿宋" w:eastAsia="仿宋"/>
          <w:bCs/>
          <w:color w:val="000000"/>
          <w:szCs w:val="32"/>
          <w:highlight w:val="none"/>
        </w:rPr>
        <w:t>数量考核和质量考核</w:t>
      </w:r>
      <w:r>
        <w:rPr>
          <w:rFonts w:hint="eastAsia" w:ascii="仿宋" w:hAnsi="仿宋" w:eastAsia="仿宋"/>
          <w:color w:val="000000"/>
          <w:szCs w:val="32"/>
          <w:highlight w:val="none"/>
        </w:rPr>
        <w:t xml:space="preserve">指标，在年末公布下一年度的标准。 </w:t>
      </w:r>
    </w:p>
    <w:p w14:paraId="3910C117">
      <w:pPr>
        <w:ind w:firstLine="643" w:firstLineChars="200"/>
        <w:rPr>
          <w:rFonts w:hint="eastAsia" w:ascii="仿宋" w:hAnsi="仿宋" w:eastAsia="仿宋"/>
          <w:color w:val="auto"/>
          <w:szCs w:val="32"/>
          <w:highlight w:val="none"/>
        </w:rPr>
      </w:pPr>
      <w:r>
        <w:rPr>
          <w:rFonts w:hint="eastAsia" w:ascii="仿宋" w:hAnsi="仿宋" w:eastAsia="仿宋" w:cs="Calibri"/>
          <w:b/>
          <w:bCs/>
          <w:color w:val="auto"/>
          <w:kern w:val="44"/>
          <w:szCs w:val="32"/>
          <w:highlight w:val="none"/>
          <w:lang w:val="en-US" w:eastAsia="zh-CN"/>
        </w:rPr>
        <w:t>原文：</w:t>
      </w:r>
      <w:r>
        <w:rPr>
          <w:rFonts w:hint="eastAsia" w:ascii="仿宋" w:hAnsi="仿宋" w:eastAsia="仿宋" w:cs="Calibri"/>
          <w:b/>
          <w:bCs/>
          <w:color w:val="auto"/>
          <w:kern w:val="44"/>
          <w:szCs w:val="32"/>
          <w:highlight w:val="none"/>
        </w:rPr>
        <w:t>第二十二条</w:t>
      </w:r>
      <w:r>
        <w:rPr>
          <w:rFonts w:hint="eastAsia" w:ascii="仿宋" w:hAnsi="仿宋" w:eastAsia="仿宋"/>
          <w:color w:val="auto"/>
          <w:szCs w:val="32"/>
          <w:highlight w:val="none"/>
        </w:rPr>
        <w:t xml:space="preserve"> 本办法</w:t>
      </w:r>
      <w:r>
        <w:rPr>
          <w:rFonts w:hint="eastAsia" w:ascii="仿宋" w:hAnsi="仿宋" w:eastAsia="仿宋"/>
          <w:bCs/>
          <w:color w:val="auto"/>
          <w:szCs w:val="32"/>
          <w:highlight w:val="none"/>
        </w:rPr>
        <w:t>自202</w:t>
      </w:r>
      <w:r>
        <w:rPr>
          <w:rFonts w:hint="eastAsia" w:ascii="仿宋" w:hAnsi="仿宋" w:eastAsia="仿宋"/>
          <w:bCs/>
          <w:color w:val="auto"/>
          <w:szCs w:val="32"/>
          <w:highlight w:val="none"/>
          <w:lang w:val="en-US" w:eastAsia="zh-CN"/>
        </w:rPr>
        <w:t>4</w:t>
      </w:r>
      <w:r>
        <w:rPr>
          <w:rFonts w:hint="eastAsia" w:ascii="仿宋" w:hAnsi="仿宋" w:eastAsia="仿宋"/>
          <w:bCs/>
          <w:color w:val="auto"/>
          <w:szCs w:val="32"/>
          <w:highlight w:val="none"/>
        </w:rPr>
        <w:t>年</w:t>
      </w:r>
      <w:r>
        <w:rPr>
          <w:rFonts w:hint="eastAsia" w:ascii="仿宋" w:hAnsi="仿宋" w:eastAsia="仿宋"/>
          <w:bCs/>
          <w:color w:val="auto"/>
          <w:szCs w:val="32"/>
          <w:highlight w:val="none"/>
          <w:lang w:val="en-US" w:eastAsia="zh-CN"/>
        </w:rPr>
        <w:t>1</w:t>
      </w:r>
      <w:r>
        <w:rPr>
          <w:rFonts w:hint="eastAsia" w:ascii="仿宋" w:hAnsi="仿宋" w:eastAsia="仿宋"/>
          <w:bCs/>
          <w:color w:val="auto"/>
          <w:szCs w:val="32"/>
          <w:highlight w:val="none"/>
        </w:rPr>
        <w:t>月1日起执行</w:t>
      </w:r>
      <w:r>
        <w:rPr>
          <w:rFonts w:hint="eastAsia" w:ascii="仿宋" w:hAnsi="仿宋" w:eastAsia="仿宋"/>
          <w:color w:val="auto"/>
          <w:szCs w:val="32"/>
          <w:highlight w:val="none"/>
        </w:rPr>
        <w:t>。</w:t>
      </w:r>
    </w:p>
    <w:p w14:paraId="143F52B4">
      <w:pPr>
        <w:ind w:firstLine="640" w:firstLineChars="200"/>
        <w:rPr>
          <w:rFonts w:ascii="仿宋" w:hAnsi="仿宋" w:eastAsia="仿宋"/>
          <w:color w:val="000000"/>
          <w:szCs w:val="32"/>
          <w:highlight w:val="none"/>
        </w:rPr>
      </w:pPr>
      <w:r>
        <w:rPr>
          <w:rFonts w:hint="eastAsia" w:ascii="仿宋" w:hAnsi="仿宋" w:eastAsia="仿宋"/>
          <w:color w:val="auto"/>
          <w:szCs w:val="32"/>
          <w:highlight w:val="none"/>
          <w:lang w:val="en-US" w:eastAsia="zh-CN"/>
        </w:rPr>
        <w:t>修改为：</w:t>
      </w:r>
      <w:r>
        <w:rPr>
          <w:rFonts w:hint="eastAsia" w:ascii="仿宋" w:hAnsi="仿宋" w:eastAsia="仿宋" w:cs="Calibri"/>
          <w:b/>
          <w:bCs/>
          <w:color w:val="000000"/>
          <w:kern w:val="44"/>
          <w:szCs w:val="32"/>
          <w:highlight w:val="none"/>
        </w:rPr>
        <w:t>第二十二条</w:t>
      </w:r>
      <w:r>
        <w:rPr>
          <w:rFonts w:hint="eastAsia" w:ascii="仿宋" w:hAnsi="仿宋" w:eastAsia="仿宋"/>
          <w:color w:val="000000"/>
          <w:szCs w:val="32"/>
          <w:highlight w:val="none"/>
        </w:rPr>
        <w:t xml:space="preserve"> </w:t>
      </w:r>
      <w:r>
        <w:rPr>
          <w:rFonts w:hint="eastAsia" w:ascii="仿宋" w:hAnsi="仿宋" w:eastAsia="仿宋" w:cs="仿宋_GB2312"/>
          <w:color w:val="000000"/>
          <w:sz w:val="32"/>
          <w:szCs w:val="32"/>
          <w:highlight w:val="none"/>
        </w:rPr>
        <w:t>本办法自</w:t>
      </w:r>
      <w:r>
        <w:rPr>
          <w:rFonts w:hint="eastAsia" w:ascii="仿宋" w:hAnsi="仿宋" w:eastAsia="仿宋" w:cs="仿宋_GB2312"/>
          <w:color w:val="000000"/>
          <w:sz w:val="32"/>
          <w:szCs w:val="32"/>
          <w:highlight w:val="none"/>
          <w:lang w:val="en-US" w:eastAsia="zh-CN"/>
        </w:rPr>
        <w:t>公布之日</w:t>
      </w:r>
      <w:r>
        <w:rPr>
          <w:rFonts w:hint="eastAsia" w:ascii="仿宋" w:hAnsi="仿宋" w:eastAsia="仿宋" w:cs="仿宋_GB2312"/>
          <w:color w:val="000000"/>
          <w:sz w:val="32"/>
          <w:szCs w:val="32"/>
          <w:highlight w:val="none"/>
        </w:rPr>
        <w:t>起施行</w:t>
      </w:r>
      <w:r>
        <w:rPr>
          <w:rFonts w:hint="eastAsia" w:ascii="仿宋" w:hAnsi="仿宋" w:eastAsia="仿宋" w:cs="仿宋_GB2312"/>
          <w:color w:val="000000"/>
          <w:sz w:val="32"/>
          <w:szCs w:val="32"/>
          <w:highlight w:val="none"/>
          <w:lang w:eastAsia="zh-CN"/>
        </w:rPr>
        <w:t>，</w:t>
      </w:r>
      <w:r>
        <w:rPr>
          <w:rFonts w:hint="eastAsia" w:ascii="仿宋" w:hAnsi="仿宋" w:eastAsia="仿宋" w:cs="仿宋_GB2312"/>
          <w:color w:val="000000"/>
          <w:sz w:val="32"/>
          <w:szCs w:val="32"/>
          <w:highlight w:val="none"/>
          <w:lang w:val="en-US" w:eastAsia="zh-CN"/>
        </w:rPr>
        <w:t>有效期至2029年12月31日</w:t>
      </w:r>
      <w:r>
        <w:rPr>
          <w:rFonts w:hint="eastAsia" w:ascii="仿宋" w:hAnsi="仿宋" w:eastAsia="仿宋" w:cs="仿宋_GB2312"/>
          <w:color w:val="000000"/>
          <w:sz w:val="32"/>
          <w:szCs w:val="32"/>
          <w:highlight w:val="none"/>
        </w:rPr>
        <w:t>。</w:t>
      </w:r>
      <w:r>
        <w:rPr>
          <w:rFonts w:hint="eastAsia" w:ascii="仿宋" w:hAnsi="仿宋" w:eastAsia="仿宋" w:cs="仿宋_GB2312"/>
          <w:color w:val="000000"/>
          <w:sz w:val="32"/>
          <w:szCs w:val="32"/>
          <w:highlight w:val="none"/>
          <w:lang w:eastAsia="zh-CN"/>
        </w:rPr>
        <w:t>《</w:t>
      </w:r>
      <w:r>
        <w:rPr>
          <w:rFonts w:hint="eastAsia" w:ascii="仿宋" w:hAnsi="仿宋" w:eastAsia="仿宋" w:cs="仿宋_GB2312"/>
          <w:color w:val="000000"/>
          <w:sz w:val="32"/>
          <w:szCs w:val="32"/>
          <w:highlight w:val="none"/>
          <w:lang w:val="en-US" w:eastAsia="zh-CN"/>
        </w:rPr>
        <w:t>闽侯县交通运输局 闽侯县财政局关于印发〈闽侯县城市公共汽电车客运服务成本规制办法〉等三个办法的通知》（侯交〔2022〕136号）、《闽侯县交通运输局关于印发〈闽侯县城市公共汽电车运营服务质量考核办法〉的通知》（侯交〔2024〕13号）同时废止。</w:t>
      </w:r>
    </w:p>
    <w:p w14:paraId="6D509A4C">
      <w:pPr>
        <w:ind w:firstLine="640" w:firstLineChars="200"/>
        <w:rPr>
          <w:rFonts w:ascii="仿宋" w:hAnsi="仿宋" w:eastAsia="仿宋"/>
          <w:color w:val="000000"/>
          <w:szCs w:val="32"/>
          <w:highlight w:val="none"/>
        </w:rPr>
      </w:pPr>
    </w:p>
    <w:p w14:paraId="117F5765">
      <w:pPr>
        <w:ind w:firstLine="640" w:firstLineChars="200"/>
        <w:rPr>
          <w:rFonts w:ascii="仿宋" w:hAnsi="仿宋" w:eastAsia="仿宋"/>
          <w:color w:val="000000"/>
          <w:szCs w:val="32"/>
          <w:highlight w:val="none"/>
        </w:rPr>
      </w:pPr>
    </w:p>
    <w:p w14:paraId="1F1EC99B">
      <w:pPr>
        <w:ind w:firstLine="640" w:firstLineChars="200"/>
        <w:rPr>
          <w:rFonts w:ascii="仿宋" w:hAnsi="仿宋" w:eastAsia="仿宋"/>
          <w:color w:val="000000"/>
          <w:szCs w:val="32"/>
          <w:highlight w:val="none"/>
        </w:rPr>
      </w:pPr>
    </w:p>
    <w:p w14:paraId="19114FB2">
      <w:pPr>
        <w:ind w:firstLine="640" w:firstLineChars="200"/>
        <w:rPr>
          <w:rFonts w:ascii="仿宋" w:hAnsi="仿宋" w:eastAsia="仿宋"/>
          <w:color w:val="000000"/>
          <w:szCs w:val="32"/>
          <w:highlight w:val="none"/>
        </w:rPr>
      </w:pPr>
    </w:p>
    <w:p w14:paraId="714AA292">
      <w:pPr>
        <w:ind w:firstLine="640" w:firstLineChars="200"/>
        <w:rPr>
          <w:rFonts w:ascii="仿宋" w:hAnsi="仿宋" w:eastAsia="仿宋"/>
          <w:color w:val="000000"/>
          <w:szCs w:val="32"/>
          <w:highlight w:val="none"/>
        </w:rPr>
      </w:pPr>
    </w:p>
    <w:p w14:paraId="4B79C6FF">
      <w:pPr>
        <w:ind w:firstLine="640" w:firstLineChars="200"/>
        <w:rPr>
          <w:rFonts w:ascii="仿宋" w:hAnsi="仿宋" w:eastAsia="仿宋"/>
          <w:color w:val="000000"/>
          <w:szCs w:val="32"/>
          <w:highlight w:val="none"/>
        </w:rPr>
      </w:pPr>
    </w:p>
    <w:p w14:paraId="1D9390DF">
      <w:pPr>
        <w:ind w:firstLine="640" w:firstLineChars="200"/>
        <w:rPr>
          <w:rFonts w:ascii="仿宋" w:hAnsi="仿宋" w:eastAsia="仿宋"/>
          <w:color w:val="000000"/>
          <w:szCs w:val="32"/>
          <w:highlight w:val="none"/>
        </w:rPr>
      </w:pPr>
    </w:p>
    <w:p w14:paraId="1B6D2841">
      <w:pPr>
        <w:ind w:firstLine="640" w:firstLineChars="200"/>
        <w:rPr>
          <w:rFonts w:ascii="仿宋" w:hAnsi="仿宋" w:eastAsia="仿宋"/>
          <w:color w:val="000000"/>
          <w:szCs w:val="32"/>
          <w:highlight w:val="none"/>
        </w:rPr>
      </w:pPr>
    </w:p>
    <w:p w14:paraId="5B5CA527">
      <w:pPr>
        <w:ind w:firstLine="640" w:firstLineChars="200"/>
        <w:rPr>
          <w:rFonts w:ascii="仿宋" w:hAnsi="仿宋" w:eastAsia="仿宋"/>
          <w:color w:val="000000"/>
          <w:szCs w:val="32"/>
          <w:highlight w:val="none"/>
        </w:rPr>
      </w:pPr>
    </w:p>
    <w:p w14:paraId="4BF6C61B">
      <w:pPr>
        <w:rPr>
          <w:rFonts w:ascii="仿宋" w:hAnsi="仿宋" w:eastAsia="仿宋"/>
          <w:color w:val="000000"/>
          <w:szCs w:val="32"/>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3428976E">
      <w:pPr>
        <w:tabs>
          <w:tab w:val="left" w:pos="347"/>
          <w:tab w:val="center" w:pos="7041"/>
        </w:tabs>
        <w:jc w:val="left"/>
        <w:rPr>
          <w:rFonts w:ascii="仿宋" w:hAnsi="仿宋" w:eastAsia="仿宋"/>
          <w:color w:val="000000"/>
          <w:szCs w:val="32"/>
          <w:highlight w:val="none"/>
        </w:rPr>
      </w:pPr>
      <w:r>
        <w:rPr>
          <w:rFonts w:hint="eastAsia" w:ascii="仿宋" w:hAnsi="仿宋" w:eastAsia="仿宋" w:cs="宋体"/>
          <w:b/>
          <w:bCs/>
          <w:color w:val="000000"/>
          <w:kern w:val="0"/>
          <w:szCs w:val="32"/>
          <w:highlight w:val="none"/>
          <w:lang w:eastAsia="zh-CN"/>
        </w:rPr>
        <w:tab/>
      </w:r>
      <w:r>
        <w:rPr>
          <w:rFonts w:hint="eastAsia" w:ascii="仿宋" w:hAnsi="仿宋" w:eastAsia="仿宋" w:cs="宋体"/>
          <w:b/>
          <w:bCs/>
          <w:color w:val="000000"/>
          <w:kern w:val="0"/>
          <w:szCs w:val="32"/>
          <w:highlight w:val="none"/>
          <w:lang w:eastAsia="zh-CN"/>
        </w:rPr>
        <w:t>附件（</w:t>
      </w:r>
      <w:r>
        <w:rPr>
          <w:rFonts w:hint="eastAsia" w:ascii="仿宋" w:hAnsi="仿宋" w:eastAsia="仿宋" w:cs="宋体"/>
          <w:b/>
          <w:bCs/>
          <w:color w:val="000000"/>
          <w:kern w:val="0"/>
          <w:szCs w:val="32"/>
          <w:highlight w:val="none"/>
          <w:lang w:val="en-US" w:eastAsia="zh-CN"/>
        </w:rPr>
        <w:t>1</w:t>
      </w:r>
      <w:r>
        <w:rPr>
          <w:rFonts w:hint="eastAsia" w:ascii="仿宋" w:hAnsi="仿宋" w:eastAsia="仿宋" w:cs="宋体"/>
          <w:b/>
          <w:bCs/>
          <w:color w:val="000000"/>
          <w:kern w:val="0"/>
          <w:szCs w:val="32"/>
          <w:highlight w:val="none"/>
          <w:lang w:eastAsia="zh-CN"/>
        </w:rPr>
        <w:t>）</w:t>
      </w:r>
      <w:r>
        <w:rPr>
          <w:rFonts w:hint="eastAsia" w:ascii="仿宋" w:hAnsi="仿宋" w:eastAsia="仿宋" w:cs="宋体"/>
          <w:b/>
          <w:bCs/>
          <w:color w:val="000000"/>
          <w:kern w:val="0"/>
          <w:szCs w:val="32"/>
          <w:highlight w:val="none"/>
          <w:lang w:eastAsia="zh-CN"/>
        </w:rPr>
        <w:tab/>
      </w:r>
      <w:r>
        <w:rPr>
          <w:rFonts w:hint="eastAsia" w:ascii="仿宋" w:hAnsi="仿宋" w:eastAsia="仿宋" w:cs="宋体"/>
          <w:b/>
          <w:bCs/>
          <w:color w:val="000000"/>
          <w:kern w:val="0"/>
          <w:szCs w:val="32"/>
          <w:highlight w:val="none"/>
        </w:rPr>
        <w:t>闽侯县公共汽电车年度运营服务计划</w:t>
      </w:r>
    </w:p>
    <w:p w14:paraId="5D681E98">
      <w:pPr>
        <w:rPr>
          <w:rFonts w:ascii="仿宋" w:hAnsi="仿宋" w:eastAsia="仿宋"/>
          <w:color w:val="000000"/>
          <w:szCs w:val="32"/>
          <w:highlight w:val="none"/>
        </w:rPr>
      </w:pPr>
    </w:p>
    <w:tbl>
      <w:tblPr>
        <w:tblStyle w:val="5"/>
        <w:tblpPr w:leftFromText="180" w:rightFromText="180" w:vertAnchor="text" w:horzAnchor="page" w:tblpX="1834" w:tblpY="517"/>
        <w:tblW w:w="13783" w:type="dxa"/>
        <w:tblInd w:w="0" w:type="dxa"/>
        <w:tblLayout w:type="fixed"/>
        <w:tblCellMar>
          <w:top w:w="0" w:type="dxa"/>
          <w:left w:w="108" w:type="dxa"/>
          <w:bottom w:w="0" w:type="dxa"/>
          <w:right w:w="108" w:type="dxa"/>
        </w:tblCellMar>
      </w:tblPr>
      <w:tblGrid>
        <w:gridCol w:w="668"/>
        <w:gridCol w:w="703"/>
        <w:gridCol w:w="806"/>
        <w:gridCol w:w="857"/>
        <w:gridCol w:w="703"/>
        <w:gridCol w:w="754"/>
        <w:gridCol w:w="566"/>
        <w:gridCol w:w="601"/>
        <w:gridCol w:w="529"/>
        <w:gridCol w:w="619"/>
        <w:gridCol w:w="668"/>
        <w:gridCol w:w="652"/>
        <w:gridCol w:w="668"/>
        <w:gridCol w:w="874"/>
        <w:gridCol w:w="909"/>
        <w:gridCol w:w="943"/>
        <w:gridCol w:w="845"/>
        <w:gridCol w:w="698"/>
        <w:gridCol w:w="720"/>
      </w:tblGrid>
      <w:tr w14:paraId="6BD32B4C">
        <w:tblPrEx>
          <w:tblCellMar>
            <w:top w:w="0" w:type="dxa"/>
            <w:left w:w="108" w:type="dxa"/>
            <w:bottom w:w="0" w:type="dxa"/>
            <w:right w:w="108" w:type="dxa"/>
          </w:tblCellMar>
        </w:tblPrEx>
        <w:trPr>
          <w:trHeight w:val="720" w:hRule="atLeast"/>
        </w:trPr>
        <w:tc>
          <w:tcPr>
            <w:tcW w:w="6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543E2D">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序号</w:t>
            </w:r>
          </w:p>
        </w:tc>
        <w:tc>
          <w:tcPr>
            <w:tcW w:w="7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0DB77E">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线路编号</w:t>
            </w:r>
          </w:p>
        </w:tc>
        <w:tc>
          <w:tcPr>
            <w:tcW w:w="80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7F7EF321">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线路类型</w:t>
            </w:r>
          </w:p>
        </w:tc>
        <w:tc>
          <w:tcPr>
            <w:tcW w:w="85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ADCF69">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配车数</w:t>
            </w:r>
          </w:p>
        </w:tc>
        <w:tc>
          <w:tcPr>
            <w:tcW w:w="145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180204">
            <w:pPr>
              <w:widowControl/>
              <w:ind w:right="-54" w:rightChars="-17"/>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起止站点</w:t>
            </w:r>
          </w:p>
        </w:tc>
        <w:tc>
          <w:tcPr>
            <w:tcW w:w="1167" w:type="dxa"/>
            <w:gridSpan w:val="2"/>
            <w:tcBorders>
              <w:top w:val="single" w:color="auto" w:sz="4" w:space="0"/>
              <w:left w:val="nil"/>
              <w:bottom w:val="single" w:color="auto" w:sz="4" w:space="0"/>
              <w:right w:val="single" w:color="auto" w:sz="4" w:space="0"/>
            </w:tcBorders>
            <w:shd w:val="clear" w:color="auto" w:fill="auto"/>
            <w:vAlign w:val="center"/>
          </w:tcPr>
          <w:p w14:paraId="74199D81">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线路里程</w:t>
            </w:r>
            <w:r>
              <w:rPr>
                <w:rFonts w:ascii="仿宋" w:hAnsi="仿宋" w:eastAsia="仿宋" w:cs="宋体"/>
                <w:color w:val="000000"/>
                <w:kern w:val="0"/>
                <w:sz w:val="18"/>
                <w:szCs w:val="18"/>
                <w:highlight w:val="none"/>
              </w:rPr>
              <w:br w:type="textWrapping"/>
            </w:r>
            <w:r>
              <w:rPr>
                <w:rFonts w:hint="eastAsia" w:ascii="仿宋" w:hAnsi="仿宋" w:eastAsia="仿宋" w:cs="宋体"/>
                <w:color w:val="000000"/>
                <w:kern w:val="0"/>
                <w:sz w:val="18"/>
                <w:szCs w:val="18"/>
                <w:highlight w:val="none"/>
              </w:rPr>
              <w:t>（公里）</w:t>
            </w:r>
          </w:p>
        </w:tc>
        <w:tc>
          <w:tcPr>
            <w:tcW w:w="1148" w:type="dxa"/>
            <w:gridSpan w:val="2"/>
            <w:tcBorders>
              <w:top w:val="single" w:color="auto" w:sz="4" w:space="0"/>
              <w:left w:val="nil"/>
              <w:bottom w:val="single" w:color="auto" w:sz="4" w:space="0"/>
              <w:right w:val="single" w:color="auto" w:sz="4" w:space="0"/>
            </w:tcBorders>
            <w:shd w:val="clear" w:color="auto" w:fill="FFFFFF"/>
            <w:vAlign w:val="center"/>
          </w:tcPr>
          <w:p w14:paraId="536F7112">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首末班时间</w:t>
            </w:r>
          </w:p>
        </w:tc>
        <w:tc>
          <w:tcPr>
            <w:tcW w:w="668"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6376EAD5">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日均发车间隔（分钟）</w:t>
            </w:r>
          </w:p>
        </w:tc>
        <w:tc>
          <w:tcPr>
            <w:tcW w:w="652"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7D21C7D">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计划运营趟次</w:t>
            </w:r>
          </w:p>
        </w:tc>
        <w:tc>
          <w:tcPr>
            <w:tcW w:w="668"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2D77C40">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计划载客</w:t>
            </w:r>
            <w:r>
              <w:rPr>
                <w:rFonts w:ascii="仿宋" w:hAnsi="仿宋" w:eastAsia="仿宋" w:cs="宋体"/>
                <w:color w:val="000000"/>
                <w:kern w:val="0"/>
                <w:sz w:val="18"/>
                <w:szCs w:val="18"/>
                <w:highlight w:val="none"/>
              </w:rPr>
              <w:br w:type="textWrapping"/>
            </w:r>
            <w:r>
              <w:rPr>
                <w:rFonts w:hint="eastAsia" w:ascii="仿宋" w:hAnsi="仿宋" w:eastAsia="仿宋" w:cs="宋体"/>
                <w:color w:val="000000"/>
                <w:kern w:val="0"/>
                <w:sz w:val="18"/>
                <w:szCs w:val="18"/>
                <w:highlight w:val="none"/>
              </w:rPr>
              <w:t>里程（</w:t>
            </w:r>
            <w:r>
              <w:rPr>
                <w:rFonts w:ascii="仿宋" w:hAnsi="仿宋" w:eastAsia="仿宋" w:cs="宋体"/>
                <w:color w:val="000000"/>
                <w:kern w:val="0"/>
                <w:sz w:val="18"/>
                <w:szCs w:val="18"/>
                <w:highlight w:val="none"/>
              </w:rPr>
              <w:t>KM）</w:t>
            </w:r>
          </w:p>
        </w:tc>
        <w:tc>
          <w:tcPr>
            <w:tcW w:w="87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E01DE71">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计划运营里程（</w:t>
            </w:r>
            <w:r>
              <w:rPr>
                <w:rFonts w:ascii="仿宋" w:hAnsi="仿宋" w:eastAsia="仿宋" w:cs="宋体"/>
                <w:color w:val="000000"/>
                <w:kern w:val="0"/>
                <w:sz w:val="18"/>
                <w:szCs w:val="18"/>
                <w:highlight w:val="none"/>
              </w:rPr>
              <w:t>KM）</w:t>
            </w:r>
          </w:p>
        </w:tc>
        <w:tc>
          <w:tcPr>
            <w:tcW w:w="9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B50555">
            <w:pPr>
              <w:widowControl/>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运营里程与载客里程比例</w:t>
            </w:r>
          </w:p>
        </w:tc>
        <w:tc>
          <w:tcPr>
            <w:tcW w:w="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78FE3D">
            <w:pPr>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运营天数</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EBA26CC">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所</w:t>
            </w:r>
          </w:p>
          <w:p w14:paraId="7A25BC3A">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属</w:t>
            </w:r>
          </w:p>
          <w:p w14:paraId="02618593">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企</w:t>
            </w:r>
          </w:p>
          <w:p w14:paraId="487FF518">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业</w:t>
            </w:r>
          </w:p>
        </w:tc>
        <w:tc>
          <w:tcPr>
            <w:tcW w:w="6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F5D308">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年度累计运营里程（</w:t>
            </w:r>
            <w:r>
              <w:rPr>
                <w:rFonts w:ascii="仿宋" w:hAnsi="仿宋" w:eastAsia="仿宋" w:cs="宋体"/>
                <w:color w:val="000000"/>
                <w:kern w:val="0"/>
                <w:sz w:val="18"/>
                <w:szCs w:val="18"/>
                <w:highlight w:val="none"/>
              </w:rPr>
              <w:t>KM）</w:t>
            </w:r>
          </w:p>
        </w:tc>
        <w:tc>
          <w:tcPr>
            <w:tcW w:w="720" w:type="dxa"/>
            <w:vMerge w:val="restart"/>
            <w:tcBorders>
              <w:top w:val="single" w:color="auto" w:sz="4" w:space="0"/>
              <w:right w:val="single" w:color="auto" w:sz="4" w:space="0"/>
            </w:tcBorders>
            <w:shd w:val="clear" w:color="auto" w:fill="auto"/>
            <w:vAlign w:val="center"/>
          </w:tcPr>
          <w:p w14:paraId="5D011E8E">
            <w:pPr>
              <w:widowControl/>
              <w:jc w:val="center"/>
              <w:rPr>
                <w:rFonts w:ascii="仿宋" w:hAnsi="仿宋" w:eastAsia="仿宋"/>
                <w:color w:val="000000"/>
                <w:kern w:val="0"/>
                <w:sz w:val="18"/>
                <w:szCs w:val="18"/>
                <w:highlight w:val="none"/>
              </w:rPr>
            </w:pPr>
            <w:r>
              <w:rPr>
                <w:rFonts w:hint="eastAsia" w:ascii="仿宋" w:hAnsi="仿宋" w:eastAsia="仿宋"/>
                <w:color w:val="000000"/>
                <w:kern w:val="0"/>
                <w:sz w:val="18"/>
                <w:szCs w:val="18"/>
                <w:highlight w:val="none"/>
              </w:rPr>
              <w:t>票价</w:t>
            </w:r>
          </w:p>
        </w:tc>
      </w:tr>
      <w:tr w14:paraId="2688C765">
        <w:tblPrEx>
          <w:tblCellMar>
            <w:top w:w="0" w:type="dxa"/>
            <w:left w:w="108" w:type="dxa"/>
            <w:bottom w:w="0" w:type="dxa"/>
            <w:right w:w="108" w:type="dxa"/>
          </w:tblCellMar>
        </w:tblPrEx>
        <w:trPr>
          <w:trHeight w:val="765" w:hRule="atLeast"/>
        </w:trPr>
        <w:tc>
          <w:tcPr>
            <w:tcW w:w="668" w:type="dxa"/>
            <w:vMerge w:val="continue"/>
            <w:tcBorders>
              <w:top w:val="nil"/>
              <w:left w:val="single" w:color="auto" w:sz="4" w:space="0"/>
              <w:bottom w:val="single" w:color="auto" w:sz="4" w:space="0"/>
              <w:right w:val="single" w:color="auto" w:sz="4" w:space="0"/>
            </w:tcBorders>
            <w:vAlign w:val="center"/>
          </w:tcPr>
          <w:p w14:paraId="6D4201DF">
            <w:pPr>
              <w:widowControl/>
              <w:jc w:val="left"/>
              <w:rPr>
                <w:rFonts w:ascii="仿宋" w:hAnsi="仿宋" w:eastAsia="仿宋" w:cs="宋体"/>
                <w:color w:val="000000"/>
                <w:kern w:val="0"/>
                <w:sz w:val="24"/>
                <w:szCs w:val="24"/>
                <w:highlight w:val="none"/>
              </w:rPr>
            </w:pPr>
          </w:p>
        </w:tc>
        <w:tc>
          <w:tcPr>
            <w:tcW w:w="703" w:type="dxa"/>
            <w:vMerge w:val="continue"/>
            <w:tcBorders>
              <w:top w:val="nil"/>
              <w:left w:val="single" w:color="auto" w:sz="4" w:space="0"/>
              <w:bottom w:val="single" w:color="auto" w:sz="4" w:space="0"/>
              <w:right w:val="single" w:color="auto" w:sz="4" w:space="0"/>
            </w:tcBorders>
            <w:vAlign w:val="center"/>
          </w:tcPr>
          <w:p w14:paraId="40A60A85">
            <w:pPr>
              <w:widowControl/>
              <w:jc w:val="left"/>
              <w:rPr>
                <w:rFonts w:ascii="仿宋" w:hAnsi="仿宋" w:eastAsia="仿宋" w:cs="宋体"/>
                <w:color w:val="000000"/>
                <w:kern w:val="0"/>
                <w:sz w:val="21"/>
                <w:szCs w:val="21"/>
                <w:highlight w:val="none"/>
              </w:rPr>
            </w:pPr>
          </w:p>
        </w:tc>
        <w:tc>
          <w:tcPr>
            <w:tcW w:w="806" w:type="dxa"/>
            <w:vMerge w:val="continue"/>
            <w:tcBorders>
              <w:top w:val="nil"/>
              <w:left w:val="single" w:color="auto" w:sz="4" w:space="0"/>
              <w:bottom w:val="single" w:color="auto" w:sz="4" w:space="0"/>
              <w:right w:val="single" w:color="auto" w:sz="4" w:space="0"/>
            </w:tcBorders>
            <w:vAlign w:val="center"/>
          </w:tcPr>
          <w:p w14:paraId="328CBE1B">
            <w:pPr>
              <w:widowControl/>
              <w:jc w:val="left"/>
              <w:rPr>
                <w:rFonts w:ascii="仿宋" w:hAnsi="仿宋" w:eastAsia="仿宋" w:cs="宋体"/>
                <w:color w:val="000000"/>
                <w:kern w:val="0"/>
                <w:sz w:val="21"/>
                <w:szCs w:val="21"/>
                <w:highlight w:val="none"/>
              </w:rPr>
            </w:pPr>
          </w:p>
        </w:tc>
        <w:tc>
          <w:tcPr>
            <w:tcW w:w="857" w:type="dxa"/>
            <w:vMerge w:val="continue"/>
            <w:tcBorders>
              <w:top w:val="nil"/>
              <w:left w:val="single" w:color="auto" w:sz="4" w:space="0"/>
              <w:bottom w:val="single" w:color="auto" w:sz="4" w:space="0"/>
              <w:right w:val="single" w:color="auto" w:sz="4" w:space="0"/>
            </w:tcBorders>
            <w:vAlign w:val="center"/>
          </w:tcPr>
          <w:p w14:paraId="0C64ED3D">
            <w:pPr>
              <w:widowControl/>
              <w:jc w:val="left"/>
              <w:rPr>
                <w:rFonts w:ascii="仿宋" w:hAnsi="仿宋" w:eastAsia="仿宋" w:cs="宋体"/>
                <w:color w:val="000000"/>
                <w:kern w:val="0"/>
                <w:sz w:val="21"/>
                <w:szCs w:val="21"/>
                <w:highlight w:val="none"/>
              </w:rPr>
            </w:pPr>
          </w:p>
        </w:tc>
        <w:tc>
          <w:tcPr>
            <w:tcW w:w="703" w:type="dxa"/>
            <w:tcBorders>
              <w:top w:val="single" w:color="auto" w:sz="4" w:space="0"/>
              <w:left w:val="single" w:color="auto" w:sz="4" w:space="0"/>
              <w:bottom w:val="single" w:color="auto" w:sz="4" w:space="0"/>
              <w:right w:val="single" w:color="auto" w:sz="4" w:space="0"/>
            </w:tcBorders>
            <w:vAlign w:val="center"/>
          </w:tcPr>
          <w:p w14:paraId="0366AF12">
            <w:pPr>
              <w:jc w:val="left"/>
              <w:rPr>
                <w:rFonts w:ascii="仿宋" w:hAnsi="仿宋" w:eastAsia="仿宋" w:cs="宋体"/>
                <w:color w:val="000000"/>
                <w:kern w:val="0"/>
                <w:sz w:val="24"/>
                <w:szCs w:val="24"/>
                <w:highlight w:val="none"/>
              </w:rPr>
            </w:pPr>
            <w:r>
              <w:rPr>
                <w:rFonts w:ascii="仿宋" w:hAnsi="仿宋" w:eastAsia="仿宋" w:cs="宋体"/>
                <w:color w:val="000000"/>
                <w:kern w:val="0"/>
                <w:sz w:val="24"/>
                <w:szCs w:val="24"/>
                <w:highlight w:val="none"/>
              </w:rPr>
              <w:t>起点</w:t>
            </w:r>
          </w:p>
        </w:tc>
        <w:tc>
          <w:tcPr>
            <w:tcW w:w="754" w:type="dxa"/>
            <w:tcBorders>
              <w:top w:val="single" w:color="auto" w:sz="4" w:space="0"/>
              <w:left w:val="single" w:color="auto" w:sz="4" w:space="0"/>
              <w:bottom w:val="single" w:color="auto" w:sz="4" w:space="0"/>
              <w:right w:val="single" w:color="auto" w:sz="4" w:space="0"/>
            </w:tcBorders>
            <w:vAlign w:val="center"/>
          </w:tcPr>
          <w:p w14:paraId="4761E93D">
            <w:pPr>
              <w:jc w:val="left"/>
              <w:rPr>
                <w:rFonts w:ascii="仿宋" w:hAnsi="仿宋" w:eastAsia="仿宋" w:cs="宋体"/>
                <w:color w:val="000000"/>
                <w:kern w:val="0"/>
                <w:sz w:val="24"/>
                <w:szCs w:val="24"/>
                <w:highlight w:val="none"/>
              </w:rPr>
            </w:pPr>
            <w:r>
              <w:rPr>
                <w:rFonts w:ascii="仿宋" w:hAnsi="仿宋" w:eastAsia="仿宋" w:cs="宋体"/>
                <w:color w:val="000000"/>
                <w:kern w:val="0"/>
                <w:sz w:val="24"/>
                <w:szCs w:val="24"/>
                <w:highlight w:val="none"/>
              </w:rPr>
              <w:t>终点</w:t>
            </w:r>
          </w:p>
        </w:tc>
        <w:tc>
          <w:tcPr>
            <w:tcW w:w="566" w:type="dxa"/>
            <w:tcBorders>
              <w:top w:val="nil"/>
              <w:left w:val="nil"/>
              <w:bottom w:val="single" w:color="auto" w:sz="4" w:space="0"/>
              <w:right w:val="single" w:color="auto" w:sz="4" w:space="0"/>
            </w:tcBorders>
            <w:shd w:val="clear" w:color="auto" w:fill="auto"/>
            <w:vAlign w:val="center"/>
          </w:tcPr>
          <w:p w14:paraId="2C00607B">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上行</w:t>
            </w:r>
          </w:p>
        </w:tc>
        <w:tc>
          <w:tcPr>
            <w:tcW w:w="601" w:type="dxa"/>
            <w:tcBorders>
              <w:top w:val="nil"/>
              <w:left w:val="nil"/>
              <w:bottom w:val="single" w:color="auto" w:sz="4" w:space="0"/>
              <w:right w:val="single" w:color="auto" w:sz="4" w:space="0"/>
            </w:tcBorders>
            <w:shd w:val="clear" w:color="auto" w:fill="auto"/>
            <w:vAlign w:val="center"/>
          </w:tcPr>
          <w:p w14:paraId="744EC6A6">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下行</w:t>
            </w:r>
          </w:p>
        </w:tc>
        <w:tc>
          <w:tcPr>
            <w:tcW w:w="529" w:type="dxa"/>
            <w:tcBorders>
              <w:top w:val="nil"/>
              <w:left w:val="nil"/>
              <w:bottom w:val="single" w:color="auto" w:sz="4" w:space="0"/>
              <w:right w:val="single" w:color="auto" w:sz="4" w:space="0"/>
            </w:tcBorders>
            <w:shd w:val="clear" w:color="auto" w:fill="FFFFFF"/>
            <w:vAlign w:val="center"/>
          </w:tcPr>
          <w:p w14:paraId="5DED638E">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始发站</w:t>
            </w:r>
          </w:p>
        </w:tc>
        <w:tc>
          <w:tcPr>
            <w:tcW w:w="619" w:type="dxa"/>
            <w:tcBorders>
              <w:top w:val="nil"/>
              <w:left w:val="nil"/>
              <w:bottom w:val="single" w:color="auto" w:sz="4" w:space="0"/>
              <w:right w:val="single" w:color="auto" w:sz="4" w:space="0"/>
            </w:tcBorders>
            <w:shd w:val="clear" w:color="auto" w:fill="FFFFFF"/>
            <w:vAlign w:val="center"/>
          </w:tcPr>
          <w:p w14:paraId="0E04324F">
            <w:pPr>
              <w:widowControl/>
              <w:jc w:val="center"/>
              <w:rPr>
                <w:rFonts w:ascii="仿宋" w:hAnsi="仿宋" w:eastAsia="仿宋" w:cs="宋体"/>
                <w:color w:val="000000"/>
                <w:kern w:val="0"/>
                <w:sz w:val="18"/>
                <w:szCs w:val="18"/>
                <w:highlight w:val="none"/>
              </w:rPr>
            </w:pPr>
            <w:r>
              <w:rPr>
                <w:rFonts w:hint="eastAsia" w:ascii="仿宋" w:hAnsi="仿宋" w:eastAsia="仿宋" w:cs="宋体"/>
                <w:color w:val="000000"/>
                <w:kern w:val="0"/>
                <w:sz w:val="18"/>
                <w:szCs w:val="18"/>
                <w:highlight w:val="none"/>
              </w:rPr>
              <w:t>终点站</w:t>
            </w:r>
          </w:p>
        </w:tc>
        <w:tc>
          <w:tcPr>
            <w:tcW w:w="668" w:type="dxa"/>
            <w:vMerge w:val="continue"/>
            <w:tcBorders>
              <w:top w:val="nil"/>
              <w:left w:val="single" w:color="auto" w:sz="4" w:space="0"/>
              <w:bottom w:val="single" w:color="000000" w:sz="4" w:space="0"/>
              <w:right w:val="single" w:color="auto" w:sz="4" w:space="0"/>
            </w:tcBorders>
            <w:vAlign w:val="center"/>
          </w:tcPr>
          <w:p w14:paraId="691C2F49">
            <w:pPr>
              <w:widowControl/>
              <w:jc w:val="left"/>
              <w:rPr>
                <w:rFonts w:ascii="仿宋" w:hAnsi="仿宋" w:eastAsia="仿宋" w:cs="宋体"/>
                <w:color w:val="000000"/>
                <w:kern w:val="0"/>
                <w:sz w:val="21"/>
                <w:szCs w:val="21"/>
                <w:highlight w:val="none"/>
              </w:rPr>
            </w:pPr>
          </w:p>
        </w:tc>
        <w:tc>
          <w:tcPr>
            <w:tcW w:w="652" w:type="dxa"/>
            <w:vMerge w:val="continue"/>
            <w:tcBorders>
              <w:top w:val="nil"/>
              <w:left w:val="single" w:color="auto" w:sz="4" w:space="0"/>
              <w:bottom w:val="single" w:color="000000" w:sz="4" w:space="0"/>
              <w:right w:val="single" w:color="auto" w:sz="4" w:space="0"/>
            </w:tcBorders>
            <w:vAlign w:val="center"/>
          </w:tcPr>
          <w:p w14:paraId="4D36971C">
            <w:pPr>
              <w:widowControl/>
              <w:jc w:val="left"/>
              <w:rPr>
                <w:rFonts w:ascii="仿宋" w:hAnsi="仿宋" w:eastAsia="仿宋" w:cs="宋体"/>
                <w:color w:val="000000"/>
                <w:kern w:val="0"/>
                <w:sz w:val="21"/>
                <w:szCs w:val="21"/>
                <w:highlight w:val="none"/>
              </w:rPr>
            </w:pPr>
          </w:p>
        </w:tc>
        <w:tc>
          <w:tcPr>
            <w:tcW w:w="668" w:type="dxa"/>
            <w:vMerge w:val="continue"/>
            <w:tcBorders>
              <w:top w:val="nil"/>
              <w:left w:val="single" w:color="auto" w:sz="4" w:space="0"/>
              <w:bottom w:val="single" w:color="000000" w:sz="4" w:space="0"/>
              <w:right w:val="single" w:color="auto" w:sz="4" w:space="0"/>
            </w:tcBorders>
            <w:vAlign w:val="center"/>
          </w:tcPr>
          <w:p w14:paraId="41A86962">
            <w:pPr>
              <w:widowControl/>
              <w:jc w:val="left"/>
              <w:rPr>
                <w:rFonts w:ascii="仿宋" w:hAnsi="仿宋" w:eastAsia="仿宋" w:cs="宋体"/>
                <w:color w:val="000000"/>
                <w:kern w:val="0"/>
                <w:sz w:val="21"/>
                <w:szCs w:val="21"/>
                <w:highlight w:val="none"/>
              </w:rPr>
            </w:pPr>
          </w:p>
        </w:tc>
        <w:tc>
          <w:tcPr>
            <w:tcW w:w="874" w:type="dxa"/>
            <w:vMerge w:val="continue"/>
            <w:tcBorders>
              <w:top w:val="nil"/>
              <w:left w:val="single" w:color="auto" w:sz="4" w:space="0"/>
              <w:bottom w:val="single" w:color="000000" w:sz="4" w:space="0"/>
              <w:right w:val="single" w:color="auto" w:sz="4" w:space="0"/>
            </w:tcBorders>
            <w:vAlign w:val="center"/>
          </w:tcPr>
          <w:p w14:paraId="5600FC1B">
            <w:pPr>
              <w:widowControl/>
              <w:jc w:val="left"/>
              <w:rPr>
                <w:rFonts w:ascii="仿宋" w:hAnsi="仿宋" w:eastAsia="仿宋" w:cs="宋体"/>
                <w:color w:val="000000"/>
                <w:kern w:val="0"/>
                <w:sz w:val="21"/>
                <w:szCs w:val="21"/>
                <w:highlight w:val="none"/>
              </w:rPr>
            </w:pPr>
          </w:p>
        </w:tc>
        <w:tc>
          <w:tcPr>
            <w:tcW w:w="909" w:type="dxa"/>
            <w:vMerge w:val="continue"/>
            <w:tcBorders>
              <w:top w:val="nil"/>
              <w:left w:val="single" w:color="auto" w:sz="4" w:space="0"/>
              <w:bottom w:val="single" w:color="000000" w:sz="4" w:space="0"/>
              <w:right w:val="single" w:color="auto" w:sz="4" w:space="0"/>
            </w:tcBorders>
            <w:vAlign w:val="center"/>
          </w:tcPr>
          <w:p w14:paraId="5F949692">
            <w:pPr>
              <w:widowControl/>
              <w:jc w:val="left"/>
              <w:rPr>
                <w:rFonts w:ascii="仿宋" w:hAnsi="仿宋" w:eastAsia="仿宋" w:cs="宋体"/>
                <w:color w:val="000000"/>
                <w:kern w:val="0"/>
                <w:sz w:val="21"/>
                <w:szCs w:val="21"/>
                <w:highlight w:val="none"/>
              </w:rPr>
            </w:pPr>
          </w:p>
        </w:tc>
        <w:tc>
          <w:tcPr>
            <w:tcW w:w="943" w:type="dxa"/>
            <w:vMerge w:val="continue"/>
            <w:tcBorders>
              <w:top w:val="nil"/>
              <w:left w:val="single" w:color="auto" w:sz="4" w:space="0"/>
              <w:bottom w:val="single" w:color="000000" w:sz="4" w:space="0"/>
              <w:right w:val="single" w:color="auto" w:sz="4" w:space="0"/>
            </w:tcBorders>
            <w:vAlign w:val="center"/>
          </w:tcPr>
          <w:p w14:paraId="17D4F4A4">
            <w:pPr>
              <w:widowControl/>
              <w:jc w:val="left"/>
              <w:rPr>
                <w:rFonts w:ascii="仿宋" w:hAnsi="仿宋" w:eastAsia="仿宋" w:cs="宋体"/>
                <w:color w:val="000000"/>
                <w:kern w:val="0"/>
                <w:sz w:val="21"/>
                <w:szCs w:val="21"/>
                <w:highlight w:val="none"/>
              </w:rPr>
            </w:pPr>
          </w:p>
        </w:tc>
        <w:tc>
          <w:tcPr>
            <w:tcW w:w="845" w:type="dxa"/>
            <w:vMerge w:val="continue"/>
            <w:tcBorders>
              <w:top w:val="nil"/>
              <w:left w:val="single" w:color="auto" w:sz="4" w:space="0"/>
              <w:bottom w:val="single" w:color="000000" w:sz="4" w:space="0"/>
              <w:right w:val="single" w:color="auto" w:sz="4" w:space="0"/>
            </w:tcBorders>
            <w:vAlign w:val="center"/>
          </w:tcPr>
          <w:p w14:paraId="2609FDCD">
            <w:pPr>
              <w:widowControl/>
              <w:jc w:val="left"/>
              <w:rPr>
                <w:rFonts w:ascii="仿宋" w:hAnsi="仿宋" w:eastAsia="仿宋" w:cs="宋体"/>
                <w:color w:val="000000"/>
                <w:kern w:val="0"/>
                <w:sz w:val="21"/>
                <w:szCs w:val="21"/>
                <w:highlight w:val="none"/>
              </w:rPr>
            </w:pPr>
          </w:p>
        </w:tc>
        <w:tc>
          <w:tcPr>
            <w:tcW w:w="698" w:type="dxa"/>
            <w:vMerge w:val="continue"/>
            <w:tcBorders>
              <w:top w:val="nil"/>
              <w:left w:val="single" w:color="auto" w:sz="4" w:space="0"/>
              <w:bottom w:val="single" w:color="000000" w:sz="4" w:space="0"/>
              <w:right w:val="single" w:color="auto" w:sz="4" w:space="0"/>
            </w:tcBorders>
            <w:vAlign w:val="center"/>
          </w:tcPr>
          <w:p w14:paraId="6D937ECA">
            <w:pPr>
              <w:widowControl/>
              <w:jc w:val="left"/>
              <w:rPr>
                <w:rFonts w:ascii="仿宋" w:hAnsi="仿宋" w:eastAsia="仿宋" w:cs="宋体"/>
                <w:color w:val="000000"/>
                <w:kern w:val="0"/>
                <w:sz w:val="21"/>
                <w:szCs w:val="21"/>
                <w:highlight w:val="none"/>
              </w:rPr>
            </w:pPr>
          </w:p>
        </w:tc>
        <w:tc>
          <w:tcPr>
            <w:tcW w:w="720" w:type="dxa"/>
            <w:vMerge w:val="continue"/>
            <w:tcBorders>
              <w:bottom w:val="single" w:color="auto" w:sz="4" w:space="0"/>
              <w:right w:val="single" w:color="auto" w:sz="4" w:space="0"/>
            </w:tcBorders>
            <w:shd w:val="clear" w:color="auto" w:fill="auto"/>
          </w:tcPr>
          <w:p w14:paraId="73510D49">
            <w:pPr>
              <w:widowControl/>
              <w:jc w:val="left"/>
              <w:rPr>
                <w:rFonts w:ascii="仿宋" w:hAnsi="仿宋" w:eastAsia="仿宋"/>
                <w:color w:val="000000"/>
                <w:kern w:val="0"/>
                <w:sz w:val="20"/>
                <w:highlight w:val="none"/>
              </w:rPr>
            </w:pPr>
          </w:p>
        </w:tc>
      </w:tr>
      <w:tr w14:paraId="31A7F7C2">
        <w:tblPrEx>
          <w:tblCellMar>
            <w:top w:w="0" w:type="dxa"/>
            <w:left w:w="108" w:type="dxa"/>
            <w:bottom w:w="0" w:type="dxa"/>
            <w:right w:w="108" w:type="dxa"/>
          </w:tblCellMar>
        </w:tblPrEx>
        <w:trPr>
          <w:trHeight w:val="680" w:hRule="exact"/>
        </w:trPr>
        <w:tc>
          <w:tcPr>
            <w:tcW w:w="668" w:type="dxa"/>
            <w:tcBorders>
              <w:top w:val="nil"/>
              <w:left w:val="single" w:color="auto" w:sz="4" w:space="0"/>
              <w:bottom w:val="single" w:color="auto" w:sz="4" w:space="0"/>
              <w:right w:val="single" w:color="auto" w:sz="4" w:space="0"/>
            </w:tcBorders>
            <w:shd w:val="clear" w:color="auto" w:fill="auto"/>
            <w:vAlign w:val="center"/>
          </w:tcPr>
          <w:p w14:paraId="0D50985A">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1</w:t>
            </w:r>
          </w:p>
        </w:tc>
        <w:tc>
          <w:tcPr>
            <w:tcW w:w="703" w:type="dxa"/>
            <w:tcBorders>
              <w:top w:val="nil"/>
              <w:left w:val="nil"/>
              <w:bottom w:val="single" w:color="auto" w:sz="4" w:space="0"/>
              <w:right w:val="single" w:color="auto" w:sz="4" w:space="0"/>
            </w:tcBorders>
            <w:shd w:val="clear" w:color="auto" w:fill="auto"/>
            <w:vAlign w:val="center"/>
          </w:tcPr>
          <w:p w14:paraId="6FDBFB36">
            <w:pPr>
              <w:widowControl/>
              <w:jc w:val="center"/>
              <w:rPr>
                <w:rFonts w:ascii="仿宋" w:hAnsi="仿宋" w:eastAsia="仿宋" w:cs="宋体"/>
                <w:color w:val="000000"/>
                <w:kern w:val="0"/>
                <w:sz w:val="24"/>
                <w:szCs w:val="24"/>
                <w:highlight w:val="none"/>
              </w:rPr>
            </w:pPr>
          </w:p>
        </w:tc>
        <w:tc>
          <w:tcPr>
            <w:tcW w:w="806" w:type="dxa"/>
            <w:tcBorders>
              <w:top w:val="nil"/>
              <w:left w:val="nil"/>
              <w:bottom w:val="single" w:color="auto" w:sz="4" w:space="0"/>
              <w:right w:val="single" w:color="auto" w:sz="4" w:space="0"/>
            </w:tcBorders>
            <w:shd w:val="clear" w:color="auto" w:fill="auto"/>
            <w:vAlign w:val="center"/>
          </w:tcPr>
          <w:p w14:paraId="688521B9">
            <w:pPr>
              <w:widowControl/>
              <w:jc w:val="center"/>
              <w:rPr>
                <w:rFonts w:ascii="仿宋" w:hAnsi="仿宋" w:eastAsia="仿宋" w:cs="宋体"/>
                <w:color w:val="000000"/>
                <w:kern w:val="0"/>
                <w:sz w:val="24"/>
                <w:szCs w:val="24"/>
                <w:highlight w:val="none"/>
              </w:rPr>
            </w:pPr>
          </w:p>
        </w:tc>
        <w:tc>
          <w:tcPr>
            <w:tcW w:w="857" w:type="dxa"/>
            <w:tcBorders>
              <w:top w:val="nil"/>
              <w:left w:val="nil"/>
              <w:bottom w:val="single" w:color="auto" w:sz="4" w:space="0"/>
              <w:right w:val="single" w:color="auto" w:sz="4" w:space="0"/>
            </w:tcBorders>
            <w:shd w:val="clear" w:color="auto" w:fill="auto"/>
            <w:vAlign w:val="center"/>
          </w:tcPr>
          <w:p w14:paraId="2BAD44B5">
            <w:pPr>
              <w:widowControl/>
              <w:jc w:val="center"/>
              <w:rPr>
                <w:rFonts w:ascii="仿宋" w:hAnsi="仿宋" w:eastAsia="仿宋" w:cs="宋体"/>
                <w:color w:val="000000"/>
                <w:kern w:val="0"/>
                <w:sz w:val="24"/>
                <w:szCs w:val="24"/>
                <w:highlight w:val="none"/>
              </w:rPr>
            </w:pPr>
          </w:p>
        </w:tc>
        <w:tc>
          <w:tcPr>
            <w:tcW w:w="703" w:type="dxa"/>
            <w:tcBorders>
              <w:top w:val="nil"/>
              <w:left w:val="nil"/>
              <w:bottom w:val="single" w:color="auto" w:sz="4" w:space="0"/>
              <w:right w:val="single" w:color="auto" w:sz="4" w:space="0"/>
            </w:tcBorders>
            <w:shd w:val="clear" w:color="auto" w:fill="auto"/>
            <w:vAlign w:val="center"/>
          </w:tcPr>
          <w:p w14:paraId="53F70669">
            <w:pPr>
              <w:widowControl/>
              <w:jc w:val="center"/>
              <w:rPr>
                <w:rFonts w:ascii="仿宋" w:hAnsi="仿宋" w:eastAsia="仿宋" w:cs="宋体"/>
                <w:color w:val="000000"/>
                <w:kern w:val="0"/>
                <w:sz w:val="24"/>
                <w:szCs w:val="24"/>
                <w:highlight w:val="none"/>
              </w:rPr>
            </w:pPr>
          </w:p>
        </w:tc>
        <w:tc>
          <w:tcPr>
            <w:tcW w:w="754" w:type="dxa"/>
            <w:tcBorders>
              <w:top w:val="nil"/>
              <w:left w:val="nil"/>
              <w:bottom w:val="single" w:color="auto" w:sz="4" w:space="0"/>
              <w:right w:val="single" w:color="auto" w:sz="4" w:space="0"/>
            </w:tcBorders>
            <w:shd w:val="clear" w:color="auto" w:fill="auto"/>
            <w:vAlign w:val="center"/>
          </w:tcPr>
          <w:p w14:paraId="413BCA92">
            <w:pPr>
              <w:widowControl/>
              <w:jc w:val="center"/>
              <w:rPr>
                <w:rFonts w:ascii="仿宋" w:hAnsi="仿宋" w:eastAsia="仿宋" w:cs="宋体"/>
                <w:color w:val="000000"/>
                <w:kern w:val="0"/>
                <w:sz w:val="24"/>
                <w:szCs w:val="24"/>
                <w:highlight w:val="none"/>
              </w:rPr>
            </w:pPr>
          </w:p>
        </w:tc>
        <w:tc>
          <w:tcPr>
            <w:tcW w:w="566" w:type="dxa"/>
            <w:tcBorders>
              <w:top w:val="nil"/>
              <w:left w:val="nil"/>
              <w:bottom w:val="single" w:color="auto" w:sz="4" w:space="0"/>
              <w:right w:val="single" w:color="auto" w:sz="4" w:space="0"/>
            </w:tcBorders>
            <w:shd w:val="clear" w:color="auto" w:fill="auto"/>
            <w:vAlign w:val="center"/>
          </w:tcPr>
          <w:p w14:paraId="00B00C6E">
            <w:pPr>
              <w:widowControl/>
              <w:jc w:val="center"/>
              <w:rPr>
                <w:rFonts w:ascii="仿宋" w:hAnsi="仿宋" w:eastAsia="仿宋" w:cs="宋体"/>
                <w:color w:val="000000"/>
                <w:kern w:val="0"/>
                <w:sz w:val="24"/>
                <w:szCs w:val="24"/>
                <w:highlight w:val="none"/>
              </w:rPr>
            </w:pPr>
          </w:p>
        </w:tc>
        <w:tc>
          <w:tcPr>
            <w:tcW w:w="601" w:type="dxa"/>
            <w:tcBorders>
              <w:top w:val="nil"/>
              <w:left w:val="nil"/>
              <w:bottom w:val="single" w:color="auto" w:sz="4" w:space="0"/>
              <w:right w:val="single" w:color="auto" w:sz="4" w:space="0"/>
            </w:tcBorders>
            <w:shd w:val="clear" w:color="auto" w:fill="auto"/>
            <w:vAlign w:val="center"/>
          </w:tcPr>
          <w:p w14:paraId="2AD6ABCD">
            <w:pPr>
              <w:widowControl/>
              <w:jc w:val="center"/>
              <w:rPr>
                <w:rFonts w:ascii="仿宋" w:hAnsi="仿宋" w:eastAsia="仿宋" w:cs="宋体"/>
                <w:color w:val="000000"/>
                <w:kern w:val="0"/>
                <w:sz w:val="24"/>
                <w:szCs w:val="24"/>
                <w:highlight w:val="none"/>
              </w:rPr>
            </w:pPr>
          </w:p>
        </w:tc>
        <w:tc>
          <w:tcPr>
            <w:tcW w:w="529" w:type="dxa"/>
            <w:tcBorders>
              <w:top w:val="nil"/>
              <w:left w:val="nil"/>
              <w:bottom w:val="single" w:color="auto" w:sz="4" w:space="0"/>
              <w:right w:val="single" w:color="auto" w:sz="4" w:space="0"/>
            </w:tcBorders>
            <w:shd w:val="clear" w:color="auto" w:fill="FFFFFF"/>
            <w:vAlign w:val="center"/>
          </w:tcPr>
          <w:p w14:paraId="36459E21">
            <w:pPr>
              <w:widowControl/>
              <w:jc w:val="center"/>
              <w:rPr>
                <w:rFonts w:ascii="仿宋" w:hAnsi="仿宋" w:eastAsia="仿宋" w:cs="宋体"/>
                <w:color w:val="000000"/>
                <w:kern w:val="0"/>
                <w:sz w:val="21"/>
                <w:szCs w:val="21"/>
                <w:highlight w:val="none"/>
              </w:rPr>
            </w:pPr>
          </w:p>
        </w:tc>
        <w:tc>
          <w:tcPr>
            <w:tcW w:w="619" w:type="dxa"/>
            <w:tcBorders>
              <w:top w:val="nil"/>
              <w:left w:val="nil"/>
              <w:bottom w:val="single" w:color="auto" w:sz="4" w:space="0"/>
              <w:right w:val="single" w:color="auto" w:sz="4" w:space="0"/>
            </w:tcBorders>
            <w:shd w:val="clear" w:color="auto" w:fill="FFFFFF"/>
            <w:vAlign w:val="center"/>
          </w:tcPr>
          <w:p w14:paraId="76E83046">
            <w:pPr>
              <w:widowControl/>
              <w:jc w:val="center"/>
              <w:rPr>
                <w:rFonts w:ascii="仿宋" w:hAnsi="仿宋" w:eastAsia="仿宋" w:cs="宋体"/>
                <w:color w:val="000000"/>
                <w:kern w:val="0"/>
                <w:sz w:val="21"/>
                <w:szCs w:val="21"/>
                <w:highlight w:val="none"/>
              </w:rPr>
            </w:pPr>
          </w:p>
        </w:tc>
        <w:tc>
          <w:tcPr>
            <w:tcW w:w="668" w:type="dxa"/>
            <w:tcBorders>
              <w:top w:val="nil"/>
              <w:left w:val="nil"/>
              <w:bottom w:val="single" w:color="auto" w:sz="4" w:space="0"/>
              <w:right w:val="single" w:color="auto" w:sz="4" w:space="0"/>
            </w:tcBorders>
            <w:shd w:val="clear" w:color="auto" w:fill="auto"/>
            <w:vAlign w:val="center"/>
          </w:tcPr>
          <w:p w14:paraId="251D0679">
            <w:pPr>
              <w:widowControl/>
              <w:jc w:val="center"/>
              <w:rPr>
                <w:rFonts w:ascii="仿宋" w:hAnsi="仿宋" w:eastAsia="仿宋" w:cs="宋体"/>
                <w:color w:val="000000"/>
                <w:kern w:val="0"/>
                <w:sz w:val="24"/>
                <w:szCs w:val="24"/>
                <w:highlight w:val="none"/>
              </w:rPr>
            </w:pPr>
          </w:p>
        </w:tc>
        <w:tc>
          <w:tcPr>
            <w:tcW w:w="652" w:type="dxa"/>
            <w:tcBorders>
              <w:top w:val="nil"/>
              <w:left w:val="nil"/>
              <w:bottom w:val="single" w:color="auto" w:sz="4" w:space="0"/>
              <w:right w:val="single" w:color="auto" w:sz="4" w:space="0"/>
            </w:tcBorders>
            <w:shd w:val="clear" w:color="auto" w:fill="auto"/>
            <w:vAlign w:val="center"/>
          </w:tcPr>
          <w:p w14:paraId="1FC1E23E">
            <w:pPr>
              <w:widowControl/>
              <w:jc w:val="center"/>
              <w:rPr>
                <w:rFonts w:ascii="仿宋" w:hAnsi="仿宋" w:eastAsia="仿宋" w:cs="宋体"/>
                <w:color w:val="000000"/>
                <w:kern w:val="0"/>
                <w:sz w:val="24"/>
                <w:szCs w:val="24"/>
                <w:highlight w:val="none"/>
              </w:rPr>
            </w:pPr>
          </w:p>
        </w:tc>
        <w:tc>
          <w:tcPr>
            <w:tcW w:w="668" w:type="dxa"/>
            <w:tcBorders>
              <w:top w:val="nil"/>
              <w:left w:val="nil"/>
              <w:bottom w:val="single" w:color="auto" w:sz="4" w:space="0"/>
              <w:right w:val="single" w:color="auto" w:sz="4" w:space="0"/>
            </w:tcBorders>
            <w:shd w:val="clear" w:color="auto" w:fill="auto"/>
            <w:vAlign w:val="center"/>
          </w:tcPr>
          <w:p w14:paraId="40031339">
            <w:pPr>
              <w:widowControl/>
              <w:jc w:val="center"/>
              <w:rPr>
                <w:rFonts w:ascii="仿宋" w:hAnsi="仿宋" w:eastAsia="仿宋" w:cs="宋体"/>
                <w:color w:val="000000"/>
                <w:kern w:val="0"/>
                <w:sz w:val="24"/>
                <w:szCs w:val="24"/>
                <w:highlight w:val="none"/>
              </w:rPr>
            </w:pPr>
          </w:p>
        </w:tc>
        <w:tc>
          <w:tcPr>
            <w:tcW w:w="874" w:type="dxa"/>
            <w:tcBorders>
              <w:top w:val="nil"/>
              <w:left w:val="nil"/>
              <w:bottom w:val="single" w:color="auto" w:sz="4" w:space="0"/>
              <w:right w:val="single" w:color="auto" w:sz="4" w:space="0"/>
            </w:tcBorders>
            <w:shd w:val="clear" w:color="auto" w:fill="auto"/>
            <w:vAlign w:val="center"/>
          </w:tcPr>
          <w:p w14:paraId="69116C96">
            <w:pPr>
              <w:widowControl/>
              <w:jc w:val="center"/>
              <w:rPr>
                <w:rFonts w:ascii="仿宋" w:hAnsi="仿宋" w:eastAsia="仿宋" w:cs="宋体"/>
                <w:color w:val="000000"/>
                <w:kern w:val="0"/>
                <w:sz w:val="24"/>
                <w:szCs w:val="24"/>
                <w:highlight w:val="none"/>
              </w:rPr>
            </w:pPr>
          </w:p>
        </w:tc>
        <w:tc>
          <w:tcPr>
            <w:tcW w:w="909" w:type="dxa"/>
            <w:tcBorders>
              <w:top w:val="nil"/>
              <w:left w:val="nil"/>
              <w:bottom w:val="single" w:color="auto" w:sz="4" w:space="0"/>
              <w:right w:val="single" w:color="auto" w:sz="4" w:space="0"/>
            </w:tcBorders>
            <w:shd w:val="clear" w:color="auto" w:fill="auto"/>
            <w:vAlign w:val="center"/>
          </w:tcPr>
          <w:p w14:paraId="53AA803D">
            <w:pPr>
              <w:widowControl/>
              <w:jc w:val="center"/>
              <w:rPr>
                <w:rFonts w:ascii="仿宋" w:hAnsi="仿宋" w:eastAsia="仿宋" w:cs="宋体"/>
                <w:color w:val="000000"/>
                <w:kern w:val="0"/>
                <w:sz w:val="24"/>
                <w:szCs w:val="24"/>
                <w:highlight w:val="none"/>
              </w:rPr>
            </w:pPr>
          </w:p>
        </w:tc>
        <w:tc>
          <w:tcPr>
            <w:tcW w:w="943" w:type="dxa"/>
            <w:tcBorders>
              <w:top w:val="nil"/>
              <w:left w:val="nil"/>
              <w:bottom w:val="single" w:color="auto" w:sz="4" w:space="0"/>
              <w:right w:val="single" w:color="auto" w:sz="4" w:space="0"/>
            </w:tcBorders>
            <w:shd w:val="clear" w:color="auto" w:fill="auto"/>
            <w:vAlign w:val="center"/>
          </w:tcPr>
          <w:p w14:paraId="26CE9AE6">
            <w:pPr>
              <w:widowControl/>
              <w:jc w:val="center"/>
              <w:rPr>
                <w:rFonts w:ascii="仿宋" w:hAnsi="仿宋" w:eastAsia="仿宋" w:cs="宋体"/>
                <w:color w:val="000000"/>
                <w:kern w:val="0"/>
                <w:sz w:val="24"/>
                <w:szCs w:val="24"/>
                <w:highlight w:val="none"/>
              </w:rPr>
            </w:pPr>
          </w:p>
        </w:tc>
        <w:tc>
          <w:tcPr>
            <w:tcW w:w="845" w:type="dxa"/>
            <w:tcBorders>
              <w:top w:val="nil"/>
              <w:left w:val="nil"/>
              <w:bottom w:val="single" w:color="auto" w:sz="4" w:space="0"/>
              <w:right w:val="single" w:color="auto" w:sz="4" w:space="0"/>
            </w:tcBorders>
            <w:shd w:val="clear" w:color="auto" w:fill="auto"/>
            <w:vAlign w:val="center"/>
          </w:tcPr>
          <w:p w14:paraId="5E2D11A5">
            <w:pPr>
              <w:widowControl/>
              <w:jc w:val="center"/>
              <w:rPr>
                <w:rFonts w:ascii="仿宋" w:hAnsi="仿宋" w:eastAsia="仿宋" w:cs="宋体"/>
                <w:color w:val="000000"/>
                <w:kern w:val="0"/>
                <w:sz w:val="24"/>
                <w:szCs w:val="24"/>
                <w:highlight w:val="none"/>
              </w:rPr>
            </w:pPr>
          </w:p>
        </w:tc>
        <w:tc>
          <w:tcPr>
            <w:tcW w:w="698" w:type="dxa"/>
            <w:tcBorders>
              <w:top w:val="nil"/>
              <w:left w:val="single" w:color="auto" w:sz="4" w:space="0"/>
              <w:bottom w:val="single" w:color="auto" w:sz="4" w:space="0"/>
              <w:right w:val="single" w:color="auto" w:sz="4" w:space="0"/>
            </w:tcBorders>
            <w:shd w:val="clear" w:color="auto" w:fill="auto"/>
            <w:vAlign w:val="center"/>
          </w:tcPr>
          <w:p w14:paraId="70DD0CEE">
            <w:pPr>
              <w:widowControl/>
              <w:jc w:val="center"/>
              <w:rPr>
                <w:rFonts w:ascii="仿宋" w:hAnsi="仿宋" w:eastAsia="仿宋" w:cs="宋体"/>
                <w:color w:val="000000"/>
                <w:kern w:val="0"/>
                <w:sz w:val="24"/>
                <w:szCs w:val="24"/>
                <w:highlight w:val="none"/>
              </w:rPr>
            </w:pPr>
          </w:p>
        </w:tc>
        <w:tc>
          <w:tcPr>
            <w:tcW w:w="720" w:type="dxa"/>
            <w:tcBorders>
              <w:top w:val="single" w:color="auto" w:sz="4" w:space="0"/>
              <w:bottom w:val="single" w:color="auto" w:sz="4" w:space="0"/>
              <w:right w:val="single" w:color="auto" w:sz="4" w:space="0"/>
            </w:tcBorders>
            <w:shd w:val="clear" w:color="auto" w:fill="auto"/>
          </w:tcPr>
          <w:p w14:paraId="69453E28">
            <w:pPr>
              <w:widowControl/>
              <w:jc w:val="left"/>
              <w:rPr>
                <w:rFonts w:ascii="仿宋" w:hAnsi="仿宋" w:eastAsia="仿宋"/>
                <w:color w:val="000000"/>
                <w:kern w:val="0"/>
                <w:sz w:val="20"/>
                <w:highlight w:val="none"/>
              </w:rPr>
            </w:pPr>
          </w:p>
        </w:tc>
      </w:tr>
      <w:tr w14:paraId="6E958244">
        <w:tblPrEx>
          <w:tblCellMar>
            <w:top w:w="0" w:type="dxa"/>
            <w:left w:w="108" w:type="dxa"/>
            <w:bottom w:w="0" w:type="dxa"/>
            <w:right w:w="108" w:type="dxa"/>
          </w:tblCellMar>
        </w:tblPrEx>
        <w:trPr>
          <w:trHeight w:val="680" w:hRule="exact"/>
        </w:trPr>
        <w:tc>
          <w:tcPr>
            <w:tcW w:w="668" w:type="dxa"/>
            <w:tcBorders>
              <w:top w:val="nil"/>
              <w:left w:val="single" w:color="auto" w:sz="4" w:space="0"/>
              <w:bottom w:val="single" w:color="auto" w:sz="4" w:space="0"/>
              <w:right w:val="single" w:color="auto" w:sz="4" w:space="0"/>
            </w:tcBorders>
            <w:shd w:val="clear" w:color="auto" w:fill="auto"/>
            <w:vAlign w:val="center"/>
          </w:tcPr>
          <w:p w14:paraId="3E1E8A5E">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2</w:t>
            </w:r>
          </w:p>
        </w:tc>
        <w:tc>
          <w:tcPr>
            <w:tcW w:w="703" w:type="dxa"/>
            <w:tcBorders>
              <w:top w:val="nil"/>
              <w:left w:val="nil"/>
              <w:bottom w:val="single" w:color="auto" w:sz="4" w:space="0"/>
              <w:right w:val="single" w:color="auto" w:sz="4" w:space="0"/>
            </w:tcBorders>
            <w:shd w:val="clear" w:color="auto" w:fill="auto"/>
            <w:vAlign w:val="center"/>
          </w:tcPr>
          <w:p w14:paraId="44AF3A56">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06" w:type="dxa"/>
            <w:tcBorders>
              <w:top w:val="nil"/>
              <w:left w:val="nil"/>
              <w:bottom w:val="single" w:color="auto" w:sz="4" w:space="0"/>
              <w:right w:val="single" w:color="auto" w:sz="4" w:space="0"/>
            </w:tcBorders>
            <w:shd w:val="clear" w:color="auto" w:fill="auto"/>
            <w:vAlign w:val="center"/>
          </w:tcPr>
          <w:p w14:paraId="67AFBF8E">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57" w:type="dxa"/>
            <w:tcBorders>
              <w:top w:val="nil"/>
              <w:left w:val="nil"/>
              <w:bottom w:val="single" w:color="auto" w:sz="4" w:space="0"/>
              <w:right w:val="single" w:color="auto" w:sz="4" w:space="0"/>
            </w:tcBorders>
            <w:shd w:val="clear" w:color="auto" w:fill="auto"/>
            <w:vAlign w:val="center"/>
          </w:tcPr>
          <w:p w14:paraId="273061AC">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703" w:type="dxa"/>
            <w:tcBorders>
              <w:top w:val="nil"/>
              <w:left w:val="nil"/>
              <w:bottom w:val="single" w:color="auto" w:sz="4" w:space="0"/>
              <w:right w:val="single" w:color="auto" w:sz="4" w:space="0"/>
            </w:tcBorders>
            <w:shd w:val="clear" w:color="auto" w:fill="auto"/>
            <w:vAlign w:val="center"/>
          </w:tcPr>
          <w:p w14:paraId="15E82DA2">
            <w:pPr>
              <w:widowControl/>
              <w:jc w:val="center"/>
              <w:rPr>
                <w:rFonts w:ascii="仿宋" w:hAnsi="仿宋" w:eastAsia="仿宋" w:cs="宋体"/>
                <w:color w:val="000000"/>
                <w:kern w:val="0"/>
                <w:sz w:val="24"/>
                <w:szCs w:val="24"/>
                <w:highlight w:val="none"/>
              </w:rPr>
            </w:pPr>
          </w:p>
        </w:tc>
        <w:tc>
          <w:tcPr>
            <w:tcW w:w="754" w:type="dxa"/>
            <w:tcBorders>
              <w:top w:val="nil"/>
              <w:left w:val="nil"/>
              <w:bottom w:val="single" w:color="auto" w:sz="4" w:space="0"/>
              <w:right w:val="single" w:color="auto" w:sz="4" w:space="0"/>
            </w:tcBorders>
            <w:shd w:val="clear" w:color="auto" w:fill="auto"/>
            <w:vAlign w:val="center"/>
          </w:tcPr>
          <w:p w14:paraId="71EE3A02">
            <w:pPr>
              <w:ind w:left="136"/>
              <w:jc w:val="center"/>
              <w:rPr>
                <w:rFonts w:ascii="仿宋" w:hAnsi="仿宋" w:eastAsia="仿宋" w:cs="宋体"/>
                <w:color w:val="000000"/>
                <w:kern w:val="0"/>
                <w:sz w:val="24"/>
                <w:szCs w:val="24"/>
                <w:highlight w:val="none"/>
              </w:rPr>
            </w:pPr>
          </w:p>
        </w:tc>
        <w:tc>
          <w:tcPr>
            <w:tcW w:w="566" w:type="dxa"/>
            <w:tcBorders>
              <w:top w:val="nil"/>
              <w:left w:val="nil"/>
              <w:bottom w:val="single" w:color="auto" w:sz="4" w:space="0"/>
              <w:right w:val="single" w:color="auto" w:sz="4" w:space="0"/>
            </w:tcBorders>
            <w:shd w:val="clear" w:color="auto" w:fill="auto"/>
            <w:vAlign w:val="center"/>
          </w:tcPr>
          <w:p w14:paraId="77CD9D77">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01" w:type="dxa"/>
            <w:tcBorders>
              <w:top w:val="nil"/>
              <w:left w:val="nil"/>
              <w:bottom w:val="single" w:color="auto" w:sz="4" w:space="0"/>
              <w:right w:val="single" w:color="auto" w:sz="4" w:space="0"/>
            </w:tcBorders>
            <w:shd w:val="clear" w:color="auto" w:fill="auto"/>
            <w:vAlign w:val="center"/>
          </w:tcPr>
          <w:p w14:paraId="48662973">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529" w:type="dxa"/>
            <w:tcBorders>
              <w:top w:val="nil"/>
              <w:left w:val="nil"/>
              <w:bottom w:val="single" w:color="auto" w:sz="4" w:space="0"/>
              <w:right w:val="single" w:color="auto" w:sz="4" w:space="0"/>
            </w:tcBorders>
            <w:shd w:val="clear" w:color="auto" w:fill="FFFFFF"/>
            <w:vAlign w:val="center"/>
          </w:tcPr>
          <w:p w14:paraId="7D54B034">
            <w:pPr>
              <w:widowControl/>
              <w:jc w:val="center"/>
              <w:rPr>
                <w:rFonts w:ascii="仿宋" w:hAnsi="仿宋" w:eastAsia="仿宋" w:cs="宋体"/>
                <w:color w:val="000000"/>
                <w:kern w:val="0"/>
                <w:sz w:val="21"/>
                <w:szCs w:val="21"/>
                <w:highlight w:val="none"/>
              </w:rPr>
            </w:pPr>
            <w:r>
              <w:rPr>
                <w:rFonts w:hint="eastAsia" w:ascii="仿宋" w:hAnsi="仿宋" w:eastAsia="仿宋" w:cs="宋体"/>
                <w:color w:val="000000"/>
                <w:kern w:val="0"/>
                <w:sz w:val="21"/>
                <w:szCs w:val="21"/>
                <w:highlight w:val="none"/>
              </w:rPr>
              <w:t>　</w:t>
            </w:r>
          </w:p>
        </w:tc>
        <w:tc>
          <w:tcPr>
            <w:tcW w:w="619" w:type="dxa"/>
            <w:tcBorders>
              <w:top w:val="nil"/>
              <w:left w:val="nil"/>
              <w:bottom w:val="single" w:color="auto" w:sz="4" w:space="0"/>
              <w:right w:val="single" w:color="auto" w:sz="4" w:space="0"/>
            </w:tcBorders>
            <w:shd w:val="clear" w:color="auto" w:fill="FFFFFF"/>
            <w:vAlign w:val="center"/>
          </w:tcPr>
          <w:p w14:paraId="110447B6">
            <w:pPr>
              <w:widowControl/>
              <w:jc w:val="center"/>
              <w:rPr>
                <w:rFonts w:ascii="仿宋" w:hAnsi="仿宋" w:eastAsia="仿宋" w:cs="宋体"/>
                <w:color w:val="000000"/>
                <w:kern w:val="0"/>
                <w:sz w:val="21"/>
                <w:szCs w:val="21"/>
                <w:highlight w:val="none"/>
              </w:rPr>
            </w:pPr>
            <w:r>
              <w:rPr>
                <w:rFonts w:hint="eastAsia" w:ascii="仿宋" w:hAnsi="仿宋" w:eastAsia="仿宋" w:cs="宋体"/>
                <w:color w:val="000000"/>
                <w:kern w:val="0"/>
                <w:sz w:val="21"/>
                <w:szCs w:val="21"/>
                <w:highlight w:val="none"/>
              </w:rPr>
              <w:t>　</w:t>
            </w:r>
          </w:p>
        </w:tc>
        <w:tc>
          <w:tcPr>
            <w:tcW w:w="668" w:type="dxa"/>
            <w:tcBorders>
              <w:top w:val="nil"/>
              <w:left w:val="nil"/>
              <w:bottom w:val="single" w:color="auto" w:sz="4" w:space="0"/>
              <w:right w:val="single" w:color="auto" w:sz="4" w:space="0"/>
            </w:tcBorders>
            <w:shd w:val="clear" w:color="auto" w:fill="auto"/>
            <w:vAlign w:val="center"/>
          </w:tcPr>
          <w:p w14:paraId="3015F1DB">
            <w:pPr>
              <w:widowControl/>
              <w:jc w:val="center"/>
              <w:rPr>
                <w:rFonts w:ascii="仿宋" w:hAnsi="仿宋" w:eastAsia="仿宋" w:cs="宋体"/>
                <w:color w:val="000000"/>
                <w:kern w:val="0"/>
                <w:sz w:val="24"/>
                <w:szCs w:val="24"/>
                <w:highlight w:val="none"/>
              </w:rPr>
            </w:pPr>
          </w:p>
        </w:tc>
        <w:tc>
          <w:tcPr>
            <w:tcW w:w="652" w:type="dxa"/>
            <w:tcBorders>
              <w:top w:val="nil"/>
              <w:left w:val="nil"/>
              <w:bottom w:val="single" w:color="auto" w:sz="4" w:space="0"/>
              <w:right w:val="single" w:color="auto" w:sz="4" w:space="0"/>
            </w:tcBorders>
            <w:shd w:val="clear" w:color="auto" w:fill="auto"/>
            <w:vAlign w:val="center"/>
          </w:tcPr>
          <w:p w14:paraId="1A65D808">
            <w:pPr>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68" w:type="dxa"/>
            <w:tcBorders>
              <w:top w:val="nil"/>
              <w:left w:val="nil"/>
              <w:bottom w:val="single" w:color="auto" w:sz="4" w:space="0"/>
              <w:right w:val="single" w:color="auto" w:sz="4" w:space="0"/>
            </w:tcBorders>
            <w:shd w:val="clear" w:color="auto" w:fill="auto"/>
            <w:vAlign w:val="center"/>
          </w:tcPr>
          <w:p w14:paraId="79C69BFB">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74" w:type="dxa"/>
            <w:tcBorders>
              <w:top w:val="nil"/>
              <w:left w:val="nil"/>
              <w:bottom w:val="single" w:color="auto" w:sz="4" w:space="0"/>
              <w:right w:val="single" w:color="auto" w:sz="4" w:space="0"/>
            </w:tcBorders>
            <w:shd w:val="clear" w:color="auto" w:fill="auto"/>
            <w:vAlign w:val="center"/>
          </w:tcPr>
          <w:p w14:paraId="46380DEB">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909" w:type="dxa"/>
            <w:tcBorders>
              <w:top w:val="nil"/>
              <w:left w:val="nil"/>
              <w:bottom w:val="single" w:color="auto" w:sz="4" w:space="0"/>
              <w:right w:val="single" w:color="auto" w:sz="4" w:space="0"/>
            </w:tcBorders>
            <w:shd w:val="clear" w:color="auto" w:fill="auto"/>
            <w:vAlign w:val="center"/>
          </w:tcPr>
          <w:p w14:paraId="0E96D30B">
            <w:pPr>
              <w:widowControl/>
              <w:jc w:val="center"/>
              <w:rPr>
                <w:rFonts w:ascii="仿宋" w:hAnsi="仿宋" w:eastAsia="仿宋" w:cs="宋体"/>
                <w:color w:val="000000"/>
                <w:kern w:val="0"/>
                <w:sz w:val="24"/>
                <w:szCs w:val="24"/>
                <w:highlight w:val="none"/>
              </w:rPr>
            </w:pPr>
          </w:p>
        </w:tc>
        <w:tc>
          <w:tcPr>
            <w:tcW w:w="943" w:type="dxa"/>
            <w:tcBorders>
              <w:top w:val="nil"/>
              <w:left w:val="nil"/>
              <w:bottom w:val="single" w:color="auto" w:sz="4" w:space="0"/>
              <w:right w:val="single" w:color="auto" w:sz="4" w:space="0"/>
            </w:tcBorders>
            <w:shd w:val="clear" w:color="auto" w:fill="auto"/>
            <w:vAlign w:val="center"/>
          </w:tcPr>
          <w:p w14:paraId="6BB5624C">
            <w:pPr>
              <w:widowControl/>
              <w:jc w:val="center"/>
              <w:rPr>
                <w:rFonts w:ascii="仿宋" w:hAnsi="仿宋" w:eastAsia="仿宋" w:cs="宋体"/>
                <w:color w:val="000000"/>
                <w:kern w:val="0"/>
                <w:sz w:val="24"/>
                <w:szCs w:val="24"/>
                <w:highlight w:val="none"/>
              </w:rPr>
            </w:pPr>
          </w:p>
        </w:tc>
        <w:tc>
          <w:tcPr>
            <w:tcW w:w="845" w:type="dxa"/>
            <w:tcBorders>
              <w:top w:val="nil"/>
              <w:left w:val="nil"/>
              <w:bottom w:val="single" w:color="auto" w:sz="4" w:space="0"/>
              <w:right w:val="single" w:color="auto" w:sz="4" w:space="0"/>
            </w:tcBorders>
            <w:shd w:val="clear" w:color="auto" w:fill="auto"/>
            <w:vAlign w:val="center"/>
          </w:tcPr>
          <w:p w14:paraId="17DEDADD">
            <w:pPr>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98" w:type="dxa"/>
            <w:tcBorders>
              <w:top w:val="nil"/>
              <w:left w:val="single" w:color="auto" w:sz="4" w:space="0"/>
              <w:bottom w:val="single" w:color="auto" w:sz="4" w:space="0"/>
              <w:right w:val="single" w:color="auto" w:sz="4" w:space="0"/>
            </w:tcBorders>
            <w:shd w:val="clear" w:color="auto" w:fill="auto"/>
            <w:vAlign w:val="center"/>
          </w:tcPr>
          <w:p w14:paraId="16E12A4E">
            <w:pPr>
              <w:jc w:val="center"/>
              <w:rPr>
                <w:rFonts w:ascii="仿宋" w:hAnsi="仿宋" w:eastAsia="仿宋" w:cs="宋体"/>
                <w:color w:val="000000"/>
                <w:kern w:val="0"/>
                <w:sz w:val="24"/>
                <w:szCs w:val="24"/>
                <w:highlight w:val="none"/>
              </w:rPr>
            </w:pPr>
          </w:p>
        </w:tc>
        <w:tc>
          <w:tcPr>
            <w:tcW w:w="720" w:type="dxa"/>
            <w:tcBorders>
              <w:top w:val="single" w:color="auto" w:sz="4" w:space="0"/>
              <w:bottom w:val="single" w:color="auto" w:sz="4" w:space="0"/>
              <w:right w:val="single" w:color="auto" w:sz="4" w:space="0"/>
            </w:tcBorders>
            <w:shd w:val="clear" w:color="auto" w:fill="auto"/>
          </w:tcPr>
          <w:p w14:paraId="125A5522">
            <w:pPr>
              <w:widowControl/>
              <w:jc w:val="left"/>
              <w:rPr>
                <w:rFonts w:ascii="仿宋" w:hAnsi="仿宋" w:eastAsia="仿宋"/>
                <w:color w:val="000000"/>
                <w:kern w:val="0"/>
                <w:sz w:val="20"/>
                <w:highlight w:val="none"/>
              </w:rPr>
            </w:pPr>
          </w:p>
        </w:tc>
      </w:tr>
      <w:tr w14:paraId="56F99CA1">
        <w:tblPrEx>
          <w:tblCellMar>
            <w:top w:w="0" w:type="dxa"/>
            <w:left w:w="108" w:type="dxa"/>
            <w:bottom w:w="0" w:type="dxa"/>
            <w:right w:w="108" w:type="dxa"/>
          </w:tblCellMar>
        </w:tblPrEx>
        <w:trPr>
          <w:trHeight w:val="680" w:hRule="exact"/>
        </w:trPr>
        <w:tc>
          <w:tcPr>
            <w:tcW w:w="668" w:type="dxa"/>
            <w:tcBorders>
              <w:top w:val="nil"/>
              <w:left w:val="single" w:color="auto" w:sz="4" w:space="0"/>
              <w:bottom w:val="single" w:color="auto" w:sz="4" w:space="0"/>
              <w:right w:val="single" w:color="auto" w:sz="4" w:space="0"/>
            </w:tcBorders>
            <w:shd w:val="clear" w:color="auto" w:fill="auto"/>
            <w:vAlign w:val="center"/>
          </w:tcPr>
          <w:p w14:paraId="34C696DB">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3</w:t>
            </w:r>
          </w:p>
        </w:tc>
        <w:tc>
          <w:tcPr>
            <w:tcW w:w="703" w:type="dxa"/>
            <w:tcBorders>
              <w:top w:val="nil"/>
              <w:left w:val="nil"/>
              <w:bottom w:val="single" w:color="auto" w:sz="4" w:space="0"/>
              <w:right w:val="single" w:color="auto" w:sz="4" w:space="0"/>
            </w:tcBorders>
            <w:shd w:val="clear" w:color="auto" w:fill="auto"/>
            <w:vAlign w:val="center"/>
          </w:tcPr>
          <w:p w14:paraId="3AD9F4B0">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06" w:type="dxa"/>
            <w:tcBorders>
              <w:top w:val="nil"/>
              <w:left w:val="nil"/>
              <w:bottom w:val="single" w:color="auto" w:sz="4" w:space="0"/>
              <w:right w:val="single" w:color="auto" w:sz="4" w:space="0"/>
            </w:tcBorders>
            <w:shd w:val="clear" w:color="auto" w:fill="auto"/>
            <w:vAlign w:val="center"/>
          </w:tcPr>
          <w:p w14:paraId="70022BBE">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57" w:type="dxa"/>
            <w:tcBorders>
              <w:top w:val="nil"/>
              <w:left w:val="nil"/>
              <w:bottom w:val="single" w:color="auto" w:sz="4" w:space="0"/>
              <w:right w:val="single" w:color="auto" w:sz="4" w:space="0"/>
            </w:tcBorders>
            <w:shd w:val="clear" w:color="auto" w:fill="auto"/>
            <w:vAlign w:val="center"/>
          </w:tcPr>
          <w:p w14:paraId="03DE6289">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703" w:type="dxa"/>
            <w:tcBorders>
              <w:top w:val="nil"/>
              <w:left w:val="nil"/>
              <w:bottom w:val="single" w:color="auto" w:sz="4" w:space="0"/>
              <w:right w:val="single" w:color="auto" w:sz="4" w:space="0"/>
            </w:tcBorders>
            <w:shd w:val="clear" w:color="auto" w:fill="auto"/>
            <w:vAlign w:val="center"/>
          </w:tcPr>
          <w:p w14:paraId="2841EFBE">
            <w:pPr>
              <w:widowControl/>
              <w:jc w:val="center"/>
              <w:rPr>
                <w:rFonts w:ascii="仿宋" w:hAnsi="仿宋" w:eastAsia="仿宋" w:cs="宋体"/>
                <w:color w:val="000000"/>
                <w:kern w:val="0"/>
                <w:sz w:val="24"/>
                <w:szCs w:val="24"/>
                <w:highlight w:val="none"/>
              </w:rPr>
            </w:pPr>
          </w:p>
        </w:tc>
        <w:tc>
          <w:tcPr>
            <w:tcW w:w="754" w:type="dxa"/>
            <w:tcBorders>
              <w:top w:val="nil"/>
              <w:left w:val="nil"/>
              <w:bottom w:val="single" w:color="auto" w:sz="4" w:space="0"/>
              <w:right w:val="single" w:color="auto" w:sz="4" w:space="0"/>
            </w:tcBorders>
            <w:shd w:val="clear" w:color="auto" w:fill="auto"/>
            <w:vAlign w:val="center"/>
          </w:tcPr>
          <w:p w14:paraId="6C407282">
            <w:pPr>
              <w:ind w:left="136"/>
              <w:jc w:val="center"/>
              <w:rPr>
                <w:rFonts w:ascii="仿宋" w:hAnsi="仿宋" w:eastAsia="仿宋" w:cs="宋体"/>
                <w:color w:val="000000"/>
                <w:kern w:val="0"/>
                <w:sz w:val="24"/>
                <w:szCs w:val="24"/>
                <w:highlight w:val="none"/>
              </w:rPr>
            </w:pPr>
          </w:p>
        </w:tc>
        <w:tc>
          <w:tcPr>
            <w:tcW w:w="566" w:type="dxa"/>
            <w:tcBorders>
              <w:top w:val="nil"/>
              <w:left w:val="nil"/>
              <w:bottom w:val="single" w:color="auto" w:sz="4" w:space="0"/>
              <w:right w:val="single" w:color="auto" w:sz="4" w:space="0"/>
            </w:tcBorders>
            <w:shd w:val="clear" w:color="auto" w:fill="auto"/>
            <w:vAlign w:val="center"/>
          </w:tcPr>
          <w:p w14:paraId="2AD332D6">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01" w:type="dxa"/>
            <w:tcBorders>
              <w:top w:val="nil"/>
              <w:left w:val="nil"/>
              <w:bottom w:val="single" w:color="auto" w:sz="4" w:space="0"/>
              <w:right w:val="single" w:color="auto" w:sz="4" w:space="0"/>
            </w:tcBorders>
            <w:shd w:val="clear" w:color="auto" w:fill="auto"/>
            <w:vAlign w:val="center"/>
          </w:tcPr>
          <w:p w14:paraId="1CF7F3E3">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529" w:type="dxa"/>
            <w:tcBorders>
              <w:top w:val="nil"/>
              <w:left w:val="nil"/>
              <w:bottom w:val="single" w:color="auto" w:sz="4" w:space="0"/>
              <w:right w:val="single" w:color="auto" w:sz="4" w:space="0"/>
            </w:tcBorders>
            <w:shd w:val="clear" w:color="auto" w:fill="auto"/>
            <w:vAlign w:val="center"/>
          </w:tcPr>
          <w:p w14:paraId="75B43107">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19" w:type="dxa"/>
            <w:tcBorders>
              <w:top w:val="nil"/>
              <w:left w:val="nil"/>
              <w:bottom w:val="single" w:color="auto" w:sz="4" w:space="0"/>
              <w:right w:val="single" w:color="auto" w:sz="4" w:space="0"/>
            </w:tcBorders>
            <w:shd w:val="clear" w:color="auto" w:fill="auto"/>
            <w:vAlign w:val="center"/>
          </w:tcPr>
          <w:p w14:paraId="5CB095B2">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68" w:type="dxa"/>
            <w:tcBorders>
              <w:top w:val="nil"/>
              <w:left w:val="nil"/>
              <w:bottom w:val="single" w:color="auto" w:sz="4" w:space="0"/>
              <w:right w:val="single" w:color="auto" w:sz="4" w:space="0"/>
            </w:tcBorders>
            <w:shd w:val="clear" w:color="auto" w:fill="auto"/>
            <w:vAlign w:val="center"/>
          </w:tcPr>
          <w:p w14:paraId="21D0C19A">
            <w:pPr>
              <w:widowControl/>
              <w:jc w:val="center"/>
              <w:rPr>
                <w:rFonts w:ascii="仿宋" w:hAnsi="仿宋" w:eastAsia="仿宋" w:cs="宋体"/>
                <w:color w:val="000000"/>
                <w:kern w:val="0"/>
                <w:sz w:val="24"/>
                <w:szCs w:val="24"/>
                <w:highlight w:val="none"/>
              </w:rPr>
            </w:pPr>
          </w:p>
        </w:tc>
        <w:tc>
          <w:tcPr>
            <w:tcW w:w="652" w:type="dxa"/>
            <w:tcBorders>
              <w:top w:val="nil"/>
              <w:left w:val="nil"/>
              <w:bottom w:val="single" w:color="auto" w:sz="4" w:space="0"/>
              <w:right w:val="single" w:color="auto" w:sz="4" w:space="0"/>
            </w:tcBorders>
            <w:shd w:val="clear" w:color="auto" w:fill="auto"/>
            <w:vAlign w:val="center"/>
          </w:tcPr>
          <w:p w14:paraId="1157EA09">
            <w:pPr>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68" w:type="dxa"/>
            <w:tcBorders>
              <w:top w:val="nil"/>
              <w:left w:val="nil"/>
              <w:bottom w:val="single" w:color="auto" w:sz="4" w:space="0"/>
              <w:right w:val="single" w:color="auto" w:sz="4" w:space="0"/>
            </w:tcBorders>
            <w:shd w:val="clear" w:color="auto" w:fill="auto"/>
            <w:vAlign w:val="center"/>
          </w:tcPr>
          <w:p w14:paraId="1B90CCDA">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74" w:type="dxa"/>
            <w:tcBorders>
              <w:top w:val="nil"/>
              <w:left w:val="nil"/>
              <w:bottom w:val="single" w:color="auto" w:sz="4" w:space="0"/>
              <w:right w:val="single" w:color="auto" w:sz="4" w:space="0"/>
            </w:tcBorders>
            <w:shd w:val="clear" w:color="auto" w:fill="auto"/>
            <w:vAlign w:val="center"/>
          </w:tcPr>
          <w:p w14:paraId="74ECF621">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909" w:type="dxa"/>
            <w:tcBorders>
              <w:top w:val="nil"/>
              <w:left w:val="nil"/>
              <w:bottom w:val="single" w:color="auto" w:sz="4" w:space="0"/>
              <w:right w:val="single" w:color="auto" w:sz="4" w:space="0"/>
            </w:tcBorders>
            <w:shd w:val="clear" w:color="auto" w:fill="auto"/>
            <w:vAlign w:val="center"/>
          </w:tcPr>
          <w:p w14:paraId="5F5D7F83">
            <w:pPr>
              <w:widowControl/>
              <w:jc w:val="center"/>
              <w:rPr>
                <w:rFonts w:ascii="仿宋" w:hAnsi="仿宋" w:eastAsia="仿宋" w:cs="宋体"/>
                <w:color w:val="000000"/>
                <w:kern w:val="0"/>
                <w:sz w:val="24"/>
                <w:szCs w:val="24"/>
                <w:highlight w:val="none"/>
              </w:rPr>
            </w:pPr>
          </w:p>
        </w:tc>
        <w:tc>
          <w:tcPr>
            <w:tcW w:w="943" w:type="dxa"/>
            <w:tcBorders>
              <w:top w:val="nil"/>
              <w:left w:val="nil"/>
              <w:bottom w:val="single" w:color="auto" w:sz="4" w:space="0"/>
              <w:right w:val="single" w:color="auto" w:sz="4" w:space="0"/>
            </w:tcBorders>
            <w:shd w:val="clear" w:color="auto" w:fill="auto"/>
            <w:vAlign w:val="center"/>
          </w:tcPr>
          <w:p w14:paraId="3E312C2F">
            <w:pPr>
              <w:widowControl/>
              <w:jc w:val="center"/>
              <w:rPr>
                <w:rFonts w:ascii="仿宋" w:hAnsi="仿宋" w:eastAsia="仿宋" w:cs="宋体"/>
                <w:color w:val="000000"/>
                <w:kern w:val="0"/>
                <w:sz w:val="24"/>
                <w:szCs w:val="24"/>
                <w:highlight w:val="none"/>
              </w:rPr>
            </w:pPr>
          </w:p>
        </w:tc>
        <w:tc>
          <w:tcPr>
            <w:tcW w:w="845" w:type="dxa"/>
            <w:tcBorders>
              <w:top w:val="nil"/>
              <w:left w:val="nil"/>
              <w:bottom w:val="single" w:color="auto" w:sz="4" w:space="0"/>
              <w:right w:val="single" w:color="auto" w:sz="4" w:space="0"/>
            </w:tcBorders>
            <w:shd w:val="clear" w:color="auto" w:fill="auto"/>
            <w:vAlign w:val="center"/>
          </w:tcPr>
          <w:p w14:paraId="57842EF6">
            <w:pPr>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98" w:type="dxa"/>
            <w:tcBorders>
              <w:top w:val="nil"/>
              <w:left w:val="single" w:color="auto" w:sz="4" w:space="0"/>
              <w:bottom w:val="single" w:color="auto" w:sz="4" w:space="0"/>
              <w:right w:val="single" w:color="auto" w:sz="4" w:space="0"/>
            </w:tcBorders>
            <w:shd w:val="clear" w:color="auto" w:fill="auto"/>
            <w:vAlign w:val="center"/>
          </w:tcPr>
          <w:p w14:paraId="32B181B2">
            <w:pPr>
              <w:jc w:val="center"/>
              <w:rPr>
                <w:rFonts w:ascii="仿宋" w:hAnsi="仿宋" w:eastAsia="仿宋" w:cs="宋体"/>
                <w:color w:val="000000"/>
                <w:kern w:val="0"/>
                <w:sz w:val="24"/>
                <w:szCs w:val="24"/>
                <w:highlight w:val="none"/>
              </w:rPr>
            </w:pPr>
          </w:p>
        </w:tc>
        <w:tc>
          <w:tcPr>
            <w:tcW w:w="720" w:type="dxa"/>
            <w:tcBorders>
              <w:top w:val="single" w:color="auto" w:sz="4" w:space="0"/>
              <w:bottom w:val="single" w:color="auto" w:sz="4" w:space="0"/>
              <w:right w:val="single" w:color="auto" w:sz="4" w:space="0"/>
            </w:tcBorders>
            <w:shd w:val="clear" w:color="auto" w:fill="auto"/>
          </w:tcPr>
          <w:p w14:paraId="137EF86A">
            <w:pPr>
              <w:widowControl/>
              <w:jc w:val="left"/>
              <w:rPr>
                <w:rFonts w:ascii="仿宋" w:hAnsi="仿宋" w:eastAsia="仿宋"/>
                <w:color w:val="000000"/>
                <w:kern w:val="0"/>
                <w:sz w:val="20"/>
                <w:highlight w:val="none"/>
              </w:rPr>
            </w:pPr>
          </w:p>
        </w:tc>
      </w:tr>
      <w:tr w14:paraId="28F49F0A">
        <w:tblPrEx>
          <w:tblCellMar>
            <w:top w:w="0" w:type="dxa"/>
            <w:left w:w="108" w:type="dxa"/>
            <w:bottom w:w="0" w:type="dxa"/>
            <w:right w:w="108" w:type="dxa"/>
          </w:tblCellMar>
        </w:tblPrEx>
        <w:trPr>
          <w:trHeight w:val="680" w:hRule="exact"/>
        </w:trPr>
        <w:tc>
          <w:tcPr>
            <w:tcW w:w="668" w:type="dxa"/>
            <w:tcBorders>
              <w:top w:val="nil"/>
              <w:left w:val="single" w:color="auto" w:sz="4" w:space="0"/>
              <w:bottom w:val="single" w:color="auto" w:sz="4" w:space="0"/>
              <w:right w:val="single" w:color="auto" w:sz="4" w:space="0"/>
            </w:tcBorders>
            <w:shd w:val="clear" w:color="auto" w:fill="auto"/>
            <w:vAlign w:val="center"/>
          </w:tcPr>
          <w:p w14:paraId="0D0C8824">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4　</w:t>
            </w:r>
          </w:p>
        </w:tc>
        <w:tc>
          <w:tcPr>
            <w:tcW w:w="703" w:type="dxa"/>
            <w:tcBorders>
              <w:top w:val="nil"/>
              <w:left w:val="nil"/>
              <w:bottom w:val="single" w:color="auto" w:sz="4" w:space="0"/>
              <w:right w:val="single" w:color="auto" w:sz="4" w:space="0"/>
            </w:tcBorders>
            <w:shd w:val="clear" w:color="auto" w:fill="auto"/>
            <w:vAlign w:val="center"/>
          </w:tcPr>
          <w:p w14:paraId="3AB29281">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06" w:type="dxa"/>
            <w:tcBorders>
              <w:top w:val="nil"/>
              <w:left w:val="nil"/>
              <w:bottom w:val="single" w:color="auto" w:sz="4" w:space="0"/>
              <w:right w:val="single" w:color="auto" w:sz="4" w:space="0"/>
            </w:tcBorders>
            <w:shd w:val="clear" w:color="auto" w:fill="auto"/>
            <w:vAlign w:val="center"/>
          </w:tcPr>
          <w:p w14:paraId="677C392B">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57" w:type="dxa"/>
            <w:tcBorders>
              <w:top w:val="nil"/>
              <w:left w:val="nil"/>
              <w:bottom w:val="single" w:color="auto" w:sz="4" w:space="0"/>
              <w:right w:val="single" w:color="auto" w:sz="4" w:space="0"/>
            </w:tcBorders>
            <w:shd w:val="clear" w:color="auto" w:fill="auto"/>
            <w:vAlign w:val="center"/>
          </w:tcPr>
          <w:p w14:paraId="3E9017E3">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703" w:type="dxa"/>
            <w:tcBorders>
              <w:top w:val="nil"/>
              <w:left w:val="nil"/>
              <w:bottom w:val="single" w:color="auto" w:sz="4" w:space="0"/>
              <w:right w:val="single" w:color="auto" w:sz="4" w:space="0"/>
            </w:tcBorders>
            <w:shd w:val="clear" w:color="auto" w:fill="auto"/>
            <w:vAlign w:val="center"/>
          </w:tcPr>
          <w:p w14:paraId="15A86372">
            <w:pPr>
              <w:widowControl/>
              <w:jc w:val="center"/>
              <w:rPr>
                <w:rFonts w:ascii="仿宋" w:hAnsi="仿宋" w:eastAsia="仿宋" w:cs="宋体"/>
                <w:color w:val="000000"/>
                <w:kern w:val="0"/>
                <w:sz w:val="24"/>
                <w:szCs w:val="24"/>
                <w:highlight w:val="none"/>
              </w:rPr>
            </w:pPr>
          </w:p>
        </w:tc>
        <w:tc>
          <w:tcPr>
            <w:tcW w:w="754" w:type="dxa"/>
            <w:tcBorders>
              <w:top w:val="nil"/>
              <w:left w:val="nil"/>
              <w:bottom w:val="single" w:color="auto" w:sz="4" w:space="0"/>
              <w:right w:val="single" w:color="auto" w:sz="4" w:space="0"/>
            </w:tcBorders>
            <w:shd w:val="clear" w:color="auto" w:fill="auto"/>
            <w:vAlign w:val="center"/>
          </w:tcPr>
          <w:p w14:paraId="5970802E">
            <w:pPr>
              <w:ind w:left="136"/>
              <w:jc w:val="center"/>
              <w:rPr>
                <w:rFonts w:ascii="仿宋" w:hAnsi="仿宋" w:eastAsia="仿宋" w:cs="宋体"/>
                <w:color w:val="000000"/>
                <w:kern w:val="0"/>
                <w:sz w:val="24"/>
                <w:szCs w:val="24"/>
                <w:highlight w:val="none"/>
              </w:rPr>
            </w:pPr>
          </w:p>
        </w:tc>
        <w:tc>
          <w:tcPr>
            <w:tcW w:w="566" w:type="dxa"/>
            <w:tcBorders>
              <w:top w:val="nil"/>
              <w:left w:val="nil"/>
              <w:bottom w:val="single" w:color="auto" w:sz="4" w:space="0"/>
              <w:right w:val="single" w:color="auto" w:sz="4" w:space="0"/>
            </w:tcBorders>
            <w:shd w:val="clear" w:color="auto" w:fill="auto"/>
            <w:vAlign w:val="center"/>
          </w:tcPr>
          <w:p w14:paraId="1451CDFA">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01" w:type="dxa"/>
            <w:tcBorders>
              <w:top w:val="nil"/>
              <w:left w:val="nil"/>
              <w:bottom w:val="single" w:color="auto" w:sz="4" w:space="0"/>
              <w:right w:val="single" w:color="auto" w:sz="4" w:space="0"/>
            </w:tcBorders>
            <w:shd w:val="clear" w:color="auto" w:fill="auto"/>
            <w:vAlign w:val="center"/>
          </w:tcPr>
          <w:p w14:paraId="0BF95BED">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529" w:type="dxa"/>
            <w:tcBorders>
              <w:top w:val="nil"/>
              <w:left w:val="nil"/>
              <w:bottom w:val="single" w:color="auto" w:sz="4" w:space="0"/>
              <w:right w:val="single" w:color="auto" w:sz="4" w:space="0"/>
            </w:tcBorders>
            <w:shd w:val="clear" w:color="auto" w:fill="auto"/>
            <w:vAlign w:val="center"/>
          </w:tcPr>
          <w:p w14:paraId="246CCBA1">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19" w:type="dxa"/>
            <w:tcBorders>
              <w:top w:val="nil"/>
              <w:left w:val="nil"/>
              <w:bottom w:val="single" w:color="auto" w:sz="4" w:space="0"/>
              <w:right w:val="single" w:color="auto" w:sz="4" w:space="0"/>
            </w:tcBorders>
            <w:shd w:val="clear" w:color="auto" w:fill="auto"/>
            <w:vAlign w:val="center"/>
          </w:tcPr>
          <w:p w14:paraId="40AC485D">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68" w:type="dxa"/>
            <w:tcBorders>
              <w:top w:val="nil"/>
              <w:left w:val="nil"/>
              <w:bottom w:val="single" w:color="auto" w:sz="4" w:space="0"/>
              <w:right w:val="single" w:color="auto" w:sz="4" w:space="0"/>
            </w:tcBorders>
            <w:shd w:val="clear" w:color="auto" w:fill="auto"/>
            <w:vAlign w:val="center"/>
          </w:tcPr>
          <w:p w14:paraId="098DEA3E">
            <w:pPr>
              <w:widowControl/>
              <w:jc w:val="center"/>
              <w:rPr>
                <w:rFonts w:ascii="仿宋" w:hAnsi="仿宋" w:eastAsia="仿宋" w:cs="宋体"/>
                <w:color w:val="000000"/>
                <w:kern w:val="0"/>
                <w:sz w:val="24"/>
                <w:szCs w:val="24"/>
                <w:highlight w:val="none"/>
              </w:rPr>
            </w:pPr>
          </w:p>
        </w:tc>
        <w:tc>
          <w:tcPr>
            <w:tcW w:w="652" w:type="dxa"/>
            <w:tcBorders>
              <w:top w:val="nil"/>
              <w:left w:val="nil"/>
              <w:bottom w:val="single" w:color="auto" w:sz="4" w:space="0"/>
              <w:right w:val="single" w:color="auto" w:sz="4" w:space="0"/>
            </w:tcBorders>
            <w:shd w:val="clear" w:color="auto" w:fill="auto"/>
            <w:vAlign w:val="center"/>
          </w:tcPr>
          <w:p w14:paraId="6671C047">
            <w:pPr>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68" w:type="dxa"/>
            <w:tcBorders>
              <w:top w:val="nil"/>
              <w:left w:val="nil"/>
              <w:bottom w:val="single" w:color="auto" w:sz="4" w:space="0"/>
              <w:right w:val="single" w:color="auto" w:sz="4" w:space="0"/>
            </w:tcBorders>
            <w:shd w:val="clear" w:color="auto" w:fill="auto"/>
            <w:vAlign w:val="center"/>
          </w:tcPr>
          <w:p w14:paraId="5A680C56">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74" w:type="dxa"/>
            <w:tcBorders>
              <w:top w:val="nil"/>
              <w:left w:val="nil"/>
              <w:bottom w:val="single" w:color="auto" w:sz="4" w:space="0"/>
              <w:right w:val="single" w:color="auto" w:sz="4" w:space="0"/>
            </w:tcBorders>
            <w:shd w:val="clear" w:color="auto" w:fill="auto"/>
            <w:vAlign w:val="center"/>
          </w:tcPr>
          <w:p w14:paraId="4E62D5A1">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909" w:type="dxa"/>
            <w:tcBorders>
              <w:top w:val="nil"/>
              <w:left w:val="nil"/>
              <w:bottom w:val="single" w:color="auto" w:sz="4" w:space="0"/>
              <w:right w:val="single" w:color="auto" w:sz="4" w:space="0"/>
            </w:tcBorders>
            <w:shd w:val="clear" w:color="auto" w:fill="auto"/>
            <w:vAlign w:val="center"/>
          </w:tcPr>
          <w:p w14:paraId="3ECDE8BE">
            <w:pPr>
              <w:widowControl/>
              <w:jc w:val="center"/>
              <w:rPr>
                <w:rFonts w:ascii="仿宋" w:hAnsi="仿宋" w:eastAsia="仿宋" w:cs="宋体"/>
                <w:color w:val="000000"/>
                <w:kern w:val="0"/>
                <w:sz w:val="24"/>
                <w:szCs w:val="24"/>
                <w:highlight w:val="none"/>
              </w:rPr>
            </w:pPr>
          </w:p>
        </w:tc>
        <w:tc>
          <w:tcPr>
            <w:tcW w:w="943" w:type="dxa"/>
            <w:tcBorders>
              <w:top w:val="nil"/>
              <w:left w:val="nil"/>
              <w:bottom w:val="single" w:color="auto" w:sz="4" w:space="0"/>
              <w:right w:val="single" w:color="auto" w:sz="4" w:space="0"/>
            </w:tcBorders>
            <w:shd w:val="clear" w:color="auto" w:fill="auto"/>
            <w:vAlign w:val="center"/>
          </w:tcPr>
          <w:p w14:paraId="56446C28">
            <w:pPr>
              <w:widowControl/>
              <w:jc w:val="center"/>
              <w:rPr>
                <w:rFonts w:ascii="仿宋" w:hAnsi="仿宋" w:eastAsia="仿宋" w:cs="宋体"/>
                <w:color w:val="000000"/>
                <w:kern w:val="0"/>
                <w:sz w:val="24"/>
                <w:szCs w:val="24"/>
                <w:highlight w:val="none"/>
              </w:rPr>
            </w:pPr>
          </w:p>
        </w:tc>
        <w:tc>
          <w:tcPr>
            <w:tcW w:w="845" w:type="dxa"/>
            <w:tcBorders>
              <w:top w:val="nil"/>
              <w:left w:val="nil"/>
              <w:bottom w:val="single" w:color="auto" w:sz="4" w:space="0"/>
              <w:right w:val="single" w:color="auto" w:sz="4" w:space="0"/>
            </w:tcBorders>
            <w:shd w:val="clear" w:color="auto" w:fill="auto"/>
            <w:vAlign w:val="center"/>
          </w:tcPr>
          <w:p w14:paraId="664666D1">
            <w:pPr>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98" w:type="dxa"/>
            <w:tcBorders>
              <w:top w:val="nil"/>
              <w:left w:val="single" w:color="auto" w:sz="4" w:space="0"/>
              <w:bottom w:val="single" w:color="auto" w:sz="4" w:space="0"/>
              <w:right w:val="single" w:color="auto" w:sz="4" w:space="0"/>
            </w:tcBorders>
            <w:shd w:val="clear" w:color="auto" w:fill="auto"/>
            <w:vAlign w:val="center"/>
          </w:tcPr>
          <w:p w14:paraId="4528B298">
            <w:pPr>
              <w:jc w:val="center"/>
              <w:rPr>
                <w:rFonts w:ascii="仿宋" w:hAnsi="仿宋" w:eastAsia="仿宋" w:cs="宋体"/>
                <w:color w:val="000000"/>
                <w:kern w:val="0"/>
                <w:sz w:val="24"/>
                <w:szCs w:val="24"/>
                <w:highlight w:val="none"/>
              </w:rPr>
            </w:pPr>
          </w:p>
        </w:tc>
        <w:tc>
          <w:tcPr>
            <w:tcW w:w="720" w:type="dxa"/>
            <w:tcBorders>
              <w:top w:val="single" w:color="auto" w:sz="4" w:space="0"/>
              <w:bottom w:val="single" w:color="auto" w:sz="4" w:space="0"/>
              <w:right w:val="single" w:color="auto" w:sz="4" w:space="0"/>
            </w:tcBorders>
            <w:shd w:val="clear" w:color="auto" w:fill="auto"/>
          </w:tcPr>
          <w:p w14:paraId="561E1939">
            <w:pPr>
              <w:widowControl/>
              <w:jc w:val="left"/>
              <w:rPr>
                <w:rFonts w:ascii="仿宋" w:hAnsi="仿宋" w:eastAsia="仿宋"/>
                <w:color w:val="000000"/>
                <w:kern w:val="0"/>
                <w:sz w:val="20"/>
                <w:highlight w:val="none"/>
              </w:rPr>
            </w:pPr>
          </w:p>
        </w:tc>
      </w:tr>
      <w:tr w14:paraId="5E73C794">
        <w:tblPrEx>
          <w:tblCellMar>
            <w:top w:w="0" w:type="dxa"/>
            <w:left w:w="108" w:type="dxa"/>
            <w:bottom w:w="0" w:type="dxa"/>
            <w:right w:w="108" w:type="dxa"/>
          </w:tblCellMar>
        </w:tblPrEx>
        <w:trPr>
          <w:trHeight w:val="680" w:hRule="exact"/>
        </w:trPr>
        <w:tc>
          <w:tcPr>
            <w:tcW w:w="668" w:type="dxa"/>
            <w:tcBorders>
              <w:top w:val="nil"/>
              <w:left w:val="single" w:color="auto" w:sz="4" w:space="0"/>
              <w:bottom w:val="single" w:color="auto" w:sz="4" w:space="0"/>
              <w:right w:val="single" w:color="auto" w:sz="4" w:space="0"/>
            </w:tcBorders>
            <w:shd w:val="clear" w:color="auto" w:fill="auto"/>
            <w:vAlign w:val="center"/>
          </w:tcPr>
          <w:p w14:paraId="1BE9B1BB">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5　</w:t>
            </w:r>
          </w:p>
        </w:tc>
        <w:tc>
          <w:tcPr>
            <w:tcW w:w="703" w:type="dxa"/>
            <w:tcBorders>
              <w:top w:val="nil"/>
              <w:left w:val="nil"/>
              <w:bottom w:val="single" w:color="auto" w:sz="4" w:space="0"/>
              <w:right w:val="single" w:color="auto" w:sz="4" w:space="0"/>
            </w:tcBorders>
            <w:shd w:val="clear" w:color="auto" w:fill="auto"/>
            <w:vAlign w:val="center"/>
          </w:tcPr>
          <w:p w14:paraId="5E60F646">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06" w:type="dxa"/>
            <w:tcBorders>
              <w:top w:val="nil"/>
              <w:left w:val="nil"/>
              <w:bottom w:val="single" w:color="auto" w:sz="4" w:space="0"/>
              <w:right w:val="single" w:color="auto" w:sz="4" w:space="0"/>
            </w:tcBorders>
            <w:shd w:val="clear" w:color="auto" w:fill="auto"/>
            <w:vAlign w:val="center"/>
          </w:tcPr>
          <w:p w14:paraId="2419A75F">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57" w:type="dxa"/>
            <w:tcBorders>
              <w:top w:val="nil"/>
              <w:left w:val="nil"/>
              <w:bottom w:val="single" w:color="auto" w:sz="4" w:space="0"/>
              <w:right w:val="single" w:color="auto" w:sz="4" w:space="0"/>
            </w:tcBorders>
            <w:shd w:val="clear" w:color="auto" w:fill="auto"/>
            <w:vAlign w:val="center"/>
          </w:tcPr>
          <w:p w14:paraId="089ACBF0">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703" w:type="dxa"/>
            <w:tcBorders>
              <w:top w:val="nil"/>
              <w:left w:val="nil"/>
              <w:bottom w:val="single" w:color="auto" w:sz="4" w:space="0"/>
              <w:right w:val="single" w:color="auto" w:sz="4" w:space="0"/>
            </w:tcBorders>
            <w:shd w:val="clear" w:color="auto" w:fill="auto"/>
            <w:vAlign w:val="center"/>
          </w:tcPr>
          <w:p w14:paraId="210C4E71">
            <w:pPr>
              <w:widowControl/>
              <w:jc w:val="center"/>
              <w:rPr>
                <w:rFonts w:ascii="仿宋" w:hAnsi="仿宋" w:eastAsia="仿宋" w:cs="宋体"/>
                <w:color w:val="000000"/>
                <w:kern w:val="0"/>
                <w:sz w:val="24"/>
                <w:szCs w:val="24"/>
                <w:highlight w:val="none"/>
              </w:rPr>
            </w:pPr>
          </w:p>
        </w:tc>
        <w:tc>
          <w:tcPr>
            <w:tcW w:w="754" w:type="dxa"/>
            <w:tcBorders>
              <w:top w:val="nil"/>
              <w:left w:val="nil"/>
              <w:bottom w:val="single" w:color="auto" w:sz="4" w:space="0"/>
              <w:right w:val="single" w:color="auto" w:sz="4" w:space="0"/>
            </w:tcBorders>
            <w:shd w:val="clear" w:color="auto" w:fill="auto"/>
            <w:vAlign w:val="center"/>
          </w:tcPr>
          <w:p w14:paraId="59470BDF">
            <w:pPr>
              <w:ind w:left="136"/>
              <w:jc w:val="center"/>
              <w:rPr>
                <w:rFonts w:ascii="仿宋" w:hAnsi="仿宋" w:eastAsia="仿宋" w:cs="宋体"/>
                <w:color w:val="000000"/>
                <w:kern w:val="0"/>
                <w:sz w:val="24"/>
                <w:szCs w:val="24"/>
                <w:highlight w:val="none"/>
              </w:rPr>
            </w:pPr>
          </w:p>
        </w:tc>
        <w:tc>
          <w:tcPr>
            <w:tcW w:w="566" w:type="dxa"/>
            <w:tcBorders>
              <w:top w:val="nil"/>
              <w:left w:val="nil"/>
              <w:bottom w:val="single" w:color="auto" w:sz="4" w:space="0"/>
              <w:right w:val="single" w:color="auto" w:sz="4" w:space="0"/>
            </w:tcBorders>
            <w:shd w:val="clear" w:color="auto" w:fill="auto"/>
            <w:vAlign w:val="center"/>
          </w:tcPr>
          <w:p w14:paraId="23F53644">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01" w:type="dxa"/>
            <w:tcBorders>
              <w:top w:val="nil"/>
              <w:left w:val="nil"/>
              <w:bottom w:val="single" w:color="auto" w:sz="4" w:space="0"/>
              <w:right w:val="single" w:color="auto" w:sz="4" w:space="0"/>
            </w:tcBorders>
            <w:shd w:val="clear" w:color="auto" w:fill="auto"/>
            <w:vAlign w:val="center"/>
          </w:tcPr>
          <w:p w14:paraId="38C54F60">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529" w:type="dxa"/>
            <w:tcBorders>
              <w:top w:val="nil"/>
              <w:left w:val="nil"/>
              <w:bottom w:val="single" w:color="auto" w:sz="4" w:space="0"/>
              <w:right w:val="single" w:color="auto" w:sz="4" w:space="0"/>
            </w:tcBorders>
            <w:shd w:val="clear" w:color="auto" w:fill="auto"/>
            <w:vAlign w:val="center"/>
          </w:tcPr>
          <w:p w14:paraId="14090921">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19" w:type="dxa"/>
            <w:tcBorders>
              <w:top w:val="nil"/>
              <w:left w:val="nil"/>
              <w:bottom w:val="single" w:color="auto" w:sz="4" w:space="0"/>
              <w:right w:val="single" w:color="auto" w:sz="4" w:space="0"/>
            </w:tcBorders>
            <w:shd w:val="clear" w:color="auto" w:fill="auto"/>
            <w:vAlign w:val="center"/>
          </w:tcPr>
          <w:p w14:paraId="71120D78">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68" w:type="dxa"/>
            <w:tcBorders>
              <w:top w:val="nil"/>
              <w:left w:val="nil"/>
              <w:bottom w:val="single" w:color="auto" w:sz="4" w:space="0"/>
              <w:right w:val="single" w:color="auto" w:sz="4" w:space="0"/>
            </w:tcBorders>
            <w:shd w:val="clear" w:color="auto" w:fill="auto"/>
            <w:vAlign w:val="center"/>
          </w:tcPr>
          <w:p w14:paraId="44B3B1DB">
            <w:pPr>
              <w:widowControl/>
              <w:jc w:val="center"/>
              <w:rPr>
                <w:rFonts w:ascii="仿宋" w:hAnsi="仿宋" w:eastAsia="仿宋" w:cs="宋体"/>
                <w:color w:val="000000"/>
                <w:kern w:val="0"/>
                <w:sz w:val="24"/>
                <w:szCs w:val="24"/>
                <w:highlight w:val="none"/>
              </w:rPr>
            </w:pPr>
          </w:p>
        </w:tc>
        <w:tc>
          <w:tcPr>
            <w:tcW w:w="652" w:type="dxa"/>
            <w:tcBorders>
              <w:top w:val="nil"/>
              <w:left w:val="nil"/>
              <w:bottom w:val="single" w:color="auto" w:sz="4" w:space="0"/>
              <w:right w:val="single" w:color="auto" w:sz="4" w:space="0"/>
            </w:tcBorders>
            <w:shd w:val="clear" w:color="auto" w:fill="auto"/>
            <w:vAlign w:val="center"/>
          </w:tcPr>
          <w:p w14:paraId="45E6756E">
            <w:pPr>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68" w:type="dxa"/>
            <w:tcBorders>
              <w:top w:val="nil"/>
              <w:left w:val="nil"/>
              <w:bottom w:val="single" w:color="auto" w:sz="4" w:space="0"/>
              <w:right w:val="single" w:color="auto" w:sz="4" w:space="0"/>
            </w:tcBorders>
            <w:shd w:val="clear" w:color="auto" w:fill="auto"/>
            <w:vAlign w:val="center"/>
          </w:tcPr>
          <w:p w14:paraId="3EED323B">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874" w:type="dxa"/>
            <w:tcBorders>
              <w:top w:val="nil"/>
              <w:left w:val="nil"/>
              <w:bottom w:val="single" w:color="auto" w:sz="4" w:space="0"/>
              <w:right w:val="single" w:color="auto" w:sz="4" w:space="0"/>
            </w:tcBorders>
            <w:shd w:val="clear" w:color="auto" w:fill="auto"/>
            <w:vAlign w:val="center"/>
          </w:tcPr>
          <w:p w14:paraId="21FFEFF0">
            <w:pPr>
              <w:widowControl/>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909" w:type="dxa"/>
            <w:tcBorders>
              <w:top w:val="nil"/>
              <w:left w:val="nil"/>
              <w:bottom w:val="single" w:color="auto" w:sz="4" w:space="0"/>
              <w:right w:val="single" w:color="auto" w:sz="4" w:space="0"/>
            </w:tcBorders>
            <w:shd w:val="clear" w:color="auto" w:fill="auto"/>
            <w:vAlign w:val="center"/>
          </w:tcPr>
          <w:p w14:paraId="09146E92">
            <w:pPr>
              <w:widowControl/>
              <w:jc w:val="center"/>
              <w:rPr>
                <w:rFonts w:ascii="仿宋" w:hAnsi="仿宋" w:eastAsia="仿宋" w:cs="宋体"/>
                <w:color w:val="000000"/>
                <w:kern w:val="0"/>
                <w:sz w:val="24"/>
                <w:szCs w:val="24"/>
                <w:highlight w:val="none"/>
              </w:rPr>
            </w:pPr>
          </w:p>
        </w:tc>
        <w:tc>
          <w:tcPr>
            <w:tcW w:w="943" w:type="dxa"/>
            <w:tcBorders>
              <w:top w:val="nil"/>
              <w:left w:val="nil"/>
              <w:bottom w:val="single" w:color="auto" w:sz="4" w:space="0"/>
              <w:right w:val="single" w:color="auto" w:sz="4" w:space="0"/>
            </w:tcBorders>
            <w:shd w:val="clear" w:color="auto" w:fill="auto"/>
            <w:vAlign w:val="center"/>
          </w:tcPr>
          <w:p w14:paraId="21292DC5">
            <w:pPr>
              <w:widowControl/>
              <w:jc w:val="center"/>
              <w:rPr>
                <w:rFonts w:ascii="仿宋" w:hAnsi="仿宋" w:eastAsia="仿宋" w:cs="宋体"/>
                <w:color w:val="000000"/>
                <w:kern w:val="0"/>
                <w:sz w:val="24"/>
                <w:szCs w:val="24"/>
                <w:highlight w:val="none"/>
              </w:rPr>
            </w:pPr>
          </w:p>
        </w:tc>
        <w:tc>
          <w:tcPr>
            <w:tcW w:w="845" w:type="dxa"/>
            <w:tcBorders>
              <w:top w:val="nil"/>
              <w:left w:val="nil"/>
              <w:bottom w:val="single" w:color="auto" w:sz="4" w:space="0"/>
              <w:right w:val="single" w:color="auto" w:sz="4" w:space="0"/>
            </w:tcBorders>
            <w:shd w:val="clear" w:color="auto" w:fill="auto"/>
            <w:vAlign w:val="center"/>
          </w:tcPr>
          <w:p w14:paraId="51B99F7F">
            <w:pPr>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w:t>
            </w:r>
          </w:p>
        </w:tc>
        <w:tc>
          <w:tcPr>
            <w:tcW w:w="698" w:type="dxa"/>
            <w:tcBorders>
              <w:top w:val="nil"/>
              <w:left w:val="single" w:color="auto" w:sz="4" w:space="0"/>
              <w:bottom w:val="single" w:color="auto" w:sz="4" w:space="0"/>
              <w:right w:val="single" w:color="auto" w:sz="4" w:space="0"/>
            </w:tcBorders>
            <w:shd w:val="clear" w:color="auto" w:fill="auto"/>
            <w:vAlign w:val="center"/>
          </w:tcPr>
          <w:p w14:paraId="1B544CBB">
            <w:pPr>
              <w:jc w:val="center"/>
              <w:rPr>
                <w:rFonts w:ascii="仿宋" w:hAnsi="仿宋" w:eastAsia="仿宋" w:cs="宋体"/>
                <w:color w:val="000000"/>
                <w:kern w:val="0"/>
                <w:sz w:val="24"/>
                <w:szCs w:val="24"/>
                <w:highlight w:val="none"/>
              </w:rPr>
            </w:pPr>
          </w:p>
        </w:tc>
        <w:tc>
          <w:tcPr>
            <w:tcW w:w="720" w:type="dxa"/>
            <w:tcBorders>
              <w:top w:val="single" w:color="auto" w:sz="4" w:space="0"/>
              <w:bottom w:val="single" w:color="auto" w:sz="4" w:space="0"/>
              <w:right w:val="single" w:color="auto" w:sz="4" w:space="0"/>
            </w:tcBorders>
            <w:shd w:val="clear" w:color="auto" w:fill="auto"/>
          </w:tcPr>
          <w:p w14:paraId="0723D7D0">
            <w:pPr>
              <w:widowControl/>
              <w:jc w:val="left"/>
              <w:rPr>
                <w:rFonts w:ascii="仿宋" w:hAnsi="仿宋" w:eastAsia="仿宋"/>
                <w:color w:val="000000"/>
                <w:kern w:val="0"/>
                <w:sz w:val="20"/>
                <w:highlight w:val="none"/>
              </w:rPr>
            </w:pPr>
          </w:p>
        </w:tc>
      </w:tr>
    </w:tbl>
    <w:p w14:paraId="4434C3DC">
      <w:pPr>
        <w:rPr>
          <w:rFonts w:ascii="仿宋" w:hAnsi="仿宋" w:eastAsia="仿宋"/>
          <w:color w:val="000000"/>
          <w:szCs w:val="32"/>
          <w:highlight w:val="none"/>
        </w:rPr>
      </w:pPr>
    </w:p>
    <w:p w14:paraId="4361CBF5">
      <w:pPr>
        <w:rPr>
          <w:rFonts w:ascii="仿宋" w:hAnsi="仿宋" w:eastAsia="仿宋"/>
          <w:color w:val="000000"/>
          <w:szCs w:val="32"/>
          <w:highlight w:val="none"/>
        </w:rPr>
      </w:pPr>
    </w:p>
    <w:p w14:paraId="227211F4">
      <w:pPr>
        <w:rPr>
          <w:rFonts w:ascii="仿宋" w:hAnsi="仿宋" w:eastAsia="仿宋"/>
          <w:color w:val="000000"/>
          <w:szCs w:val="32"/>
          <w:highlight w:val="none"/>
        </w:rPr>
        <w:sectPr>
          <w:pgSz w:w="16838" w:h="11906" w:orient="landscape"/>
          <w:pgMar w:top="1797" w:right="1440" w:bottom="1797" w:left="1440" w:header="851" w:footer="992" w:gutter="0"/>
          <w:cols w:space="425" w:num="1"/>
          <w:docGrid w:type="lines" w:linePitch="312" w:charSpace="0"/>
        </w:sectPr>
      </w:pPr>
    </w:p>
    <w:p w14:paraId="5C72DDDB">
      <w:pPr>
        <w:widowControl/>
        <w:jc w:val="left"/>
        <w:rPr>
          <w:rFonts w:ascii="仿宋" w:hAnsi="仿宋" w:eastAsia="仿宋"/>
          <w:color w:val="000000"/>
          <w:szCs w:val="32"/>
          <w:highlight w:val="none"/>
        </w:rPr>
      </w:pPr>
      <w:r>
        <w:rPr>
          <w:rFonts w:hint="eastAsia" w:ascii="仿宋" w:hAnsi="仿宋" w:eastAsia="仿宋"/>
          <w:color w:val="000000"/>
          <w:szCs w:val="32"/>
          <w:highlight w:val="none"/>
        </w:rPr>
        <w:t>附件（2）</w:t>
      </w:r>
    </w:p>
    <w:p w14:paraId="6773160A">
      <w:pPr>
        <w:ind w:firstLine="640" w:firstLineChars="200"/>
        <w:rPr>
          <w:rFonts w:ascii="仿宋" w:hAnsi="仿宋" w:eastAsia="仿宋"/>
          <w:color w:val="000000"/>
          <w:szCs w:val="32"/>
          <w:highlight w:val="none"/>
        </w:rPr>
      </w:pPr>
    </w:p>
    <w:p w14:paraId="1AF74BDA">
      <w:pPr>
        <w:ind w:firstLine="643" w:firstLineChars="200"/>
        <w:jc w:val="center"/>
        <w:rPr>
          <w:rFonts w:ascii="仿宋" w:hAnsi="仿宋" w:eastAsia="仿宋"/>
          <w:b/>
          <w:color w:val="000000"/>
          <w:szCs w:val="28"/>
          <w:highlight w:val="none"/>
        </w:rPr>
      </w:pPr>
      <w:r>
        <w:rPr>
          <w:rFonts w:hint="eastAsia" w:ascii="仿宋" w:hAnsi="仿宋" w:eastAsia="仿宋"/>
          <w:b/>
          <w:color w:val="000000"/>
          <w:szCs w:val="28"/>
          <w:highlight w:val="none"/>
        </w:rPr>
        <w:t>运营服务质量日常考核评分标准及计分方法</w:t>
      </w:r>
    </w:p>
    <w:p w14:paraId="1E9234E3">
      <w:pPr>
        <w:ind w:firstLine="640" w:firstLineChars="200"/>
        <w:rPr>
          <w:rFonts w:ascii="仿宋" w:hAnsi="仿宋" w:eastAsia="仿宋"/>
          <w:color w:val="000000"/>
          <w:szCs w:val="32"/>
          <w:highlight w:val="none"/>
        </w:rPr>
      </w:pPr>
    </w:p>
    <w:tbl>
      <w:tblPr>
        <w:tblStyle w:val="5"/>
        <w:tblW w:w="14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2265"/>
        <w:gridCol w:w="5129"/>
        <w:gridCol w:w="4441"/>
        <w:gridCol w:w="1276"/>
      </w:tblGrid>
      <w:tr w14:paraId="1766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blHeader/>
          <w:jc w:val="center"/>
        </w:trPr>
        <w:tc>
          <w:tcPr>
            <w:tcW w:w="1421" w:type="dxa"/>
            <w:vAlign w:val="center"/>
          </w:tcPr>
          <w:p w14:paraId="0C7F1B13">
            <w:pPr>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考核 内 容</w:t>
            </w:r>
          </w:p>
        </w:tc>
        <w:tc>
          <w:tcPr>
            <w:tcW w:w="2265" w:type="dxa"/>
            <w:vAlign w:val="center"/>
          </w:tcPr>
          <w:p w14:paraId="067C8E9E">
            <w:pPr>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指标名称</w:t>
            </w:r>
          </w:p>
        </w:tc>
        <w:tc>
          <w:tcPr>
            <w:tcW w:w="5129" w:type="dxa"/>
            <w:vAlign w:val="center"/>
          </w:tcPr>
          <w:p w14:paraId="5151DA15">
            <w:pPr>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考核标准</w:t>
            </w:r>
          </w:p>
        </w:tc>
        <w:tc>
          <w:tcPr>
            <w:tcW w:w="4441" w:type="dxa"/>
            <w:vAlign w:val="center"/>
          </w:tcPr>
          <w:p w14:paraId="6876963D">
            <w:pPr>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评分标准</w:t>
            </w:r>
          </w:p>
        </w:tc>
        <w:tc>
          <w:tcPr>
            <w:tcW w:w="1276" w:type="dxa"/>
            <w:vAlign w:val="center"/>
          </w:tcPr>
          <w:p w14:paraId="0AAE2CD3">
            <w:pPr>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指标</w:t>
            </w:r>
          </w:p>
          <w:p w14:paraId="490C2191">
            <w:pPr>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得分</w:t>
            </w:r>
          </w:p>
        </w:tc>
      </w:tr>
      <w:tr w14:paraId="2478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restart"/>
            <w:vAlign w:val="center"/>
          </w:tcPr>
          <w:p w14:paraId="3F6EB68B">
            <w:pPr>
              <w:rPr>
                <w:rFonts w:hint="eastAsia" w:ascii="仿宋_GB2312" w:hAnsi="仿宋_GB2312" w:eastAsia="仿宋_GB2312" w:cs="仿宋_GB2312"/>
                <w:color w:val="000000"/>
                <w:sz w:val="21"/>
                <w:szCs w:val="21"/>
                <w:highlight w:val="none"/>
              </w:rPr>
            </w:pPr>
          </w:p>
          <w:p w14:paraId="3DC7FAD8">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日常质量指标（满分150分）</w:t>
            </w:r>
          </w:p>
          <w:p w14:paraId="4D1ED76A">
            <w:pPr>
              <w:ind w:firstLine="420" w:firstLineChars="200"/>
              <w:jc w:val="center"/>
              <w:rPr>
                <w:rFonts w:hint="eastAsia" w:ascii="仿宋_GB2312" w:hAnsi="仿宋_GB2312" w:eastAsia="仿宋_GB2312" w:cs="仿宋_GB2312"/>
                <w:color w:val="000000"/>
                <w:sz w:val="21"/>
                <w:szCs w:val="21"/>
                <w:highlight w:val="none"/>
              </w:rPr>
            </w:pPr>
          </w:p>
          <w:p w14:paraId="091029A1">
            <w:pPr>
              <w:ind w:firstLine="420" w:firstLineChars="200"/>
              <w:jc w:val="center"/>
              <w:rPr>
                <w:rFonts w:hint="eastAsia" w:ascii="仿宋_GB2312" w:hAnsi="仿宋_GB2312" w:eastAsia="仿宋_GB2312" w:cs="仿宋_GB2312"/>
                <w:color w:val="000000"/>
                <w:sz w:val="21"/>
                <w:szCs w:val="21"/>
                <w:highlight w:val="none"/>
              </w:rPr>
            </w:pPr>
          </w:p>
          <w:p w14:paraId="0F30F9D2">
            <w:pPr>
              <w:ind w:firstLine="420" w:firstLineChars="200"/>
              <w:jc w:val="center"/>
              <w:rPr>
                <w:rFonts w:hint="eastAsia" w:ascii="仿宋_GB2312" w:hAnsi="仿宋_GB2312" w:eastAsia="仿宋_GB2312" w:cs="仿宋_GB2312"/>
                <w:color w:val="000000"/>
                <w:sz w:val="21"/>
                <w:szCs w:val="21"/>
                <w:highlight w:val="none"/>
              </w:rPr>
            </w:pPr>
          </w:p>
          <w:p w14:paraId="48DF0A83">
            <w:pPr>
              <w:ind w:firstLine="420" w:firstLineChars="200"/>
              <w:jc w:val="center"/>
              <w:rPr>
                <w:rFonts w:hint="eastAsia" w:ascii="仿宋_GB2312" w:hAnsi="仿宋_GB2312" w:eastAsia="仿宋_GB2312" w:cs="仿宋_GB2312"/>
                <w:color w:val="000000"/>
                <w:sz w:val="21"/>
                <w:szCs w:val="21"/>
                <w:highlight w:val="none"/>
              </w:rPr>
            </w:pPr>
          </w:p>
          <w:p w14:paraId="0F3EFA3C">
            <w:pPr>
              <w:ind w:firstLine="420" w:firstLineChars="200"/>
              <w:jc w:val="center"/>
              <w:rPr>
                <w:rFonts w:hint="eastAsia" w:ascii="仿宋_GB2312" w:hAnsi="仿宋_GB2312" w:eastAsia="仿宋_GB2312" w:cs="仿宋_GB2312"/>
                <w:color w:val="000000"/>
                <w:sz w:val="21"/>
                <w:szCs w:val="21"/>
                <w:highlight w:val="none"/>
              </w:rPr>
            </w:pPr>
          </w:p>
          <w:p w14:paraId="41840BEC">
            <w:pPr>
              <w:ind w:firstLine="420" w:firstLineChars="200"/>
              <w:jc w:val="center"/>
              <w:rPr>
                <w:rFonts w:hint="eastAsia" w:ascii="仿宋_GB2312" w:hAnsi="仿宋_GB2312" w:eastAsia="仿宋_GB2312" w:cs="仿宋_GB2312"/>
                <w:color w:val="000000"/>
                <w:sz w:val="21"/>
                <w:szCs w:val="21"/>
                <w:highlight w:val="none"/>
              </w:rPr>
            </w:pPr>
          </w:p>
          <w:p w14:paraId="7DF11355">
            <w:pPr>
              <w:ind w:firstLine="420" w:firstLineChars="200"/>
              <w:jc w:val="center"/>
              <w:rPr>
                <w:rFonts w:hint="eastAsia" w:ascii="仿宋_GB2312" w:hAnsi="仿宋_GB2312" w:eastAsia="仿宋_GB2312" w:cs="仿宋_GB2312"/>
                <w:color w:val="000000"/>
                <w:sz w:val="21"/>
                <w:szCs w:val="21"/>
                <w:highlight w:val="none"/>
              </w:rPr>
            </w:pPr>
          </w:p>
          <w:p w14:paraId="3CC5846C">
            <w:pPr>
              <w:ind w:firstLine="420" w:firstLineChars="200"/>
              <w:jc w:val="center"/>
              <w:rPr>
                <w:rFonts w:hint="eastAsia" w:ascii="仿宋_GB2312" w:hAnsi="仿宋_GB2312" w:eastAsia="仿宋_GB2312" w:cs="仿宋_GB2312"/>
                <w:color w:val="000000"/>
                <w:sz w:val="21"/>
                <w:szCs w:val="21"/>
                <w:highlight w:val="none"/>
              </w:rPr>
            </w:pPr>
          </w:p>
          <w:p w14:paraId="4509DFB7">
            <w:pPr>
              <w:ind w:firstLine="420" w:firstLineChars="200"/>
              <w:jc w:val="center"/>
              <w:rPr>
                <w:rFonts w:hint="eastAsia" w:ascii="仿宋_GB2312" w:hAnsi="仿宋_GB2312" w:eastAsia="仿宋_GB2312" w:cs="仿宋_GB2312"/>
                <w:color w:val="000000"/>
                <w:sz w:val="21"/>
                <w:szCs w:val="21"/>
                <w:highlight w:val="none"/>
              </w:rPr>
            </w:pPr>
          </w:p>
          <w:p w14:paraId="3B88FFE5">
            <w:pPr>
              <w:jc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日常考核质量指标（满分100分）</w:t>
            </w:r>
          </w:p>
        </w:tc>
        <w:tc>
          <w:tcPr>
            <w:tcW w:w="2265" w:type="dxa"/>
            <w:vMerge w:val="restart"/>
            <w:vAlign w:val="center"/>
          </w:tcPr>
          <w:p w14:paraId="067B3996">
            <w:pPr>
              <w:ind w:firstLine="420" w:firstLineChars="200"/>
              <w:jc w:val="center"/>
              <w:rPr>
                <w:rFonts w:hint="eastAsia" w:ascii="仿宋_GB2312" w:hAnsi="仿宋_GB2312" w:eastAsia="仿宋_GB2312" w:cs="仿宋_GB2312"/>
                <w:color w:val="000000"/>
                <w:sz w:val="21"/>
                <w:szCs w:val="21"/>
                <w:highlight w:val="none"/>
              </w:rPr>
            </w:pPr>
          </w:p>
          <w:p w14:paraId="57FD54F2">
            <w:pPr>
              <w:ind w:firstLine="420" w:firstLineChars="200"/>
              <w:jc w:val="center"/>
              <w:rPr>
                <w:rFonts w:hint="eastAsia" w:ascii="仿宋_GB2312" w:hAnsi="仿宋_GB2312" w:eastAsia="仿宋_GB2312" w:cs="仿宋_GB2312"/>
                <w:color w:val="000000"/>
                <w:sz w:val="21"/>
                <w:szCs w:val="21"/>
                <w:highlight w:val="none"/>
              </w:rPr>
            </w:pPr>
          </w:p>
          <w:p w14:paraId="112A15AB">
            <w:pPr>
              <w:ind w:firstLine="420" w:firstLineChars="200"/>
              <w:jc w:val="center"/>
              <w:rPr>
                <w:rFonts w:hint="eastAsia" w:ascii="仿宋_GB2312" w:hAnsi="仿宋_GB2312" w:eastAsia="仿宋_GB2312" w:cs="仿宋_GB2312"/>
                <w:color w:val="000000"/>
                <w:sz w:val="21"/>
                <w:szCs w:val="21"/>
                <w:highlight w:val="none"/>
              </w:rPr>
            </w:pPr>
          </w:p>
          <w:p w14:paraId="487DA38D">
            <w:pPr>
              <w:ind w:firstLine="420" w:firstLineChars="200"/>
              <w:jc w:val="center"/>
              <w:rPr>
                <w:rFonts w:hint="eastAsia" w:ascii="仿宋_GB2312" w:hAnsi="仿宋_GB2312" w:eastAsia="仿宋_GB2312" w:cs="仿宋_GB2312"/>
                <w:color w:val="000000"/>
                <w:sz w:val="21"/>
                <w:szCs w:val="21"/>
                <w:highlight w:val="none"/>
              </w:rPr>
            </w:pPr>
          </w:p>
          <w:p w14:paraId="772A31D5">
            <w:pPr>
              <w:ind w:firstLine="420" w:firstLineChars="200"/>
              <w:jc w:val="center"/>
              <w:rPr>
                <w:rFonts w:hint="eastAsia" w:ascii="仿宋_GB2312" w:hAnsi="仿宋_GB2312" w:eastAsia="仿宋_GB2312" w:cs="仿宋_GB2312"/>
                <w:color w:val="000000"/>
                <w:sz w:val="21"/>
                <w:szCs w:val="21"/>
                <w:highlight w:val="none"/>
              </w:rPr>
            </w:pPr>
          </w:p>
          <w:p w14:paraId="15EBCD22">
            <w:pPr>
              <w:ind w:firstLine="420" w:firstLineChars="200"/>
              <w:jc w:val="center"/>
              <w:rPr>
                <w:rFonts w:hint="eastAsia" w:ascii="仿宋_GB2312" w:hAnsi="仿宋_GB2312" w:eastAsia="仿宋_GB2312" w:cs="仿宋_GB2312"/>
                <w:color w:val="000000"/>
                <w:sz w:val="21"/>
                <w:szCs w:val="21"/>
                <w:highlight w:val="none"/>
              </w:rPr>
            </w:pPr>
          </w:p>
          <w:p w14:paraId="2EAC88B1">
            <w:pPr>
              <w:jc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服务设施完备率（最高扣50分）</w:t>
            </w:r>
          </w:p>
        </w:tc>
        <w:tc>
          <w:tcPr>
            <w:tcW w:w="5129" w:type="dxa"/>
            <w:vAlign w:val="center"/>
          </w:tcPr>
          <w:p w14:paraId="4074918E">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车门开关灵活，设有防止夹伤乘客的胶条或缓冲装置</w:t>
            </w:r>
          </w:p>
        </w:tc>
        <w:tc>
          <w:tcPr>
            <w:tcW w:w="4441" w:type="dxa"/>
            <w:vAlign w:val="center"/>
          </w:tcPr>
          <w:p w14:paraId="33D81F8E">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车门开关失控的扣1分，未设置缓冲装置的扣1分，最高扣5分</w:t>
            </w:r>
          </w:p>
        </w:tc>
        <w:tc>
          <w:tcPr>
            <w:tcW w:w="1276" w:type="dxa"/>
            <w:vAlign w:val="center"/>
          </w:tcPr>
          <w:p w14:paraId="608DF470">
            <w:pPr>
              <w:ind w:firstLine="420" w:firstLineChars="200"/>
              <w:jc w:val="center"/>
              <w:rPr>
                <w:rFonts w:hint="eastAsia" w:ascii="仿宋_GB2312" w:hAnsi="仿宋_GB2312" w:eastAsia="仿宋_GB2312" w:cs="仿宋_GB2312"/>
                <w:color w:val="000000"/>
                <w:sz w:val="21"/>
                <w:szCs w:val="21"/>
                <w:highlight w:val="none"/>
              </w:rPr>
            </w:pPr>
          </w:p>
        </w:tc>
      </w:tr>
      <w:tr w14:paraId="7236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blHeader/>
          <w:jc w:val="center"/>
        </w:trPr>
        <w:tc>
          <w:tcPr>
            <w:tcW w:w="1421" w:type="dxa"/>
            <w:vMerge w:val="continue"/>
            <w:vAlign w:val="center"/>
          </w:tcPr>
          <w:p w14:paraId="76932898">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3F67D163">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08F96D26">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车窗玻璃无缺损，闭合严密，不漏水</w:t>
            </w:r>
          </w:p>
        </w:tc>
        <w:tc>
          <w:tcPr>
            <w:tcW w:w="4441" w:type="dxa"/>
            <w:vAlign w:val="center"/>
          </w:tcPr>
          <w:p w14:paraId="423A5F5A">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车窗玻璃发现损坏的扣1分，最高扣5分</w:t>
            </w:r>
          </w:p>
        </w:tc>
        <w:tc>
          <w:tcPr>
            <w:tcW w:w="1276" w:type="dxa"/>
            <w:vAlign w:val="center"/>
          </w:tcPr>
          <w:p w14:paraId="30FD0C1E">
            <w:pPr>
              <w:ind w:firstLine="420" w:firstLineChars="200"/>
              <w:jc w:val="center"/>
              <w:rPr>
                <w:rFonts w:hint="eastAsia" w:ascii="仿宋_GB2312" w:hAnsi="仿宋_GB2312" w:eastAsia="仿宋_GB2312" w:cs="仿宋_GB2312"/>
                <w:color w:val="000000"/>
                <w:sz w:val="21"/>
                <w:szCs w:val="21"/>
                <w:highlight w:val="none"/>
              </w:rPr>
            </w:pPr>
          </w:p>
        </w:tc>
      </w:tr>
      <w:tr w14:paraId="7D94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1421" w:type="dxa"/>
            <w:vMerge w:val="continue"/>
            <w:vAlign w:val="center"/>
          </w:tcPr>
          <w:p w14:paraId="3374B3F2">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71083BE9">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0CF238A1">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地板、盖板、踏步、内侧维护板完好，顶窗完好、不漏水</w:t>
            </w:r>
          </w:p>
        </w:tc>
        <w:tc>
          <w:tcPr>
            <w:tcW w:w="4441" w:type="dxa"/>
            <w:vAlign w:val="center"/>
          </w:tcPr>
          <w:p w14:paraId="0347EC0B">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地板、盖板等各类盖板出现缺失和严重破损的扣1分；顶窗出现损坏或者漏水的扣1分，最高扣5分</w:t>
            </w:r>
          </w:p>
        </w:tc>
        <w:tc>
          <w:tcPr>
            <w:tcW w:w="1276" w:type="dxa"/>
            <w:vAlign w:val="center"/>
          </w:tcPr>
          <w:p w14:paraId="2B75E39C">
            <w:pPr>
              <w:ind w:firstLine="420" w:firstLineChars="200"/>
              <w:jc w:val="center"/>
              <w:rPr>
                <w:rFonts w:hint="eastAsia" w:ascii="仿宋_GB2312" w:hAnsi="仿宋_GB2312" w:eastAsia="仿宋_GB2312" w:cs="仿宋_GB2312"/>
                <w:color w:val="000000"/>
                <w:sz w:val="21"/>
                <w:szCs w:val="21"/>
                <w:highlight w:val="none"/>
              </w:rPr>
            </w:pPr>
          </w:p>
        </w:tc>
      </w:tr>
      <w:tr w14:paraId="711D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3" w:hRule="atLeast"/>
          <w:tblHeader/>
          <w:jc w:val="center"/>
        </w:trPr>
        <w:tc>
          <w:tcPr>
            <w:tcW w:w="1421" w:type="dxa"/>
            <w:vMerge w:val="continue"/>
            <w:vAlign w:val="center"/>
          </w:tcPr>
          <w:p w14:paraId="0CF4D6B6">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3CE76675">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75E1BE75">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座椅齐全牢固，扶手杆、立柱齐全牢固</w:t>
            </w:r>
          </w:p>
        </w:tc>
        <w:tc>
          <w:tcPr>
            <w:tcW w:w="4441" w:type="dxa"/>
            <w:vAlign w:val="center"/>
          </w:tcPr>
          <w:p w14:paraId="199FED49">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座椅靠背不全、松动的扣1分，扶手立柱不全的扣1分，最高扣5分</w:t>
            </w:r>
          </w:p>
        </w:tc>
        <w:tc>
          <w:tcPr>
            <w:tcW w:w="1276" w:type="dxa"/>
            <w:vAlign w:val="center"/>
          </w:tcPr>
          <w:p w14:paraId="1F47A305">
            <w:pPr>
              <w:ind w:firstLine="420" w:firstLineChars="200"/>
              <w:jc w:val="center"/>
              <w:rPr>
                <w:rFonts w:hint="eastAsia" w:ascii="仿宋_GB2312" w:hAnsi="仿宋_GB2312" w:eastAsia="仿宋_GB2312" w:cs="仿宋_GB2312"/>
                <w:color w:val="000000"/>
                <w:sz w:val="21"/>
                <w:szCs w:val="21"/>
                <w:highlight w:val="none"/>
              </w:rPr>
            </w:pPr>
          </w:p>
        </w:tc>
      </w:tr>
      <w:tr w14:paraId="68F6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70EEDB96">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683B80C6">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06179962">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投币机、读卡机、报站器、监视器完好有效</w:t>
            </w:r>
          </w:p>
        </w:tc>
        <w:tc>
          <w:tcPr>
            <w:tcW w:w="4441" w:type="dxa"/>
            <w:vAlign w:val="center"/>
          </w:tcPr>
          <w:p w14:paraId="6020ACE1">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投币机、读卡机、报站器、监视器不能正常使用的每处扣1分，最高扣5分</w:t>
            </w:r>
          </w:p>
        </w:tc>
        <w:tc>
          <w:tcPr>
            <w:tcW w:w="1276" w:type="dxa"/>
            <w:vAlign w:val="center"/>
          </w:tcPr>
          <w:p w14:paraId="2ECF9B94">
            <w:pPr>
              <w:ind w:firstLine="420" w:firstLineChars="200"/>
              <w:jc w:val="center"/>
              <w:rPr>
                <w:rFonts w:hint="eastAsia" w:ascii="仿宋_GB2312" w:hAnsi="仿宋_GB2312" w:eastAsia="仿宋_GB2312" w:cs="仿宋_GB2312"/>
                <w:color w:val="000000"/>
                <w:sz w:val="21"/>
                <w:szCs w:val="21"/>
                <w:highlight w:val="none"/>
              </w:rPr>
            </w:pPr>
          </w:p>
        </w:tc>
      </w:tr>
      <w:tr w14:paraId="2FCD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1AA9A187">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01779D11">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4EDCCC3C">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线路走向图、乘坐规则、服务监督电话等信息完整、准确</w:t>
            </w:r>
          </w:p>
        </w:tc>
        <w:tc>
          <w:tcPr>
            <w:tcW w:w="4441" w:type="dxa"/>
            <w:vAlign w:val="center"/>
          </w:tcPr>
          <w:p w14:paraId="2A9AAE43">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线路走向图、乘坐规则、服务监督电话缺失或信息不完整的扣1分，最高扣5分</w:t>
            </w:r>
          </w:p>
        </w:tc>
        <w:tc>
          <w:tcPr>
            <w:tcW w:w="1276" w:type="dxa"/>
            <w:vAlign w:val="center"/>
          </w:tcPr>
          <w:p w14:paraId="74B52B2E">
            <w:pPr>
              <w:ind w:firstLine="420" w:firstLineChars="200"/>
              <w:jc w:val="center"/>
              <w:rPr>
                <w:rFonts w:hint="eastAsia" w:ascii="仿宋_GB2312" w:hAnsi="仿宋_GB2312" w:eastAsia="仿宋_GB2312" w:cs="仿宋_GB2312"/>
                <w:color w:val="000000"/>
                <w:sz w:val="21"/>
                <w:szCs w:val="21"/>
                <w:highlight w:val="none"/>
              </w:rPr>
            </w:pPr>
          </w:p>
        </w:tc>
      </w:tr>
      <w:tr w14:paraId="035F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blHeader/>
          <w:jc w:val="center"/>
        </w:trPr>
        <w:tc>
          <w:tcPr>
            <w:tcW w:w="1421" w:type="dxa"/>
            <w:vMerge w:val="continue"/>
            <w:vAlign w:val="center"/>
          </w:tcPr>
          <w:p w14:paraId="6C0F2819">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0A78581E">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3BBA7FA4">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安全锤、灭火器齐全有效</w:t>
            </w:r>
          </w:p>
        </w:tc>
        <w:tc>
          <w:tcPr>
            <w:tcW w:w="4441" w:type="dxa"/>
            <w:vAlign w:val="center"/>
          </w:tcPr>
          <w:p w14:paraId="537F0D47">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缺少安全锤、灭火器的扣1分，最高扣5分</w:t>
            </w:r>
          </w:p>
        </w:tc>
        <w:tc>
          <w:tcPr>
            <w:tcW w:w="1276" w:type="dxa"/>
            <w:vAlign w:val="center"/>
          </w:tcPr>
          <w:p w14:paraId="757D56F4">
            <w:pPr>
              <w:ind w:firstLine="420" w:firstLineChars="200"/>
              <w:jc w:val="center"/>
              <w:rPr>
                <w:rFonts w:hint="eastAsia" w:ascii="仿宋_GB2312" w:hAnsi="仿宋_GB2312" w:eastAsia="仿宋_GB2312" w:cs="仿宋_GB2312"/>
                <w:color w:val="000000"/>
                <w:sz w:val="21"/>
                <w:szCs w:val="21"/>
                <w:highlight w:val="none"/>
              </w:rPr>
            </w:pPr>
          </w:p>
        </w:tc>
      </w:tr>
      <w:tr w14:paraId="0EAE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3" w:hRule="atLeast"/>
          <w:tblHeader/>
          <w:jc w:val="center"/>
        </w:trPr>
        <w:tc>
          <w:tcPr>
            <w:tcW w:w="1421" w:type="dxa"/>
            <w:vMerge w:val="continue"/>
            <w:vAlign w:val="center"/>
          </w:tcPr>
          <w:p w14:paraId="0D162F7A">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2124F6A3">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03355CE8">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企业名称、车辆编号、线路编号及线路票价信息在规定位置</w:t>
            </w:r>
          </w:p>
        </w:tc>
        <w:tc>
          <w:tcPr>
            <w:tcW w:w="4441" w:type="dxa"/>
            <w:vAlign w:val="center"/>
          </w:tcPr>
          <w:p w14:paraId="5F19F0D0">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企业名称、车辆编号线路编号缺少的扣1分，最高扣5分</w:t>
            </w:r>
          </w:p>
        </w:tc>
        <w:tc>
          <w:tcPr>
            <w:tcW w:w="1276" w:type="dxa"/>
            <w:vAlign w:val="center"/>
          </w:tcPr>
          <w:p w14:paraId="5E144957">
            <w:pPr>
              <w:ind w:firstLine="420" w:firstLineChars="200"/>
              <w:jc w:val="center"/>
              <w:rPr>
                <w:rFonts w:hint="eastAsia" w:ascii="仿宋_GB2312" w:hAnsi="仿宋_GB2312" w:eastAsia="仿宋_GB2312" w:cs="仿宋_GB2312"/>
                <w:color w:val="000000"/>
                <w:sz w:val="21"/>
                <w:szCs w:val="21"/>
                <w:highlight w:val="none"/>
              </w:rPr>
            </w:pPr>
          </w:p>
        </w:tc>
      </w:tr>
      <w:tr w14:paraId="0F3C3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blHeader/>
          <w:jc w:val="center"/>
        </w:trPr>
        <w:tc>
          <w:tcPr>
            <w:tcW w:w="1421" w:type="dxa"/>
            <w:vMerge w:val="continue"/>
            <w:vAlign w:val="center"/>
          </w:tcPr>
          <w:p w14:paraId="4D3B8556">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6FDA0122">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4D0F5E2B">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“老幼病残孕”专座有明确标识</w:t>
            </w:r>
          </w:p>
        </w:tc>
        <w:tc>
          <w:tcPr>
            <w:tcW w:w="4441" w:type="dxa"/>
            <w:vAlign w:val="center"/>
          </w:tcPr>
          <w:p w14:paraId="20CC89DD">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缺少“老幼病残孕”专座标识的扣1分，最高扣5分</w:t>
            </w:r>
          </w:p>
        </w:tc>
        <w:tc>
          <w:tcPr>
            <w:tcW w:w="1276" w:type="dxa"/>
            <w:vAlign w:val="center"/>
          </w:tcPr>
          <w:p w14:paraId="6A6A3303">
            <w:pPr>
              <w:ind w:firstLine="420" w:firstLineChars="200"/>
              <w:jc w:val="center"/>
              <w:rPr>
                <w:rFonts w:hint="eastAsia" w:ascii="仿宋_GB2312" w:hAnsi="仿宋_GB2312" w:eastAsia="仿宋_GB2312" w:cs="仿宋_GB2312"/>
                <w:color w:val="000000"/>
                <w:sz w:val="21"/>
                <w:szCs w:val="21"/>
                <w:highlight w:val="none"/>
              </w:rPr>
            </w:pPr>
          </w:p>
        </w:tc>
      </w:tr>
      <w:tr w14:paraId="44CE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0" w:hRule="atLeast"/>
          <w:tblHeader/>
          <w:jc w:val="center"/>
        </w:trPr>
        <w:tc>
          <w:tcPr>
            <w:tcW w:w="1421" w:type="dxa"/>
            <w:vMerge w:val="continue"/>
            <w:vAlign w:val="center"/>
          </w:tcPr>
          <w:p w14:paraId="5F19E9B5">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44E1D868">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7919F316">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禁烟、禁食、禁止携带易燃易爆物品上车标志齐全醒目</w:t>
            </w:r>
          </w:p>
        </w:tc>
        <w:tc>
          <w:tcPr>
            <w:tcW w:w="4441" w:type="dxa"/>
            <w:vAlign w:val="center"/>
          </w:tcPr>
          <w:p w14:paraId="3BAD548F">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禁烟、禁食、禁止携带易燃易爆物品上车标志缺少的扣1分，最高扣5分</w:t>
            </w:r>
          </w:p>
        </w:tc>
        <w:tc>
          <w:tcPr>
            <w:tcW w:w="1276" w:type="dxa"/>
            <w:vAlign w:val="center"/>
          </w:tcPr>
          <w:p w14:paraId="2BF606CD">
            <w:pPr>
              <w:ind w:firstLine="420" w:firstLineChars="200"/>
              <w:jc w:val="center"/>
              <w:rPr>
                <w:rFonts w:hint="eastAsia" w:ascii="仿宋_GB2312" w:hAnsi="仿宋_GB2312" w:eastAsia="仿宋_GB2312" w:cs="仿宋_GB2312"/>
                <w:color w:val="000000"/>
                <w:sz w:val="21"/>
                <w:szCs w:val="21"/>
                <w:highlight w:val="none"/>
              </w:rPr>
            </w:pPr>
          </w:p>
        </w:tc>
      </w:tr>
      <w:tr w14:paraId="2091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3EEC497A">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restart"/>
            <w:vAlign w:val="center"/>
          </w:tcPr>
          <w:p w14:paraId="37F9CF25">
            <w:pPr>
              <w:ind w:firstLine="420" w:firstLineChars="200"/>
              <w:jc w:val="center"/>
              <w:rPr>
                <w:rFonts w:hint="eastAsia" w:ascii="仿宋_GB2312" w:hAnsi="仿宋_GB2312" w:eastAsia="仿宋_GB2312" w:cs="仿宋_GB2312"/>
                <w:color w:val="000000"/>
                <w:sz w:val="21"/>
                <w:szCs w:val="21"/>
                <w:highlight w:val="none"/>
              </w:rPr>
            </w:pPr>
          </w:p>
          <w:p w14:paraId="0B10CD97">
            <w:pPr>
              <w:ind w:firstLine="420" w:firstLineChars="200"/>
              <w:jc w:val="center"/>
              <w:rPr>
                <w:rFonts w:hint="eastAsia" w:ascii="仿宋_GB2312" w:hAnsi="仿宋_GB2312" w:eastAsia="仿宋_GB2312" w:cs="仿宋_GB2312"/>
                <w:color w:val="000000"/>
                <w:sz w:val="21"/>
                <w:szCs w:val="21"/>
                <w:highlight w:val="none"/>
              </w:rPr>
            </w:pPr>
          </w:p>
          <w:p w14:paraId="3C7EDBAF">
            <w:pPr>
              <w:ind w:firstLine="420" w:firstLineChars="200"/>
              <w:jc w:val="center"/>
              <w:rPr>
                <w:rFonts w:hint="eastAsia" w:ascii="仿宋_GB2312" w:hAnsi="仿宋_GB2312" w:eastAsia="仿宋_GB2312" w:cs="仿宋_GB2312"/>
                <w:color w:val="000000"/>
                <w:sz w:val="21"/>
                <w:szCs w:val="21"/>
                <w:highlight w:val="none"/>
              </w:rPr>
            </w:pPr>
          </w:p>
          <w:p w14:paraId="4BE15619">
            <w:pPr>
              <w:ind w:firstLine="420" w:firstLineChars="200"/>
              <w:jc w:val="center"/>
              <w:rPr>
                <w:rFonts w:hint="eastAsia" w:ascii="仿宋_GB2312" w:hAnsi="仿宋_GB2312" w:eastAsia="仿宋_GB2312" w:cs="仿宋_GB2312"/>
                <w:color w:val="000000"/>
                <w:sz w:val="21"/>
                <w:szCs w:val="21"/>
                <w:highlight w:val="none"/>
              </w:rPr>
            </w:pPr>
          </w:p>
          <w:p w14:paraId="08FCA3C9">
            <w:pPr>
              <w:jc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运营服务合格率（最高扣50分）</w:t>
            </w:r>
          </w:p>
        </w:tc>
        <w:tc>
          <w:tcPr>
            <w:tcW w:w="5129" w:type="dxa"/>
            <w:vAlign w:val="center"/>
          </w:tcPr>
          <w:p w14:paraId="6A4AA2B5">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持证上岗，着装统一、仪表整洁</w:t>
            </w:r>
          </w:p>
        </w:tc>
        <w:tc>
          <w:tcPr>
            <w:tcW w:w="4441" w:type="dxa"/>
            <w:vAlign w:val="center"/>
          </w:tcPr>
          <w:p w14:paraId="413E66D1">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司乘人员未持证上岗、着装不规范的扣1分，最高扣5分</w:t>
            </w:r>
          </w:p>
        </w:tc>
        <w:tc>
          <w:tcPr>
            <w:tcW w:w="1276" w:type="dxa"/>
            <w:vAlign w:val="center"/>
          </w:tcPr>
          <w:p w14:paraId="089C7CAB">
            <w:pPr>
              <w:ind w:firstLine="420" w:firstLineChars="200"/>
              <w:jc w:val="center"/>
              <w:rPr>
                <w:rFonts w:hint="eastAsia" w:ascii="仿宋_GB2312" w:hAnsi="仿宋_GB2312" w:eastAsia="仿宋_GB2312" w:cs="仿宋_GB2312"/>
                <w:color w:val="000000"/>
                <w:sz w:val="21"/>
                <w:szCs w:val="21"/>
                <w:highlight w:val="none"/>
              </w:rPr>
            </w:pPr>
          </w:p>
        </w:tc>
      </w:tr>
      <w:tr w14:paraId="199B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281F2398">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47501680">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5DAA69B3">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文明用语，解答询问</w:t>
            </w:r>
          </w:p>
        </w:tc>
        <w:tc>
          <w:tcPr>
            <w:tcW w:w="4441" w:type="dxa"/>
            <w:vAlign w:val="center"/>
          </w:tcPr>
          <w:p w14:paraId="56A83315">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用语不文明，对乘客询问不解答的扣1分，最高扣5分</w:t>
            </w:r>
          </w:p>
        </w:tc>
        <w:tc>
          <w:tcPr>
            <w:tcW w:w="1276" w:type="dxa"/>
            <w:vAlign w:val="center"/>
          </w:tcPr>
          <w:p w14:paraId="66FDCABC">
            <w:pPr>
              <w:ind w:firstLine="420" w:firstLineChars="200"/>
              <w:jc w:val="center"/>
              <w:rPr>
                <w:rFonts w:hint="eastAsia" w:ascii="仿宋_GB2312" w:hAnsi="仿宋_GB2312" w:eastAsia="仿宋_GB2312" w:cs="仿宋_GB2312"/>
                <w:color w:val="000000"/>
                <w:sz w:val="21"/>
                <w:szCs w:val="21"/>
                <w:highlight w:val="none"/>
              </w:rPr>
            </w:pPr>
          </w:p>
        </w:tc>
      </w:tr>
      <w:tr w14:paraId="6089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35795E6D">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0A7130B5">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3F60316C">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主动照顾老幼病残孕等特殊人群</w:t>
            </w:r>
          </w:p>
        </w:tc>
        <w:tc>
          <w:tcPr>
            <w:tcW w:w="4441" w:type="dxa"/>
            <w:vAlign w:val="center"/>
          </w:tcPr>
          <w:p w14:paraId="4D2178FE">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未提醒照顾老幼病残孕等特殊人群的扣1分，最高扣5分</w:t>
            </w:r>
          </w:p>
        </w:tc>
        <w:tc>
          <w:tcPr>
            <w:tcW w:w="1276" w:type="dxa"/>
            <w:vAlign w:val="center"/>
          </w:tcPr>
          <w:p w14:paraId="0C4D19F5">
            <w:pPr>
              <w:ind w:firstLine="420" w:firstLineChars="200"/>
              <w:jc w:val="center"/>
              <w:rPr>
                <w:rFonts w:hint="eastAsia" w:ascii="仿宋_GB2312" w:hAnsi="仿宋_GB2312" w:eastAsia="仿宋_GB2312" w:cs="仿宋_GB2312"/>
                <w:color w:val="000000"/>
                <w:sz w:val="21"/>
                <w:szCs w:val="21"/>
                <w:highlight w:val="none"/>
              </w:rPr>
            </w:pPr>
          </w:p>
        </w:tc>
      </w:tr>
      <w:tr w14:paraId="3AF3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316CF928">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7E1CD926">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249E85E4">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按照规定开启空调</w:t>
            </w:r>
          </w:p>
        </w:tc>
        <w:tc>
          <w:tcPr>
            <w:tcW w:w="4441" w:type="dxa"/>
            <w:vAlign w:val="center"/>
          </w:tcPr>
          <w:p w14:paraId="6ADB0CC0">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未按照规定开启空调的扣1分，最高扣5分</w:t>
            </w:r>
          </w:p>
        </w:tc>
        <w:tc>
          <w:tcPr>
            <w:tcW w:w="1276" w:type="dxa"/>
            <w:vAlign w:val="center"/>
          </w:tcPr>
          <w:p w14:paraId="568628CA">
            <w:pPr>
              <w:ind w:firstLine="420" w:firstLineChars="200"/>
              <w:jc w:val="center"/>
              <w:rPr>
                <w:rFonts w:hint="eastAsia" w:ascii="仿宋_GB2312" w:hAnsi="仿宋_GB2312" w:eastAsia="仿宋_GB2312" w:cs="仿宋_GB2312"/>
                <w:color w:val="000000"/>
                <w:sz w:val="21"/>
                <w:szCs w:val="21"/>
                <w:highlight w:val="none"/>
              </w:rPr>
            </w:pPr>
          </w:p>
        </w:tc>
      </w:tr>
      <w:tr w14:paraId="305C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53FA010B">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4CF0E189">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12F8F413">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按照规定线路和站点运营，无擅自改道行驶、越站甩客</w:t>
            </w:r>
          </w:p>
        </w:tc>
        <w:tc>
          <w:tcPr>
            <w:tcW w:w="4441" w:type="dxa"/>
            <w:vAlign w:val="center"/>
          </w:tcPr>
          <w:p w14:paraId="40CEC64F">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未按照规定线路和站点运营，出现擅自改道行驶、越站甩客的每处扣1分，最高扣5分</w:t>
            </w:r>
          </w:p>
        </w:tc>
        <w:tc>
          <w:tcPr>
            <w:tcW w:w="1276" w:type="dxa"/>
            <w:vAlign w:val="center"/>
          </w:tcPr>
          <w:p w14:paraId="66021A2B">
            <w:pPr>
              <w:ind w:firstLine="420" w:firstLineChars="200"/>
              <w:jc w:val="center"/>
              <w:rPr>
                <w:rFonts w:hint="eastAsia" w:ascii="仿宋_GB2312" w:hAnsi="仿宋_GB2312" w:eastAsia="仿宋_GB2312" w:cs="仿宋_GB2312"/>
                <w:color w:val="000000"/>
                <w:sz w:val="21"/>
                <w:szCs w:val="21"/>
                <w:highlight w:val="none"/>
              </w:rPr>
            </w:pPr>
          </w:p>
        </w:tc>
      </w:tr>
      <w:tr w14:paraId="2FFB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6F9B35ED">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3BA2D671">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3F6946D4">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车辆进站停靠规范</w:t>
            </w:r>
          </w:p>
        </w:tc>
        <w:tc>
          <w:tcPr>
            <w:tcW w:w="4441" w:type="dxa"/>
            <w:vAlign w:val="center"/>
          </w:tcPr>
          <w:p w14:paraId="42560B34">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未按照进站停靠，出现抢</w:t>
            </w:r>
            <w:r>
              <w:rPr>
                <w:rFonts w:hint="eastAsia" w:ascii="仿宋_GB2312" w:hAnsi="仿宋_GB2312" w:cs="仿宋_GB2312"/>
                <w:color w:val="000000"/>
                <w:sz w:val="21"/>
                <w:szCs w:val="21"/>
                <w:highlight w:val="none"/>
                <w:lang w:eastAsia="zh-CN"/>
              </w:rPr>
              <w:t>道</w:t>
            </w:r>
            <w:r>
              <w:rPr>
                <w:rFonts w:hint="eastAsia" w:ascii="仿宋_GB2312" w:hAnsi="仿宋_GB2312" w:eastAsia="仿宋_GB2312" w:cs="仿宋_GB2312"/>
                <w:color w:val="000000"/>
                <w:sz w:val="21"/>
                <w:szCs w:val="21"/>
                <w:highlight w:val="none"/>
              </w:rPr>
              <w:t>、翘头并尾、双排并停的现象扣1分，最高扣5分</w:t>
            </w:r>
          </w:p>
        </w:tc>
        <w:tc>
          <w:tcPr>
            <w:tcW w:w="1276" w:type="dxa"/>
            <w:vAlign w:val="center"/>
          </w:tcPr>
          <w:p w14:paraId="74194DD7">
            <w:pPr>
              <w:ind w:firstLine="420" w:firstLineChars="200"/>
              <w:jc w:val="center"/>
              <w:rPr>
                <w:rFonts w:hint="eastAsia" w:ascii="仿宋_GB2312" w:hAnsi="仿宋_GB2312" w:eastAsia="仿宋_GB2312" w:cs="仿宋_GB2312"/>
                <w:color w:val="000000"/>
                <w:sz w:val="21"/>
                <w:szCs w:val="21"/>
                <w:highlight w:val="none"/>
              </w:rPr>
            </w:pPr>
          </w:p>
        </w:tc>
      </w:tr>
      <w:tr w14:paraId="6A5B1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55A51B32">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65EEBDA7">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391C73E0">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出站关门起步</w:t>
            </w:r>
          </w:p>
        </w:tc>
        <w:tc>
          <w:tcPr>
            <w:tcW w:w="4441" w:type="dxa"/>
            <w:vAlign w:val="center"/>
          </w:tcPr>
          <w:p w14:paraId="1DEB5C24">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出现未关门起步的扣1分，最高扣5分</w:t>
            </w:r>
          </w:p>
        </w:tc>
        <w:tc>
          <w:tcPr>
            <w:tcW w:w="1276" w:type="dxa"/>
            <w:vAlign w:val="center"/>
          </w:tcPr>
          <w:p w14:paraId="7B408D87">
            <w:pPr>
              <w:ind w:firstLine="420" w:firstLineChars="200"/>
              <w:jc w:val="center"/>
              <w:rPr>
                <w:rFonts w:hint="eastAsia" w:ascii="仿宋_GB2312" w:hAnsi="仿宋_GB2312" w:eastAsia="仿宋_GB2312" w:cs="仿宋_GB2312"/>
                <w:color w:val="000000"/>
                <w:sz w:val="21"/>
                <w:szCs w:val="21"/>
                <w:highlight w:val="none"/>
              </w:rPr>
            </w:pPr>
          </w:p>
        </w:tc>
      </w:tr>
      <w:tr w14:paraId="1514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0" w:hRule="atLeast"/>
          <w:tblHeader/>
          <w:jc w:val="center"/>
        </w:trPr>
        <w:tc>
          <w:tcPr>
            <w:tcW w:w="1421" w:type="dxa"/>
            <w:vMerge w:val="continue"/>
            <w:vAlign w:val="center"/>
          </w:tcPr>
          <w:p w14:paraId="7DD42CF0">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05390E00">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67FF40B3">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驾驶员工作时无吸烟、打手机、聊天等现象</w:t>
            </w:r>
          </w:p>
        </w:tc>
        <w:tc>
          <w:tcPr>
            <w:tcW w:w="4441" w:type="dxa"/>
            <w:vAlign w:val="center"/>
          </w:tcPr>
          <w:p w14:paraId="0611C408">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驾驶员工作时发生吸烟、打手机、聊天中一项的扣1分，最高扣5分</w:t>
            </w:r>
          </w:p>
        </w:tc>
        <w:tc>
          <w:tcPr>
            <w:tcW w:w="1276" w:type="dxa"/>
            <w:vAlign w:val="center"/>
          </w:tcPr>
          <w:p w14:paraId="29C34C8D">
            <w:pPr>
              <w:ind w:firstLine="420" w:firstLineChars="200"/>
              <w:jc w:val="center"/>
              <w:rPr>
                <w:rFonts w:hint="eastAsia" w:ascii="仿宋_GB2312" w:hAnsi="仿宋_GB2312" w:eastAsia="仿宋_GB2312" w:cs="仿宋_GB2312"/>
                <w:color w:val="000000"/>
                <w:sz w:val="21"/>
                <w:szCs w:val="21"/>
                <w:highlight w:val="none"/>
              </w:rPr>
            </w:pPr>
          </w:p>
        </w:tc>
      </w:tr>
      <w:tr w14:paraId="7BEE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blHeader/>
          <w:jc w:val="center"/>
        </w:trPr>
        <w:tc>
          <w:tcPr>
            <w:tcW w:w="1421" w:type="dxa"/>
            <w:vMerge w:val="continue"/>
            <w:vAlign w:val="center"/>
          </w:tcPr>
          <w:p w14:paraId="2D52EC34">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616E73C9">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021957AA">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斑马线文明礼让</w:t>
            </w:r>
          </w:p>
        </w:tc>
        <w:tc>
          <w:tcPr>
            <w:tcW w:w="4441" w:type="dxa"/>
            <w:vAlign w:val="center"/>
          </w:tcPr>
          <w:p w14:paraId="5E443E60">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斑马线不礼让行人的扣1分，最高扣5分</w:t>
            </w:r>
          </w:p>
        </w:tc>
        <w:tc>
          <w:tcPr>
            <w:tcW w:w="1276" w:type="dxa"/>
            <w:vAlign w:val="center"/>
          </w:tcPr>
          <w:p w14:paraId="67F1B454">
            <w:pPr>
              <w:ind w:firstLine="420" w:firstLineChars="200"/>
              <w:jc w:val="center"/>
              <w:rPr>
                <w:rFonts w:hint="eastAsia" w:ascii="仿宋_GB2312" w:hAnsi="仿宋_GB2312" w:eastAsia="仿宋_GB2312" w:cs="仿宋_GB2312"/>
                <w:color w:val="000000"/>
                <w:sz w:val="21"/>
                <w:szCs w:val="21"/>
                <w:highlight w:val="none"/>
              </w:rPr>
            </w:pPr>
          </w:p>
        </w:tc>
      </w:tr>
      <w:tr w14:paraId="0F93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36C092B7">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44904852">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65DB51B0">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车辆行驶无超速、违规超车、抢</w:t>
            </w:r>
            <w:r>
              <w:rPr>
                <w:rFonts w:hint="eastAsia" w:ascii="仿宋_GB2312" w:hAnsi="仿宋_GB2312" w:cs="仿宋_GB2312"/>
                <w:color w:val="000000"/>
                <w:sz w:val="21"/>
                <w:szCs w:val="21"/>
                <w:highlight w:val="none"/>
                <w:lang w:eastAsia="zh-CN"/>
              </w:rPr>
              <w:t>道</w:t>
            </w:r>
            <w:bookmarkStart w:id="55" w:name="_GoBack"/>
            <w:bookmarkEnd w:id="55"/>
            <w:r>
              <w:rPr>
                <w:rFonts w:hint="eastAsia" w:ascii="仿宋_GB2312" w:hAnsi="仿宋_GB2312" w:eastAsia="仿宋_GB2312" w:cs="仿宋_GB2312"/>
                <w:color w:val="000000"/>
                <w:sz w:val="21"/>
                <w:szCs w:val="21"/>
                <w:highlight w:val="none"/>
              </w:rPr>
              <w:t>行为</w:t>
            </w:r>
          </w:p>
        </w:tc>
        <w:tc>
          <w:tcPr>
            <w:tcW w:w="4441" w:type="dxa"/>
            <w:shd w:val="clear" w:color="auto" w:fill="auto"/>
            <w:vAlign w:val="center"/>
          </w:tcPr>
          <w:p w14:paraId="34903328">
            <w:pPr>
              <w:rPr>
                <w:rFonts w:hint="eastAsia" w:ascii="仿宋_GB2312" w:hAnsi="仿宋_GB2312" w:eastAsia="仿宋_GB2312" w:cs="仿宋_GB2312"/>
                <w:color w:val="000000"/>
                <w:kern w:val="2"/>
                <w:sz w:val="21"/>
                <w:szCs w:val="21"/>
                <w:highlight w:val="none"/>
                <w:lang w:val="en-US" w:eastAsia="zh-CN" w:bidi="ar-SA"/>
              </w:rPr>
            </w:pPr>
            <w:r>
              <w:rPr>
                <w:rFonts w:hint="eastAsia" w:ascii="仿宋_GB2312" w:hAnsi="仿宋_GB2312" w:eastAsia="仿宋_GB2312" w:cs="仿宋_GB2312"/>
                <w:color w:val="000000"/>
                <w:sz w:val="21"/>
                <w:szCs w:val="21"/>
                <w:highlight w:val="none"/>
              </w:rPr>
              <w:t>车辆行驶中出</w:t>
            </w:r>
            <w:r>
              <w:rPr>
                <w:rFonts w:hint="eastAsia" w:ascii="仿宋_GB2312" w:hAnsi="仿宋_GB2312" w:cs="仿宋_GB2312"/>
                <w:color w:val="000000"/>
                <w:sz w:val="21"/>
                <w:szCs w:val="21"/>
                <w:highlight w:val="none"/>
                <w:lang w:eastAsia="zh-CN"/>
              </w:rPr>
              <w:t>现</w:t>
            </w:r>
            <w:r>
              <w:rPr>
                <w:rFonts w:hint="eastAsia" w:ascii="仿宋_GB2312" w:hAnsi="仿宋_GB2312" w:eastAsia="仿宋_GB2312" w:cs="仿宋_GB2312"/>
                <w:color w:val="000000"/>
                <w:sz w:val="21"/>
                <w:szCs w:val="21"/>
                <w:highlight w:val="none"/>
              </w:rPr>
              <w:t>超速、违规超车、抢</w:t>
            </w:r>
            <w:r>
              <w:rPr>
                <w:rFonts w:hint="eastAsia" w:ascii="仿宋_GB2312" w:hAnsi="仿宋_GB2312" w:cs="仿宋_GB2312"/>
                <w:color w:val="000000"/>
                <w:sz w:val="21"/>
                <w:szCs w:val="21"/>
                <w:highlight w:val="none"/>
                <w:lang w:eastAsia="zh-CN"/>
              </w:rPr>
              <w:t>道</w:t>
            </w:r>
            <w:r>
              <w:rPr>
                <w:rFonts w:hint="eastAsia" w:ascii="仿宋_GB2312" w:hAnsi="仿宋_GB2312" w:eastAsia="仿宋_GB2312" w:cs="仿宋_GB2312"/>
                <w:color w:val="000000"/>
                <w:sz w:val="21"/>
                <w:szCs w:val="21"/>
                <w:highlight w:val="none"/>
              </w:rPr>
              <w:t>行为的扣1分，最高扣5分</w:t>
            </w:r>
            <w:r>
              <w:rPr>
                <w:rFonts w:hint="eastAsia" w:ascii="仿宋_GB2312" w:hAnsi="仿宋_GB2312" w:eastAsia="仿宋_GB2312" w:cs="仿宋_GB2312"/>
                <w:color w:val="FF0000"/>
                <w:sz w:val="21"/>
                <w:szCs w:val="21"/>
                <w:highlight w:val="none"/>
                <w:lang w:eastAsia="zh-CN"/>
              </w:rPr>
              <w:t>（</w:t>
            </w:r>
            <w:r>
              <w:rPr>
                <w:rFonts w:hint="eastAsia" w:ascii="仿宋_GB2312" w:hAnsi="仿宋_GB2312" w:eastAsia="仿宋_GB2312" w:cs="仿宋_GB2312"/>
                <w:color w:val="FF0000"/>
                <w:sz w:val="21"/>
                <w:szCs w:val="21"/>
                <w:highlight w:val="none"/>
                <w:lang w:val="en-US" w:eastAsia="zh-CN"/>
              </w:rPr>
              <w:t>由扣1分改为扣5分，取消扣分上限</w:t>
            </w:r>
            <w:r>
              <w:rPr>
                <w:rFonts w:hint="eastAsia" w:ascii="仿宋_GB2312" w:hAnsi="仿宋_GB2312" w:eastAsia="仿宋_GB2312" w:cs="仿宋_GB2312"/>
                <w:color w:val="FF0000"/>
                <w:sz w:val="21"/>
                <w:szCs w:val="21"/>
                <w:highlight w:val="none"/>
                <w:lang w:eastAsia="zh-CN"/>
              </w:rPr>
              <w:t>）</w:t>
            </w:r>
          </w:p>
        </w:tc>
        <w:tc>
          <w:tcPr>
            <w:tcW w:w="1276" w:type="dxa"/>
            <w:vAlign w:val="center"/>
          </w:tcPr>
          <w:p w14:paraId="0059607D">
            <w:pPr>
              <w:ind w:firstLine="420" w:firstLineChars="200"/>
              <w:jc w:val="center"/>
              <w:rPr>
                <w:rFonts w:hint="eastAsia" w:ascii="仿宋_GB2312" w:hAnsi="仿宋_GB2312" w:eastAsia="仿宋_GB2312" w:cs="仿宋_GB2312"/>
                <w:color w:val="000000"/>
                <w:sz w:val="21"/>
                <w:szCs w:val="21"/>
                <w:highlight w:val="none"/>
              </w:rPr>
            </w:pPr>
          </w:p>
        </w:tc>
      </w:tr>
      <w:tr w14:paraId="6D67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1D83289E">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restart"/>
            <w:vAlign w:val="center"/>
          </w:tcPr>
          <w:p w14:paraId="37D362E0">
            <w:pPr>
              <w:ind w:firstLine="420" w:firstLineChars="200"/>
              <w:jc w:val="center"/>
              <w:rPr>
                <w:rFonts w:hint="eastAsia" w:ascii="仿宋_GB2312" w:hAnsi="仿宋_GB2312" w:eastAsia="仿宋_GB2312" w:cs="仿宋_GB2312"/>
                <w:color w:val="000000"/>
                <w:sz w:val="21"/>
                <w:szCs w:val="21"/>
                <w:highlight w:val="none"/>
              </w:rPr>
            </w:pPr>
          </w:p>
          <w:p w14:paraId="1D38C0C9">
            <w:pPr>
              <w:jc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车辆整洁合格率（最高扣50分）</w:t>
            </w:r>
          </w:p>
        </w:tc>
        <w:tc>
          <w:tcPr>
            <w:tcW w:w="5129" w:type="dxa"/>
            <w:vAlign w:val="center"/>
          </w:tcPr>
          <w:p w14:paraId="60463ED9">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车身外表整洁完好，无损坏、无污迹、尘土</w:t>
            </w:r>
          </w:p>
        </w:tc>
        <w:tc>
          <w:tcPr>
            <w:tcW w:w="4441" w:type="dxa"/>
            <w:vAlign w:val="center"/>
          </w:tcPr>
          <w:p w14:paraId="4D77E62E">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车身外表破损、有污渍的每处扣1分，最高扣5分</w:t>
            </w:r>
          </w:p>
        </w:tc>
        <w:tc>
          <w:tcPr>
            <w:tcW w:w="1276" w:type="dxa"/>
            <w:vAlign w:val="center"/>
          </w:tcPr>
          <w:p w14:paraId="16328099">
            <w:pPr>
              <w:ind w:firstLine="420" w:firstLineChars="200"/>
              <w:jc w:val="center"/>
              <w:rPr>
                <w:rFonts w:hint="eastAsia" w:ascii="仿宋_GB2312" w:hAnsi="仿宋_GB2312" w:eastAsia="仿宋_GB2312" w:cs="仿宋_GB2312"/>
                <w:color w:val="000000"/>
                <w:sz w:val="21"/>
                <w:szCs w:val="21"/>
                <w:highlight w:val="none"/>
              </w:rPr>
            </w:pPr>
          </w:p>
        </w:tc>
      </w:tr>
      <w:tr w14:paraId="3BD7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6B21EC30">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1692E3D0">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33D47793">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头灯、尾灯、方向灯齐全有效</w:t>
            </w:r>
          </w:p>
        </w:tc>
        <w:tc>
          <w:tcPr>
            <w:tcW w:w="4441" w:type="dxa"/>
            <w:vAlign w:val="center"/>
          </w:tcPr>
          <w:p w14:paraId="27844F70">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头灯、尾灯、方向灯出现故障的每处扣2分，最高扣10分</w:t>
            </w:r>
          </w:p>
        </w:tc>
        <w:tc>
          <w:tcPr>
            <w:tcW w:w="1276" w:type="dxa"/>
            <w:vAlign w:val="center"/>
          </w:tcPr>
          <w:p w14:paraId="242570ED">
            <w:pPr>
              <w:ind w:firstLine="420" w:firstLineChars="200"/>
              <w:jc w:val="center"/>
              <w:rPr>
                <w:rFonts w:hint="eastAsia" w:ascii="仿宋_GB2312" w:hAnsi="仿宋_GB2312" w:eastAsia="仿宋_GB2312" w:cs="仿宋_GB2312"/>
                <w:color w:val="000000"/>
                <w:sz w:val="21"/>
                <w:szCs w:val="21"/>
                <w:highlight w:val="none"/>
              </w:rPr>
            </w:pPr>
          </w:p>
        </w:tc>
      </w:tr>
      <w:tr w14:paraId="01B6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4BAEFB95">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762559DC">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1E2ACF05">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车厢内清洁，无尘土，无积水，无杂物</w:t>
            </w:r>
          </w:p>
        </w:tc>
        <w:tc>
          <w:tcPr>
            <w:tcW w:w="4441" w:type="dxa"/>
            <w:vAlign w:val="center"/>
          </w:tcPr>
          <w:p w14:paraId="08AD66DA">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车厢内发现垃圾、尘土、积水等情况的每处扣0.5分，最高扣10分</w:t>
            </w:r>
          </w:p>
        </w:tc>
        <w:tc>
          <w:tcPr>
            <w:tcW w:w="1276" w:type="dxa"/>
            <w:vAlign w:val="center"/>
          </w:tcPr>
          <w:p w14:paraId="5D53E6D7">
            <w:pPr>
              <w:ind w:firstLine="420" w:firstLineChars="200"/>
              <w:jc w:val="center"/>
              <w:rPr>
                <w:rFonts w:hint="eastAsia" w:ascii="仿宋_GB2312" w:hAnsi="仿宋_GB2312" w:eastAsia="仿宋_GB2312" w:cs="仿宋_GB2312"/>
                <w:color w:val="000000"/>
                <w:sz w:val="21"/>
                <w:szCs w:val="21"/>
                <w:highlight w:val="none"/>
              </w:rPr>
            </w:pPr>
          </w:p>
        </w:tc>
      </w:tr>
      <w:tr w14:paraId="5228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20C6A9F7">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1815800A">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4993A18B">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座椅、扶手无尘土、无污水、无杂物</w:t>
            </w:r>
          </w:p>
        </w:tc>
        <w:tc>
          <w:tcPr>
            <w:tcW w:w="4441" w:type="dxa"/>
            <w:vAlign w:val="center"/>
          </w:tcPr>
          <w:p w14:paraId="66B36EC1">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座椅、扶手现垃圾、尘土、积水等情况每处扣0.5分，最高扣5分</w:t>
            </w:r>
          </w:p>
        </w:tc>
        <w:tc>
          <w:tcPr>
            <w:tcW w:w="1276" w:type="dxa"/>
            <w:vAlign w:val="center"/>
          </w:tcPr>
          <w:p w14:paraId="5E4561A4">
            <w:pPr>
              <w:ind w:firstLine="420" w:firstLineChars="200"/>
              <w:jc w:val="center"/>
              <w:rPr>
                <w:rFonts w:hint="eastAsia" w:ascii="仿宋_GB2312" w:hAnsi="仿宋_GB2312" w:eastAsia="仿宋_GB2312" w:cs="仿宋_GB2312"/>
                <w:color w:val="000000"/>
                <w:sz w:val="21"/>
                <w:szCs w:val="21"/>
                <w:highlight w:val="none"/>
              </w:rPr>
            </w:pPr>
          </w:p>
        </w:tc>
      </w:tr>
      <w:tr w14:paraId="4CAC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13DEF98A">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720BA0FF">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1E8FB5F5">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车窗清洁明亮，车厢内壁无污垢</w:t>
            </w:r>
          </w:p>
        </w:tc>
        <w:tc>
          <w:tcPr>
            <w:tcW w:w="4441" w:type="dxa"/>
            <w:vAlign w:val="center"/>
          </w:tcPr>
          <w:p w14:paraId="164DA50B">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车窗、车厢内壁有污垢的每处扣0.5分，最高扣10分</w:t>
            </w:r>
          </w:p>
        </w:tc>
        <w:tc>
          <w:tcPr>
            <w:tcW w:w="1276" w:type="dxa"/>
            <w:vAlign w:val="center"/>
          </w:tcPr>
          <w:p w14:paraId="3C82BD4C">
            <w:pPr>
              <w:ind w:firstLine="420" w:firstLineChars="200"/>
              <w:jc w:val="center"/>
              <w:rPr>
                <w:rFonts w:hint="eastAsia" w:ascii="仿宋_GB2312" w:hAnsi="仿宋_GB2312" w:eastAsia="仿宋_GB2312" w:cs="仿宋_GB2312"/>
                <w:color w:val="000000"/>
                <w:sz w:val="21"/>
                <w:szCs w:val="21"/>
                <w:highlight w:val="none"/>
              </w:rPr>
            </w:pPr>
          </w:p>
        </w:tc>
      </w:tr>
      <w:tr w14:paraId="4217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21" w:type="dxa"/>
            <w:vMerge w:val="continue"/>
            <w:vAlign w:val="center"/>
          </w:tcPr>
          <w:p w14:paraId="4B43A3CB">
            <w:pPr>
              <w:ind w:firstLine="420" w:firstLineChars="200"/>
              <w:jc w:val="center"/>
              <w:rPr>
                <w:rFonts w:hint="eastAsia" w:ascii="仿宋_GB2312" w:hAnsi="仿宋_GB2312" w:eastAsia="仿宋_GB2312" w:cs="仿宋_GB2312"/>
                <w:color w:val="000000"/>
                <w:sz w:val="21"/>
                <w:szCs w:val="21"/>
                <w:highlight w:val="none"/>
              </w:rPr>
            </w:pPr>
          </w:p>
        </w:tc>
        <w:tc>
          <w:tcPr>
            <w:tcW w:w="2265" w:type="dxa"/>
            <w:vMerge w:val="continue"/>
            <w:vAlign w:val="center"/>
          </w:tcPr>
          <w:p w14:paraId="1C17ACFA">
            <w:pPr>
              <w:ind w:firstLine="420" w:firstLineChars="200"/>
              <w:jc w:val="center"/>
              <w:rPr>
                <w:rFonts w:hint="eastAsia" w:ascii="仿宋_GB2312" w:hAnsi="仿宋_GB2312" w:eastAsia="仿宋_GB2312" w:cs="仿宋_GB2312"/>
                <w:color w:val="000000"/>
                <w:sz w:val="21"/>
                <w:szCs w:val="21"/>
                <w:highlight w:val="none"/>
              </w:rPr>
            </w:pPr>
          </w:p>
        </w:tc>
        <w:tc>
          <w:tcPr>
            <w:tcW w:w="5129" w:type="dxa"/>
            <w:vAlign w:val="center"/>
          </w:tcPr>
          <w:p w14:paraId="3AE52779">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车内广告发布规范，广告设施牢固、画面整洁</w:t>
            </w:r>
          </w:p>
        </w:tc>
        <w:tc>
          <w:tcPr>
            <w:tcW w:w="4441" w:type="dxa"/>
            <w:vAlign w:val="center"/>
          </w:tcPr>
          <w:p w14:paraId="0D1DC5FC">
            <w:pP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广告画面松脱破损的，每处扣1分，最高扣10分</w:t>
            </w:r>
          </w:p>
        </w:tc>
        <w:tc>
          <w:tcPr>
            <w:tcW w:w="1276" w:type="dxa"/>
            <w:vAlign w:val="center"/>
          </w:tcPr>
          <w:p w14:paraId="784E0DB2">
            <w:pPr>
              <w:ind w:firstLine="420" w:firstLineChars="200"/>
              <w:jc w:val="center"/>
              <w:rPr>
                <w:rFonts w:hint="eastAsia" w:ascii="仿宋_GB2312" w:hAnsi="仿宋_GB2312" w:eastAsia="仿宋_GB2312" w:cs="仿宋_GB2312"/>
                <w:color w:val="000000"/>
                <w:sz w:val="21"/>
                <w:szCs w:val="21"/>
                <w:highlight w:val="none"/>
              </w:rPr>
            </w:pPr>
          </w:p>
        </w:tc>
      </w:tr>
      <w:tr w14:paraId="0208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4" w:hRule="atLeast"/>
          <w:tblHeader/>
          <w:jc w:val="center"/>
        </w:trPr>
        <w:tc>
          <w:tcPr>
            <w:tcW w:w="1421" w:type="dxa"/>
            <w:vMerge w:val="continue"/>
            <w:vAlign w:val="center"/>
          </w:tcPr>
          <w:p w14:paraId="71856905">
            <w:pPr>
              <w:ind w:firstLine="420" w:firstLineChars="200"/>
              <w:jc w:val="center"/>
              <w:rPr>
                <w:rFonts w:hint="eastAsia" w:ascii="仿宋_GB2312" w:hAnsi="仿宋_GB2312" w:eastAsia="仿宋_GB2312" w:cs="仿宋_GB2312"/>
                <w:color w:val="000000"/>
                <w:sz w:val="21"/>
                <w:szCs w:val="21"/>
                <w:highlight w:val="none"/>
              </w:rPr>
            </w:pPr>
          </w:p>
        </w:tc>
        <w:tc>
          <w:tcPr>
            <w:tcW w:w="11835" w:type="dxa"/>
            <w:gridSpan w:val="3"/>
            <w:vAlign w:val="center"/>
          </w:tcPr>
          <w:p w14:paraId="024EF996">
            <w:pPr>
              <w:ind w:firstLine="420" w:firstLineChars="200"/>
              <w:jc w:val="center"/>
              <w:rPr>
                <w:rFonts w:hint="eastAsia" w:ascii="仿宋_GB2312" w:hAnsi="仿宋_GB2312" w:eastAsia="仿宋_GB2312" w:cs="仿宋_GB2312"/>
                <w:color w:val="000000"/>
                <w:kern w:val="0"/>
                <w:sz w:val="21"/>
                <w:szCs w:val="21"/>
                <w:highlight w:val="none"/>
              </w:rPr>
            </w:pPr>
            <w:r>
              <w:rPr>
                <w:rFonts w:hint="eastAsia" w:ascii="仿宋_GB2312" w:hAnsi="仿宋_GB2312" w:eastAsia="仿宋_GB2312" w:cs="仿宋_GB2312"/>
                <w:bCs/>
                <w:color w:val="000000"/>
                <w:sz w:val="21"/>
                <w:szCs w:val="21"/>
                <w:highlight w:val="none"/>
              </w:rPr>
              <w:t>日常质量指标成绩</w:t>
            </w:r>
          </w:p>
        </w:tc>
        <w:tc>
          <w:tcPr>
            <w:tcW w:w="1276" w:type="dxa"/>
            <w:vAlign w:val="center"/>
          </w:tcPr>
          <w:p w14:paraId="64004F99">
            <w:pPr>
              <w:ind w:firstLine="420" w:firstLineChars="200"/>
              <w:jc w:val="center"/>
              <w:rPr>
                <w:rFonts w:hint="eastAsia" w:ascii="仿宋_GB2312" w:hAnsi="仿宋_GB2312" w:eastAsia="仿宋_GB2312" w:cs="仿宋_GB2312"/>
                <w:color w:val="000000"/>
                <w:kern w:val="0"/>
                <w:sz w:val="21"/>
                <w:szCs w:val="21"/>
                <w:highlight w:val="none"/>
              </w:rPr>
            </w:pPr>
          </w:p>
        </w:tc>
      </w:tr>
    </w:tbl>
    <w:p w14:paraId="45AEF949">
      <w:pPr>
        <w:rPr>
          <w:rFonts w:hint="eastAsia" w:ascii="仿宋_GB2312" w:hAnsi="仿宋_GB2312" w:eastAsia="仿宋_GB2312" w:cs="仿宋_GB2312"/>
          <w:bCs/>
          <w:color w:val="000000"/>
          <w:szCs w:val="32"/>
          <w:highlight w:val="none"/>
        </w:rPr>
        <w:sectPr>
          <w:pgSz w:w="16838" w:h="11906" w:orient="landscape"/>
          <w:pgMar w:top="1800" w:right="1440" w:bottom="1800" w:left="1440" w:header="851" w:footer="992" w:gutter="0"/>
          <w:cols w:space="425" w:num="1"/>
          <w:docGrid w:type="lines" w:linePitch="435" w:charSpace="0"/>
        </w:sectPr>
      </w:pPr>
    </w:p>
    <w:p w14:paraId="5BB0B344">
      <w:pPr>
        <w:ind w:firstLine="640" w:firstLineChars="200"/>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附件（3）</w:t>
      </w:r>
    </w:p>
    <w:p w14:paraId="2B957F01">
      <w:pPr>
        <w:ind w:firstLine="560" w:firstLineChars="20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运营服务质量年度考核评分标准及计分方法</w:t>
      </w:r>
    </w:p>
    <w:p w14:paraId="03BB94A3">
      <w:pPr>
        <w:ind w:firstLine="560" w:firstLineChars="200"/>
        <w:jc w:val="center"/>
        <w:rPr>
          <w:rFonts w:hint="eastAsia" w:ascii="仿宋_GB2312" w:hAnsi="仿宋_GB2312" w:eastAsia="仿宋_GB2312" w:cs="仿宋_GB2312"/>
          <w:color w:val="000000"/>
          <w:sz w:val="28"/>
          <w:szCs w:val="28"/>
          <w:highlight w:val="none"/>
        </w:rPr>
      </w:pPr>
    </w:p>
    <w:tbl>
      <w:tblPr>
        <w:tblStyle w:val="5"/>
        <w:tblW w:w="15310"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2205"/>
        <w:gridCol w:w="3891"/>
        <w:gridCol w:w="6520"/>
        <w:gridCol w:w="1276"/>
      </w:tblGrid>
      <w:tr w14:paraId="1A6B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4" w:hRule="atLeast"/>
          <w:tblHeader/>
        </w:trPr>
        <w:tc>
          <w:tcPr>
            <w:tcW w:w="1418" w:type="dxa"/>
            <w:tcBorders>
              <w:top w:val="single" w:color="auto" w:sz="4" w:space="0"/>
              <w:left w:val="single" w:color="auto" w:sz="4" w:space="0"/>
              <w:bottom w:val="single" w:color="auto" w:sz="4" w:space="0"/>
              <w:right w:val="single" w:color="auto" w:sz="4" w:space="0"/>
            </w:tcBorders>
            <w:vAlign w:val="center"/>
          </w:tcPr>
          <w:p w14:paraId="7A428F68">
            <w:pPr>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考核内容</w:t>
            </w:r>
          </w:p>
        </w:tc>
        <w:tc>
          <w:tcPr>
            <w:tcW w:w="2205" w:type="dxa"/>
            <w:tcBorders>
              <w:top w:val="single" w:color="auto" w:sz="4" w:space="0"/>
              <w:left w:val="single" w:color="auto" w:sz="4" w:space="0"/>
              <w:bottom w:val="single" w:color="auto" w:sz="4" w:space="0"/>
              <w:right w:val="single" w:color="auto" w:sz="4" w:space="0"/>
            </w:tcBorders>
            <w:vAlign w:val="center"/>
          </w:tcPr>
          <w:p w14:paraId="676A9D75">
            <w:pPr>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指标名称</w:t>
            </w:r>
          </w:p>
        </w:tc>
        <w:tc>
          <w:tcPr>
            <w:tcW w:w="3891" w:type="dxa"/>
            <w:tcBorders>
              <w:top w:val="single" w:color="auto" w:sz="4" w:space="0"/>
              <w:left w:val="single" w:color="auto" w:sz="4" w:space="0"/>
              <w:bottom w:val="single" w:color="auto" w:sz="4" w:space="0"/>
              <w:right w:val="single" w:color="auto" w:sz="4" w:space="0"/>
            </w:tcBorders>
            <w:vAlign w:val="center"/>
          </w:tcPr>
          <w:p w14:paraId="3C7BF1E5">
            <w:pPr>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考核标准</w:t>
            </w:r>
          </w:p>
        </w:tc>
        <w:tc>
          <w:tcPr>
            <w:tcW w:w="6520" w:type="dxa"/>
            <w:tcBorders>
              <w:top w:val="single" w:color="auto" w:sz="4" w:space="0"/>
              <w:left w:val="single" w:color="auto" w:sz="4" w:space="0"/>
              <w:bottom w:val="single" w:color="auto" w:sz="4" w:space="0"/>
              <w:right w:val="single" w:color="auto" w:sz="4" w:space="0"/>
            </w:tcBorders>
            <w:vAlign w:val="center"/>
          </w:tcPr>
          <w:p w14:paraId="506FC6ED">
            <w:pPr>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得分标准</w:t>
            </w:r>
          </w:p>
        </w:tc>
        <w:tc>
          <w:tcPr>
            <w:tcW w:w="1276" w:type="dxa"/>
            <w:tcBorders>
              <w:top w:val="single" w:color="auto" w:sz="4" w:space="0"/>
              <w:left w:val="single" w:color="auto" w:sz="4" w:space="0"/>
              <w:bottom w:val="single" w:color="auto" w:sz="4" w:space="0"/>
              <w:right w:val="single" w:color="auto" w:sz="4" w:space="0"/>
            </w:tcBorders>
            <w:vAlign w:val="center"/>
          </w:tcPr>
          <w:p w14:paraId="7EC4A5E7">
            <w:pPr>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考核得分</w:t>
            </w:r>
          </w:p>
        </w:tc>
      </w:tr>
      <w:tr w14:paraId="2C355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18" w:type="dxa"/>
            <w:vMerge w:val="restart"/>
            <w:tcBorders>
              <w:left w:val="single" w:color="auto" w:sz="4" w:space="0"/>
              <w:right w:val="single" w:color="auto" w:sz="4" w:space="0"/>
            </w:tcBorders>
          </w:tcPr>
          <w:p w14:paraId="78F43531">
            <w:pPr>
              <w:jc w:val="cente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年度质量指标（满分450分）</w:t>
            </w:r>
          </w:p>
        </w:tc>
        <w:tc>
          <w:tcPr>
            <w:tcW w:w="2205" w:type="dxa"/>
            <w:tcBorders>
              <w:top w:val="single" w:color="auto" w:sz="4" w:space="0"/>
              <w:left w:val="single" w:color="auto" w:sz="4" w:space="0"/>
              <w:bottom w:val="single" w:color="auto" w:sz="4" w:space="0"/>
              <w:right w:val="single" w:color="auto" w:sz="4" w:space="0"/>
            </w:tcBorders>
            <w:vAlign w:val="center"/>
          </w:tcPr>
          <w:p w14:paraId="709A2CEF">
            <w:pPr>
              <w:jc w:val="cente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公共汽电车责任事故死亡率（50分）</w:t>
            </w:r>
          </w:p>
        </w:tc>
        <w:tc>
          <w:tcPr>
            <w:tcW w:w="3891" w:type="dxa"/>
            <w:tcBorders>
              <w:top w:val="single" w:color="auto" w:sz="4" w:space="0"/>
              <w:left w:val="single" w:color="auto" w:sz="4" w:space="0"/>
              <w:bottom w:val="single" w:color="auto" w:sz="4" w:space="0"/>
              <w:right w:val="single" w:color="auto" w:sz="4" w:space="0"/>
            </w:tcBorders>
            <w:vAlign w:val="center"/>
          </w:tcPr>
          <w:p w14:paraId="1E6A8F04">
            <w:pPr>
              <w:jc w:val="cente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公共汽电车责任事故（同责及以上事故）死亡率不高于0.02人/百万公里。</w:t>
            </w:r>
          </w:p>
        </w:tc>
        <w:tc>
          <w:tcPr>
            <w:tcW w:w="6520" w:type="dxa"/>
            <w:tcBorders>
              <w:top w:val="single" w:color="auto" w:sz="4" w:space="0"/>
              <w:left w:val="single" w:color="auto" w:sz="4" w:space="0"/>
              <w:bottom w:val="single" w:color="auto" w:sz="4" w:space="0"/>
              <w:right w:val="single" w:color="auto" w:sz="4" w:space="0"/>
            </w:tcBorders>
          </w:tcPr>
          <w:p w14:paraId="54F8417C">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公共汽电车责任事故死亡率在0.02（不含0.02）以下得50分，0.02-0.03（不含0.03）人/百万公里之间扣10分，0.03-0.04（不含0.04）人/百万公里之间扣20分，0.04-0.05（不含0.05）人/百万公里之间扣30分，高于0.05人/百万公里（含0.05）扣50分。</w:t>
            </w:r>
          </w:p>
          <w:p w14:paraId="187AD578">
            <w:pPr>
              <w:rPr>
                <w:rFonts w:hint="default" w:ascii="仿宋_GB2312" w:hAnsi="仿宋_GB2312" w:eastAsia="仿宋_GB2312" w:cs="仿宋_GB2312"/>
                <w:color w:val="000000"/>
                <w:sz w:val="21"/>
                <w:highlight w:val="none"/>
                <w:lang w:val="en-US" w:eastAsia="zh-CN"/>
              </w:rPr>
            </w:pPr>
            <w:r>
              <w:rPr>
                <w:rFonts w:hint="eastAsia" w:ascii="仿宋_GB2312" w:hAnsi="仿宋_GB2312" w:eastAsia="仿宋_GB2312" w:cs="仿宋_GB2312"/>
                <w:color w:val="000000"/>
                <w:sz w:val="21"/>
                <w:highlight w:val="none"/>
              </w:rPr>
              <w:t>发生较大(3人以上死亡或者10人以上重伤或者1000万以上事故损失)同等责任以上事故的，年度考核质量指标成绩为0分</w:t>
            </w:r>
            <w:r>
              <w:rPr>
                <w:rFonts w:hint="eastAsia" w:ascii="仿宋_GB2312" w:hAnsi="仿宋_GB2312" w:cs="仿宋_GB2312"/>
                <w:color w:val="FF0000"/>
                <w:sz w:val="21"/>
                <w:highlight w:val="none"/>
                <w:lang w:val="en-US" w:eastAsia="zh-CN"/>
              </w:rPr>
              <w:t>(细化为</w:t>
            </w:r>
            <w:r>
              <w:rPr>
                <w:rFonts w:hint="eastAsia" w:ascii="仿宋_GB2312" w:hAnsi="仿宋_GB2312" w:eastAsia="仿宋_GB2312" w:cs="仿宋_GB2312"/>
                <w:color w:val="FF0000"/>
                <w:sz w:val="21"/>
                <w:highlight w:val="none"/>
                <w:lang w:val="en-US" w:eastAsia="zh-CN"/>
              </w:rPr>
              <w:t>发生死亡1人且负主要责任交通事故或发生死亡2人且负同等责任交通事故的，每次扣30分；</w:t>
            </w:r>
            <w:r>
              <w:rPr>
                <w:rFonts w:hint="eastAsia" w:ascii="仿宋_GB2312" w:hAnsi="仿宋_GB2312" w:eastAsia="仿宋_GB2312" w:cs="仿宋_GB2312"/>
                <w:color w:val="FF0000"/>
                <w:sz w:val="21"/>
                <w:highlight w:val="none"/>
              </w:rPr>
              <w:t>发生较大（3人以上死亡或者10人以上重伤或者1000万以上事故损失）同等责任以上事故的，</w:t>
            </w:r>
            <w:r>
              <w:rPr>
                <w:rFonts w:hint="eastAsia" w:ascii="仿宋_GB2312" w:hAnsi="仿宋_GB2312" w:cs="仿宋_GB2312"/>
                <w:color w:val="FF0000"/>
                <w:sz w:val="21"/>
                <w:highlight w:val="none"/>
                <w:lang w:val="en-US" w:eastAsia="zh-CN"/>
              </w:rPr>
              <w:t>该项</w:t>
            </w:r>
            <w:r>
              <w:rPr>
                <w:rFonts w:hint="eastAsia" w:ascii="仿宋_GB2312" w:hAnsi="仿宋_GB2312" w:eastAsia="仿宋_GB2312" w:cs="仿宋_GB2312"/>
                <w:color w:val="FF0000"/>
                <w:sz w:val="21"/>
                <w:highlight w:val="none"/>
              </w:rPr>
              <w:t>指标成绩为0分</w:t>
            </w:r>
            <w:r>
              <w:rPr>
                <w:rFonts w:hint="eastAsia" w:ascii="仿宋_GB2312" w:hAnsi="仿宋_GB2312" w:cs="仿宋_GB2312"/>
                <w:color w:val="FF0000"/>
                <w:sz w:val="21"/>
                <w:highlight w:val="none"/>
                <w:lang w:eastAsia="zh-CN"/>
              </w:rPr>
              <w:t>。</w:t>
            </w:r>
            <w:r>
              <w:rPr>
                <w:rFonts w:hint="eastAsia" w:ascii="仿宋_GB2312" w:hAnsi="仿宋_GB2312" w:cs="仿宋_GB2312"/>
                <w:color w:val="FF0000"/>
                <w:sz w:val="21"/>
                <w:highlight w:val="none"/>
                <w:lang w:val="en-US" w:eastAsia="zh-CN"/>
              </w:rPr>
              <w:t>)</w:t>
            </w:r>
          </w:p>
        </w:tc>
        <w:tc>
          <w:tcPr>
            <w:tcW w:w="1276" w:type="dxa"/>
            <w:tcBorders>
              <w:top w:val="single" w:color="auto" w:sz="4" w:space="0"/>
              <w:left w:val="single" w:color="auto" w:sz="4" w:space="0"/>
              <w:bottom w:val="single" w:color="auto" w:sz="4" w:space="0"/>
              <w:right w:val="single" w:color="auto" w:sz="4" w:space="0"/>
            </w:tcBorders>
          </w:tcPr>
          <w:p w14:paraId="13400602">
            <w:pPr>
              <w:ind w:firstLine="420" w:firstLineChars="200"/>
              <w:rPr>
                <w:rFonts w:hint="eastAsia" w:ascii="仿宋_GB2312" w:hAnsi="仿宋_GB2312" w:eastAsia="仿宋_GB2312" w:cs="仿宋_GB2312"/>
                <w:color w:val="000000"/>
                <w:sz w:val="21"/>
                <w:highlight w:val="none"/>
              </w:rPr>
            </w:pPr>
          </w:p>
        </w:tc>
      </w:tr>
      <w:tr w14:paraId="038F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7" w:hRule="atLeast"/>
        </w:trPr>
        <w:tc>
          <w:tcPr>
            <w:tcW w:w="1418" w:type="dxa"/>
            <w:vMerge w:val="continue"/>
            <w:tcBorders>
              <w:left w:val="single" w:color="auto" w:sz="4" w:space="0"/>
              <w:right w:val="single" w:color="auto" w:sz="4" w:space="0"/>
            </w:tcBorders>
          </w:tcPr>
          <w:p w14:paraId="6460F203">
            <w:pPr>
              <w:ind w:firstLine="420" w:firstLineChars="200"/>
              <w:rPr>
                <w:rFonts w:hint="eastAsia" w:ascii="仿宋_GB2312" w:hAnsi="仿宋_GB2312" w:eastAsia="仿宋_GB2312" w:cs="仿宋_GB2312"/>
                <w:color w:val="000000"/>
                <w:sz w:val="21"/>
                <w:highlight w:val="none"/>
              </w:rPr>
            </w:pPr>
          </w:p>
        </w:tc>
        <w:tc>
          <w:tcPr>
            <w:tcW w:w="2205" w:type="dxa"/>
            <w:tcBorders>
              <w:top w:val="single" w:color="auto" w:sz="4" w:space="0"/>
              <w:left w:val="single" w:color="auto" w:sz="4" w:space="0"/>
              <w:bottom w:val="single" w:color="auto" w:sz="4" w:space="0"/>
              <w:right w:val="single" w:color="auto" w:sz="4" w:space="0"/>
            </w:tcBorders>
          </w:tcPr>
          <w:p w14:paraId="3A9C4194">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公共汽电车责任事故率（100分）</w:t>
            </w:r>
          </w:p>
        </w:tc>
        <w:tc>
          <w:tcPr>
            <w:tcW w:w="3891" w:type="dxa"/>
            <w:tcBorders>
              <w:top w:val="single" w:color="auto" w:sz="4" w:space="0"/>
              <w:left w:val="single" w:color="auto" w:sz="4" w:space="0"/>
              <w:bottom w:val="single" w:color="auto" w:sz="4" w:space="0"/>
              <w:right w:val="single" w:color="auto" w:sz="4" w:space="0"/>
            </w:tcBorders>
          </w:tcPr>
          <w:p w14:paraId="5317C71A">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公共汽电车责任事故率（单车人员受伤赔偿10000元以上或者车辆损失费3万元以上的主责事故）不高于3次/百万公里</w:t>
            </w:r>
          </w:p>
        </w:tc>
        <w:tc>
          <w:tcPr>
            <w:tcW w:w="6520" w:type="dxa"/>
            <w:tcBorders>
              <w:top w:val="single" w:color="auto" w:sz="4" w:space="0"/>
              <w:left w:val="single" w:color="auto" w:sz="4" w:space="0"/>
              <w:bottom w:val="single" w:color="auto" w:sz="4" w:space="0"/>
              <w:right w:val="single" w:color="auto" w:sz="4" w:space="0"/>
            </w:tcBorders>
          </w:tcPr>
          <w:p w14:paraId="2D00C67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公共汽电车责任事故率不高于3次/百万公里的得100分，每百万公里事故次数高于3次的每高0.1次扣1分，扣完为止</w:t>
            </w:r>
          </w:p>
          <w:p w14:paraId="0839A200">
            <w:pPr>
              <w:rPr>
                <w:rFonts w:hint="eastAsia" w:ascii="仿宋_GB2312" w:hAnsi="仿宋_GB2312" w:eastAsia="仿宋_GB2312" w:cs="仿宋_GB2312"/>
                <w:color w:val="auto"/>
                <w:sz w:val="21"/>
                <w:highlight w:val="none"/>
              </w:rPr>
            </w:pPr>
          </w:p>
        </w:tc>
        <w:tc>
          <w:tcPr>
            <w:tcW w:w="1276" w:type="dxa"/>
            <w:tcBorders>
              <w:top w:val="single" w:color="auto" w:sz="4" w:space="0"/>
              <w:left w:val="single" w:color="auto" w:sz="4" w:space="0"/>
              <w:bottom w:val="single" w:color="auto" w:sz="4" w:space="0"/>
              <w:right w:val="single" w:color="auto" w:sz="4" w:space="0"/>
            </w:tcBorders>
          </w:tcPr>
          <w:p w14:paraId="363D70E3">
            <w:pPr>
              <w:ind w:firstLine="420" w:firstLineChars="200"/>
              <w:rPr>
                <w:rFonts w:hint="eastAsia" w:ascii="仿宋_GB2312" w:hAnsi="仿宋_GB2312" w:eastAsia="仿宋_GB2312" w:cs="仿宋_GB2312"/>
                <w:color w:val="000000"/>
                <w:sz w:val="21"/>
                <w:highlight w:val="none"/>
              </w:rPr>
            </w:pPr>
          </w:p>
        </w:tc>
      </w:tr>
      <w:tr w14:paraId="4596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418" w:type="dxa"/>
            <w:vMerge w:val="continue"/>
            <w:tcBorders>
              <w:left w:val="single" w:color="auto" w:sz="4" w:space="0"/>
              <w:right w:val="single" w:color="auto" w:sz="4" w:space="0"/>
            </w:tcBorders>
          </w:tcPr>
          <w:p w14:paraId="2D3CE51F">
            <w:pPr>
              <w:ind w:firstLine="420" w:firstLineChars="200"/>
              <w:rPr>
                <w:rFonts w:hint="eastAsia" w:ascii="仿宋_GB2312" w:hAnsi="仿宋_GB2312" w:eastAsia="仿宋_GB2312" w:cs="仿宋_GB2312"/>
                <w:color w:val="000000"/>
                <w:sz w:val="21"/>
                <w:highlight w:val="none"/>
              </w:rPr>
            </w:pPr>
          </w:p>
        </w:tc>
        <w:tc>
          <w:tcPr>
            <w:tcW w:w="2205" w:type="dxa"/>
            <w:tcBorders>
              <w:top w:val="single" w:color="auto" w:sz="4" w:space="0"/>
              <w:left w:val="single" w:color="auto" w:sz="4" w:space="0"/>
              <w:bottom w:val="single" w:color="auto" w:sz="4" w:space="0"/>
              <w:right w:val="single" w:color="auto" w:sz="4" w:space="0"/>
            </w:tcBorders>
          </w:tcPr>
          <w:p w14:paraId="1DE88C57">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投诉案件数（100分）</w:t>
            </w:r>
          </w:p>
        </w:tc>
        <w:tc>
          <w:tcPr>
            <w:tcW w:w="3891" w:type="dxa"/>
            <w:tcBorders>
              <w:top w:val="single" w:color="auto" w:sz="4" w:space="0"/>
              <w:left w:val="single" w:color="auto" w:sz="4" w:space="0"/>
              <w:bottom w:val="single" w:color="auto" w:sz="4" w:space="0"/>
              <w:right w:val="single" w:color="auto" w:sz="4" w:space="0"/>
            </w:tcBorders>
          </w:tcPr>
          <w:p w14:paraId="24F1C9AA">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考核年内公交企业在12345和12328服务投诉热线</w:t>
            </w:r>
            <w:r>
              <w:rPr>
                <w:rFonts w:hint="eastAsia" w:ascii="仿宋_GB2312" w:hAnsi="仿宋_GB2312" w:cs="仿宋_GB2312"/>
                <w:color w:val="auto"/>
                <w:sz w:val="21"/>
                <w:szCs w:val="21"/>
                <w:highlight w:val="none"/>
                <w:lang w:val="en-US" w:eastAsia="zh-CN"/>
              </w:rPr>
              <w:t>或其他途径</w:t>
            </w:r>
            <w:r>
              <w:rPr>
                <w:rFonts w:hint="eastAsia" w:ascii="仿宋_GB2312" w:hAnsi="仿宋_GB2312" w:eastAsia="仿宋_GB2312" w:cs="仿宋_GB2312"/>
                <w:color w:val="auto"/>
                <w:sz w:val="21"/>
                <w:szCs w:val="21"/>
                <w:highlight w:val="none"/>
                <w:lang w:val="en-US" w:eastAsia="zh-CN"/>
              </w:rPr>
              <w:t>的公共交通有效服务类投诉案件（含服务类和等车难投诉）数量</w:t>
            </w:r>
            <w:r>
              <w:rPr>
                <w:rFonts w:hint="eastAsia" w:ascii="仿宋_GB2312" w:hAnsi="仿宋_GB2312" w:cs="仿宋_GB2312"/>
                <w:color w:val="auto"/>
                <w:sz w:val="21"/>
                <w:szCs w:val="21"/>
                <w:highlight w:val="none"/>
                <w:lang w:val="en-US" w:eastAsia="zh-CN"/>
              </w:rPr>
              <w:t>。</w:t>
            </w:r>
          </w:p>
        </w:tc>
        <w:tc>
          <w:tcPr>
            <w:tcW w:w="6520" w:type="dxa"/>
            <w:tcBorders>
              <w:top w:val="single" w:color="auto" w:sz="4" w:space="0"/>
              <w:left w:val="single" w:color="auto" w:sz="4" w:space="0"/>
              <w:bottom w:val="single" w:color="auto" w:sz="4" w:space="0"/>
              <w:right w:val="single" w:color="auto" w:sz="4" w:space="0"/>
            </w:tcBorders>
          </w:tcPr>
          <w:p w14:paraId="211AA1AD">
            <w:pP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以考核年度年末车辆数50为基数，低于50辆（含50辆）按有效投诉件超过10件，每超1件扣0.3分；车辆基数（50辆）每增加10辆免考核增加1件，每超1件扣0.3分，扣完为止</w:t>
            </w:r>
          </w:p>
          <w:p w14:paraId="62F806C7">
            <w:pPr>
              <w:rPr>
                <w:rFonts w:hint="eastAsia" w:ascii="仿宋_GB2312" w:hAnsi="仿宋_GB2312" w:eastAsia="仿宋_GB2312" w:cs="仿宋_GB2312"/>
                <w:color w:val="auto"/>
                <w:sz w:val="21"/>
                <w:szCs w:val="21"/>
                <w:highlight w:val="none"/>
              </w:rPr>
            </w:pPr>
            <w:r>
              <w:rPr>
                <w:rFonts w:hint="eastAsia" w:ascii="仿宋_GB2312" w:hAnsi="仿宋_GB2312" w:cs="仿宋_GB2312"/>
                <w:color w:val="FF0000"/>
                <w:sz w:val="21"/>
                <w:szCs w:val="21"/>
                <w:highlight w:val="none"/>
                <w:lang w:val="en-US" w:eastAsia="zh-CN"/>
              </w:rPr>
              <w:t>（增加：其中被县级媒体曝光并被查实的，每次扣1分；被市级以上媒体曝光并被查实的，每次扣2分；被省级以上媒体曝光并被查实的，每次扣5分。）</w:t>
            </w:r>
          </w:p>
        </w:tc>
        <w:tc>
          <w:tcPr>
            <w:tcW w:w="1276" w:type="dxa"/>
            <w:tcBorders>
              <w:top w:val="single" w:color="auto" w:sz="4" w:space="0"/>
              <w:left w:val="single" w:color="auto" w:sz="4" w:space="0"/>
              <w:bottom w:val="single" w:color="auto" w:sz="4" w:space="0"/>
              <w:right w:val="single" w:color="auto" w:sz="4" w:space="0"/>
            </w:tcBorders>
          </w:tcPr>
          <w:p w14:paraId="104ECEBB">
            <w:pPr>
              <w:ind w:firstLine="420" w:firstLineChars="200"/>
              <w:jc w:val="center"/>
              <w:rPr>
                <w:rFonts w:hint="eastAsia" w:ascii="仿宋_GB2312" w:hAnsi="仿宋_GB2312" w:eastAsia="仿宋_GB2312" w:cs="仿宋_GB2312"/>
                <w:color w:val="000000"/>
                <w:sz w:val="21"/>
                <w:highlight w:val="none"/>
              </w:rPr>
            </w:pPr>
          </w:p>
        </w:tc>
      </w:tr>
      <w:tr w14:paraId="1517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18" w:type="dxa"/>
            <w:vMerge w:val="continue"/>
            <w:tcBorders>
              <w:left w:val="single" w:color="auto" w:sz="4" w:space="0"/>
              <w:right w:val="single" w:color="auto" w:sz="4" w:space="0"/>
            </w:tcBorders>
          </w:tcPr>
          <w:p w14:paraId="59624952">
            <w:pPr>
              <w:rPr>
                <w:rFonts w:hint="eastAsia" w:ascii="仿宋_GB2312" w:hAnsi="仿宋_GB2312" w:eastAsia="仿宋_GB2312" w:cs="仿宋_GB2312"/>
                <w:color w:val="000000"/>
                <w:sz w:val="21"/>
                <w:highlight w:val="none"/>
              </w:rPr>
            </w:pPr>
          </w:p>
        </w:tc>
        <w:tc>
          <w:tcPr>
            <w:tcW w:w="2205" w:type="dxa"/>
            <w:tcBorders>
              <w:top w:val="single" w:color="auto" w:sz="4" w:space="0"/>
              <w:left w:val="single" w:color="auto" w:sz="4" w:space="0"/>
              <w:bottom w:val="single" w:color="auto" w:sz="4" w:space="0"/>
              <w:right w:val="single" w:color="auto" w:sz="4" w:space="0"/>
            </w:tcBorders>
          </w:tcPr>
          <w:p w14:paraId="0C34BCDF">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违规通报占客运量比率（100分）</w:t>
            </w:r>
          </w:p>
        </w:tc>
        <w:tc>
          <w:tcPr>
            <w:tcW w:w="3891" w:type="dxa"/>
            <w:tcBorders>
              <w:top w:val="single" w:color="auto" w:sz="4" w:space="0"/>
              <w:left w:val="single" w:color="auto" w:sz="4" w:space="0"/>
              <w:bottom w:val="single" w:color="auto" w:sz="4" w:space="0"/>
              <w:right w:val="single" w:color="auto" w:sz="4" w:space="0"/>
            </w:tcBorders>
          </w:tcPr>
          <w:p w14:paraId="7D037893">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公交企业正常运营服务，不文明行车等违规现象被行业主管部门</w:t>
            </w:r>
            <w:r>
              <w:rPr>
                <w:rFonts w:hint="eastAsia" w:ascii="仿宋_GB2312" w:hAnsi="仿宋_GB2312" w:eastAsia="仿宋_GB2312" w:cs="仿宋_GB2312"/>
                <w:color w:val="FF0000"/>
                <w:sz w:val="21"/>
                <w:highlight w:val="none"/>
                <w:lang w:val="en-US" w:eastAsia="zh-CN"/>
              </w:rPr>
              <w:t>或交通管理部门</w:t>
            </w:r>
            <w:r>
              <w:rPr>
                <w:rFonts w:hint="eastAsia" w:ascii="仿宋_GB2312" w:hAnsi="仿宋_GB2312" w:eastAsia="仿宋_GB2312" w:cs="仿宋_GB2312"/>
                <w:color w:val="000000"/>
                <w:sz w:val="21"/>
                <w:highlight w:val="none"/>
              </w:rPr>
              <w:t>通报次数占客运量比率低于2次/百万人次</w:t>
            </w:r>
          </w:p>
        </w:tc>
        <w:tc>
          <w:tcPr>
            <w:tcW w:w="6520" w:type="dxa"/>
            <w:tcBorders>
              <w:top w:val="single" w:color="auto" w:sz="4" w:space="0"/>
              <w:left w:val="single" w:color="auto" w:sz="4" w:space="0"/>
              <w:bottom w:val="single" w:color="auto" w:sz="4" w:space="0"/>
              <w:right w:val="single" w:color="auto" w:sz="4" w:space="0"/>
            </w:tcBorders>
          </w:tcPr>
          <w:p w14:paraId="48BAE62E">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违规通报占客运量比率低于2次/百万人次的得100分，高于2次/百万人次的，每高0.1次/百万人次扣10分，扣完为止</w:t>
            </w:r>
            <w:r>
              <w:rPr>
                <w:rFonts w:hint="eastAsia" w:ascii="仿宋_GB2312" w:hAnsi="仿宋_GB2312" w:eastAsia="仿宋_GB2312" w:cs="仿宋_GB2312"/>
                <w:color w:val="000000"/>
                <w:sz w:val="21"/>
                <w:highlight w:val="none"/>
                <w:lang w:eastAsia="zh-CN"/>
              </w:rPr>
              <w:t>。</w:t>
            </w:r>
            <w:r>
              <w:rPr>
                <w:rFonts w:hint="eastAsia" w:ascii="仿宋_GB2312" w:hAnsi="仿宋_GB2312" w:cs="仿宋_GB2312"/>
                <w:color w:val="FF0000"/>
                <w:sz w:val="21"/>
                <w:highlight w:val="none"/>
                <w:lang w:eastAsia="zh-CN"/>
              </w:rPr>
              <w:t>（</w:t>
            </w:r>
            <w:r>
              <w:rPr>
                <w:rFonts w:hint="eastAsia" w:ascii="仿宋_GB2312" w:hAnsi="仿宋_GB2312" w:cs="仿宋_GB2312"/>
                <w:color w:val="FF0000"/>
                <w:sz w:val="21"/>
                <w:highlight w:val="none"/>
                <w:lang w:val="en-US" w:eastAsia="zh-CN"/>
              </w:rPr>
              <w:t>增加：</w:t>
            </w:r>
            <w:r>
              <w:rPr>
                <w:rFonts w:hint="eastAsia" w:ascii="仿宋_GB2312" w:hAnsi="仿宋_GB2312" w:eastAsia="仿宋_GB2312" w:cs="仿宋_GB2312"/>
                <w:color w:val="FF0000"/>
                <w:sz w:val="21"/>
                <w:highlight w:val="none"/>
                <w:lang w:val="en-US" w:eastAsia="zh-CN"/>
              </w:rPr>
              <w:t>其中情节恶劣的，每次扣1分</w:t>
            </w:r>
            <w:r>
              <w:rPr>
                <w:rFonts w:hint="eastAsia" w:ascii="仿宋_GB2312" w:hAnsi="仿宋_GB2312" w:cs="仿宋_GB2312"/>
                <w:color w:val="FF0000"/>
                <w:sz w:val="21"/>
                <w:highlight w:val="none"/>
                <w:lang w:val="en-US" w:eastAsia="zh-CN"/>
              </w:rPr>
              <w:t>）</w:t>
            </w:r>
          </w:p>
        </w:tc>
        <w:tc>
          <w:tcPr>
            <w:tcW w:w="1276" w:type="dxa"/>
            <w:tcBorders>
              <w:top w:val="single" w:color="auto" w:sz="4" w:space="0"/>
              <w:left w:val="single" w:color="auto" w:sz="4" w:space="0"/>
              <w:bottom w:val="single" w:color="auto" w:sz="4" w:space="0"/>
              <w:right w:val="single" w:color="auto" w:sz="4" w:space="0"/>
            </w:tcBorders>
          </w:tcPr>
          <w:p w14:paraId="2F9F9BBF">
            <w:pPr>
              <w:ind w:firstLine="420" w:firstLineChars="200"/>
              <w:jc w:val="center"/>
              <w:rPr>
                <w:rFonts w:hint="eastAsia" w:ascii="仿宋_GB2312" w:hAnsi="仿宋_GB2312" w:eastAsia="仿宋_GB2312" w:cs="仿宋_GB2312"/>
                <w:color w:val="000000"/>
                <w:sz w:val="21"/>
                <w:highlight w:val="none"/>
              </w:rPr>
            </w:pPr>
          </w:p>
        </w:tc>
      </w:tr>
      <w:tr w14:paraId="63C67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5" w:hRule="atLeast"/>
        </w:trPr>
        <w:tc>
          <w:tcPr>
            <w:tcW w:w="1418" w:type="dxa"/>
            <w:vMerge w:val="continue"/>
            <w:tcBorders>
              <w:left w:val="single" w:color="auto" w:sz="4" w:space="0"/>
              <w:right w:val="single" w:color="auto" w:sz="4" w:space="0"/>
            </w:tcBorders>
          </w:tcPr>
          <w:p w14:paraId="62CF7B5D">
            <w:pPr>
              <w:ind w:firstLine="420" w:firstLineChars="200"/>
              <w:rPr>
                <w:rFonts w:hint="eastAsia" w:ascii="仿宋_GB2312" w:hAnsi="仿宋_GB2312" w:eastAsia="仿宋_GB2312" w:cs="仿宋_GB2312"/>
                <w:color w:val="000000"/>
                <w:sz w:val="21"/>
                <w:highlight w:val="none"/>
              </w:rPr>
            </w:pPr>
          </w:p>
        </w:tc>
        <w:tc>
          <w:tcPr>
            <w:tcW w:w="2205" w:type="dxa"/>
            <w:tcBorders>
              <w:top w:val="single" w:color="auto" w:sz="4" w:space="0"/>
              <w:left w:val="single" w:color="auto" w:sz="4" w:space="0"/>
              <w:bottom w:val="single" w:color="auto" w:sz="4" w:space="0"/>
              <w:right w:val="single" w:color="auto" w:sz="4" w:space="0"/>
            </w:tcBorders>
          </w:tcPr>
          <w:p w14:paraId="645816DC">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交通运输保障任务和行业管理政策执行情况（100分）</w:t>
            </w:r>
          </w:p>
        </w:tc>
        <w:tc>
          <w:tcPr>
            <w:tcW w:w="3891" w:type="dxa"/>
            <w:tcBorders>
              <w:top w:val="single" w:color="auto" w:sz="4" w:space="0"/>
              <w:left w:val="single" w:color="auto" w:sz="4" w:space="0"/>
              <w:bottom w:val="single" w:color="auto" w:sz="4" w:space="0"/>
              <w:right w:val="single" w:color="auto" w:sz="4" w:space="0"/>
            </w:tcBorders>
          </w:tcPr>
          <w:p w14:paraId="172423F0">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按照各种活动的交通运输保障方案和行业管理政策，落实具体工作</w:t>
            </w:r>
          </w:p>
        </w:tc>
        <w:tc>
          <w:tcPr>
            <w:tcW w:w="6520" w:type="dxa"/>
            <w:tcBorders>
              <w:top w:val="single" w:color="auto" w:sz="4" w:space="0"/>
              <w:left w:val="single" w:color="auto" w:sz="4" w:space="0"/>
              <w:bottom w:val="single" w:color="auto" w:sz="4" w:space="0"/>
              <w:right w:val="single" w:color="auto" w:sz="4" w:space="0"/>
            </w:tcBorders>
            <w:vAlign w:val="top"/>
          </w:tcPr>
          <w:p w14:paraId="1C53E02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未按照要求开展运输保障工作的，被行业部门下发通报、整改和约谈的出现一次扣5分；</w:t>
            </w:r>
            <w:r>
              <w:rPr>
                <w:rFonts w:hint="eastAsia" w:ascii="仿宋_GB2312" w:hAnsi="仿宋_GB2312" w:cs="仿宋_GB2312"/>
                <w:color w:val="FF0000"/>
                <w:sz w:val="21"/>
                <w:szCs w:val="21"/>
                <w:highlight w:val="none"/>
                <w:lang w:eastAsia="zh-CN"/>
              </w:rPr>
              <w:t>（</w:t>
            </w:r>
            <w:r>
              <w:rPr>
                <w:rFonts w:hint="eastAsia" w:ascii="仿宋_GB2312" w:hAnsi="仿宋_GB2312" w:cs="仿宋_GB2312"/>
                <w:color w:val="FF0000"/>
                <w:sz w:val="21"/>
                <w:szCs w:val="21"/>
                <w:highlight w:val="none"/>
                <w:lang w:val="en-US" w:eastAsia="zh-CN"/>
              </w:rPr>
              <w:t>增加：</w:t>
            </w:r>
            <w:r>
              <w:rPr>
                <w:rFonts w:hint="eastAsia" w:ascii="仿宋_GB2312" w:hAnsi="仿宋_GB2312" w:eastAsia="仿宋_GB2312" w:cs="仿宋_GB2312"/>
                <w:color w:val="FF0000"/>
                <w:sz w:val="21"/>
                <w:highlight w:val="none"/>
                <w:lang w:val="en-US" w:eastAsia="zh-CN"/>
              </w:rPr>
              <w:t>未向主管部门报备，不按照规定时间及线路行驶，擅自更改停靠点、改道行驶、停班、终止运输的，出现一次扣5分；</w:t>
            </w:r>
            <w:r>
              <w:rPr>
                <w:rFonts w:hint="eastAsia" w:ascii="仿宋_GB2312" w:hAnsi="仿宋_GB2312" w:cs="仿宋_GB2312"/>
                <w:color w:val="FF0000"/>
                <w:sz w:val="21"/>
                <w:highlight w:val="none"/>
                <w:lang w:val="en-US" w:eastAsia="zh-CN"/>
              </w:rPr>
              <w:t>）</w:t>
            </w:r>
            <w:r>
              <w:rPr>
                <w:rFonts w:hint="eastAsia" w:ascii="仿宋_GB2312" w:hAnsi="仿宋_GB2312" w:eastAsia="仿宋_GB2312" w:cs="仿宋_GB2312"/>
                <w:color w:val="auto"/>
                <w:sz w:val="21"/>
                <w:szCs w:val="21"/>
                <w:highlight w:val="none"/>
                <w:lang w:val="en-US" w:eastAsia="zh-CN"/>
              </w:rPr>
              <w:t>以上</w:t>
            </w:r>
            <w:r>
              <w:rPr>
                <w:rFonts w:hint="eastAsia" w:ascii="仿宋_GB2312" w:hAnsi="仿宋_GB2312" w:cs="仿宋_GB2312"/>
                <w:color w:val="auto"/>
                <w:sz w:val="21"/>
                <w:szCs w:val="21"/>
                <w:highlight w:val="none"/>
                <w:lang w:val="en-US" w:eastAsia="zh-CN"/>
              </w:rPr>
              <w:t>年</w:t>
            </w:r>
            <w:r>
              <w:rPr>
                <w:rFonts w:hint="eastAsia" w:ascii="仿宋_GB2312" w:hAnsi="仿宋_GB2312" w:eastAsia="仿宋_GB2312" w:cs="仿宋_GB2312"/>
                <w:color w:val="auto"/>
                <w:sz w:val="21"/>
                <w:szCs w:val="21"/>
                <w:highlight w:val="none"/>
                <w:lang w:val="en-US" w:eastAsia="zh-CN"/>
              </w:rPr>
              <w:t>度年末车辆数为基数，下年度柴油车车龄（行驶证登记时间为准）超过8年未更新新能源车辆的扣100分</w:t>
            </w:r>
          </w:p>
          <w:p w14:paraId="34DA3136">
            <w:pPr>
              <w:jc w:val="both"/>
              <w:rPr>
                <w:rFonts w:hint="eastAsia" w:ascii="仿宋_GB2312" w:hAnsi="仿宋_GB2312" w:eastAsia="仿宋_GB2312" w:cs="仿宋_GB2312"/>
                <w:color w:val="000000"/>
                <w:sz w:val="21"/>
                <w:highlight w:val="none"/>
              </w:rPr>
            </w:pPr>
          </w:p>
        </w:tc>
        <w:tc>
          <w:tcPr>
            <w:tcW w:w="1276" w:type="dxa"/>
            <w:tcBorders>
              <w:top w:val="single" w:color="auto" w:sz="4" w:space="0"/>
              <w:left w:val="single" w:color="auto" w:sz="4" w:space="0"/>
              <w:bottom w:val="single" w:color="auto" w:sz="4" w:space="0"/>
              <w:right w:val="single" w:color="auto" w:sz="4" w:space="0"/>
            </w:tcBorders>
          </w:tcPr>
          <w:p w14:paraId="63D3DBF1">
            <w:pPr>
              <w:ind w:firstLine="420" w:firstLineChars="200"/>
              <w:jc w:val="center"/>
              <w:rPr>
                <w:rFonts w:hint="eastAsia" w:ascii="仿宋_GB2312" w:hAnsi="仿宋_GB2312" w:eastAsia="仿宋_GB2312" w:cs="仿宋_GB2312"/>
                <w:color w:val="000000"/>
                <w:sz w:val="21"/>
                <w:highlight w:val="none"/>
              </w:rPr>
            </w:pPr>
          </w:p>
        </w:tc>
      </w:tr>
      <w:tr w14:paraId="5C6B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1418" w:type="dxa"/>
            <w:vMerge w:val="continue"/>
            <w:tcBorders>
              <w:left w:val="single" w:color="auto" w:sz="4" w:space="0"/>
              <w:right w:val="single" w:color="auto" w:sz="4" w:space="0"/>
            </w:tcBorders>
          </w:tcPr>
          <w:p w14:paraId="3B7E8AF1">
            <w:pPr>
              <w:ind w:firstLine="420" w:firstLineChars="200"/>
              <w:rPr>
                <w:rFonts w:hint="eastAsia" w:ascii="仿宋_GB2312" w:hAnsi="仿宋_GB2312" w:eastAsia="仿宋_GB2312" w:cs="仿宋_GB2312"/>
                <w:color w:val="000000"/>
                <w:sz w:val="21"/>
                <w:highlight w:val="none"/>
              </w:rPr>
            </w:pPr>
          </w:p>
        </w:tc>
        <w:tc>
          <w:tcPr>
            <w:tcW w:w="12616" w:type="dxa"/>
            <w:gridSpan w:val="3"/>
            <w:tcBorders>
              <w:top w:val="single" w:color="auto" w:sz="4" w:space="0"/>
              <w:left w:val="single" w:color="auto" w:sz="4" w:space="0"/>
              <w:bottom w:val="single" w:color="auto" w:sz="4" w:space="0"/>
              <w:right w:val="single" w:color="auto" w:sz="4" w:space="0"/>
            </w:tcBorders>
          </w:tcPr>
          <w:p w14:paraId="49CB8071">
            <w:pPr>
              <w:ind w:firstLine="420" w:firstLineChars="200"/>
              <w:jc w:val="cente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年度质量指标成绩</w:t>
            </w:r>
          </w:p>
        </w:tc>
        <w:tc>
          <w:tcPr>
            <w:tcW w:w="1276" w:type="dxa"/>
            <w:tcBorders>
              <w:top w:val="single" w:color="auto" w:sz="4" w:space="0"/>
              <w:left w:val="single" w:color="auto" w:sz="4" w:space="0"/>
              <w:bottom w:val="single" w:color="auto" w:sz="4" w:space="0"/>
              <w:right w:val="single" w:color="auto" w:sz="4" w:space="0"/>
            </w:tcBorders>
          </w:tcPr>
          <w:p w14:paraId="520B0B43">
            <w:pPr>
              <w:ind w:firstLine="420" w:firstLineChars="200"/>
              <w:jc w:val="center"/>
              <w:rPr>
                <w:rFonts w:hint="eastAsia" w:ascii="仿宋_GB2312" w:hAnsi="仿宋_GB2312" w:eastAsia="仿宋_GB2312" w:cs="仿宋_GB2312"/>
                <w:color w:val="000000"/>
                <w:sz w:val="21"/>
                <w:highlight w:val="none"/>
              </w:rPr>
            </w:pPr>
          </w:p>
        </w:tc>
      </w:tr>
      <w:tr w14:paraId="6AC0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trPr>
        <w:tc>
          <w:tcPr>
            <w:tcW w:w="1418" w:type="dxa"/>
            <w:vMerge w:val="restart"/>
            <w:tcBorders>
              <w:left w:val="single" w:color="auto" w:sz="4" w:space="0"/>
              <w:right w:val="single" w:color="auto" w:sz="4" w:space="0"/>
            </w:tcBorders>
          </w:tcPr>
          <w:p w14:paraId="35CEAC13">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年度数量指标（满分400分）</w:t>
            </w:r>
          </w:p>
        </w:tc>
        <w:tc>
          <w:tcPr>
            <w:tcW w:w="2205" w:type="dxa"/>
            <w:tcBorders>
              <w:top w:val="single" w:color="auto" w:sz="4" w:space="0"/>
              <w:left w:val="single" w:color="auto" w:sz="4" w:space="0"/>
              <w:bottom w:val="single" w:color="auto" w:sz="4" w:space="0"/>
              <w:right w:val="single" w:color="auto" w:sz="4" w:space="0"/>
            </w:tcBorders>
          </w:tcPr>
          <w:p w14:paraId="25932538">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年度考核计划载客里程完成率（200分）</w:t>
            </w:r>
          </w:p>
        </w:tc>
        <w:tc>
          <w:tcPr>
            <w:tcW w:w="3891" w:type="dxa"/>
            <w:tcBorders>
              <w:top w:val="single" w:color="auto" w:sz="4" w:space="0"/>
              <w:left w:val="single" w:color="auto" w:sz="4" w:space="0"/>
              <w:bottom w:val="single" w:color="auto" w:sz="4" w:space="0"/>
              <w:right w:val="single" w:color="auto" w:sz="4" w:space="0"/>
            </w:tcBorders>
          </w:tcPr>
          <w:p w14:paraId="60206E33">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计划载客里程完成率达到90%以上</w:t>
            </w:r>
          </w:p>
        </w:tc>
        <w:tc>
          <w:tcPr>
            <w:tcW w:w="6520" w:type="dxa"/>
            <w:tcBorders>
              <w:top w:val="single" w:color="auto" w:sz="4" w:space="0"/>
              <w:left w:val="single" w:color="auto" w:sz="4" w:space="0"/>
              <w:bottom w:val="single" w:color="auto" w:sz="4" w:space="0"/>
              <w:right w:val="single" w:color="auto" w:sz="4" w:space="0"/>
            </w:tcBorders>
          </w:tcPr>
          <w:p w14:paraId="75C09B1A">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计划载客里程完成率每低于90%一个百分点扣5分，扣完为止</w:t>
            </w:r>
          </w:p>
        </w:tc>
        <w:tc>
          <w:tcPr>
            <w:tcW w:w="1276" w:type="dxa"/>
            <w:tcBorders>
              <w:top w:val="single" w:color="auto" w:sz="4" w:space="0"/>
              <w:left w:val="single" w:color="auto" w:sz="4" w:space="0"/>
              <w:right w:val="single" w:color="auto" w:sz="4" w:space="0"/>
            </w:tcBorders>
          </w:tcPr>
          <w:p w14:paraId="3D95EF08">
            <w:pPr>
              <w:ind w:firstLine="420" w:firstLineChars="200"/>
              <w:jc w:val="center"/>
              <w:rPr>
                <w:rFonts w:hint="eastAsia" w:ascii="仿宋_GB2312" w:hAnsi="仿宋_GB2312" w:eastAsia="仿宋_GB2312" w:cs="仿宋_GB2312"/>
                <w:color w:val="000000"/>
                <w:sz w:val="21"/>
                <w:highlight w:val="none"/>
              </w:rPr>
            </w:pPr>
          </w:p>
        </w:tc>
      </w:tr>
      <w:tr w14:paraId="323B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 w:hRule="atLeast"/>
        </w:trPr>
        <w:tc>
          <w:tcPr>
            <w:tcW w:w="1418" w:type="dxa"/>
            <w:vMerge w:val="continue"/>
            <w:tcBorders>
              <w:left w:val="single" w:color="auto" w:sz="4" w:space="0"/>
              <w:right w:val="single" w:color="auto" w:sz="4" w:space="0"/>
            </w:tcBorders>
          </w:tcPr>
          <w:p w14:paraId="68429318">
            <w:pPr>
              <w:rPr>
                <w:rFonts w:hint="eastAsia" w:ascii="仿宋_GB2312" w:hAnsi="仿宋_GB2312" w:eastAsia="仿宋_GB2312" w:cs="仿宋_GB2312"/>
                <w:color w:val="000000"/>
                <w:sz w:val="21"/>
                <w:highlight w:val="none"/>
              </w:rPr>
            </w:pPr>
          </w:p>
        </w:tc>
        <w:tc>
          <w:tcPr>
            <w:tcW w:w="2205" w:type="dxa"/>
            <w:tcBorders>
              <w:top w:val="single" w:color="auto" w:sz="4" w:space="0"/>
              <w:left w:val="single" w:color="auto" w:sz="4" w:space="0"/>
              <w:bottom w:val="single" w:color="auto" w:sz="4" w:space="0"/>
              <w:right w:val="single" w:color="auto" w:sz="4" w:space="0"/>
            </w:tcBorders>
            <w:vAlign w:val="center"/>
          </w:tcPr>
          <w:p w14:paraId="7EF82752">
            <w:pPr>
              <w:jc w:val="cente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szCs w:val="21"/>
                <w:highlight w:val="none"/>
              </w:rPr>
              <w:t>日均发车间隔完成率（200分）</w:t>
            </w:r>
          </w:p>
        </w:tc>
        <w:tc>
          <w:tcPr>
            <w:tcW w:w="3891" w:type="dxa"/>
            <w:tcBorders>
              <w:top w:val="single" w:color="auto" w:sz="4" w:space="0"/>
              <w:left w:val="single" w:color="auto" w:sz="4" w:space="0"/>
              <w:bottom w:val="single" w:color="auto" w:sz="4" w:space="0"/>
              <w:right w:val="single" w:color="auto" w:sz="4" w:space="0"/>
            </w:tcBorders>
            <w:vAlign w:val="center"/>
          </w:tcPr>
          <w:p w14:paraId="34FAFE9E">
            <w:pPr>
              <w:jc w:val="cente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szCs w:val="21"/>
                <w:highlight w:val="none"/>
              </w:rPr>
              <w:t>日均发车间隔</w:t>
            </w:r>
            <w:r>
              <w:rPr>
                <w:rFonts w:hint="eastAsia" w:ascii="仿宋_GB2312" w:hAnsi="仿宋_GB2312" w:eastAsia="仿宋_GB2312" w:cs="仿宋_GB2312"/>
                <w:color w:val="000000"/>
                <w:kern w:val="0"/>
                <w:sz w:val="21"/>
                <w:szCs w:val="21"/>
                <w:highlight w:val="none"/>
              </w:rPr>
              <w:t>达到核定标准120%以内</w:t>
            </w:r>
          </w:p>
        </w:tc>
        <w:tc>
          <w:tcPr>
            <w:tcW w:w="6520" w:type="dxa"/>
            <w:tcBorders>
              <w:top w:val="single" w:color="auto" w:sz="4" w:space="0"/>
              <w:left w:val="single" w:color="auto" w:sz="4" w:space="0"/>
              <w:bottom w:val="single" w:color="auto" w:sz="4" w:space="0"/>
              <w:right w:val="single" w:color="auto" w:sz="4" w:space="0"/>
            </w:tcBorders>
            <w:vAlign w:val="center"/>
          </w:tcPr>
          <w:p w14:paraId="161DF942">
            <w:pP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kern w:val="0"/>
                <w:sz w:val="21"/>
                <w:szCs w:val="21"/>
                <w:highlight w:val="none"/>
              </w:rPr>
              <w:t>日常考核日均发车间隔高于核定标准</w:t>
            </w:r>
            <w:r>
              <w:rPr>
                <w:rFonts w:hint="eastAsia" w:ascii="仿宋_GB2312" w:hAnsi="仿宋_GB2312" w:eastAsia="仿宋_GB2312" w:cs="仿宋_GB2312"/>
                <w:color w:val="000000"/>
                <w:sz w:val="21"/>
                <w:szCs w:val="21"/>
                <w:highlight w:val="none"/>
              </w:rPr>
              <w:t>120%一个百分点扣5分，扣完为止</w:t>
            </w:r>
          </w:p>
        </w:tc>
        <w:tc>
          <w:tcPr>
            <w:tcW w:w="1276" w:type="dxa"/>
            <w:tcBorders>
              <w:top w:val="single" w:color="auto" w:sz="4" w:space="0"/>
              <w:left w:val="single" w:color="auto" w:sz="4" w:space="0"/>
              <w:right w:val="single" w:color="auto" w:sz="4" w:space="0"/>
            </w:tcBorders>
          </w:tcPr>
          <w:p w14:paraId="17767649">
            <w:pPr>
              <w:ind w:firstLine="420" w:firstLineChars="200"/>
              <w:jc w:val="center"/>
              <w:rPr>
                <w:rFonts w:hint="eastAsia" w:ascii="仿宋_GB2312" w:hAnsi="仿宋_GB2312" w:eastAsia="仿宋_GB2312" w:cs="仿宋_GB2312"/>
                <w:color w:val="000000"/>
                <w:sz w:val="21"/>
                <w:highlight w:val="none"/>
              </w:rPr>
            </w:pPr>
          </w:p>
        </w:tc>
      </w:tr>
      <w:tr w14:paraId="46017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trPr>
        <w:tc>
          <w:tcPr>
            <w:tcW w:w="1418" w:type="dxa"/>
            <w:vMerge w:val="continue"/>
            <w:tcBorders>
              <w:left w:val="single" w:color="auto" w:sz="4" w:space="0"/>
              <w:bottom w:val="single" w:color="auto" w:sz="4" w:space="0"/>
              <w:right w:val="single" w:color="auto" w:sz="4" w:space="0"/>
            </w:tcBorders>
          </w:tcPr>
          <w:p w14:paraId="110EDAA7">
            <w:pPr>
              <w:ind w:firstLine="420" w:firstLineChars="200"/>
              <w:rPr>
                <w:rFonts w:hint="eastAsia" w:ascii="仿宋_GB2312" w:hAnsi="仿宋_GB2312" w:eastAsia="仿宋_GB2312" w:cs="仿宋_GB2312"/>
                <w:color w:val="000000"/>
                <w:sz w:val="21"/>
                <w:highlight w:val="none"/>
              </w:rPr>
            </w:pPr>
          </w:p>
        </w:tc>
        <w:tc>
          <w:tcPr>
            <w:tcW w:w="12616" w:type="dxa"/>
            <w:gridSpan w:val="3"/>
            <w:tcBorders>
              <w:top w:val="single" w:color="auto" w:sz="4" w:space="0"/>
              <w:left w:val="single" w:color="auto" w:sz="4" w:space="0"/>
              <w:bottom w:val="single" w:color="auto" w:sz="4" w:space="0"/>
              <w:right w:val="single" w:color="auto" w:sz="4" w:space="0"/>
            </w:tcBorders>
            <w:vAlign w:val="center"/>
          </w:tcPr>
          <w:p w14:paraId="6435AF1E">
            <w:pPr>
              <w:ind w:firstLine="420" w:firstLineChars="200"/>
              <w:jc w:val="center"/>
              <w:rPr>
                <w:rFonts w:hint="eastAsia" w:ascii="仿宋_GB2312" w:hAnsi="仿宋_GB2312" w:eastAsia="仿宋_GB2312" w:cs="仿宋_GB2312"/>
                <w:color w:val="000000"/>
                <w:sz w:val="21"/>
                <w:highlight w:val="none"/>
              </w:rPr>
            </w:pPr>
            <w:r>
              <w:rPr>
                <w:rFonts w:hint="eastAsia" w:ascii="仿宋_GB2312" w:hAnsi="仿宋_GB2312" w:eastAsia="仿宋_GB2312" w:cs="仿宋_GB2312"/>
                <w:color w:val="000000"/>
                <w:sz w:val="21"/>
                <w:highlight w:val="none"/>
              </w:rPr>
              <w:t>年度</w:t>
            </w:r>
            <w:r>
              <w:rPr>
                <w:rFonts w:hint="eastAsia" w:ascii="仿宋_GB2312" w:hAnsi="仿宋_GB2312" w:eastAsia="仿宋_GB2312" w:cs="仿宋_GB2312"/>
                <w:bCs/>
                <w:color w:val="000000"/>
                <w:sz w:val="21"/>
                <w:highlight w:val="none"/>
              </w:rPr>
              <w:t>数量指标成绩</w:t>
            </w:r>
          </w:p>
        </w:tc>
        <w:tc>
          <w:tcPr>
            <w:tcW w:w="1276" w:type="dxa"/>
            <w:tcBorders>
              <w:top w:val="single" w:color="auto" w:sz="4" w:space="0"/>
              <w:left w:val="single" w:color="auto" w:sz="4" w:space="0"/>
              <w:bottom w:val="single" w:color="auto" w:sz="4" w:space="0"/>
              <w:right w:val="single" w:color="auto" w:sz="4" w:space="0"/>
            </w:tcBorders>
          </w:tcPr>
          <w:p w14:paraId="7849DE44">
            <w:pPr>
              <w:ind w:firstLine="420" w:firstLineChars="200"/>
              <w:rPr>
                <w:rFonts w:hint="eastAsia" w:ascii="仿宋_GB2312" w:hAnsi="仿宋_GB2312" w:eastAsia="仿宋_GB2312" w:cs="仿宋_GB2312"/>
                <w:color w:val="000000"/>
                <w:sz w:val="21"/>
                <w:highlight w:val="none"/>
              </w:rPr>
            </w:pPr>
          </w:p>
        </w:tc>
      </w:tr>
    </w:tbl>
    <w:p w14:paraId="2A8580AC">
      <w:pPr>
        <w:ind w:firstLine="640" w:firstLineChars="200"/>
        <w:rPr>
          <w:rFonts w:ascii="仿宋" w:hAnsi="仿宋" w:eastAsia="仿宋"/>
          <w:color w:val="000000"/>
          <w:szCs w:val="32"/>
          <w:highlight w:val="none"/>
        </w:rPr>
      </w:pPr>
    </w:p>
    <w:p w14:paraId="0702C0A7">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其中：1、计划载客里程完成率</w:t>
      </w:r>
    </w:p>
    <w:p w14:paraId="593ABA17">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 xml:space="preserve"> 是指考核年度公交企业按照《闽侯县公共汽电车年度运营服务计划》运营完成的载客里程占计划载客里程的比率。计算公式为：  </w:t>
      </w:r>
    </w:p>
    <w:p w14:paraId="4B91E2A3">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 xml:space="preserve"> 年度考核计划载客里程完成率=（实际完成载客里程/计划载客里程）×100%=∑（每条线路实际发车车次×线路长度）/∑（每条线路的计划发车车次×线路长度）×100%</w:t>
      </w:r>
    </w:p>
    <w:p w14:paraId="274BE196">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2、日常考核日均发车间隔完成率：</w:t>
      </w:r>
    </w:p>
    <w:p w14:paraId="3C802F31">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是指考核年度公交企业按照《闽侯县公共汽电车年度运营服务计划》在全天发车间隔情况。计算公式为：</w:t>
      </w:r>
    </w:p>
    <w:p w14:paraId="0AE396CE">
      <w:pPr>
        <w:ind w:firstLine="640" w:firstLineChars="200"/>
        <w:rPr>
          <w:rFonts w:ascii="仿宋" w:hAnsi="仿宋" w:eastAsia="仿宋"/>
          <w:color w:val="000000"/>
          <w:szCs w:val="32"/>
          <w:highlight w:val="none"/>
        </w:rPr>
      </w:pPr>
      <w:r>
        <w:rPr>
          <w:rFonts w:hint="eastAsia" w:ascii="仿宋" w:hAnsi="仿宋" w:eastAsia="仿宋"/>
          <w:color w:val="000000"/>
          <w:szCs w:val="32"/>
          <w:highlight w:val="none"/>
        </w:rPr>
        <w:t>日均发车间隔完成率</w:t>
      </w:r>
      <w:r>
        <w:rPr>
          <w:rFonts w:ascii="仿宋" w:hAnsi="仿宋" w:eastAsia="仿宋"/>
          <w:color w:val="000000"/>
          <w:szCs w:val="32"/>
          <w:highlight w:val="none"/>
        </w:rPr>
        <w:t>=</w:t>
      </w:r>
      <w:r>
        <w:rPr>
          <w:rFonts w:hint="eastAsia" w:ascii="仿宋" w:hAnsi="仿宋" w:eastAsia="仿宋"/>
          <w:color w:val="000000"/>
          <w:szCs w:val="32"/>
          <w:highlight w:val="none"/>
        </w:rPr>
        <w:t>∑</w:t>
      </w:r>
      <w:r>
        <w:rPr>
          <w:rFonts w:ascii="仿宋" w:hAnsi="仿宋" w:eastAsia="仿宋"/>
          <w:color w:val="000000"/>
          <w:szCs w:val="32"/>
          <w:highlight w:val="none"/>
        </w:rPr>
        <w:t>（</w:t>
      </w:r>
      <w:r>
        <w:rPr>
          <w:rFonts w:hint="eastAsia" w:ascii="仿宋" w:hAnsi="仿宋" w:eastAsia="仿宋"/>
          <w:color w:val="000000"/>
          <w:szCs w:val="32"/>
          <w:highlight w:val="none"/>
        </w:rPr>
        <w:t>每条</w:t>
      </w:r>
      <w:r>
        <w:rPr>
          <w:rFonts w:ascii="仿宋" w:hAnsi="仿宋" w:eastAsia="仿宋"/>
          <w:color w:val="000000"/>
          <w:szCs w:val="32"/>
          <w:highlight w:val="none"/>
        </w:rPr>
        <w:t>线路</w:t>
      </w:r>
      <w:r>
        <w:rPr>
          <w:rFonts w:hint="eastAsia" w:ascii="仿宋" w:hAnsi="仿宋" w:eastAsia="仿宋"/>
          <w:color w:val="000000"/>
          <w:szCs w:val="32"/>
          <w:highlight w:val="none"/>
        </w:rPr>
        <w:t>日均实际发车间隔</w:t>
      </w:r>
      <w:r>
        <w:rPr>
          <w:rFonts w:ascii="仿宋" w:hAnsi="仿宋" w:eastAsia="仿宋"/>
          <w:color w:val="000000"/>
          <w:szCs w:val="32"/>
          <w:highlight w:val="none"/>
        </w:rPr>
        <w:t>/</w:t>
      </w:r>
      <w:r>
        <w:rPr>
          <w:rFonts w:hint="eastAsia" w:ascii="仿宋" w:hAnsi="仿宋" w:eastAsia="仿宋"/>
          <w:color w:val="000000"/>
          <w:szCs w:val="32"/>
          <w:highlight w:val="none"/>
        </w:rPr>
        <w:t>每条</w:t>
      </w:r>
      <w:r>
        <w:rPr>
          <w:rFonts w:ascii="仿宋" w:hAnsi="仿宋" w:eastAsia="仿宋"/>
          <w:color w:val="000000"/>
          <w:szCs w:val="32"/>
          <w:highlight w:val="none"/>
        </w:rPr>
        <w:t>线路计划</w:t>
      </w:r>
      <w:r>
        <w:rPr>
          <w:rFonts w:hint="eastAsia" w:ascii="仿宋" w:hAnsi="仿宋" w:eastAsia="仿宋"/>
          <w:color w:val="000000"/>
          <w:szCs w:val="32"/>
          <w:highlight w:val="none"/>
        </w:rPr>
        <w:t>日均发车间隔）/（线路数）×</w:t>
      </w:r>
      <w:r>
        <w:rPr>
          <w:rFonts w:ascii="仿宋" w:hAnsi="仿宋" w:eastAsia="仿宋"/>
          <w:color w:val="000000"/>
          <w:szCs w:val="32"/>
          <w:highlight w:val="none"/>
        </w:rPr>
        <w:t>100%</w:t>
      </w:r>
    </w:p>
    <w:p w14:paraId="412CF13D">
      <w:pPr>
        <w:ind w:firstLine="640" w:firstLineChars="200"/>
        <w:rPr>
          <w:rFonts w:ascii="仿宋" w:hAnsi="仿宋" w:eastAsia="仿宋"/>
          <w:color w:val="000000"/>
          <w:szCs w:val="32"/>
          <w:highlight w:val="none"/>
        </w:rPr>
      </w:pPr>
    </w:p>
    <w:p w14:paraId="6BD21921">
      <w:pPr>
        <w:ind w:firstLine="640" w:firstLineChars="200"/>
        <w:rPr>
          <w:rFonts w:ascii="仿宋" w:hAnsi="仿宋" w:eastAsia="仿宋"/>
          <w:color w:val="000000"/>
          <w:szCs w:val="32"/>
          <w:highlight w:val="none"/>
        </w:rPr>
      </w:pPr>
    </w:p>
    <w:p w14:paraId="1CB0CB92">
      <w:pPr>
        <w:ind w:firstLine="640" w:firstLineChars="200"/>
        <w:rPr>
          <w:rFonts w:ascii="仿宋" w:hAnsi="仿宋" w:eastAsia="仿宋"/>
          <w:color w:val="000000"/>
          <w:szCs w:val="32"/>
          <w:highlight w:val="none"/>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FCC3D">
    <w:pPr>
      <w:pStyle w:val="3"/>
      <w:jc w:val="center"/>
    </w:pPr>
    <w:r>
      <w:fldChar w:fldCharType="begin"/>
    </w:r>
    <w:r>
      <w:instrText xml:space="preserve">PAGE   \* MERGEFORMAT</w:instrText>
    </w:r>
    <w:r>
      <w:fldChar w:fldCharType="separate"/>
    </w:r>
    <w:r>
      <w:rPr>
        <w:lang w:val="zh-CN"/>
      </w:rPr>
      <w:t>14</w:t>
    </w:r>
    <w:r>
      <w:rPr>
        <w:lang w:val="zh-CN"/>
      </w:rPr>
      <w:fldChar w:fldCharType="end"/>
    </w:r>
  </w:p>
  <w:p w14:paraId="0397AA2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4729D">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C7462"/>
    <w:multiLevelType w:val="singleLevel"/>
    <w:tmpl w:val="5F1C7462"/>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74C"/>
    <w:rsid w:val="0003356E"/>
    <w:rsid w:val="00042960"/>
    <w:rsid w:val="00044690"/>
    <w:rsid w:val="00061967"/>
    <w:rsid w:val="00064360"/>
    <w:rsid w:val="000863DD"/>
    <w:rsid w:val="000905A3"/>
    <w:rsid w:val="000A5DC1"/>
    <w:rsid w:val="000B0B51"/>
    <w:rsid w:val="000B28FD"/>
    <w:rsid w:val="000D064D"/>
    <w:rsid w:val="000F471A"/>
    <w:rsid w:val="00112161"/>
    <w:rsid w:val="00112FF8"/>
    <w:rsid w:val="00115107"/>
    <w:rsid w:val="001420C1"/>
    <w:rsid w:val="00147E6F"/>
    <w:rsid w:val="00174877"/>
    <w:rsid w:val="00193356"/>
    <w:rsid w:val="00193D27"/>
    <w:rsid w:val="001950F8"/>
    <w:rsid w:val="00197072"/>
    <w:rsid w:val="001B290D"/>
    <w:rsid w:val="001D467D"/>
    <w:rsid w:val="001E460E"/>
    <w:rsid w:val="001E4698"/>
    <w:rsid w:val="00210690"/>
    <w:rsid w:val="0022027B"/>
    <w:rsid w:val="00227485"/>
    <w:rsid w:val="00246FE9"/>
    <w:rsid w:val="00260F91"/>
    <w:rsid w:val="00262AFB"/>
    <w:rsid w:val="002871EB"/>
    <w:rsid w:val="002911BA"/>
    <w:rsid w:val="002E06B5"/>
    <w:rsid w:val="002E514A"/>
    <w:rsid w:val="002F0C1B"/>
    <w:rsid w:val="003039DC"/>
    <w:rsid w:val="00310A1D"/>
    <w:rsid w:val="00323135"/>
    <w:rsid w:val="00364998"/>
    <w:rsid w:val="00371C40"/>
    <w:rsid w:val="00377F81"/>
    <w:rsid w:val="00390665"/>
    <w:rsid w:val="00391AB2"/>
    <w:rsid w:val="003A398A"/>
    <w:rsid w:val="003B566F"/>
    <w:rsid w:val="003C5E62"/>
    <w:rsid w:val="003E6771"/>
    <w:rsid w:val="003F3DD4"/>
    <w:rsid w:val="003F6085"/>
    <w:rsid w:val="00404366"/>
    <w:rsid w:val="004111E9"/>
    <w:rsid w:val="0041263B"/>
    <w:rsid w:val="004128F4"/>
    <w:rsid w:val="00415EAB"/>
    <w:rsid w:val="0042081E"/>
    <w:rsid w:val="004259E9"/>
    <w:rsid w:val="00425F18"/>
    <w:rsid w:val="00436ECF"/>
    <w:rsid w:val="00447363"/>
    <w:rsid w:val="00487E90"/>
    <w:rsid w:val="004A706B"/>
    <w:rsid w:val="004B3517"/>
    <w:rsid w:val="004D00D5"/>
    <w:rsid w:val="004D5807"/>
    <w:rsid w:val="004E5349"/>
    <w:rsid w:val="00507D74"/>
    <w:rsid w:val="0051048D"/>
    <w:rsid w:val="005460B1"/>
    <w:rsid w:val="00564345"/>
    <w:rsid w:val="0057042E"/>
    <w:rsid w:val="005848DF"/>
    <w:rsid w:val="005A51F7"/>
    <w:rsid w:val="005A797D"/>
    <w:rsid w:val="005B0D5B"/>
    <w:rsid w:val="005B1108"/>
    <w:rsid w:val="005C1FEC"/>
    <w:rsid w:val="005D290D"/>
    <w:rsid w:val="005D55B5"/>
    <w:rsid w:val="005D6FFC"/>
    <w:rsid w:val="005E000B"/>
    <w:rsid w:val="005E5E1B"/>
    <w:rsid w:val="005E7E3E"/>
    <w:rsid w:val="00602A68"/>
    <w:rsid w:val="0060403A"/>
    <w:rsid w:val="00614449"/>
    <w:rsid w:val="00614FB6"/>
    <w:rsid w:val="006343B0"/>
    <w:rsid w:val="00636CF8"/>
    <w:rsid w:val="00654576"/>
    <w:rsid w:val="00660AA4"/>
    <w:rsid w:val="00667D46"/>
    <w:rsid w:val="00676D94"/>
    <w:rsid w:val="00676E8D"/>
    <w:rsid w:val="00684AB7"/>
    <w:rsid w:val="0068793B"/>
    <w:rsid w:val="006A6C3E"/>
    <w:rsid w:val="006B751D"/>
    <w:rsid w:val="006C0C8F"/>
    <w:rsid w:val="006C3874"/>
    <w:rsid w:val="006D5505"/>
    <w:rsid w:val="006F2562"/>
    <w:rsid w:val="006F6FB5"/>
    <w:rsid w:val="007338E3"/>
    <w:rsid w:val="00734399"/>
    <w:rsid w:val="007474BA"/>
    <w:rsid w:val="0075316A"/>
    <w:rsid w:val="0076167D"/>
    <w:rsid w:val="0076481A"/>
    <w:rsid w:val="00773257"/>
    <w:rsid w:val="00783AD8"/>
    <w:rsid w:val="007976A7"/>
    <w:rsid w:val="007B1193"/>
    <w:rsid w:val="007C0A75"/>
    <w:rsid w:val="007C6BCA"/>
    <w:rsid w:val="00803A26"/>
    <w:rsid w:val="00806026"/>
    <w:rsid w:val="008126CA"/>
    <w:rsid w:val="00847C10"/>
    <w:rsid w:val="00861763"/>
    <w:rsid w:val="0087786C"/>
    <w:rsid w:val="00881A5E"/>
    <w:rsid w:val="00885AAC"/>
    <w:rsid w:val="008C022D"/>
    <w:rsid w:val="008D0300"/>
    <w:rsid w:val="008E5A15"/>
    <w:rsid w:val="00900A00"/>
    <w:rsid w:val="009105AE"/>
    <w:rsid w:val="00915826"/>
    <w:rsid w:val="00934082"/>
    <w:rsid w:val="00963448"/>
    <w:rsid w:val="00967093"/>
    <w:rsid w:val="00985A76"/>
    <w:rsid w:val="00996155"/>
    <w:rsid w:val="009A1807"/>
    <w:rsid w:val="009B4E6B"/>
    <w:rsid w:val="009C01D9"/>
    <w:rsid w:val="009D2A5D"/>
    <w:rsid w:val="009E13D4"/>
    <w:rsid w:val="00A00CDD"/>
    <w:rsid w:val="00A309BD"/>
    <w:rsid w:val="00A33ED8"/>
    <w:rsid w:val="00A50A0F"/>
    <w:rsid w:val="00A651A8"/>
    <w:rsid w:val="00A7488C"/>
    <w:rsid w:val="00A93E69"/>
    <w:rsid w:val="00AA0A9A"/>
    <w:rsid w:val="00AA20EB"/>
    <w:rsid w:val="00AA4192"/>
    <w:rsid w:val="00AD22EC"/>
    <w:rsid w:val="00AF1E1D"/>
    <w:rsid w:val="00B04F6A"/>
    <w:rsid w:val="00B07D86"/>
    <w:rsid w:val="00B21BB5"/>
    <w:rsid w:val="00B2312D"/>
    <w:rsid w:val="00B27657"/>
    <w:rsid w:val="00B430D8"/>
    <w:rsid w:val="00B74A4B"/>
    <w:rsid w:val="00B7739C"/>
    <w:rsid w:val="00B8623B"/>
    <w:rsid w:val="00BA7D84"/>
    <w:rsid w:val="00BC6CB8"/>
    <w:rsid w:val="00BD0B95"/>
    <w:rsid w:val="00BE6665"/>
    <w:rsid w:val="00BF2D4E"/>
    <w:rsid w:val="00BF6276"/>
    <w:rsid w:val="00BF750E"/>
    <w:rsid w:val="00C06E36"/>
    <w:rsid w:val="00C1443C"/>
    <w:rsid w:val="00C354D8"/>
    <w:rsid w:val="00C37BB5"/>
    <w:rsid w:val="00C41D5F"/>
    <w:rsid w:val="00C46553"/>
    <w:rsid w:val="00C46B82"/>
    <w:rsid w:val="00C53F49"/>
    <w:rsid w:val="00C6017D"/>
    <w:rsid w:val="00CA1D0C"/>
    <w:rsid w:val="00CA61B6"/>
    <w:rsid w:val="00CB739D"/>
    <w:rsid w:val="00CC4A96"/>
    <w:rsid w:val="00CC72F5"/>
    <w:rsid w:val="00CE5E48"/>
    <w:rsid w:val="00CF4933"/>
    <w:rsid w:val="00CF7886"/>
    <w:rsid w:val="00D3060B"/>
    <w:rsid w:val="00D3194D"/>
    <w:rsid w:val="00DA150A"/>
    <w:rsid w:val="00DB0786"/>
    <w:rsid w:val="00DC7FCC"/>
    <w:rsid w:val="00DD243F"/>
    <w:rsid w:val="00E16ED1"/>
    <w:rsid w:val="00E20228"/>
    <w:rsid w:val="00E23401"/>
    <w:rsid w:val="00E2374C"/>
    <w:rsid w:val="00E24904"/>
    <w:rsid w:val="00E318C6"/>
    <w:rsid w:val="00E71633"/>
    <w:rsid w:val="00E91DA0"/>
    <w:rsid w:val="00EA531F"/>
    <w:rsid w:val="00EA6CEE"/>
    <w:rsid w:val="00EC043B"/>
    <w:rsid w:val="00EC4EC3"/>
    <w:rsid w:val="00ED2352"/>
    <w:rsid w:val="00ED7215"/>
    <w:rsid w:val="00F23D53"/>
    <w:rsid w:val="00F259EF"/>
    <w:rsid w:val="00F5242E"/>
    <w:rsid w:val="00F64E27"/>
    <w:rsid w:val="00F76AC0"/>
    <w:rsid w:val="00F918CF"/>
    <w:rsid w:val="00F92465"/>
    <w:rsid w:val="00FA02F0"/>
    <w:rsid w:val="00FA09D0"/>
    <w:rsid w:val="00FA54CC"/>
    <w:rsid w:val="00FA6754"/>
    <w:rsid w:val="00FC2812"/>
    <w:rsid w:val="00FD66A7"/>
    <w:rsid w:val="00FD7C83"/>
    <w:rsid w:val="00FE1365"/>
    <w:rsid w:val="00FE1D67"/>
    <w:rsid w:val="00FE33C6"/>
    <w:rsid w:val="00FF453C"/>
    <w:rsid w:val="00FF6369"/>
    <w:rsid w:val="01037AF6"/>
    <w:rsid w:val="01374E54"/>
    <w:rsid w:val="01FF43B3"/>
    <w:rsid w:val="02185B5F"/>
    <w:rsid w:val="02551A35"/>
    <w:rsid w:val="02C95F7F"/>
    <w:rsid w:val="030A6CC4"/>
    <w:rsid w:val="052D6C99"/>
    <w:rsid w:val="06513E35"/>
    <w:rsid w:val="079459C3"/>
    <w:rsid w:val="086E5D2A"/>
    <w:rsid w:val="087B5F6E"/>
    <w:rsid w:val="08E73603"/>
    <w:rsid w:val="09AF4121"/>
    <w:rsid w:val="0A0C1573"/>
    <w:rsid w:val="0A15117B"/>
    <w:rsid w:val="0A635B95"/>
    <w:rsid w:val="0A8F3546"/>
    <w:rsid w:val="0B705B32"/>
    <w:rsid w:val="0C594818"/>
    <w:rsid w:val="0E0B1B42"/>
    <w:rsid w:val="0F5A0CF1"/>
    <w:rsid w:val="0FAD6A39"/>
    <w:rsid w:val="10B464C1"/>
    <w:rsid w:val="12613932"/>
    <w:rsid w:val="12851EC3"/>
    <w:rsid w:val="136715C8"/>
    <w:rsid w:val="13C0517C"/>
    <w:rsid w:val="142D2812"/>
    <w:rsid w:val="16243303"/>
    <w:rsid w:val="18544BE3"/>
    <w:rsid w:val="19151AC7"/>
    <w:rsid w:val="19951545"/>
    <w:rsid w:val="19D90D46"/>
    <w:rsid w:val="1A9A2EB5"/>
    <w:rsid w:val="1AF46EF3"/>
    <w:rsid w:val="1B464D3C"/>
    <w:rsid w:val="1B5D56FF"/>
    <w:rsid w:val="1B7927E1"/>
    <w:rsid w:val="1C4D6F69"/>
    <w:rsid w:val="1D8C2A69"/>
    <w:rsid w:val="1DC35F95"/>
    <w:rsid w:val="1DE33F41"/>
    <w:rsid w:val="1DE706C8"/>
    <w:rsid w:val="1E65704C"/>
    <w:rsid w:val="1F833C2E"/>
    <w:rsid w:val="1F8E0533"/>
    <w:rsid w:val="1FAA11BB"/>
    <w:rsid w:val="21554E38"/>
    <w:rsid w:val="22A939AB"/>
    <w:rsid w:val="231057D9"/>
    <w:rsid w:val="25571C08"/>
    <w:rsid w:val="25E42F4C"/>
    <w:rsid w:val="265C5FF5"/>
    <w:rsid w:val="28520641"/>
    <w:rsid w:val="28CB21A2"/>
    <w:rsid w:val="28EF13F6"/>
    <w:rsid w:val="2940493E"/>
    <w:rsid w:val="2A570191"/>
    <w:rsid w:val="2A9C2048"/>
    <w:rsid w:val="2AB53B08"/>
    <w:rsid w:val="2ABB51EA"/>
    <w:rsid w:val="2AD92954"/>
    <w:rsid w:val="2C0E0D23"/>
    <w:rsid w:val="2C315DED"/>
    <w:rsid w:val="2D0363AE"/>
    <w:rsid w:val="2D3B5B48"/>
    <w:rsid w:val="2D51010D"/>
    <w:rsid w:val="2D64730B"/>
    <w:rsid w:val="2DF53F49"/>
    <w:rsid w:val="2E204D3E"/>
    <w:rsid w:val="2F1C3922"/>
    <w:rsid w:val="2F3A5849"/>
    <w:rsid w:val="2F544C9F"/>
    <w:rsid w:val="30556F21"/>
    <w:rsid w:val="30916346"/>
    <w:rsid w:val="309C4B4F"/>
    <w:rsid w:val="312E1520"/>
    <w:rsid w:val="32F522F5"/>
    <w:rsid w:val="341F28AC"/>
    <w:rsid w:val="36B03B14"/>
    <w:rsid w:val="36FC68E4"/>
    <w:rsid w:val="37144D14"/>
    <w:rsid w:val="3747333B"/>
    <w:rsid w:val="38C369F1"/>
    <w:rsid w:val="3A2C6EA6"/>
    <w:rsid w:val="3A5A5133"/>
    <w:rsid w:val="3A6921B7"/>
    <w:rsid w:val="3AC85CD4"/>
    <w:rsid w:val="3B4D7F3D"/>
    <w:rsid w:val="3B974891"/>
    <w:rsid w:val="3BA6277C"/>
    <w:rsid w:val="3CBB45AF"/>
    <w:rsid w:val="41272213"/>
    <w:rsid w:val="41CD624F"/>
    <w:rsid w:val="41DB1250"/>
    <w:rsid w:val="42EB6C0C"/>
    <w:rsid w:val="452A021E"/>
    <w:rsid w:val="45AB7D59"/>
    <w:rsid w:val="46252A99"/>
    <w:rsid w:val="46560512"/>
    <w:rsid w:val="486544A5"/>
    <w:rsid w:val="49F072BD"/>
    <w:rsid w:val="4B02784D"/>
    <w:rsid w:val="4D86248F"/>
    <w:rsid w:val="4DD54DA5"/>
    <w:rsid w:val="4DF711BF"/>
    <w:rsid w:val="4EEE25C2"/>
    <w:rsid w:val="4F023A16"/>
    <w:rsid w:val="4F714FA1"/>
    <w:rsid w:val="4FBD6FAD"/>
    <w:rsid w:val="5019762F"/>
    <w:rsid w:val="50A849F3"/>
    <w:rsid w:val="50D7058E"/>
    <w:rsid w:val="54F22D84"/>
    <w:rsid w:val="55081A7D"/>
    <w:rsid w:val="57B74846"/>
    <w:rsid w:val="582B03E3"/>
    <w:rsid w:val="595C281E"/>
    <w:rsid w:val="598D2C3B"/>
    <w:rsid w:val="59C402CA"/>
    <w:rsid w:val="5AA601F5"/>
    <w:rsid w:val="5C186ED1"/>
    <w:rsid w:val="5C7F6180"/>
    <w:rsid w:val="5C914AAF"/>
    <w:rsid w:val="5D1B3446"/>
    <w:rsid w:val="5D3726FB"/>
    <w:rsid w:val="5D577585"/>
    <w:rsid w:val="5ECFE91A"/>
    <w:rsid w:val="5F8C6930"/>
    <w:rsid w:val="5FC058B5"/>
    <w:rsid w:val="60457B68"/>
    <w:rsid w:val="60A725D1"/>
    <w:rsid w:val="611770C8"/>
    <w:rsid w:val="61316A8B"/>
    <w:rsid w:val="61575375"/>
    <w:rsid w:val="62A307E3"/>
    <w:rsid w:val="63442359"/>
    <w:rsid w:val="6345240D"/>
    <w:rsid w:val="64D97AC6"/>
    <w:rsid w:val="6586563B"/>
    <w:rsid w:val="669435F8"/>
    <w:rsid w:val="68E35DBC"/>
    <w:rsid w:val="6A5135AE"/>
    <w:rsid w:val="6A5B779C"/>
    <w:rsid w:val="6A8540DA"/>
    <w:rsid w:val="6B340F05"/>
    <w:rsid w:val="6B425F3D"/>
    <w:rsid w:val="6DEB44D0"/>
    <w:rsid w:val="6DF80F7B"/>
    <w:rsid w:val="6E2164AC"/>
    <w:rsid w:val="6E677844"/>
    <w:rsid w:val="6F7B5355"/>
    <w:rsid w:val="6FA80EFE"/>
    <w:rsid w:val="6FB16FC8"/>
    <w:rsid w:val="70A012B9"/>
    <w:rsid w:val="7130216F"/>
    <w:rsid w:val="71494FDF"/>
    <w:rsid w:val="716A4697"/>
    <w:rsid w:val="719D369E"/>
    <w:rsid w:val="730264C4"/>
    <w:rsid w:val="74D774D1"/>
    <w:rsid w:val="75B45DFA"/>
    <w:rsid w:val="75B94E29"/>
    <w:rsid w:val="75F9FD22"/>
    <w:rsid w:val="76206C56"/>
    <w:rsid w:val="76B178AE"/>
    <w:rsid w:val="771216BE"/>
    <w:rsid w:val="774921DC"/>
    <w:rsid w:val="778E4093"/>
    <w:rsid w:val="77FD33F4"/>
    <w:rsid w:val="782525A9"/>
    <w:rsid w:val="78322C70"/>
    <w:rsid w:val="78E421BD"/>
    <w:rsid w:val="78EF183C"/>
    <w:rsid w:val="79825532"/>
    <w:rsid w:val="79825571"/>
    <w:rsid w:val="7AD55099"/>
    <w:rsid w:val="7DED9E85"/>
    <w:rsid w:val="7DF00BFA"/>
    <w:rsid w:val="7E6E2528"/>
    <w:rsid w:val="7ECF553C"/>
    <w:rsid w:val="7EFC5D86"/>
    <w:rsid w:val="7FC05006"/>
    <w:rsid w:val="A7FB01AE"/>
    <w:rsid w:val="B697238F"/>
    <w:rsid w:val="BADEFCB2"/>
    <w:rsid w:val="CFEB9BDA"/>
    <w:rsid w:val="DDFC9358"/>
    <w:rsid w:val="EFDF8BB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qFormat/>
    <w:uiPriority w:val="0"/>
    <w:rPr>
      <w:sz w:val="18"/>
      <w:szCs w:val="18"/>
    </w:rPr>
  </w:style>
  <w:style w:type="character" w:customStyle="1" w:styleId="9">
    <w:name w:val="批注框文本 Char"/>
    <w:basedOn w:val="6"/>
    <w:link w:val="2"/>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16</Pages>
  <Words>5338</Words>
  <Characters>5548</Characters>
  <Lines>39</Lines>
  <Paragraphs>11</Paragraphs>
  <TotalTime>15</TotalTime>
  <ScaleCrop>false</ScaleCrop>
  <LinksUpToDate>false</LinksUpToDate>
  <CharactersWithSpaces>5632</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2020-09-03T16:44:00Z</dcterms:created>
  <dc:creator>wwk</dc:creator>
  <cp:lastModifiedBy>杨高潮</cp:lastModifiedBy>
  <cp:lastPrinted>2025-12-07T05:04:00Z</cp:lastPrinted>
  <dcterms:modified xsi:type="dcterms:W3CDTF">2026-09-07T10:25:08Z</dcterms:modified>
  <cp:revision>691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DEC118459E80DBBCD9169E6AB3496012_43</vt:lpwstr>
  </property>
  <property fmtid="{D5CDD505-2E9C-101B-9397-08002B2CF9AE}" pid="4" name="KSOTemplateDocerSaveRecord">
    <vt:lpwstr>eyJoZGlkIjoiNzhmMDRiOTliZjE2YTU4MTMwYmJmODQ5N2U4NjBmOTciLCJ1c2VySWQiOiIzNjE1MTAzMjkifQ==</vt:lpwstr>
  </property>
</Properties>
</file>