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ascii="宋体" w:hAnsi="宋体" w:eastAsia="宋体" w:cs="宋体"/>
          <w:b/>
          <w:bCs/>
          <w:spacing w:val="-9"/>
          <w:position w:val="35"/>
          <w:sz w:val="45"/>
          <w:szCs w:val="45"/>
        </w:rPr>
      </w:pPr>
      <w:r>
        <w:rPr>
          <w:rFonts w:hint="eastAsia" w:ascii="仿宋" w:hAnsi="仿宋" w:eastAsia="仿宋" w:cs="仿宋"/>
          <w:b w:val="0"/>
          <w:bCs w:val="0"/>
          <w:sz w:val="32"/>
          <w:szCs w:val="32"/>
          <w:lang w:val="en-US" w:eastAsia="zh-CN"/>
        </w:rPr>
        <w:t>附件2</w:t>
      </w:r>
    </w:p>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宋体" w:hAnsi="宋体" w:eastAsia="宋体" w:cs="宋体"/>
          <w:sz w:val="45"/>
          <w:szCs w:val="45"/>
        </w:rPr>
      </w:pPr>
      <w:r>
        <w:rPr>
          <w:rFonts w:ascii="宋体" w:hAnsi="宋体" w:eastAsia="宋体" w:cs="宋体"/>
          <w:b/>
          <w:bCs/>
          <w:spacing w:val="-9"/>
          <w:position w:val="35"/>
          <w:sz w:val="45"/>
          <w:szCs w:val="45"/>
        </w:rPr>
        <w:t>闽侯县</w:t>
      </w:r>
      <w:r>
        <w:rPr>
          <w:rFonts w:hint="eastAsia" w:ascii="宋体" w:hAnsi="宋体" w:eastAsia="宋体" w:cs="宋体"/>
          <w:b/>
          <w:bCs/>
          <w:spacing w:val="-9"/>
          <w:position w:val="35"/>
          <w:sz w:val="45"/>
          <w:szCs w:val="45"/>
          <w:lang w:val="en-US" w:eastAsia="zh-CN"/>
        </w:rPr>
        <w:t>农村客运</w:t>
      </w:r>
      <w:r>
        <w:rPr>
          <w:rFonts w:ascii="宋体" w:hAnsi="宋体" w:eastAsia="宋体" w:cs="宋体"/>
          <w:b/>
          <w:bCs/>
          <w:spacing w:val="-9"/>
          <w:position w:val="35"/>
          <w:sz w:val="45"/>
          <w:szCs w:val="45"/>
        </w:rPr>
        <w:t>运营服务</w:t>
      </w:r>
    </w:p>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宋体" w:hAnsi="宋体" w:eastAsia="宋体" w:cs="宋体"/>
          <w:sz w:val="45"/>
          <w:szCs w:val="45"/>
        </w:rPr>
      </w:pPr>
      <w:r>
        <w:rPr>
          <w:rFonts w:ascii="宋体" w:hAnsi="宋体" w:eastAsia="宋体" w:cs="宋体"/>
          <w:b/>
          <w:bCs/>
          <w:spacing w:val="-5"/>
          <w:sz w:val="45"/>
          <w:szCs w:val="45"/>
        </w:rPr>
        <w:t>质量考核办法</w:t>
      </w:r>
    </w:p>
    <w:p>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240" w:lineRule="auto"/>
        <w:ind w:left="3269" w:firstLine="325" w:firstLineChars="100"/>
        <w:jc w:val="both"/>
        <w:textAlignment w:val="baseline"/>
        <w:rPr>
          <w:rFonts w:hint="eastAsia" w:ascii="仿宋_GB2312" w:hAnsi="仿宋_GB2312" w:eastAsia="仿宋_GB2312" w:cs="仿宋_GB2312"/>
          <w:b/>
          <w:bCs/>
          <w:snapToGrid w:val="0"/>
          <w:color w:val="000000"/>
          <w:spacing w:val="2"/>
          <w:kern w:val="0"/>
          <w:sz w:val="32"/>
          <w:szCs w:val="32"/>
          <w:lang w:val="en-US" w:eastAsia="zh-CN" w:bidi="ar"/>
        </w:rPr>
      </w:pPr>
      <w:r>
        <w:rPr>
          <w:rFonts w:hint="eastAsia" w:ascii="仿宋_GB2312" w:hAnsi="仿宋_GB2312" w:eastAsia="仿宋_GB2312" w:cs="仿宋_GB2312"/>
          <w:b/>
          <w:bCs/>
          <w:snapToGrid w:val="0"/>
          <w:color w:val="000000"/>
          <w:spacing w:val="2"/>
          <w:kern w:val="0"/>
          <w:sz w:val="32"/>
          <w:szCs w:val="32"/>
          <w:lang w:val="en-US" w:eastAsia="zh-CN" w:bidi="ar"/>
        </w:rPr>
        <w:t>第 一 章 总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0"/>
        <w:jc w:val="both"/>
        <w:textAlignment w:val="baseline"/>
        <w:rPr>
          <w:rFonts w:hint="eastAsia" w:ascii="仿宋_GB2312" w:hAnsi="仿宋_GB2312" w:eastAsia="仿宋_GB2312" w:cs="仿宋_GB2312"/>
          <w:b/>
          <w:bCs/>
          <w:i w:val="0"/>
          <w:iCs w:val="0"/>
          <w:caps w:val="0"/>
          <w:snapToGrid w:val="0"/>
          <w:color w:val="333333"/>
          <w:spacing w:val="0"/>
          <w:kern w:val="0"/>
          <w:sz w:val="32"/>
          <w:szCs w:val="32"/>
          <w:shd w:val="clear" w:color="080000" w:fill="FFFFFF"/>
          <w:lang w:val="en-US" w:eastAsia="zh-CN"/>
        </w:rPr>
      </w:pPr>
      <w:r>
        <w:rPr>
          <w:rFonts w:hint="eastAsia" w:ascii="仿宋_GB2312" w:hAnsi="仿宋_GB2312" w:eastAsia="仿宋_GB2312" w:cs="仿宋_GB2312"/>
          <w:b w:val="0"/>
          <w:bCs w:val="0"/>
          <w:i w:val="0"/>
          <w:iCs w:val="0"/>
          <w:caps w:val="0"/>
          <w:snapToGrid w:val="0"/>
          <w:color w:val="333333"/>
          <w:spacing w:val="0"/>
          <w:kern w:val="0"/>
          <w:sz w:val="32"/>
          <w:szCs w:val="32"/>
          <w:shd w:val="clear" w:color="080000" w:fill="FFFFFF"/>
          <w:lang w:val="en-US" w:eastAsia="zh-CN"/>
        </w:rPr>
        <w:t xml:space="preserve">   </w:t>
      </w:r>
      <w:r>
        <w:rPr>
          <w:rFonts w:hint="eastAsia" w:ascii="仿宋_GB2312" w:hAnsi="仿宋_GB2312" w:eastAsia="仿宋_GB2312" w:cs="仿宋_GB2312"/>
          <w:b/>
          <w:bCs/>
          <w:i w:val="0"/>
          <w:iCs w:val="0"/>
          <w:caps w:val="0"/>
          <w:snapToGrid w:val="0"/>
          <w:color w:val="333333"/>
          <w:spacing w:val="0"/>
          <w:kern w:val="0"/>
          <w:sz w:val="32"/>
          <w:szCs w:val="32"/>
          <w:shd w:val="clear" w:color="080000" w:fill="FFFFFF"/>
          <w:lang w:val="en-US" w:eastAsia="zh-CN"/>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40" w:lineRule="exact"/>
        <w:ind w:left="0" w:right="0" w:firstLine="651" w:firstLineChars="200"/>
        <w:jc w:val="both"/>
        <w:textAlignment w:val="baseline"/>
        <w:rPr>
          <w:rFonts w:hint="default" w:ascii="仿宋_GB2312" w:hAnsi="仿宋_GB2312" w:eastAsia="仿宋_GB2312" w:cs="仿宋_GB2312"/>
          <w:b w:val="0"/>
          <w:bCs w:val="0"/>
          <w:snapToGrid w:val="0"/>
          <w:color w:val="000000"/>
          <w:spacing w:val="2"/>
          <w:kern w:val="0"/>
          <w:sz w:val="32"/>
          <w:szCs w:val="32"/>
          <w:lang w:val="en-US" w:eastAsia="zh-CN"/>
        </w:rPr>
      </w:pPr>
      <w:r>
        <w:rPr>
          <w:rFonts w:hint="eastAsia" w:ascii="仿宋_GB2312" w:hAnsi="仿宋_GB2312" w:eastAsia="仿宋_GB2312" w:cs="仿宋_GB2312"/>
          <w:b/>
          <w:bCs/>
          <w:snapToGrid w:val="0"/>
          <w:color w:val="000000"/>
          <w:spacing w:val="2"/>
          <w:kern w:val="0"/>
          <w:sz w:val="32"/>
          <w:szCs w:val="32"/>
        </w:rPr>
        <w:t>第一条</w:t>
      </w:r>
      <w:r>
        <w:rPr>
          <w:rFonts w:hint="eastAsia" w:ascii="仿宋_GB2312" w:hAnsi="仿宋_GB2312" w:eastAsia="仿宋_GB2312" w:cs="仿宋_GB2312"/>
          <w:b w:val="0"/>
          <w:bCs w:val="0"/>
          <w:snapToGrid w:val="0"/>
          <w:color w:val="000000"/>
          <w:spacing w:val="2"/>
          <w:kern w:val="0"/>
          <w:sz w:val="32"/>
          <w:szCs w:val="32"/>
          <w:lang w:val="en-US" w:eastAsia="zh-CN"/>
        </w:rPr>
        <w:t>：</w:t>
      </w:r>
      <w:r>
        <w:rPr>
          <w:rFonts w:hint="eastAsia" w:ascii="仿宋_GB2312" w:hAnsi="仿宋_GB2312" w:eastAsia="仿宋_GB2312" w:cs="仿宋_GB2312"/>
          <w:b w:val="0"/>
          <w:bCs w:val="0"/>
          <w:snapToGrid w:val="0"/>
          <w:color w:val="000000"/>
          <w:spacing w:val="2"/>
          <w:kern w:val="0"/>
          <w:sz w:val="32"/>
          <w:szCs w:val="32"/>
        </w:rPr>
        <w:t>为加强</w:t>
      </w:r>
      <w:r>
        <w:rPr>
          <w:rFonts w:hint="eastAsia" w:ascii="仿宋_GB2312" w:hAnsi="仿宋_GB2312" w:eastAsia="仿宋_GB2312" w:cs="仿宋_GB2312"/>
          <w:b w:val="0"/>
          <w:bCs w:val="0"/>
          <w:snapToGrid w:val="0"/>
          <w:color w:val="000000"/>
          <w:spacing w:val="2"/>
          <w:kern w:val="0"/>
          <w:sz w:val="32"/>
          <w:szCs w:val="32"/>
          <w:lang w:val="en-US" w:eastAsia="zh-CN"/>
        </w:rPr>
        <w:t>我县农村客运</w:t>
      </w:r>
      <w:r>
        <w:rPr>
          <w:rFonts w:hint="eastAsia" w:ascii="仿宋_GB2312" w:hAnsi="仿宋_GB2312" w:eastAsia="仿宋_GB2312" w:cs="仿宋_GB2312"/>
          <w:b w:val="0"/>
          <w:bCs w:val="0"/>
          <w:snapToGrid w:val="0"/>
          <w:color w:val="000000"/>
          <w:spacing w:val="2"/>
          <w:kern w:val="0"/>
          <w:sz w:val="32"/>
          <w:szCs w:val="32"/>
        </w:rPr>
        <w:t>行业监督和管理，全面提升我县</w:t>
      </w:r>
      <w:r>
        <w:rPr>
          <w:rFonts w:hint="eastAsia" w:ascii="仿宋_GB2312" w:hAnsi="仿宋_GB2312" w:eastAsia="仿宋_GB2312" w:cs="仿宋_GB2312"/>
          <w:b w:val="0"/>
          <w:bCs w:val="0"/>
          <w:snapToGrid w:val="0"/>
          <w:color w:val="000000"/>
          <w:spacing w:val="2"/>
          <w:kern w:val="0"/>
          <w:sz w:val="32"/>
          <w:szCs w:val="32"/>
          <w:lang w:val="en-US" w:eastAsia="zh-CN"/>
        </w:rPr>
        <w:t>农村客运</w:t>
      </w:r>
      <w:r>
        <w:rPr>
          <w:rFonts w:hint="eastAsia" w:ascii="仿宋_GB2312" w:hAnsi="仿宋_GB2312" w:eastAsia="仿宋_GB2312" w:cs="仿宋_GB2312"/>
          <w:b w:val="0"/>
          <w:bCs w:val="0"/>
          <w:snapToGrid w:val="0"/>
          <w:color w:val="000000"/>
          <w:spacing w:val="2"/>
          <w:kern w:val="0"/>
          <w:sz w:val="32"/>
          <w:szCs w:val="32"/>
        </w:rPr>
        <w:t>运营服务质量，促进</w:t>
      </w:r>
      <w:r>
        <w:rPr>
          <w:rFonts w:hint="eastAsia" w:ascii="仿宋_GB2312" w:hAnsi="仿宋_GB2312" w:eastAsia="仿宋_GB2312" w:cs="仿宋_GB2312"/>
          <w:b w:val="0"/>
          <w:bCs w:val="0"/>
          <w:snapToGrid w:val="0"/>
          <w:color w:val="000000"/>
          <w:spacing w:val="2"/>
          <w:kern w:val="0"/>
          <w:sz w:val="32"/>
          <w:szCs w:val="32"/>
          <w:lang w:val="en-US" w:eastAsia="zh-CN"/>
        </w:rPr>
        <w:t>农村客运高质量</w:t>
      </w:r>
      <w:r>
        <w:rPr>
          <w:rFonts w:hint="eastAsia" w:ascii="仿宋_GB2312" w:hAnsi="仿宋_GB2312" w:eastAsia="仿宋_GB2312" w:cs="仿宋_GB2312"/>
          <w:b w:val="0"/>
          <w:bCs w:val="0"/>
          <w:snapToGrid w:val="0"/>
          <w:color w:val="000000"/>
          <w:spacing w:val="2"/>
          <w:kern w:val="0"/>
          <w:sz w:val="32"/>
          <w:szCs w:val="32"/>
        </w:rPr>
        <w:t>发展，根据</w:t>
      </w:r>
      <w:r>
        <w:rPr>
          <w:rFonts w:hint="eastAsia" w:ascii="仿宋_GB2312" w:hAnsi="仿宋_GB2312" w:eastAsia="仿宋_GB2312" w:cs="仿宋_GB2312"/>
          <w:b w:val="0"/>
          <w:bCs w:val="0"/>
          <w:snapToGrid w:val="0"/>
          <w:color w:val="000000"/>
          <w:spacing w:val="2"/>
          <w:kern w:val="0"/>
          <w:sz w:val="32"/>
          <w:szCs w:val="32"/>
          <w:lang w:val="en-US" w:eastAsia="zh-CN"/>
        </w:rPr>
        <w:t>交通运输部</w:t>
      </w:r>
      <w:r>
        <w:rPr>
          <w:rFonts w:hint="eastAsia" w:ascii="仿宋_GB2312" w:hAnsi="仿宋_GB2312" w:eastAsia="仿宋_GB2312" w:cs="仿宋_GB2312"/>
          <w:b w:val="0"/>
          <w:bCs w:val="0"/>
          <w:snapToGrid w:val="0"/>
          <w:color w:val="000000"/>
          <w:spacing w:val="2"/>
          <w:kern w:val="0"/>
          <w:sz w:val="32"/>
          <w:szCs w:val="32"/>
        </w:rPr>
        <w:t>《关于印发道路运输企业质量信誉考核办法（试行）的通知》（交</w:t>
      </w:r>
      <w:r>
        <w:rPr>
          <w:rFonts w:hint="eastAsia" w:ascii="仿宋_GB2312" w:hAnsi="仿宋_GB2312" w:eastAsia="仿宋_GB2312" w:cs="仿宋_GB2312"/>
          <w:b w:val="0"/>
          <w:bCs w:val="0"/>
          <w:snapToGrid w:val="0"/>
          <w:color w:val="000000"/>
          <w:spacing w:val="2"/>
          <w:kern w:val="0"/>
          <w:sz w:val="32"/>
          <w:szCs w:val="32"/>
          <w:lang w:val="en-US" w:eastAsia="zh-CN"/>
        </w:rPr>
        <w:t>公路</w:t>
      </w:r>
      <w:r>
        <w:rPr>
          <w:rFonts w:hint="eastAsia" w:ascii="仿宋_GB2312" w:hAnsi="仿宋_GB2312" w:eastAsia="仿宋_GB2312" w:cs="仿宋_GB2312"/>
          <w:b w:val="0"/>
          <w:bCs w:val="0"/>
          <w:snapToGrid w:val="0"/>
          <w:color w:val="000000"/>
          <w:spacing w:val="2"/>
          <w:kern w:val="0"/>
          <w:sz w:val="32"/>
          <w:szCs w:val="32"/>
        </w:rPr>
        <w:t>发〔20</w:t>
      </w:r>
      <w:r>
        <w:rPr>
          <w:rFonts w:hint="eastAsia" w:ascii="仿宋_GB2312" w:hAnsi="仿宋_GB2312" w:eastAsia="仿宋_GB2312" w:cs="仿宋_GB2312"/>
          <w:b w:val="0"/>
          <w:bCs w:val="0"/>
          <w:snapToGrid w:val="0"/>
          <w:color w:val="000000"/>
          <w:spacing w:val="2"/>
          <w:kern w:val="0"/>
          <w:sz w:val="32"/>
          <w:szCs w:val="32"/>
          <w:lang w:val="en-US" w:eastAsia="zh-CN"/>
        </w:rPr>
        <w:t>06</w:t>
      </w:r>
      <w:r>
        <w:rPr>
          <w:rFonts w:hint="eastAsia" w:ascii="仿宋_GB2312" w:hAnsi="仿宋_GB2312" w:eastAsia="仿宋_GB2312" w:cs="仿宋_GB2312"/>
          <w:b w:val="0"/>
          <w:bCs w:val="0"/>
          <w:snapToGrid w:val="0"/>
          <w:color w:val="000000"/>
          <w:spacing w:val="2"/>
          <w:kern w:val="0"/>
          <w:sz w:val="32"/>
          <w:szCs w:val="32"/>
        </w:rPr>
        <w:t>〕</w:t>
      </w:r>
      <w:r>
        <w:rPr>
          <w:rFonts w:hint="eastAsia" w:ascii="仿宋_GB2312" w:hAnsi="仿宋_GB2312" w:eastAsia="仿宋_GB2312" w:cs="仿宋_GB2312"/>
          <w:b w:val="0"/>
          <w:bCs w:val="0"/>
          <w:snapToGrid w:val="0"/>
          <w:color w:val="000000"/>
          <w:spacing w:val="2"/>
          <w:kern w:val="0"/>
          <w:sz w:val="32"/>
          <w:szCs w:val="32"/>
          <w:lang w:val="en-US" w:eastAsia="zh-CN"/>
        </w:rPr>
        <w:t>294</w:t>
      </w:r>
      <w:r>
        <w:rPr>
          <w:rFonts w:hint="eastAsia" w:ascii="仿宋_GB2312" w:hAnsi="仿宋_GB2312" w:eastAsia="仿宋_GB2312" w:cs="仿宋_GB2312"/>
          <w:b w:val="0"/>
          <w:bCs w:val="0"/>
          <w:snapToGrid w:val="0"/>
          <w:color w:val="000000"/>
          <w:spacing w:val="2"/>
          <w:kern w:val="0"/>
          <w:sz w:val="32"/>
          <w:szCs w:val="32"/>
        </w:rPr>
        <w:t>号）和福建省交通运输厅</w:t>
      </w:r>
      <w:r>
        <w:rPr>
          <w:rFonts w:hint="default" w:ascii="仿宋_GB2312" w:hAnsi="仿宋_GB2312" w:eastAsia="仿宋_GB2312" w:cs="仿宋_GB2312"/>
          <w:b w:val="0"/>
          <w:bCs w:val="0"/>
          <w:snapToGrid w:val="0"/>
          <w:color w:val="000000"/>
          <w:spacing w:val="2"/>
          <w:kern w:val="0"/>
          <w:sz w:val="32"/>
          <w:szCs w:val="32"/>
        </w:rPr>
        <w:t>《关于修订福建省道路旅客运输企业质量信誉考核办法实施细则的通知》(闽交运安〔2010〕93号)</w:t>
      </w:r>
      <w:r>
        <w:rPr>
          <w:rFonts w:hint="eastAsia" w:ascii="仿宋_GB2312" w:hAnsi="仿宋_GB2312" w:eastAsia="仿宋_GB2312" w:cs="仿宋_GB2312"/>
          <w:b w:val="0"/>
          <w:bCs w:val="0"/>
          <w:snapToGrid w:val="0"/>
          <w:color w:val="000000"/>
          <w:spacing w:val="2"/>
          <w:kern w:val="0"/>
          <w:sz w:val="32"/>
          <w:szCs w:val="32"/>
        </w:rPr>
        <w:t>精神，结合我县实际，</w:t>
      </w:r>
      <w:r>
        <w:rPr>
          <w:rFonts w:hint="eastAsia" w:ascii="仿宋_GB2312" w:hAnsi="仿宋_GB2312" w:eastAsia="仿宋_GB2312" w:cs="仿宋_GB2312"/>
          <w:b w:val="0"/>
          <w:bCs w:val="0"/>
          <w:snapToGrid w:val="0"/>
          <w:color w:val="000000"/>
          <w:spacing w:val="2"/>
          <w:kern w:val="0"/>
          <w:sz w:val="32"/>
          <w:szCs w:val="32"/>
          <w:lang w:val="en-US" w:eastAsia="zh-CN"/>
        </w:rPr>
        <w:t>制定本办法。</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b/>
          <w:bCs/>
          <w:spacing w:val="2"/>
          <w:sz w:val="32"/>
          <w:szCs w:val="32"/>
        </w:rPr>
        <w:t>第二条</w:t>
      </w:r>
      <w:r>
        <w:rPr>
          <w:rFonts w:hint="eastAsia" w:ascii="仿宋_GB2312" w:hAnsi="仿宋_GB2312" w:eastAsia="仿宋_GB2312" w:cs="仿宋_GB2312"/>
          <w:b/>
          <w:bCs/>
          <w:spacing w:val="2"/>
          <w:sz w:val="32"/>
          <w:szCs w:val="32"/>
          <w:lang w:val="en-US" w:eastAsia="zh-CN"/>
        </w:rPr>
        <w:t>：</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本办法实施对象是指按照《闽侯县农村客运车辆年度运营服务计划》要求提供相应运营服务的农村客运企业。</w:t>
      </w:r>
      <w:r>
        <w:rPr>
          <w:rFonts w:hint="eastAsia" w:ascii="仿宋" w:hAnsi="仿宋" w:eastAsia="仿宋" w:cs="仿宋_GB2312"/>
          <w:color w:val="000000"/>
          <w:sz w:val="32"/>
          <w:szCs w:val="32"/>
          <w:highlight w:val="none"/>
        </w:rPr>
        <w:t>在</w:t>
      </w:r>
      <w:r>
        <w:rPr>
          <w:rFonts w:hint="eastAsia" w:ascii="仿宋" w:hAnsi="仿宋" w:eastAsia="仿宋" w:cs="仿宋_GB2312"/>
          <w:color w:val="000000"/>
          <w:kern w:val="0"/>
          <w:sz w:val="32"/>
          <w:szCs w:val="32"/>
          <w:highlight w:val="none"/>
        </w:rPr>
        <w:t>《闽侯县</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农村客运车辆</w:t>
      </w:r>
      <w:r>
        <w:rPr>
          <w:rFonts w:hint="eastAsia" w:ascii="仿宋" w:hAnsi="仿宋" w:eastAsia="仿宋" w:cs="仿宋_GB2312"/>
          <w:color w:val="000000"/>
          <w:kern w:val="0"/>
          <w:sz w:val="32"/>
          <w:szCs w:val="32"/>
          <w:highlight w:val="none"/>
        </w:rPr>
        <w:t>年度运营服务计划》之外新增、延长或变更</w:t>
      </w:r>
      <w:r>
        <w:rPr>
          <w:rFonts w:hint="eastAsia" w:ascii="仿宋" w:hAnsi="仿宋" w:eastAsia="仿宋" w:cs="仿宋_GB2312"/>
          <w:color w:val="000000"/>
          <w:kern w:val="0"/>
          <w:sz w:val="32"/>
          <w:szCs w:val="32"/>
          <w:highlight w:val="none"/>
          <w:lang w:val="en-US" w:eastAsia="zh-CN"/>
        </w:rPr>
        <w:t>农村客运</w:t>
      </w:r>
      <w:r>
        <w:rPr>
          <w:rFonts w:hint="eastAsia" w:ascii="仿宋" w:hAnsi="仿宋" w:eastAsia="仿宋" w:cs="仿宋_GB2312"/>
          <w:color w:val="000000"/>
          <w:kern w:val="0"/>
          <w:sz w:val="32"/>
          <w:szCs w:val="32"/>
          <w:highlight w:val="none"/>
        </w:rPr>
        <w:t>运营线路以及</w:t>
      </w:r>
      <w:r>
        <w:rPr>
          <w:rFonts w:hint="eastAsia" w:ascii="仿宋" w:hAnsi="仿宋" w:eastAsia="仿宋" w:cs="仿宋_GB2312"/>
          <w:color w:val="000000"/>
          <w:kern w:val="0"/>
          <w:sz w:val="32"/>
          <w:szCs w:val="32"/>
          <w:highlight w:val="none"/>
          <w:lang w:val="en-US" w:eastAsia="zh-CN"/>
        </w:rPr>
        <w:t>农村客运</w:t>
      </w:r>
      <w:r>
        <w:rPr>
          <w:rFonts w:hint="eastAsia" w:ascii="仿宋" w:hAnsi="仿宋" w:eastAsia="仿宋" w:cs="仿宋_GB2312"/>
          <w:color w:val="000000"/>
          <w:kern w:val="0"/>
          <w:sz w:val="32"/>
          <w:szCs w:val="32"/>
          <w:highlight w:val="none"/>
        </w:rPr>
        <w:t>企业为完成政府临时性任务所发生的运营成本，按照本办法相关规定</w:t>
      </w:r>
      <w:r>
        <w:rPr>
          <w:rFonts w:hint="eastAsia" w:ascii="仿宋" w:hAnsi="仿宋" w:eastAsia="仿宋" w:cs="仿宋_GB2312"/>
          <w:color w:val="000000"/>
          <w:kern w:val="0"/>
          <w:sz w:val="32"/>
          <w:szCs w:val="32"/>
          <w:highlight w:val="none"/>
          <w:lang w:val="en-US" w:eastAsia="zh-CN"/>
        </w:rPr>
        <w:t>据实</w:t>
      </w:r>
      <w:r>
        <w:rPr>
          <w:rFonts w:hint="eastAsia" w:ascii="仿宋" w:hAnsi="仿宋" w:eastAsia="仿宋" w:cs="仿宋_GB2312"/>
          <w:color w:val="000000"/>
          <w:kern w:val="0"/>
          <w:sz w:val="32"/>
          <w:szCs w:val="32"/>
          <w:highlight w:val="none"/>
        </w:rPr>
        <w:t>核定。</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
          <w:sz w:val="32"/>
          <w:szCs w:val="32"/>
        </w:rPr>
        <w:t>第三条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服务质量考核坚持以人为本、公平、</w:t>
      </w:r>
      <w:r>
        <w:rPr>
          <w:rFonts w:hint="eastAsia" w:ascii="仿宋_GB2312" w:hAnsi="仿宋_GB2312" w:eastAsia="仿宋_GB2312" w:cs="仿宋_GB2312"/>
          <w:spacing w:val="3"/>
          <w:sz w:val="32"/>
          <w:szCs w:val="32"/>
        </w:rPr>
        <w:t>公</w:t>
      </w:r>
      <w:r>
        <w:rPr>
          <w:rFonts w:hint="eastAsia" w:ascii="仿宋_GB2312" w:hAnsi="仿宋_GB2312" w:eastAsia="仿宋_GB2312" w:cs="仿宋_GB2312"/>
          <w:spacing w:val="2"/>
          <w:sz w:val="32"/>
          <w:szCs w:val="32"/>
        </w:rPr>
        <w:t>正、公</w:t>
      </w:r>
      <w:r>
        <w:rPr>
          <w:rFonts w:hint="eastAsia" w:ascii="仿宋_GB2312" w:hAnsi="仿宋_GB2312" w:eastAsia="仿宋_GB2312" w:cs="仿宋_GB2312"/>
          <w:spacing w:val="11"/>
          <w:sz w:val="32"/>
          <w:szCs w:val="32"/>
        </w:rPr>
        <w:t>开的原则</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建立考核结果与过程监督相结合的考核机制，确保行业管</w:t>
      </w:r>
      <w:r>
        <w:rPr>
          <w:rFonts w:hint="eastAsia" w:ascii="仿宋_GB2312" w:hAnsi="仿宋_GB2312" w:eastAsia="仿宋_GB2312" w:cs="仿宋_GB2312"/>
          <w:spacing w:val="10"/>
          <w:sz w:val="32"/>
          <w:szCs w:val="32"/>
        </w:rPr>
        <w:t>理部门对</w:t>
      </w:r>
      <w:r>
        <w:rPr>
          <w:rFonts w:hint="eastAsia" w:ascii="仿宋_GB2312" w:hAnsi="仿宋_GB2312" w:eastAsia="仿宋_GB2312" w:cs="仿宋_GB2312"/>
          <w:spacing w:val="10"/>
          <w:sz w:val="32"/>
          <w:szCs w:val="32"/>
          <w:lang w:val="en-US" w:eastAsia="zh-CN"/>
        </w:rPr>
        <w:t>农村客运企业</w:t>
      </w:r>
      <w:r>
        <w:rPr>
          <w:rFonts w:hint="eastAsia" w:ascii="仿宋_GB2312" w:hAnsi="仿宋_GB2312" w:eastAsia="仿宋_GB2312" w:cs="仿宋_GB2312"/>
          <w:spacing w:val="17"/>
          <w:sz w:val="32"/>
          <w:szCs w:val="32"/>
        </w:rPr>
        <w:t>运营服务过程公</w:t>
      </w:r>
      <w:r>
        <w:rPr>
          <w:rFonts w:hint="eastAsia" w:ascii="仿宋_GB2312" w:hAnsi="仿宋_GB2312" w:eastAsia="仿宋_GB2312" w:cs="仿宋_GB2312"/>
          <w:spacing w:val="8"/>
          <w:sz w:val="32"/>
          <w:szCs w:val="32"/>
        </w:rPr>
        <w:t>平考核、服务公正评价、结果公开透明。</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25" w:firstLine="687" w:firstLineChars="200"/>
        <w:jc w:val="both"/>
        <w:textAlignment w:val="baseline"/>
        <w:rPr>
          <w:rFonts w:hint="eastAsia" w:ascii="仿宋_GB2312" w:hAnsi="仿宋_GB2312" w:eastAsia="仿宋_GB2312" w:cs="仿宋_GB2312"/>
          <w:spacing w:val="11"/>
          <w:sz w:val="32"/>
          <w:szCs w:val="32"/>
          <w:highlight w:val="yellow"/>
          <w:lang w:val="en-US" w:eastAsia="zh-CN"/>
        </w:rPr>
      </w:pPr>
      <w:r>
        <w:rPr>
          <w:rFonts w:hint="eastAsia" w:ascii="仿宋_GB2312" w:hAnsi="仿宋_GB2312" w:eastAsia="仿宋_GB2312" w:cs="仿宋_GB2312"/>
          <w:b/>
          <w:bCs/>
          <w:spacing w:val="11"/>
          <w:sz w:val="32"/>
          <w:szCs w:val="32"/>
        </w:rPr>
        <w:t>第四条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pacing w:val="11"/>
          <w:sz w:val="32"/>
          <w:szCs w:val="32"/>
          <w:highlight w:val="none"/>
        </w:rPr>
        <w:t>考核内容以《闽侯县</w:t>
      </w:r>
      <w:r>
        <w:rPr>
          <w:rFonts w:hint="eastAsia" w:ascii="仿宋_GB2312" w:hAnsi="仿宋_GB2312" w:eastAsia="仿宋_GB2312" w:cs="仿宋_GB2312"/>
          <w:spacing w:val="11"/>
          <w:sz w:val="32"/>
          <w:szCs w:val="32"/>
          <w:highlight w:val="none"/>
          <w:lang w:val="en-US" w:eastAsia="zh-CN"/>
        </w:rPr>
        <w:t>农村客运车辆</w:t>
      </w:r>
      <w:r>
        <w:rPr>
          <w:rFonts w:hint="eastAsia" w:ascii="仿宋_GB2312" w:hAnsi="仿宋_GB2312" w:eastAsia="仿宋_GB2312" w:cs="仿宋_GB2312"/>
          <w:spacing w:val="11"/>
          <w:sz w:val="32"/>
          <w:szCs w:val="32"/>
          <w:highlight w:val="none"/>
        </w:rPr>
        <w:t>年度运营服务计划》中规定的各</w:t>
      </w:r>
      <w:r>
        <w:rPr>
          <w:rFonts w:hint="eastAsia" w:ascii="仿宋_GB2312" w:hAnsi="仿宋_GB2312" w:eastAsia="仿宋_GB2312" w:cs="仿宋_GB2312"/>
          <w:spacing w:val="11"/>
          <w:sz w:val="32"/>
          <w:szCs w:val="32"/>
          <w:highlight w:val="none"/>
          <w:lang w:val="en-US" w:eastAsia="zh-CN"/>
        </w:rPr>
        <w:t>农村客运</w:t>
      </w:r>
      <w:r>
        <w:rPr>
          <w:rFonts w:hint="eastAsia" w:ascii="仿宋_GB2312" w:hAnsi="仿宋_GB2312" w:eastAsia="仿宋_GB2312" w:cs="仿宋_GB2312"/>
          <w:spacing w:val="11"/>
          <w:sz w:val="32"/>
          <w:szCs w:val="32"/>
          <w:highlight w:val="none"/>
        </w:rPr>
        <w:t>企业运营数量指标的执行情况和企业管理、安全生产管理、经营管理、服务质量和履行社会责任等方面进行的综合考核。</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1864" w:firstLine="1078" w:firstLineChars="3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pacing w:val="19"/>
          <w:sz w:val="32"/>
          <w:szCs w:val="32"/>
        </w:rPr>
        <w:t>第二章考核方式及</w:t>
      </w:r>
      <w:r>
        <w:rPr>
          <w:rFonts w:hint="eastAsia" w:ascii="仿宋_GB2312" w:hAnsi="仿宋_GB2312" w:eastAsia="仿宋_GB2312" w:cs="仿宋_GB2312"/>
          <w:b/>
          <w:bCs/>
          <w:spacing w:val="19"/>
          <w:sz w:val="32"/>
          <w:szCs w:val="32"/>
          <w:lang w:val="en-US" w:eastAsia="zh-CN"/>
        </w:rPr>
        <w:t>实施</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b/>
          <w:bCs/>
          <w:spacing w:val="2"/>
          <w:sz w:val="32"/>
          <w:szCs w:val="32"/>
        </w:rPr>
        <w:t>第五条</w:t>
      </w:r>
      <w:r>
        <w:rPr>
          <w:rFonts w:hint="eastAsia" w:ascii="仿宋_GB2312" w:hAnsi="仿宋_GB2312" w:eastAsia="仿宋_GB2312" w:cs="仿宋_GB2312"/>
          <w:b/>
          <w:bCs/>
          <w:spacing w:val="2"/>
          <w:sz w:val="32"/>
          <w:szCs w:val="32"/>
          <w:lang w:val="en-US" w:eastAsia="zh-CN"/>
        </w:rPr>
        <w:t>：</w:t>
      </w:r>
      <w:r>
        <w:rPr>
          <w:rFonts w:hint="eastAsia" w:ascii="仿宋_GB2312" w:hAnsi="仿宋_GB2312" w:eastAsia="仿宋_GB2312" w:cs="仿宋_GB2312"/>
          <w:spacing w:val="2"/>
          <w:sz w:val="32"/>
          <w:szCs w:val="32"/>
        </w:rPr>
        <w:t>服务质量考核采用年度考核</w:t>
      </w:r>
      <w:r>
        <w:rPr>
          <w:rFonts w:hint="eastAsia" w:ascii="仿宋_GB2312" w:hAnsi="仿宋_GB2312" w:eastAsia="仿宋_GB2312" w:cs="仿宋_GB2312"/>
          <w:spacing w:val="2"/>
          <w:sz w:val="32"/>
          <w:szCs w:val="32"/>
          <w:lang w:val="en-US" w:eastAsia="zh-CN"/>
        </w:rPr>
        <w:t>和日常考核相结合，考核成绩采取千分制计分方式。</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bCs/>
          <w:spacing w:val="2"/>
          <w:sz w:val="32"/>
          <w:szCs w:val="32"/>
        </w:rPr>
        <w:t>第六条</w:t>
      </w:r>
      <w:r>
        <w:rPr>
          <w:rFonts w:hint="eastAsia" w:ascii="仿宋_GB2312" w:hAnsi="仿宋_GB2312" w:eastAsia="仿宋_GB2312" w:cs="仿宋_GB2312"/>
          <w:b/>
          <w:bCs/>
          <w:spacing w:val="2"/>
          <w:sz w:val="32"/>
          <w:szCs w:val="32"/>
          <w:lang w:val="en-US" w:eastAsia="zh-CN"/>
        </w:rPr>
        <w:t>：</w:t>
      </w:r>
      <w:r>
        <w:rPr>
          <w:rFonts w:hint="eastAsia" w:ascii="仿宋_GB2312" w:hAnsi="仿宋_GB2312" w:eastAsia="仿宋_GB2312" w:cs="仿宋_GB2312"/>
          <w:b w:val="0"/>
          <w:bCs w:val="0"/>
          <w:spacing w:val="2"/>
          <w:sz w:val="32"/>
          <w:szCs w:val="32"/>
        </w:rPr>
        <w:t>由县交通运输局</w:t>
      </w:r>
      <w:r>
        <w:rPr>
          <w:rFonts w:hint="eastAsia" w:ascii="仿宋_GB2312" w:hAnsi="仿宋_GB2312" w:eastAsia="仿宋_GB2312" w:cs="仿宋_GB2312"/>
          <w:b w:val="0"/>
          <w:bCs w:val="0"/>
          <w:spacing w:val="2"/>
          <w:sz w:val="32"/>
          <w:szCs w:val="32"/>
          <w:lang w:val="en-US" w:eastAsia="zh-CN"/>
        </w:rPr>
        <w:t>组织成立考核组，负责农村客运运营服务质量的考核工作，也可以通过聘请第三方机构组成考核组进行考核，考核组成员由具有公共交通管理的相关人员组成。</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0" w:firstLineChars="0"/>
        <w:jc w:val="center"/>
        <w:textAlignment w:val="baseline"/>
        <w:rPr>
          <w:rFonts w:hint="eastAsia" w:ascii="仿宋_GB2312" w:hAnsi="仿宋_GB2312" w:eastAsia="仿宋_GB2312" w:cs="仿宋_GB2312"/>
          <w:b/>
          <w:bCs/>
          <w:i w:val="0"/>
          <w:iCs w:val="0"/>
          <w:spacing w:val="2"/>
          <w:sz w:val="32"/>
          <w:szCs w:val="32"/>
        </w:rPr>
      </w:pPr>
      <w:r>
        <w:rPr>
          <w:rFonts w:hint="eastAsia" w:ascii="仿宋_GB2312" w:hAnsi="仿宋_GB2312" w:eastAsia="仿宋_GB2312" w:cs="仿宋_GB2312"/>
          <w:b/>
          <w:bCs/>
          <w:i w:val="0"/>
          <w:iCs w:val="0"/>
          <w:spacing w:val="2"/>
          <w:sz w:val="32"/>
          <w:szCs w:val="32"/>
        </w:rPr>
        <w:t>第三章考核与评价方法</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25" w:firstLine="687" w:firstLineChars="200"/>
        <w:jc w:val="both"/>
        <w:textAlignment w:val="baseline"/>
        <w:rPr>
          <w:rFonts w:hint="eastAsia" w:ascii="仿宋_GB2312" w:hAnsi="仿宋_GB2312" w:eastAsia="仿宋_GB2312" w:cs="仿宋_GB2312"/>
          <w:spacing w:val="11"/>
          <w:sz w:val="32"/>
          <w:szCs w:val="32"/>
        </w:rPr>
      </w:pPr>
      <w:r>
        <w:rPr>
          <w:rFonts w:hint="eastAsia" w:ascii="仿宋_GB2312" w:hAnsi="仿宋_GB2312" w:eastAsia="仿宋_GB2312" w:cs="仿宋_GB2312"/>
          <w:b/>
          <w:bCs/>
          <w:spacing w:val="11"/>
          <w:sz w:val="32"/>
          <w:szCs w:val="32"/>
        </w:rPr>
        <w:t>第七条</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lang w:val="en-US" w:eastAsia="zh-CN"/>
        </w:rPr>
        <w:t>年度质量服务考核中的</w:t>
      </w:r>
      <w:r>
        <w:rPr>
          <w:rFonts w:hint="eastAsia" w:ascii="仿宋_GB2312" w:hAnsi="仿宋_GB2312" w:eastAsia="仿宋_GB2312" w:cs="仿宋_GB2312"/>
          <w:spacing w:val="11"/>
          <w:sz w:val="32"/>
          <w:szCs w:val="32"/>
        </w:rPr>
        <w:t>安全生产管理指标包括：交通责任事故</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动态监控</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lang w:val="en-US" w:eastAsia="zh-CN"/>
        </w:rPr>
        <w:t>安全设施设备配备、</w:t>
      </w:r>
      <w:r>
        <w:rPr>
          <w:rFonts w:hint="eastAsia" w:ascii="仿宋_GB2312" w:hAnsi="仿宋_GB2312" w:eastAsia="仿宋_GB2312" w:cs="仿宋_GB2312"/>
          <w:spacing w:val="11"/>
          <w:sz w:val="32"/>
          <w:szCs w:val="32"/>
        </w:rPr>
        <w:t>驾驶员</w:t>
      </w:r>
      <w:r>
        <w:rPr>
          <w:rFonts w:hint="eastAsia" w:ascii="仿宋_GB2312" w:hAnsi="仿宋_GB2312" w:eastAsia="仿宋_GB2312" w:cs="仿宋_GB2312"/>
          <w:spacing w:val="11"/>
          <w:sz w:val="32"/>
          <w:szCs w:val="32"/>
          <w:lang w:eastAsia="zh-CN"/>
        </w:rPr>
        <w:t>资质、</w:t>
      </w:r>
      <w:r>
        <w:rPr>
          <w:rFonts w:hint="eastAsia" w:ascii="仿宋_GB2312" w:hAnsi="仿宋_GB2312" w:eastAsia="仿宋_GB2312" w:cs="仿宋_GB2312"/>
          <w:spacing w:val="11"/>
          <w:sz w:val="32"/>
          <w:szCs w:val="32"/>
          <w:lang w:val="en-US" w:eastAsia="zh-CN"/>
        </w:rPr>
        <w:t>驾驶员守法驾驶、</w:t>
      </w:r>
      <w:r>
        <w:rPr>
          <w:rFonts w:hint="eastAsia" w:ascii="仿宋_GB2312" w:hAnsi="仿宋_GB2312" w:eastAsia="仿宋_GB2312" w:cs="仿宋_GB2312"/>
          <w:spacing w:val="11"/>
          <w:sz w:val="32"/>
          <w:szCs w:val="32"/>
        </w:rPr>
        <w:t>驾驶员安全</w:t>
      </w:r>
      <w:r>
        <w:rPr>
          <w:rFonts w:hint="eastAsia" w:ascii="仿宋_GB2312" w:hAnsi="仿宋_GB2312" w:eastAsia="仿宋_GB2312" w:cs="仿宋_GB2312"/>
          <w:spacing w:val="11"/>
          <w:sz w:val="32"/>
          <w:szCs w:val="32"/>
          <w:lang w:eastAsia="zh-CN"/>
        </w:rPr>
        <w:t>教育</w:t>
      </w:r>
      <w:r>
        <w:rPr>
          <w:rFonts w:hint="eastAsia" w:ascii="仿宋_GB2312" w:hAnsi="仿宋_GB2312" w:eastAsia="仿宋_GB2312" w:cs="仿宋_GB2312"/>
          <w:spacing w:val="11"/>
          <w:sz w:val="32"/>
          <w:szCs w:val="32"/>
        </w:rPr>
        <w:t>学习</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lang w:val="en-US" w:eastAsia="zh-CN"/>
        </w:rPr>
        <w:t>该指标分值为150</w:t>
      </w:r>
      <w:r>
        <w:rPr>
          <w:rFonts w:hint="eastAsia" w:ascii="仿宋_GB2312" w:hAnsi="仿宋_GB2312" w:eastAsia="仿宋_GB2312" w:cs="仿宋_GB2312"/>
          <w:spacing w:val="11"/>
          <w:sz w:val="32"/>
          <w:szCs w:val="32"/>
        </w:rPr>
        <w:t>分。考核各项指标评分标准与计分方法(见附件)。</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25" w:firstLine="687" w:firstLineChars="200"/>
        <w:jc w:val="both"/>
        <w:textAlignment w:val="baseline"/>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b/>
          <w:bCs/>
          <w:spacing w:val="11"/>
          <w:sz w:val="32"/>
          <w:szCs w:val="32"/>
          <w:lang w:val="en-US" w:eastAsia="zh-CN"/>
        </w:rPr>
        <w:t>第八条：</w:t>
      </w:r>
      <w:r>
        <w:rPr>
          <w:rFonts w:hint="eastAsia" w:ascii="仿宋_GB2312" w:hAnsi="仿宋_GB2312" w:eastAsia="仿宋_GB2312" w:cs="仿宋_GB2312"/>
          <w:spacing w:val="11"/>
          <w:sz w:val="32"/>
          <w:szCs w:val="32"/>
          <w:lang w:val="en-US" w:eastAsia="zh-CN"/>
        </w:rPr>
        <w:t>年度质量服务考核中的经营管理指标包括：经营许可执行及牌证携带、投诉电话或政府性指令公开情况。该指标分值为150分。考核各项指标评分标准与计分方法(见附件)。</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25" w:firstLine="687" w:firstLineChars="200"/>
        <w:jc w:val="both"/>
        <w:textAlignment w:val="baseline"/>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b/>
          <w:bCs/>
          <w:spacing w:val="11"/>
          <w:sz w:val="32"/>
          <w:szCs w:val="32"/>
          <w:lang w:val="en-US" w:eastAsia="zh-CN"/>
        </w:rPr>
        <w:t>第九条：</w:t>
      </w:r>
      <w:r>
        <w:rPr>
          <w:rFonts w:hint="eastAsia" w:ascii="仿宋_GB2312" w:hAnsi="仿宋_GB2312" w:eastAsia="仿宋_GB2312" w:cs="仿宋_GB2312"/>
          <w:spacing w:val="11"/>
          <w:sz w:val="32"/>
          <w:szCs w:val="32"/>
          <w:lang w:val="en-US" w:eastAsia="zh-CN"/>
        </w:rPr>
        <w:t>年度质量服务考核中的服务质量指标包括：运营情况、文明服务情况、社会投诉。该指标分值为100分。考核各项指标评分标准与计分方法(见附件)。</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25" w:firstLine="687" w:firstLineChars="200"/>
        <w:jc w:val="both"/>
        <w:textAlignment w:val="baseline"/>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b/>
          <w:bCs/>
          <w:spacing w:val="11"/>
          <w:sz w:val="32"/>
          <w:szCs w:val="32"/>
          <w:lang w:val="en-US" w:eastAsia="zh-CN"/>
        </w:rPr>
        <w:t>第十条：</w:t>
      </w:r>
      <w:r>
        <w:rPr>
          <w:rFonts w:hint="eastAsia" w:ascii="仿宋_GB2312" w:hAnsi="仿宋_GB2312" w:eastAsia="仿宋_GB2312" w:cs="仿宋_GB2312"/>
          <w:spacing w:val="11"/>
          <w:sz w:val="32"/>
          <w:szCs w:val="32"/>
          <w:lang w:val="en-US" w:eastAsia="zh-CN"/>
        </w:rPr>
        <w:t>年度质量服务考核中的社会责任指标包括：维护行业稳定情况、指令性运输任务完成情况。该指标分值为100分。考核各项指标评分标准与计分方法(见附件)。</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25" w:firstLine="687" w:firstLineChars="200"/>
        <w:jc w:val="both"/>
        <w:textAlignment w:val="baseline"/>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b/>
          <w:bCs/>
          <w:spacing w:val="11"/>
          <w:sz w:val="32"/>
          <w:szCs w:val="32"/>
          <w:lang w:val="en-US" w:eastAsia="zh-CN"/>
        </w:rPr>
        <w:t>第十一条：</w:t>
      </w:r>
      <w:r>
        <w:rPr>
          <w:rFonts w:hint="eastAsia" w:ascii="仿宋_GB2312" w:hAnsi="仿宋_GB2312" w:eastAsia="仿宋_GB2312" w:cs="仿宋_GB2312"/>
          <w:spacing w:val="11"/>
          <w:sz w:val="32"/>
          <w:szCs w:val="32"/>
          <w:lang w:val="en-US" w:eastAsia="zh-CN"/>
        </w:rPr>
        <w:t>年度质量服务考核中的加分项指标包括：</w:t>
      </w:r>
      <w:r>
        <w:rPr>
          <w:rFonts w:hint="eastAsia" w:ascii="仿宋_GB2312" w:hAnsi="仿宋_GB2312" w:eastAsia="仿宋_GB2312" w:cs="仿宋_GB2312"/>
          <w:spacing w:val="11"/>
          <w:sz w:val="32"/>
          <w:szCs w:val="32"/>
          <w:lang w:eastAsia="zh-CN"/>
        </w:rPr>
        <w:t>各类表彰加分、</w:t>
      </w:r>
      <w:r>
        <w:rPr>
          <w:rFonts w:hint="eastAsia" w:ascii="仿宋_GB2312" w:hAnsi="仿宋_GB2312" w:eastAsia="仿宋_GB2312" w:cs="仿宋_GB2312"/>
          <w:spacing w:val="11"/>
          <w:sz w:val="32"/>
          <w:szCs w:val="32"/>
        </w:rPr>
        <w:t>好人好事</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车辆更新</w:t>
      </w:r>
      <w:r>
        <w:rPr>
          <w:rFonts w:hint="eastAsia" w:ascii="仿宋_GB2312" w:hAnsi="仿宋_GB2312" w:eastAsia="仿宋_GB2312" w:cs="仿宋_GB2312"/>
          <w:spacing w:val="11"/>
          <w:sz w:val="32"/>
          <w:szCs w:val="32"/>
          <w:lang w:val="en-US" w:eastAsia="zh-CN"/>
        </w:rPr>
        <w:t>等3项指标，各项指标加分标准与加分方法(见附件)。</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25" w:firstLine="687" w:firstLineChars="200"/>
        <w:jc w:val="both"/>
        <w:textAlignment w:val="baseline"/>
        <w:rPr>
          <w:rFonts w:hint="default" w:ascii="仿宋_GB2312" w:hAnsi="仿宋_GB2312" w:eastAsia="仿宋_GB2312" w:cs="仿宋_GB2312"/>
          <w:spacing w:val="11"/>
          <w:sz w:val="32"/>
          <w:szCs w:val="32"/>
          <w:lang w:val="en-US" w:eastAsia="zh-CN"/>
        </w:rPr>
      </w:pPr>
      <w:r>
        <w:rPr>
          <w:rFonts w:hint="eastAsia" w:ascii="仿宋_GB2312" w:hAnsi="仿宋_GB2312" w:eastAsia="仿宋_GB2312" w:cs="仿宋_GB2312"/>
          <w:b/>
          <w:bCs/>
          <w:spacing w:val="11"/>
          <w:sz w:val="32"/>
          <w:szCs w:val="32"/>
          <w:lang w:val="en-US" w:eastAsia="zh-CN"/>
        </w:rPr>
        <w:t>第十二条：</w:t>
      </w:r>
      <w:r>
        <w:rPr>
          <w:rFonts w:hint="eastAsia" w:ascii="仿宋_GB2312" w:hAnsi="仿宋_GB2312" w:eastAsia="仿宋_GB2312" w:cs="仿宋_GB2312"/>
          <w:b w:val="0"/>
          <w:bCs w:val="0"/>
          <w:spacing w:val="11"/>
          <w:sz w:val="32"/>
          <w:szCs w:val="32"/>
          <w:lang w:val="en-US" w:eastAsia="zh-CN"/>
        </w:rPr>
        <w:t>日常</w:t>
      </w:r>
      <w:r>
        <w:rPr>
          <w:rFonts w:hint="eastAsia" w:ascii="仿宋_GB2312" w:hAnsi="仿宋_GB2312" w:eastAsia="仿宋_GB2312" w:cs="仿宋_GB2312"/>
          <w:spacing w:val="11"/>
          <w:sz w:val="32"/>
          <w:szCs w:val="32"/>
          <w:lang w:val="en-US" w:eastAsia="zh-CN"/>
        </w:rPr>
        <w:t>质量服务考核指标包括：服务设施完备率、运营服务合格率、车辆整洁合格率。该指标总分值为500分(见附件)。</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25" w:firstLine="687" w:firstLineChars="200"/>
        <w:jc w:val="both"/>
        <w:textAlignment w:val="baseline"/>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b/>
          <w:bCs/>
          <w:spacing w:val="11"/>
          <w:sz w:val="32"/>
          <w:szCs w:val="32"/>
          <w:lang w:val="en-US" w:eastAsia="zh-CN"/>
        </w:rPr>
        <w:t>第十三条：</w:t>
      </w:r>
      <w:r>
        <w:rPr>
          <w:rFonts w:hint="eastAsia" w:ascii="仿宋_GB2312" w:hAnsi="仿宋_GB2312" w:eastAsia="仿宋_GB2312" w:cs="仿宋_GB2312"/>
          <w:spacing w:val="11"/>
          <w:sz w:val="32"/>
          <w:szCs w:val="32"/>
          <w:lang w:val="en-US" w:eastAsia="zh-CN"/>
        </w:rPr>
        <w:t>考核测算方法。服</w:t>
      </w:r>
      <w:r>
        <w:rPr>
          <w:rFonts w:hint="eastAsia" w:ascii="仿宋_GB2312" w:hAnsi="仿宋_GB2312" w:eastAsia="仿宋_GB2312" w:cs="仿宋_GB2312"/>
          <w:spacing w:val="11"/>
          <w:sz w:val="32"/>
          <w:szCs w:val="32"/>
        </w:rPr>
        <w:t>务质量考核成绩=日常质量指标考核成绩+年度质量指标考</w:t>
      </w:r>
      <w:r>
        <w:rPr>
          <w:rFonts w:hint="eastAsia" w:ascii="仿宋_GB2312" w:hAnsi="仿宋_GB2312" w:eastAsia="仿宋_GB2312" w:cs="仿宋_GB2312"/>
          <w:spacing w:val="2"/>
          <w:sz w:val="32"/>
          <w:szCs w:val="32"/>
        </w:rPr>
        <w:t>核成绩</w:t>
      </w:r>
      <w:r>
        <w:rPr>
          <w:rFonts w:hint="eastAsia" w:ascii="仿宋_GB2312" w:hAnsi="仿宋_GB2312" w:eastAsia="仿宋_GB2312" w:cs="仿宋_GB2312"/>
          <w:spacing w:val="2"/>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0" w:firstLineChars="0"/>
        <w:jc w:val="center"/>
        <w:textAlignment w:val="baseline"/>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第四章考核流程</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第十</w:t>
      </w:r>
      <w:r>
        <w:rPr>
          <w:rFonts w:hint="eastAsia" w:ascii="仿宋_GB2312" w:hAnsi="仿宋_GB2312" w:eastAsia="仿宋_GB2312" w:cs="仿宋_GB2312"/>
          <w:b/>
          <w:bCs/>
          <w:spacing w:val="2"/>
          <w:sz w:val="32"/>
          <w:szCs w:val="32"/>
          <w:lang w:val="en-US" w:eastAsia="zh-CN"/>
        </w:rPr>
        <w:t>四</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b/>
          <w:bCs/>
          <w:spacing w:val="2"/>
          <w:sz w:val="32"/>
          <w:szCs w:val="32"/>
          <w:lang w:eastAsia="zh-CN"/>
        </w:rPr>
        <w:t>：</w:t>
      </w:r>
      <w:r>
        <w:rPr>
          <w:rFonts w:hint="eastAsia" w:ascii="仿宋_GB2312" w:hAnsi="仿宋_GB2312" w:eastAsia="仿宋_GB2312" w:cs="仿宋_GB2312"/>
          <w:spacing w:val="2"/>
          <w:sz w:val="32"/>
          <w:szCs w:val="32"/>
        </w:rPr>
        <w:t>年度考核流程。</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lang w:val="en-US" w:eastAsia="zh-CN"/>
        </w:rPr>
        <w:t>1、</w:t>
      </w:r>
      <w:r>
        <w:rPr>
          <w:rFonts w:hint="eastAsia" w:ascii="仿宋_GB2312" w:hAnsi="仿宋_GB2312" w:eastAsia="仿宋_GB2312" w:cs="仿宋_GB2312"/>
          <w:spacing w:val="2"/>
          <w:sz w:val="32"/>
          <w:szCs w:val="32"/>
        </w:rPr>
        <w:t>考核年度次年</w:t>
      </w:r>
      <w:r>
        <w:rPr>
          <w:rFonts w:hint="eastAsia" w:ascii="仿宋_GB2312" w:hAnsi="仿宋_GB2312" w:eastAsia="仿宋_GB2312" w:cs="仿宋_GB2312"/>
          <w:spacing w:val="2"/>
          <w:sz w:val="32"/>
          <w:szCs w:val="32"/>
          <w:lang w:val="en-US" w:eastAsia="zh-CN"/>
        </w:rPr>
        <w:t>1</w:t>
      </w:r>
      <w:r>
        <w:rPr>
          <w:rFonts w:hint="eastAsia" w:ascii="仿宋_GB2312" w:hAnsi="仿宋_GB2312" w:eastAsia="仿宋_GB2312" w:cs="仿宋_GB2312"/>
          <w:spacing w:val="2"/>
          <w:sz w:val="32"/>
          <w:szCs w:val="32"/>
        </w:rPr>
        <w:t>月底前</w:t>
      </w:r>
      <w:r>
        <w:rPr>
          <w:rFonts w:hint="eastAsia" w:ascii="仿宋_GB2312" w:hAnsi="仿宋_GB2312" w:eastAsia="仿宋_GB2312" w:cs="仿宋_GB2312"/>
          <w:spacing w:val="2"/>
          <w:sz w:val="32"/>
          <w:szCs w:val="32"/>
          <w:lang w:val="en-US" w:eastAsia="zh-CN"/>
        </w:rPr>
        <w:t>农村客运企业</w:t>
      </w:r>
      <w:r>
        <w:rPr>
          <w:rFonts w:hint="eastAsia" w:ascii="仿宋_GB2312" w:hAnsi="仿宋_GB2312" w:eastAsia="仿宋_GB2312" w:cs="仿宋_GB2312"/>
          <w:spacing w:val="2"/>
          <w:sz w:val="32"/>
          <w:szCs w:val="32"/>
        </w:rPr>
        <w:t>将年度考核自评报告提交考核组。考核自评报告包括考核指标值、指标计算过程、数据来源及相关证明材料等内容。</w:t>
      </w:r>
    </w:p>
    <w:p>
      <w:pPr>
        <w:keepNext w:val="0"/>
        <w:keepLines w:val="0"/>
        <w:pageBreakBefore w:val="0"/>
        <w:widowControl/>
        <w:kinsoku w:val="0"/>
        <w:wordWrap/>
        <w:overflowPunct/>
        <w:topLinePunct w:val="0"/>
        <w:autoSpaceDE w:val="0"/>
        <w:autoSpaceDN w:val="0"/>
        <w:bidi w:val="0"/>
        <w:adjustRightInd w:val="0"/>
        <w:snapToGrid w:val="0"/>
        <w:spacing w:line="540" w:lineRule="exact"/>
        <w:ind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2.对</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企业报送材料不符合要求的，考核组应一次性告知企业在5个工作日内补充提供相关材料。</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3.考核组于考核年度次年</w:t>
      </w:r>
      <w:r>
        <w:rPr>
          <w:rFonts w:hint="eastAsia" w:ascii="仿宋_GB2312" w:hAnsi="仿宋_GB2312" w:eastAsia="仿宋_GB2312" w:cs="仿宋_GB2312"/>
          <w:spacing w:val="2"/>
          <w:sz w:val="32"/>
          <w:szCs w:val="32"/>
          <w:lang w:val="en-US" w:eastAsia="zh-CN"/>
        </w:rPr>
        <w:t>2</w:t>
      </w:r>
      <w:r>
        <w:rPr>
          <w:rFonts w:hint="eastAsia" w:ascii="仿宋_GB2312" w:hAnsi="仿宋_GB2312" w:eastAsia="仿宋_GB2312" w:cs="仿宋_GB2312"/>
          <w:spacing w:val="2"/>
          <w:sz w:val="32"/>
          <w:szCs w:val="32"/>
        </w:rPr>
        <w:t>月中旬对报送材料符合要求的</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企业进行考核，并结合企业年度考核自评报告审查情况，通过查阅相关台账等方式对质量指标的计算过程、基础数据等进行实地查验。</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4.考核组于考核年度次年</w:t>
      </w:r>
      <w:r>
        <w:rPr>
          <w:rFonts w:hint="eastAsia" w:ascii="仿宋_GB2312" w:hAnsi="仿宋_GB2312" w:eastAsia="仿宋_GB2312" w:cs="仿宋_GB2312"/>
          <w:spacing w:val="2"/>
          <w:sz w:val="32"/>
          <w:szCs w:val="32"/>
          <w:lang w:val="en-US" w:eastAsia="zh-CN"/>
        </w:rPr>
        <w:t>2</w:t>
      </w:r>
      <w:r>
        <w:rPr>
          <w:rFonts w:hint="eastAsia" w:ascii="仿宋_GB2312" w:hAnsi="仿宋_GB2312" w:eastAsia="仿宋_GB2312" w:cs="仿宋_GB2312"/>
          <w:spacing w:val="2"/>
          <w:sz w:val="32"/>
          <w:szCs w:val="32"/>
        </w:rPr>
        <w:t>月底前完成年度考核工作，并按照年度考核评分标准与计分方法，计算考核质量指标成绩。</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第十</w:t>
      </w:r>
      <w:r>
        <w:rPr>
          <w:rFonts w:hint="eastAsia" w:ascii="仿宋_GB2312" w:hAnsi="仿宋_GB2312" w:eastAsia="仿宋_GB2312" w:cs="仿宋_GB2312"/>
          <w:b/>
          <w:bCs/>
          <w:spacing w:val="2"/>
          <w:sz w:val="32"/>
          <w:szCs w:val="32"/>
          <w:lang w:val="en-US" w:eastAsia="zh-CN"/>
        </w:rPr>
        <w:t>五</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日常考核流程。</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考核组根据</w:t>
      </w:r>
      <w:r>
        <w:rPr>
          <w:rFonts w:hint="eastAsia" w:ascii="仿宋_GB2312" w:hAnsi="仿宋_GB2312" w:eastAsia="仿宋_GB2312" w:cs="仿宋_GB2312"/>
          <w:spacing w:val="2"/>
          <w:sz w:val="32"/>
          <w:szCs w:val="32"/>
          <w:lang w:val="en-US" w:eastAsia="zh-CN"/>
        </w:rPr>
        <w:t>日常考核</w:t>
      </w:r>
      <w:r>
        <w:rPr>
          <w:rFonts w:hint="eastAsia" w:ascii="仿宋_GB2312" w:hAnsi="仿宋_GB2312" w:eastAsia="仿宋_GB2312" w:cs="仿宋_GB2312"/>
          <w:spacing w:val="2"/>
          <w:sz w:val="32"/>
          <w:szCs w:val="32"/>
        </w:rPr>
        <w:t>频次及时间</w:t>
      </w:r>
      <w:r>
        <w:rPr>
          <w:rFonts w:hint="eastAsia" w:ascii="仿宋_GB2312" w:hAnsi="仿宋_GB2312" w:eastAsia="仿宋_GB2312" w:cs="仿宋_GB2312"/>
          <w:spacing w:val="2"/>
          <w:sz w:val="32"/>
          <w:szCs w:val="32"/>
          <w:lang w:val="en-US" w:eastAsia="zh-CN"/>
        </w:rPr>
        <w:t>间</w:t>
      </w:r>
      <w:r>
        <w:rPr>
          <w:rFonts w:hint="eastAsia" w:ascii="仿宋_GB2312" w:hAnsi="仿宋_GB2312" w:eastAsia="仿宋_GB2312" w:cs="仿宋_GB2312"/>
          <w:spacing w:val="2"/>
          <w:sz w:val="32"/>
          <w:szCs w:val="32"/>
        </w:rPr>
        <w:t>隔等考核要求，随机选择时间，以</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企业为单位</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结合公众</w:t>
      </w:r>
      <w:r>
        <w:rPr>
          <w:rFonts w:hint="eastAsia" w:ascii="仿宋_GB2312" w:hAnsi="仿宋_GB2312" w:eastAsia="仿宋_GB2312" w:cs="仿宋_GB2312"/>
          <w:spacing w:val="2"/>
          <w:sz w:val="32"/>
          <w:szCs w:val="32"/>
          <w:lang w:val="en-US" w:eastAsia="zh-CN"/>
        </w:rPr>
        <w:t>日常</w:t>
      </w:r>
      <w:r>
        <w:rPr>
          <w:rFonts w:hint="eastAsia" w:ascii="仿宋_GB2312" w:hAnsi="仿宋_GB2312" w:eastAsia="仿宋_GB2312" w:cs="仿宋_GB2312"/>
          <w:spacing w:val="2"/>
          <w:sz w:val="32"/>
          <w:szCs w:val="32"/>
        </w:rPr>
        <w:t>投诉建议及线路总体布局情况，每次抽取</w:t>
      </w:r>
      <w:r>
        <w:rPr>
          <w:rFonts w:hint="eastAsia" w:ascii="仿宋_GB2312" w:hAnsi="仿宋_GB2312" w:eastAsia="仿宋_GB2312" w:cs="仿宋_GB2312"/>
          <w:spacing w:val="2"/>
          <w:sz w:val="32"/>
          <w:szCs w:val="32"/>
          <w:lang w:val="en-US" w:eastAsia="zh-CN"/>
        </w:rPr>
        <w:t>1条农村客运</w:t>
      </w:r>
      <w:r>
        <w:rPr>
          <w:rFonts w:hint="eastAsia" w:ascii="仿宋_GB2312" w:hAnsi="仿宋_GB2312" w:eastAsia="仿宋_GB2312" w:cs="仿宋_GB2312"/>
          <w:spacing w:val="2"/>
          <w:sz w:val="32"/>
          <w:szCs w:val="32"/>
        </w:rPr>
        <w:t>线路</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再</w:t>
      </w:r>
      <w:r>
        <w:rPr>
          <w:rFonts w:hint="eastAsia" w:ascii="仿宋_GB2312" w:hAnsi="仿宋_GB2312" w:eastAsia="仿宋_GB2312" w:cs="仿宋_GB2312"/>
          <w:b w:val="0"/>
          <w:bCs w:val="0"/>
          <w:i w:val="0"/>
          <w:iCs w:val="0"/>
          <w:spacing w:val="2"/>
          <w:sz w:val="32"/>
          <w:szCs w:val="32"/>
        </w:rPr>
        <w:t>抽取</w:t>
      </w:r>
      <w:r>
        <w:rPr>
          <w:rFonts w:hint="eastAsia" w:ascii="仿宋_GB2312" w:hAnsi="仿宋_GB2312" w:eastAsia="仿宋_GB2312" w:cs="仿宋_GB2312"/>
          <w:b w:val="0"/>
          <w:bCs w:val="0"/>
          <w:i w:val="0"/>
          <w:iCs w:val="0"/>
          <w:spacing w:val="2"/>
          <w:sz w:val="32"/>
          <w:szCs w:val="32"/>
          <w:lang w:val="en-US" w:eastAsia="zh-CN"/>
        </w:rPr>
        <w:t>1</w:t>
      </w:r>
      <w:r>
        <w:rPr>
          <w:rFonts w:hint="eastAsia" w:ascii="仿宋_GB2312" w:hAnsi="仿宋_GB2312" w:eastAsia="仿宋_GB2312" w:cs="仿宋_GB2312"/>
          <w:b w:val="0"/>
          <w:bCs w:val="0"/>
          <w:i w:val="0"/>
          <w:iCs w:val="0"/>
          <w:spacing w:val="2"/>
          <w:sz w:val="32"/>
          <w:szCs w:val="32"/>
        </w:rPr>
        <w:t>-3辆</w:t>
      </w:r>
      <w:r>
        <w:rPr>
          <w:rFonts w:hint="eastAsia" w:ascii="仿宋_GB2312" w:hAnsi="仿宋_GB2312" w:eastAsia="仿宋_GB2312" w:cs="仿宋_GB2312"/>
          <w:b w:val="0"/>
          <w:bCs w:val="0"/>
          <w:i w:val="0"/>
          <w:iCs w:val="0"/>
          <w:spacing w:val="2"/>
          <w:sz w:val="32"/>
          <w:szCs w:val="32"/>
          <w:lang w:val="en-US" w:eastAsia="zh-CN"/>
        </w:rPr>
        <w:t>农村客运车辆</w:t>
      </w:r>
      <w:r>
        <w:rPr>
          <w:rFonts w:hint="eastAsia" w:ascii="仿宋_GB2312" w:hAnsi="仿宋_GB2312" w:eastAsia="仿宋_GB2312" w:cs="仿宋_GB2312"/>
          <w:b w:val="0"/>
          <w:bCs w:val="0"/>
          <w:i w:val="0"/>
          <w:iCs w:val="0"/>
          <w:spacing w:val="2"/>
          <w:sz w:val="32"/>
          <w:szCs w:val="32"/>
        </w:rPr>
        <w:t>进行检查，对</w:t>
      </w:r>
      <w:r>
        <w:rPr>
          <w:rFonts w:hint="eastAsia" w:ascii="仿宋_GB2312" w:hAnsi="仿宋_GB2312" w:eastAsia="仿宋_GB2312" w:cs="仿宋_GB2312"/>
          <w:b w:val="0"/>
          <w:bCs w:val="0"/>
          <w:spacing w:val="11"/>
          <w:sz w:val="32"/>
          <w:szCs w:val="32"/>
          <w:lang w:val="en-US" w:eastAsia="zh-CN"/>
        </w:rPr>
        <w:t>各项</w:t>
      </w:r>
      <w:r>
        <w:rPr>
          <w:rFonts w:hint="eastAsia" w:ascii="仿宋_GB2312" w:hAnsi="仿宋_GB2312" w:eastAsia="仿宋_GB2312" w:cs="仿宋_GB2312"/>
          <w:b w:val="0"/>
          <w:bCs w:val="0"/>
          <w:i w:val="0"/>
          <w:iCs w:val="0"/>
          <w:spacing w:val="2"/>
          <w:sz w:val="32"/>
          <w:szCs w:val="32"/>
        </w:rPr>
        <w:t>指标进行考核，并根据各项考核指标权</w:t>
      </w:r>
      <w:r>
        <w:rPr>
          <w:rFonts w:hint="eastAsia" w:ascii="仿宋_GB2312" w:hAnsi="仿宋_GB2312" w:eastAsia="仿宋_GB2312" w:cs="仿宋_GB2312"/>
          <w:b w:val="0"/>
          <w:bCs w:val="0"/>
          <w:spacing w:val="2"/>
          <w:sz w:val="32"/>
          <w:szCs w:val="32"/>
        </w:rPr>
        <w:t>重和抽取的车辆数，测算每条线路的日常考核质量指标考核成绩</w:t>
      </w:r>
      <w:r>
        <w:rPr>
          <w:rFonts w:hint="eastAsia" w:ascii="仿宋_GB2312" w:hAnsi="仿宋_GB2312" w:eastAsia="仿宋_GB2312" w:cs="仿宋_GB2312"/>
          <w:spacing w:val="2"/>
          <w:sz w:val="32"/>
          <w:szCs w:val="32"/>
        </w:rPr>
        <w:t>。所有被考核线路平均考核成绩为</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企业当次日常考核质量指标成绩。</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第十</w:t>
      </w:r>
      <w:r>
        <w:rPr>
          <w:rFonts w:hint="eastAsia" w:ascii="仿宋_GB2312" w:hAnsi="仿宋_GB2312" w:eastAsia="仿宋_GB2312" w:cs="仿宋_GB2312"/>
          <w:b/>
          <w:bCs/>
          <w:spacing w:val="2"/>
          <w:sz w:val="32"/>
          <w:szCs w:val="32"/>
          <w:lang w:val="en-US" w:eastAsia="zh-CN"/>
        </w:rPr>
        <w:t>六</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考核结果公示</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1.县交通运输局应自</w:t>
      </w:r>
      <w:r>
        <w:rPr>
          <w:rFonts w:hint="eastAsia" w:ascii="仿宋_GB2312" w:hAnsi="仿宋_GB2312" w:eastAsia="仿宋_GB2312" w:cs="仿宋_GB2312"/>
          <w:spacing w:val="2"/>
          <w:sz w:val="32"/>
          <w:szCs w:val="32"/>
          <w:lang w:val="en-US" w:eastAsia="zh-CN"/>
        </w:rPr>
        <w:t>农村客运班车</w:t>
      </w:r>
      <w:r>
        <w:rPr>
          <w:rFonts w:hint="eastAsia" w:ascii="仿宋_GB2312" w:hAnsi="仿宋_GB2312" w:eastAsia="仿宋_GB2312" w:cs="仿宋_GB2312"/>
          <w:spacing w:val="2"/>
          <w:sz w:val="32"/>
          <w:szCs w:val="32"/>
        </w:rPr>
        <w:t>运营服务质量考核综合评价成绩确定之日起</w:t>
      </w:r>
      <w:r>
        <w:rPr>
          <w:rFonts w:hint="eastAsia" w:ascii="仿宋_GB2312" w:hAnsi="仿宋_GB2312" w:eastAsia="仿宋_GB2312" w:cs="仿宋_GB2312"/>
          <w:spacing w:val="2"/>
          <w:sz w:val="32"/>
          <w:szCs w:val="32"/>
          <w:lang w:val="en-US" w:eastAsia="zh-CN"/>
        </w:rPr>
        <w:t>5</w:t>
      </w:r>
      <w:r>
        <w:rPr>
          <w:rFonts w:hint="eastAsia" w:ascii="仿宋_GB2312" w:hAnsi="仿宋_GB2312" w:eastAsia="仿宋_GB2312" w:cs="仿宋_GB2312"/>
          <w:spacing w:val="2"/>
          <w:sz w:val="32"/>
          <w:szCs w:val="32"/>
        </w:rPr>
        <w:t>个工作日内在其官方网站上予以公示，公示期为7个工作日。综合评价成绩同时抄送县财政局</w:t>
      </w:r>
      <w:r>
        <w:rPr>
          <w:rFonts w:hint="eastAsia" w:ascii="仿宋_GB2312" w:hAnsi="仿宋_GB2312" w:eastAsia="仿宋_GB2312" w:cs="仿宋_GB2312"/>
          <w:spacing w:val="2"/>
          <w:sz w:val="32"/>
          <w:szCs w:val="32"/>
          <w:lang w:val="en-US" w:eastAsia="zh-CN"/>
        </w:rPr>
        <w:t>等</w:t>
      </w:r>
      <w:r>
        <w:rPr>
          <w:rFonts w:hint="eastAsia" w:ascii="仿宋_GB2312" w:hAnsi="仿宋_GB2312" w:eastAsia="仿宋_GB2312" w:cs="仿宋_GB2312"/>
          <w:spacing w:val="2"/>
          <w:sz w:val="32"/>
          <w:szCs w:val="32"/>
        </w:rPr>
        <w:t>相关部门。</w:t>
      </w:r>
    </w:p>
    <w:p>
      <w:pPr>
        <w:keepNext w:val="0"/>
        <w:keepLines w:val="0"/>
        <w:pageBreakBefore w:val="0"/>
        <w:widowControl/>
        <w:kinsoku w:val="0"/>
        <w:wordWrap/>
        <w:overflowPunct/>
        <w:topLinePunct w:val="0"/>
        <w:autoSpaceDE w:val="0"/>
        <w:autoSpaceDN w:val="0"/>
        <w:bidi w:val="0"/>
        <w:adjustRightInd w:val="0"/>
        <w:snapToGrid w:val="0"/>
        <w:spacing w:line="540" w:lineRule="exact"/>
        <w:ind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企业对考核结果有异议的，可以自收到考核结果之日起10个工作日内</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向县交通运输局申请按照本办法有关规定重新考核。是否重新考核由县交通运输局征求其他考核单位意见后决定。决定不予重新考核的，县交通运输局应当书面告知企业。</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0" w:firstLineChars="0"/>
        <w:jc w:val="center"/>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第五章考核结果应用</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第十</w:t>
      </w:r>
      <w:r>
        <w:rPr>
          <w:rFonts w:hint="eastAsia" w:ascii="仿宋_GB2312" w:hAnsi="仿宋_GB2312" w:eastAsia="仿宋_GB2312" w:cs="仿宋_GB2312"/>
          <w:b/>
          <w:bCs/>
          <w:spacing w:val="2"/>
          <w:sz w:val="32"/>
          <w:szCs w:val="32"/>
          <w:lang w:val="en-US" w:eastAsia="zh-CN"/>
        </w:rPr>
        <w:t>七</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企业运营服务质量考核成绩与</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企业实发财政补贴挂钩。考核绩效的核定按照</w:t>
      </w:r>
      <w:r>
        <w:rPr>
          <w:rFonts w:hint="eastAsia" w:ascii="仿宋_GB2312" w:hAnsi="仿宋_GB2312" w:eastAsia="仿宋_GB2312" w:cs="仿宋_GB2312"/>
          <w:b w:val="0"/>
          <w:bCs w:val="0"/>
          <w:spacing w:val="2"/>
          <w:sz w:val="32"/>
          <w:szCs w:val="32"/>
        </w:rPr>
        <w:t>《</w:t>
      </w:r>
      <w:r>
        <w:rPr>
          <w:rFonts w:hint="eastAsia" w:ascii="仿宋_GB2312" w:hAnsi="仿宋_GB2312" w:eastAsia="仿宋_GB2312" w:cs="仿宋_GB2312"/>
          <w:spacing w:val="2"/>
          <w:sz w:val="32"/>
          <w:szCs w:val="32"/>
        </w:rPr>
        <w:t>闽侯县</w:t>
      </w:r>
      <w:r>
        <w:rPr>
          <w:rFonts w:hint="eastAsia" w:ascii="仿宋_GB2312" w:hAnsi="仿宋_GB2312" w:eastAsia="仿宋_GB2312" w:cs="仿宋_GB2312"/>
          <w:spacing w:val="2"/>
          <w:sz w:val="32"/>
          <w:szCs w:val="32"/>
          <w:lang w:val="en-US" w:eastAsia="zh-CN"/>
        </w:rPr>
        <w:t>农村客运运营</w:t>
      </w:r>
      <w:r>
        <w:rPr>
          <w:rFonts w:hint="eastAsia" w:ascii="仿宋_GB2312" w:hAnsi="仿宋_GB2312" w:eastAsia="仿宋_GB2312" w:cs="仿宋_GB2312"/>
          <w:spacing w:val="2"/>
          <w:sz w:val="32"/>
          <w:szCs w:val="32"/>
        </w:rPr>
        <w:t>补贴办法》有关规定执行。</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0" w:firstLineChars="0"/>
        <w:jc w:val="center"/>
        <w:textAlignment w:val="baseline"/>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第六章监督管理</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第十</w:t>
      </w:r>
      <w:r>
        <w:rPr>
          <w:rFonts w:hint="eastAsia" w:ascii="仿宋_GB2312" w:hAnsi="仿宋_GB2312" w:eastAsia="仿宋_GB2312" w:cs="仿宋_GB2312"/>
          <w:b/>
          <w:bCs/>
          <w:spacing w:val="2"/>
          <w:sz w:val="32"/>
          <w:szCs w:val="32"/>
          <w:lang w:val="en-US" w:eastAsia="zh-CN"/>
        </w:rPr>
        <w:t>八</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考核人员在考核工作中弄虚作假、严重失职、 利用职权谋取利益或者侵犯企业合法权益的，由所在单位依法依规处理。</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w:t>
      </w:r>
      <w:r>
        <w:rPr>
          <w:rFonts w:hint="eastAsia" w:ascii="仿宋_GB2312" w:hAnsi="仿宋_GB2312" w:eastAsia="仿宋_GB2312" w:cs="仿宋_GB2312"/>
          <w:b/>
          <w:bCs/>
          <w:spacing w:val="2"/>
          <w:sz w:val="32"/>
          <w:szCs w:val="32"/>
          <w:lang w:val="en-US" w:eastAsia="zh-CN"/>
        </w:rPr>
        <w:t>十九</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相关</w:t>
      </w:r>
      <w:r>
        <w:rPr>
          <w:rFonts w:hint="eastAsia" w:ascii="仿宋_GB2312" w:hAnsi="仿宋_GB2312" w:eastAsia="仿宋_GB2312" w:cs="仿宋_GB2312"/>
          <w:spacing w:val="2"/>
          <w:sz w:val="32"/>
          <w:szCs w:val="32"/>
        </w:rPr>
        <w:t>企业在考核过程中弄虚作假的，依法依规追究有关责任人责任。</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0" w:firstLineChars="0"/>
        <w:jc w:val="center"/>
        <w:textAlignment w:val="baseline"/>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第 七 章 附  则</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w:t>
      </w:r>
      <w:r>
        <w:rPr>
          <w:rFonts w:hint="eastAsia" w:ascii="仿宋_GB2312" w:hAnsi="仿宋_GB2312" w:eastAsia="仿宋_GB2312" w:cs="仿宋_GB2312"/>
          <w:b/>
          <w:bCs/>
          <w:spacing w:val="2"/>
          <w:sz w:val="32"/>
          <w:szCs w:val="32"/>
          <w:lang w:val="en-US" w:eastAsia="zh-CN"/>
        </w:rPr>
        <w:t>二十</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企业应建立以卫星定位数据等为基础的线路运营统计制度，全面记录每条线路运行的车辆、里程、班次、客流量、营收等数据并完整保存。</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w:t>
      </w:r>
      <w:r>
        <w:rPr>
          <w:rFonts w:hint="eastAsia" w:ascii="仿宋_GB2312" w:hAnsi="仿宋_GB2312" w:eastAsia="仿宋_GB2312" w:cs="仿宋_GB2312"/>
          <w:b/>
          <w:bCs/>
          <w:spacing w:val="2"/>
          <w:sz w:val="32"/>
          <w:szCs w:val="32"/>
          <w:lang w:val="en-US" w:eastAsia="zh-CN"/>
        </w:rPr>
        <w:t>二十一</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本办法由县交通运输局会同县财政局负责解释 。</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第二十</w:t>
      </w:r>
      <w:r>
        <w:rPr>
          <w:rFonts w:hint="eastAsia" w:ascii="仿宋_GB2312" w:hAnsi="仿宋_GB2312" w:eastAsia="仿宋_GB2312" w:cs="仿宋_GB2312"/>
          <w:b/>
          <w:bCs/>
          <w:spacing w:val="2"/>
          <w:sz w:val="32"/>
          <w:szCs w:val="32"/>
          <w:lang w:val="en-US" w:eastAsia="zh-CN"/>
        </w:rPr>
        <w:t>二</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县交通运输局可以根据</w:t>
      </w:r>
      <w:r>
        <w:rPr>
          <w:rFonts w:hint="eastAsia" w:ascii="仿宋_GB2312" w:hAnsi="仿宋_GB2312" w:eastAsia="仿宋_GB2312" w:cs="仿宋_GB2312"/>
          <w:spacing w:val="2"/>
          <w:sz w:val="32"/>
          <w:szCs w:val="32"/>
          <w:lang w:val="en-US" w:eastAsia="zh-CN"/>
        </w:rPr>
        <w:t>农村客运</w:t>
      </w:r>
      <w:r>
        <w:rPr>
          <w:rFonts w:hint="eastAsia" w:ascii="仿宋_GB2312" w:hAnsi="仿宋_GB2312" w:eastAsia="仿宋_GB2312" w:cs="仿宋_GB2312"/>
          <w:spacing w:val="2"/>
          <w:sz w:val="32"/>
          <w:szCs w:val="32"/>
        </w:rPr>
        <w:t>运营服务的有关要求，适时修改数量考核和质量考核指标，在年末公布下一年度的标准。</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r>
        <w:rPr>
          <w:rFonts w:hint="eastAsia" w:ascii="仿宋_GB2312" w:hAnsi="仿宋_GB2312" w:eastAsia="仿宋_GB2312" w:cs="仿宋_GB2312"/>
          <w:b/>
          <w:bCs/>
          <w:spacing w:val="2"/>
          <w:sz w:val="32"/>
          <w:szCs w:val="32"/>
        </w:rPr>
        <w:t>第二十</w:t>
      </w:r>
      <w:r>
        <w:rPr>
          <w:rFonts w:hint="eastAsia" w:ascii="仿宋_GB2312" w:hAnsi="仿宋_GB2312" w:eastAsia="仿宋_GB2312" w:cs="仿宋_GB2312"/>
          <w:b/>
          <w:bCs/>
          <w:spacing w:val="2"/>
          <w:sz w:val="32"/>
          <w:szCs w:val="32"/>
          <w:lang w:val="en-US" w:eastAsia="zh-CN"/>
        </w:rPr>
        <w:t>三</w:t>
      </w:r>
      <w:r>
        <w:rPr>
          <w:rFonts w:hint="eastAsia" w:ascii="仿宋_GB2312" w:hAnsi="仿宋_GB2312" w:eastAsia="仿宋_GB2312" w:cs="仿宋_GB2312"/>
          <w:b/>
          <w:bCs/>
          <w:spacing w:val="2"/>
          <w:sz w:val="32"/>
          <w:szCs w:val="32"/>
        </w:rPr>
        <w:t>条</w:t>
      </w:r>
      <w:r>
        <w:rPr>
          <w:rFonts w:hint="eastAsia" w:ascii="仿宋_GB2312" w:hAnsi="仿宋_GB2312" w:eastAsia="仿宋_GB2312" w:cs="仿宋_GB2312"/>
          <w:b/>
          <w:bCs/>
          <w:spacing w:val="2"/>
          <w:sz w:val="32"/>
          <w:szCs w:val="32"/>
          <w:lang w:eastAsia="zh-CN"/>
        </w:rPr>
        <w:t>：</w:t>
      </w:r>
      <w:r>
        <w:rPr>
          <w:rFonts w:hint="eastAsia" w:ascii="仿宋_GB2312" w:hAnsi="仿宋_GB2312" w:eastAsia="仿宋_GB2312" w:cs="仿宋_GB2312"/>
          <w:i w:val="0"/>
          <w:iCs w:val="0"/>
          <w:caps w:val="0"/>
          <w:color w:val="333333"/>
          <w:spacing w:val="0"/>
          <w:sz w:val="32"/>
          <w:szCs w:val="32"/>
          <w:highlight w:val="none"/>
          <w:shd w:val="clear" w:color="080000" w:fill="FFFFFF"/>
        </w:rPr>
        <w:t>本办法自公布之日起施行，有效期至202</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9</w:t>
      </w:r>
      <w:r>
        <w:rPr>
          <w:rFonts w:hint="eastAsia" w:ascii="仿宋_GB2312" w:hAnsi="仿宋_GB2312" w:eastAsia="仿宋_GB2312" w:cs="仿宋_GB2312"/>
          <w:i w:val="0"/>
          <w:iCs w:val="0"/>
          <w:caps w:val="0"/>
          <w:color w:val="333333"/>
          <w:spacing w:val="0"/>
          <w:sz w:val="32"/>
          <w:szCs w:val="32"/>
          <w:highlight w:val="none"/>
          <w:shd w:val="clear" w:color="080000" w:fill="FFFFFF"/>
        </w:rPr>
        <w:t>年12月31日。《闽侯县交通运输局闽侯县财政局《关于印发闽侯县农村客运服务成本规制实施方案》等三个方案（办法）的通知》（侯交〔202</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3</w:t>
      </w:r>
      <w:r>
        <w:rPr>
          <w:rFonts w:hint="eastAsia" w:ascii="仿宋_GB2312" w:hAnsi="仿宋_GB2312" w:eastAsia="仿宋_GB2312" w:cs="仿宋_GB2312"/>
          <w:i w:val="0"/>
          <w:iCs w:val="0"/>
          <w:caps w:val="0"/>
          <w:color w:val="333333"/>
          <w:spacing w:val="0"/>
          <w:sz w:val="32"/>
          <w:szCs w:val="32"/>
          <w:highlight w:val="none"/>
          <w:shd w:val="clear" w:color="080000" w:fill="FFFFFF"/>
        </w:rPr>
        <w:t>〕</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268</w:t>
      </w:r>
      <w:r>
        <w:rPr>
          <w:rFonts w:hint="eastAsia" w:ascii="仿宋_GB2312" w:hAnsi="仿宋_GB2312" w:eastAsia="仿宋_GB2312" w:cs="仿宋_GB2312"/>
          <w:i w:val="0"/>
          <w:iCs w:val="0"/>
          <w:caps w:val="0"/>
          <w:color w:val="333333"/>
          <w:spacing w:val="0"/>
          <w:sz w:val="32"/>
          <w:szCs w:val="32"/>
          <w:highlight w:val="none"/>
          <w:shd w:val="clear" w:color="080000" w:fill="FFFFFF"/>
        </w:rPr>
        <w:t>号）同时废止。</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lang w:val="en-US" w:eastAsia="zh-CN"/>
        </w:rPr>
      </w:pPr>
    </w:p>
    <w:p>
      <w:pPr>
        <w:tabs>
          <w:tab w:val="left" w:pos="347"/>
          <w:tab w:val="center" w:pos="7041"/>
        </w:tabs>
        <w:ind w:firstLine="640" w:firstLineChars="200"/>
        <w:jc w:val="both"/>
        <w:rPr>
          <w:rFonts w:hint="eastAsia" w:ascii="仿宋_GB2312" w:hAnsi="仿宋_GB2312" w:eastAsia="仿宋_GB2312" w:cs="仿宋_GB2312"/>
          <w:i w:val="0"/>
          <w:iCs w:val="0"/>
          <w:caps w:val="0"/>
          <w:color w:val="auto"/>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color="080000" w:fill="FFFFFF"/>
          <w:lang w:val="en-US" w:eastAsia="zh-CN"/>
        </w:rPr>
        <w:t>附件：1.闽侯县农村客车年度运营服务计划</w:t>
      </w:r>
    </w:p>
    <w:p>
      <w:pPr>
        <w:tabs>
          <w:tab w:val="left" w:pos="347"/>
          <w:tab w:val="center" w:pos="7041"/>
        </w:tabs>
        <w:ind w:firstLine="1600" w:firstLineChars="500"/>
        <w:jc w:val="both"/>
        <w:rPr>
          <w:rFonts w:hint="eastAsia" w:ascii="仿宋_GB2312" w:hAnsi="仿宋_GB2312" w:eastAsia="仿宋_GB2312" w:cs="仿宋_GB2312"/>
          <w:i w:val="0"/>
          <w:iCs w:val="0"/>
          <w:caps w:val="0"/>
          <w:color w:val="auto"/>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color="080000" w:fill="FFFFFF"/>
          <w:lang w:val="en-US" w:eastAsia="zh-CN"/>
        </w:rPr>
        <w:t>2.闽侯县农村客运质量服务日常考核表</w:t>
      </w:r>
    </w:p>
    <w:p>
      <w:pPr>
        <w:tabs>
          <w:tab w:val="left" w:pos="347"/>
          <w:tab w:val="center" w:pos="7041"/>
        </w:tabs>
        <w:ind w:firstLine="1600" w:firstLineChars="500"/>
        <w:jc w:val="both"/>
        <w:rPr>
          <w:rFonts w:hint="eastAsia" w:ascii="仿宋_GB2312" w:hAnsi="仿宋_GB2312" w:eastAsia="仿宋_GB2312" w:cs="仿宋_GB2312"/>
          <w:i w:val="0"/>
          <w:iCs w:val="0"/>
          <w:caps w:val="0"/>
          <w:color w:val="auto"/>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color="080000" w:fill="FFFFFF"/>
          <w:lang w:val="en-US" w:eastAsia="zh-CN"/>
        </w:rPr>
        <w:t>3.闽侯县农村客运质量服务年度考核表</w:t>
      </w:r>
    </w:p>
    <w:p>
      <w:pPr>
        <w:numPr>
          <w:ilvl w:val="0"/>
          <w:numId w:val="0"/>
        </w:numPr>
        <w:tabs>
          <w:tab w:val="left" w:pos="347"/>
          <w:tab w:val="center" w:pos="7041"/>
        </w:tabs>
        <w:ind w:left="1600" w:leftChars="0"/>
        <w:jc w:val="both"/>
        <w:rPr>
          <w:rFonts w:hint="default" w:ascii="宋体" w:hAnsi="宋体" w:eastAsia="宋体" w:cs="宋体"/>
          <w:i w:val="0"/>
          <w:snapToGrid w:val="0"/>
          <w:color w:val="000000"/>
          <w:kern w:val="0"/>
          <w:sz w:val="36"/>
          <w:szCs w:val="36"/>
          <w:u w:val="none"/>
          <w:lang w:val="en-US" w:eastAsia="zh-CN" w:bidi="ar"/>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default" w:ascii="仿宋_GB2312" w:hAnsi="仿宋_GB2312" w:eastAsia="仿宋_GB2312" w:cs="仿宋_GB2312"/>
          <w:i w:val="0"/>
          <w:iCs w:val="0"/>
          <w:caps w:val="0"/>
          <w:color w:val="auto"/>
          <w:spacing w:val="0"/>
          <w:sz w:val="32"/>
          <w:szCs w:val="32"/>
          <w:highlight w:val="none"/>
          <w:shd w:val="clear" w:color="080000" w:fill="FFFFFF"/>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40" w:firstLineChars="200"/>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pPr>
    </w:p>
    <w:p>
      <w:pPr>
        <w:keepNext w:val="0"/>
        <w:keepLines w:val="0"/>
        <w:pageBreakBefore w:val="0"/>
        <w:widowControl/>
        <w:kinsoku w:val="0"/>
        <w:wordWrap/>
        <w:overflowPunct/>
        <w:topLinePunct w:val="0"/>
        <w:autoSpaceDE w:val="0"/>
        <w:autoSpaceDN w:val="0"/>
        <w:bidi w:val="0"/>
        <w:adjustRightInd w:val="0"/>
        <w:snapToGrid w:val="0"/>
        <w:spacing w:line="540" w:lineRule="exact"/>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rPr>
        <w:sectPr>
          <w:footerReference r:id="rId3" w:type="default"/>
          <w:pgSz w:w="11900" w:h="16830"/>
          <w:pgMar w:top="1412" w:right="1331" w:bottom="1410" w:left="1011" w:header="0" w:footer="1202" w:gutter="0"/>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540" w:lineRule="exact"/>
        <w:jc w:val="both"/>
        <w:textAlignment w:val="baseline"/>
        <w:rPr>
          <w:rFonts w:hint="eastAsia" w:ascii="仿宋_GB2312" w:hAnsi="仿宋_GB2312" w:eastAsia="仿宋_GB2312" w:cs="仿宋_GB2312"/>
          <w:i w:val="0"/>
          <w:iCs w:val="0"/>
          <w:caps w:val="0"/>
          <w:color w:val="333333"/>
          <w:spacing w:val="0"/>
          <w:sz w:val="28"/>
          <w:szCs w:val="28"/>
          <w:highlight w:val="none"/>
          <w:shd w:val="clear" w:color="080000" w:fill="FFFFFF"/>
          <w:lang w:val="en-US" w:eastAsia="zh-CN"/>
        </w:rPr>
      </w:pPr>
      <w:r>
        <w:rPr>
          <w:rFonts w:hint="eastAsia" w:ascii="仿宋_GB2312" w:hAnsi="仿宋_GB2312" w:eastAsia="仿宋_GB2312" w:cs="仿宋_GB2312"/>
          <w:i w:val="0"/>
          <w:iCs w:val="0"/>
          <w:caps w:val="0"/>
          <w:color w:val="333333"/>
          <w:spacing w:val="0"/>
          <w:sz w:val="28"/>
          <w:szCs w:val="28"/>
          <w:highlight w:val="none"/>
          <w:shd w:val="clear" w:color="080000" w:fill="FFFFFF"/>
          <w:lang w:val="en-US" w:eastAsia="zh-CN"/>
        </w:rPr>
        <w:t>附件：2-1</w:t>
      </w:r>
    </w:p>
    <w:p>
      <w:pPr>
        <w:tabs>
          <w:tab w:val="left" w:pos="347"/>
          <w:tab w:val="center" w:pos="7041"/>
        </w:tabs>
        <w:jc w:val="center"/>
        <w:rPr>
          <w:rFonts w:ascii="仿宋" w:hAnsi="仿宋" w:eastAsia="仿宋"/>
          <w:color w:val="000000"/>
          <w:sz w:val="44"/>
          <w:szCs w:val="44"/>
        </w:rPr>
      </w:pPr>
      <w:r>
        <w:rPr>
          <w:rFonts w:hint="eastAsia" w:ascii="仿宋" w:hAnsi="仿宋" w:eastAsia="仿宋" w:cs="宋体"/>
          <w:b/>
          <w:bCs/>
          <w:color w:val="000000"/>
          <w:kern w:val="0"/>
          <w:sz w:val="44"/>
          <w:szCs w:val="44"/>
        </w:rPr>
        <w:t>闽侯县</w:t>
      </w:r>
      <w:r>
        <w:rPr>
          <w:rFonts w:hint="eastAsia" w:ascii="仿宋" w:hAnsi="仿宋" w:eastAsia="仿宋" w:cs="宋体"/>
          <w:b/>
          <w:bCs/>
          <w:color w:val="000000"/>
          <w:kern w:val="0"/>
          <w:sz w:val="44"/>
          <w:szCs w:val="44"/>
          <w:lang w:val="en-US" w:eastAsia="zh-CN"/>
        </w:rPr>
        <w:t>农村客车</w:t>
      </w:r>
      <w:r>
        <w:rPr>
          <w:rFonts w:hint="eastAsia" w:ascii="仿宋" w:hAnsi="仿宋" w:eastAsia="仿宋" w:cs="宋体"/>
          <w:b/>
          <w:bCs/>
          <w:color w:val="000000"/>
          <w:kern w:val="0"/>
          <w:sz w:val="44"/>
          <w:szCs w:val="44"/>
        </w:rPr>
        <w:t>年度运营服务计划</w:t>
      </w:r>
    </w:p>
    <w:p>
      <w:pPr>
        <w:rPr>
          <w:rFonts w:ascii="仿宋" w:hAnsi="仿宋" w:eastAsia="仿宋"/>
          <w:color w:val="000000"/>
          <w:szCs w:val="32"/>
        </w:rPr>
      </w:pPr>
    </w:p>
    <w:tbl>
      <w:tblPr>
        <w:tblStyle w:val="4"/>
        <w:tblpPr w:leftFromText="180" w:rightFromText="180" w:vertAnchor="text" w:horzAnchor="page" w:tblpX="1834" w:tblpY="517"/>
        <w:tblW w:w="13100" w:type="dxa"/>
        <w:tblInd w:w="0" w:type="dxa"/>
        <w:tblLayout w:type="fixed"/>
        <w:tblCellMar>
          <w:top w:w="0" w:type="dxa"/>
          <w:left w:w="108" w:type="dxa"/>
          <w:bottom w:w="0" w:type="dxa"/>
          <w:right w:w="108" w:type="dxa"/>
        </w:tblCellMar>
      </w:tblPr>
      <w:tblGrid>
        <w:gridCol w:w="669"/>
        <w:gridCol w:w="807"/>
        <w:gridCol w:w="859"/>
        <w:gridCol w:w="704"/>
        <w:gridCol w:w="755"/>
        <w:gridCol w:w="567"/>
        <w:gridCol w:w="602"/>
        <w:gridCol w:w="530"/>
        <w:gridCol w:w="619"/>
        <w:gridCol w:w="669"/>
        <w:gridCol w:w="653"/>
        <w:gridCol w:w="669"/>
        <w:gridCol w:w="876"/>
        <w:gridCol w:w="910"/>
        <w:gridCol w:w="945"/>
        <w:gridCol w:w="846"/>
        <w:gridCol w:w="699"/>
        <w:gridCol w:w="721"/>
      </w:tblGrid>
      <w:tr>
        <w:tblPrEx>
          <w:tblLayout w:type="fixed"/>
          <w:tblCellMar>
            <w:top w:w="0" w:type="dxa"/>
            <w:left w:w="108" w:type="dxa"/>
            <w:bottom w:w="0" w:type="dxa"/>
            <w:right w:w="108" w:type="dxa"/>
          </w:tblCellMar>
        </w:tblPrEx>
        <w:trPr>
          <w:trHeight w:val="943" w:hRule="atLeast"/>
        </w:trPr>
        <w:tc>
          <w:tcPr>
            <w:tcW w:w="6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序号</w:t>
            </w:r>
          </w:p>
        </w:tc>
        <w:tc>
          <w:tcPr>
            <w:tcW w:w="807"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仿宋" w:hAnsi="仿宋" w:eastAsia="仿宋" w:cs="宋体"/>
                <w:color w:val="000000"/>
                <w:kern w:val="0"/>
                <w:sz w:val="18"/>
                <w:szCs w:val="18"/>
                <w:lang w:eastAsia="zh-CN"/>
              </w:rPr>
            </w:pPr>
            <w:r>
              <w:rPr>
                <w:rFonts w:hint="eastAsia" w:ascii="仿宋" w:hAnsi="仿宋" w:eastAsia="仿宋" w:cs="宋体"/>
                <w:color w:val="000000"/>
                <w:kern w:val="0"/>
                <w:sz w:val="18"/>
                <w:szCs w:val="18"/>
              </w:rPr>
              <w:t>线路</w:t>
            </w:r>
            <w:r>
              <w:rPr>
                <w:rFonts w:hint="eastAsia" w:ascii="仿宋" w:hAnsi="仿宋" w:eastAsia="仿宋" w:cs="宋体"/>
                <w:color w:val="000000"/>
                <w:kern w:val="0"/>
                <w:sz w:val="18"/>
                <w:szCs w:val="18"/>
                <w:lang w:val="en-US" w:eastAsia="zh-CN"/>
              </w:rPr>
              <w:t>名称</w:t>
            </w:r>
          </w:p>
        </w:tc>
        <w:tc>
          <w:tcPr>
            <w:tcW w:w="8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配车数</w:t>
            </w:r>
          </w:p>
        </w:tc>
        <w:tc>
          <w:tcPr>
            <w:tcW w:w="145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ind w:right="-36" w:rightChars="-17"/>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起止站点</w:t>
            </w:r>
          </w:p>
        </w:tc>
        <w:tc>
          <w:tcPr>
            <w:tcW w:w="1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线路里程</w:t>
            </w:r>
            <w:r>
              <w:rPr>
                <w:rFonts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（公里）</w:t>
            </w:r>
          </w:p>
        </w:tc>
        <w:tc>
          <w:tcPr>
            <w:tcW w:w="1149"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首末班时间</w:t>
            </w:r>
          </w:p>
        </w:tc>
        <w:tc>
          <w:tcPr>
            <w:tcW w:w="66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日均发车间隔（分钟）</w:t>
            </w:r>
          </w:p>
        </w:tc>
        <w:tc>
          <w:tcPr>
            <w:tcW w:w="653"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计划运营趟次</w:t>
            </w:r>
          </w:p>
        </w:tc>
        <w:tc>
          <w:tcPr>
            <w:tcW w:w="66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计划载客</w:t>
            </w:r>
            <w:r>
              <w:rPr>
                <w:rFonts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里程（</w:t>
            </w:r>
            <w:r>
              <w:rPr>
                <w:rFonts w:ascii="仿宋" w:hAnsi="仿宋" w:eastAsia="仿宋" w:cs="宋体"/>
                <w:color w:val="000000"/>
                <w:kern w:val="0"/>
                <w:sz w:val="18"/>
                <w:szCs w:val="18"/>
              </w:rPr>
              <w:t>KM）</w:t>
            </w:r>
          </w:p>
        </w:tc>
        <w:tc>
          <w:tcPr>
            <w:tcW w:w="87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计划运营里程（</w:t>
            </w:r>
            <w:r>
              <w:rPr>
                <w:rFonts w:ascii="仿宋" w:hAnsi="仿宋" w:eastAsia="仿宋" w:cs="宋体"/>
                <w:color w:val="000000"/>
                <w:kern w:val="0"/>
                <w:sz w:val="18"/>
                <w:szCs w:val="18"/>
              </w:rPr>
              <w:t>KM）</w:t>
            </w:r>
          </w:p>
        </w:tc>
        <w:tc>
          <w:tcPr>
            <w:tcW w:w="9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运营里程与载客里程比例</w:t>
            </w:r>
          </w:p>
        </w:tc>
        <w:tc>
          <w:tcPr>
            <w:tcW w:w="9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运营天数</w:t>
            </w:r>
          </w:p>
        </w:tc>
        <w:tc>
          <w:tcPr>
            <w:tcW w:w="8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所</w:t>
            </w:r>
          </w:p>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属</w:t>
            </w:r>
          </w:p>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企</w:t>
            </w:r>
          </w:p>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业</w:t>
            </w:r>
          </w:p>
        </w:tc>
        <w:tc>
          <w:tcPr>
            <w:tcW w:w="69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年度累计运营里程（</w:t>
            </w:r>
            <w:r>
              <w:rPr>
                <w:rFonts w:ascii="仿宋" w:hAnsi="仿宋" w:eastAsia="仿宋" w:cs="宋体"/>
                <w:color w:val="000000"/>
                <w:kern w:val="0"/>
                <w:sz w:val="18"/>
                <w:szCs w:val="18"/>
              </w:rPr>
              <w:t>KM）</w:t>
            </w:r>
          </w:p>
        </w:tc>
        <w:tc>
          <w:tcPr>
            <w:tcW w:w="721" w:type="dxa"/>
            <w:vMerge w:val="restart"/>
            <w:tcBorders>
              <w:top w:val="single" w:color="auto" w:sz="4" w:space="0"/>
              <w:right w:val="single" w:color="auto" w:sz="4" w:space="0"/>
            </w:tcBorders>
            <w:shd w:val="clear" w:color="auto" w:fill="auto"/>
            <w:vAlign w:val="center"/>
          </w:tcPr>
          <w:p>
            <w:pPr>
              <w:widowControl/>
              <w:jc w:val="center"/>
              <w:rPr>
                <w:rFonts w:ascii="仿宋" w:hAnsi="仿宋" w:eastAsia="仿宋"/>
                <w:color w:val="000000"/>
                <w:kern w:val="0"/>
                <w:sz w:val="18"/>
                <w:szCs w:val="18"/>
              </w:rPr>
            </w:pPr>
            <w:r>
              <w:rPr>
                <w:rFonts w:hint="eastAsia" w:ascii="仿宋" w:hAnsi="仿宋" w:eastAsia="仿宋"/>
                <w:color w:val="000000"/>
                <w:kern w:val="0"/>
                <w:sz w:val="18"/>
                <w:szCs w:val="18"/>
              </w:rPr>
              <w:t>票价</w:t>
            </w:r>
          </w:p>
        </w:tc>
      </w:tr>
      <w:tr>
        <w:tblPrEx>
          <w:tblLayout w:type="fixed"/>
          <w:tblCellMar>
            <w:top w:w="0" w:type="dxa"/>
            <w:left w:w="108" w:type="dxa"/>
            <w:bottom w:w="0" w:type="dxa"/>
            <w:right w:w="108" w:type="dxa"/>
          </w:tblCellMar>
        </w:tblPrEx>
        <w:trPr>
          <w:trHeight w:val="1002" w:hRule="atLeast"/>
        </w:trPr>
        <w:tc>
          <w:tcPr>
            <w:tcW w:w="669"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szCs w:val="24"/>
              </w:rPr>
            </w:pPr>
          </w:p>
        </w:tc>
        <w:tc>
          <w:tcPr>
            <w:tcW w:w="807"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859"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704" w:type="dxa"/>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s="宋体"/>
                <w:color w:val="000000"/>
                <w:kern w:val="0"/>
                <w:sz w:val="24"/>
                <w:szCs w:val="24"/>
              </w:rPr>
            </w:pPr>
            <w:r>
              <w:rPr>
                <w:rFonts w:ascii="仿宋" w:hAnsi="仿宋" w:eastAsia="仿宋" w:cs="宋体"/>
                <w:color w:val="000000"/>
                <w:kern w:val="0"/>
                <w:sz w:val="24"/>
                <w:szCs w:val="24"/>
              </w:rPr>
              <w:t>起点</w:t>
            </w:r>
          </w:p>
        </w:tc>
        <w:tc>
          <w:tcPr>
            <w:tcW w:w="755" w:type="dxa"/>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s="宋体"/>
                <w:color w:val="000000"/>
                <w:kern w:val="0"/>
                <w:sz w:val="24"/>
                <w:szCs w:val="24"/>
              </w:rPr>
            </w:pPr>
            <w:r>
              <w:rPr>
                <w:rFonts w:ascii="仿宋" w:hAnsi="仿宋" w:eastAsia="仿宋" w:cs="宋体"/>
                <w:color w:val="000000"/>
                <w:kern w:val="0"/>
                <w:sz w:val="24"/>
                <w:szCs w:val="24"/>
              </w:rPr>
              <w:t>终点</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上行</w:t>
            </w:r>
          </w:p>
        </w:tc>
        <w:tc>
          <w:tcPr>
            <w:tcW w:w="60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下行</w:t>
            </w:r>
          </w:p>
        </w:tc>
        <w:tc>
          <w:tcPr>
            <w:tcW w:w="530" w:type="dxa"/>
            <w:tcBorders>
              <w:top w:val="nil"/>
              <w:left w:val="nil"/>
              <w:bottom w:val="single" w:color="auto" w:sz="4" w:space="0"/>
              <w:right w:val="single" w:color="auto" w:sz="4" w:space="0"/>
            </w:tcBorders>
            <w:shd w:val="clear" w:color="auto"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始发站</w:t>
            </w:r>
          </w:p>
        </w:tc>
        <w:tc>
          <w:tcPr>
            <w:tcW w:w="619" w:type="dxa"/>
            <w:tcBorders>
              <w:top w:val="nil"/>
              <w:left w:val="nil"/>
              <w:bottom w:val="single" w:color="auto" w:sz="4" w:space="0"/>
              <w:right w:val="single" w:color="auto" w:sz="4" w:space="0"/>
            </w:tcBorders>
            <w:shd w:val="clear" w:color="auto"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终点站</w:t>
            </w:r>
          </w:p>
        </w:tc>
        <w:tc>
          <w:tcPr>
            <w:tcW w:w="669"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653"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876"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91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94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699" w:type="dxa"/>
            <w:vMerge w:val="continue"/>
            <w:tcBorders>
              <w:top w:val="nil"/>
              <w:left w:val="single" w:color="auto" w:sz="4" w:space="0"/>
              <w:bottom w:val="single" w:color="000000" w:sz="4" w:space="0"/>
              <w:right w:val="single" w:color="auto" w:sz="4" w:space="0"/>
            </w:tcBorders>
            <w:vAlign w:val="center"/>
          </w:tcPr>
          <w:p>
            <w:pPr>
              <w:widowControl/>
              <w:jc w:val="left"/>
              <w:rPr>
                <w:rFonts w:ascii="仿宋" w:hAnsi="仿宋" w:eastAsia="仿宋" w:cs="宋体"/>
                <w:color w:val="000000"/>
                <w:kern w:val="0"/>
                <w:sz w:val="21"/>
                <w:szCs w:val="21"/>
              </w:rPr>
            </w:pPr>
          </w:p>
        </w:tc>
        <w:tc>
          <w:tcPr>
            <w:tcW w:w="721" w:type="dxa"/>
            <w:vMerge w:val="continue"/>
            <w:tcBorders>
              <w:bottom w:val="single" w:color="auto" w:sz="4" w:space="0"/>
              <w:right w:val="single" w:color="auto" w:sz="4" w:space="0"/>
            </w:tcBorders>
            <w:shd w:val="clear" w:color="auto" w:fill="auto"/>
          </w:tcPr>
          <w:p>
            <w:pPr>
              <w:widowControl/>
              <w:jc w:val="left"/>
              <w:rPr>
                <w:rFonts w:ascii="仿宋" w:hAnsi="仿宋" w:eastAsia="仿宋"/>
                <w:color w:val="000000"/>
                <w:kern w:val="0"/>
                <w:sz w:val="20"/>
              </w:rPr>
            </w:pPr>
          </w:p>
        </w:tc>
      </w:tr>
      <w:tr>
        <w:tblPrEx>
          <w:tblLayout w:type="fixed"/>
          <w:tblCellMar>
            <w:top w:w="0" w:type="dxa"/>
            <w:left w:w="108" w:type="dxa"/>
            <w:bottom w:w="0" w:type="dxa"/>
            <w:right w:w="108" w:type="dxa"/>
          </w:tblCellMar>
        </w:tblPrEx>
        <w:trPr>
          <w:trHeight w:val="879" w:hRule="exact"/>
        </w:trPr>
        <w:tc>
          <w:tcPr>
            <w:tcW w:w="66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80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85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70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75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60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530" w:type="dxa"/>
            <w:tcBorders>
              <w:top w:val="nil"/>
              <w:left w:val="nil"/>
              <w:bottom w:val="single" w:color="auto" w:sz="4" w:space="0"/>
              <w:right w:val="single" w:color="auto" w:sz="4" w:space="0"/>
            </w:tcBorders>
            <w:shd w:val="clear" w:color="auto" w:fill="FFFFFF"/>
            <w:vAlign w:val="center"/>
          </w:tcPr>
          <w:p>
            <w:pPr>
              <w:widowControl/>
              <w:jc w:val="center"/>
              <w:rPr>
                <w:rFonts w:ascii="仿宋" w:hAnsi="仿宋" w:eastAsia="仿宋" w:cs="宋体"/>
                <w:color w:val="000000"/>
                <w:kern w:val="0"/>
                <w:sz w:val="21"/>
                <w:szCs w:val="21"/>
              </w:rPr>
            </w:pPr>
          </w:p>
        </w:tc>
        <w:tc>
          <w:tcPr>
            <w:tcW w:w="619" w:type="dxa"/>
            <w:tcBorders>
              <w:top w:val="nil"/>
              <w:left w:val="nil"/>
              <w:bottom w:val="single" w:color="auto" w:sz="4" w:space="0"/>
              <w:right w:val="single" w:color="auto" w:sz="4" w:space="0"/>
            </w:tcBorders>
            <w:shd w:val="clear" w:color="auto" w:fill="FFFFFF"/>
            <w:vAlign w:val="center"/>
          </w:tcPr>
          <w:p>
            <w:pPr>
              <w:widowControl/>
              <w:jc w:val="center"/>
              <w:rPr>
                <w:rFonts w:ascii="仿宋" w:hAnsi="仿宋" w:eastAsia="仿宋" w:cs="宋体"/>
                <w:color w:val="000000"/>
                <w:kern w:val="0"/>
                <w:sz w:val="21"/>
                <w:szCs w:val="21"/>
              </w:rPr>
            </w:pP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65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91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94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69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721" w:type="dxa"/>
            <w:tcBorders>
              <w:top w:val="single" w:color="auto" w:sz="4" w:space="0"/>
              <w:bottom w:val="single" w:color="auto" w:sz="4" w:space="0"/>
              <w:right w:val="single" w:color="auto" w:sz="4" w:space="0"/>
            </w:tcBorders>
            <w:shd w:val="clear" w:color="auto" w:fill="auto"/>
          </w:tcPr>
          <w:p>
            <w:pPr>
              <w:widowControl/>
              <w:jc w:val="left"/>
              <w:rPr>
                <w:rFonts w:ascii="仿宋" w:hAnsi="仿宋" w:eastAsia="仿宋"/>
                <w:color w:val="000000"/>
                <w:kern w:val="0"/>
                <w:sz w:val="20"/>
              </w:rPr>
            </w:pPr>
          </w:p>
        </w:tc>
      </w:tr>
      <w:tr>
        <w:tblPrEx>
          <w:tblLayout w:type="fixed"/>
          <w:tblCellMar>
            <w:top w:w="0" w:type="dxa"/>
            <w:left w:w="108" w:type="dxa"/>
            <w:bottom w:w="0" w:type="dxa"/>
            <w:right w:w="108" w:type="dxa"/>
          </w:tblCellMar>
        </w:tblPrEx>
        <w:trPr>
          <w:trHeight w:val="879" w:hRule="exact"/>
        </w:trPr>
        <w:tc>
          <w:tcPr>
            <w:tcW w:w="66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80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85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755" w:type="dxa"/>
            <w:tcBorders>
              <w:top w:val="nil"/>
              <w:left w:val="nil"/>
              <w:bottom w:val="single" w:color="auto" w:sz="4" w:space="0"/>
              <w:right w:val="single" w:color="auto" w:sz="4" w:space="0"/>
            </w:tcBorders>
            <w:shd w:val="clear" w:color="auto" w:fill="auto"/>
            <w:vAlign w:val="center"/>
          </w:tcPr>
          <w:p>
            <w:pPr>
              <w:ind w:left="136"/>
              <w:jc w:val="center"/>
              <w:rPr>
                <w:rFonts w:ascii="仿宋" w:hAnsi="仿宋" w:eastAsia="仿宋" w:cs="宋体"/>
                <w:color w:val="000000"/>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0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530" w:type="dxa"/>
            <w:tcBorders>
              <w:top w:val="nil"/>
              <w:left w:val="nil"/>
              <w:bottom w:val="single" w:color="auto" w:sz="4" w:space="0"/>
              <w:right w:val="single" w:color="auto" w:sz="4" w:space="0"/>
            </w:tcBorders>
            <w:shd w:val="clear" w:color="auto" w:fill="FFFFFF"/>
            <w:vAlign w:val="center"/>
          </w:tcPr>
          <w:p>
            <w:pPr>
              <w:widowControl/>
              <w:jc w:val="center"/>
              <w:rPr>
                <w:rFonts w:ascii="仿宋" w:hAnsi="仿宋" w:eastAsia="仿宋" w:cs="宋体"/>
                <w:color w:val="000000"/>
                <w:kern w:val="0"/>
                <w:sz w:val="21"/>
                <w:szCs w:val="21"/>
              </w:rPr>
            </w:pPr>
            <w:r>
              <w:rPr>
                <w:rFonts w:hint="eastAsia" w:ascii="仿宋" w:hAnsi="仿宋" w:eastAsia="仿宋" w:cs="宋体"/>
                <w:color w:val="000000"/>
                <w:kern w:val="0"/>
                <w:sz w:val="21"/>
                <w:szCs w:val="21"/>
              </w:rPr>
              <w:t>　</w:t>
            </w:r>
          </w:p>
        </w:tc>
        <w:tc>
          <w:tcPr>
            <w:tcW w:w="619" w:type="dxa"/>
            <w:tcBorders>
              <w:top w:val="nil"/>
              <w:left w:val="nil"/>
              <w:bottom w:val="single" w:color="auto" w:sz="4" w:space="0"/>
              <w:right w:val="single" w:color="auto" w:sz="4" w:space="0"/>
            </w:tcBorders>
            <w:shd w:val="clear" w:color="auto" w:fill="FFFFFF"/>
            <w:vAlign w:val="center"/>
          </w:tcPr>
          <w:p>
            <w:pPr>
              <w:widowControl/>
              <w:jc w:val="center"/>
              <w:rPr>
                <w:rFonts w:ascii="仿宋" w:hAnsi="仿宋" w:eastAsia="仿宋" w:cs="宋体"/>
                <w:color w:val="000000"/>
                <w:kern w:val="0"/>
                <w:sz w:val="21"/>
                <w:szCs w:val="21"/>
              </w:rPr>
            </w:pPr>
            <w:r>
              <w:rPr>
                <w:rFonts w:hint="eastAsia" w:ascii="仿宋" w:hAnsi="仿宋" w:eastAsia="仿宋" w:cs="宋体"/>
                <w:color w:val="000000"/>
                <w:kern w:val="0"/>
                <w:sz w:val="21"/>
                <w:szCs w:val="21"/>
              </w:rPr>
              <w:t>　</w:t>
            </w: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653"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1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94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846"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99"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p>
        </w:tc>
        <w:tc>
          <w:tcPr>
            <w:tcW w:w="721" w:type="dxa"/>
            <w:tcBorders>
              <w:top w:val="single" w:color="auto" w:sz="4" w:space="0"/>
              <w:bottom w:val="single" w:color="auto" w:sz="4" w:space="0"/>
              <w:right w:val="single" w:color="auto" w:sz="4" w:space="0"/>
            </w:tcBorders>
            <w:shd w:val="clear" w:color="auto" w:fill="auto"/>
          </w:tcPr>
          <w:p>
            <w:pPr>
              <w:widowControl/>
              <w:jc w:val="left"/>
              <w:rPr>
                <w:rFonts w:ascii="仿宋" w:hAnsi="仿宋" w:eastAsia="仿宋"/>
                <w:color w:val="000000"/>
                <w:kern w:val="0"/>
                <w:sz w:val="20"/>
              </w:rPr>
            </w:pPr>
          </w:p>
        </w:tc>
      </w:tr>
      <w:tr>
        <w:tblPrEx>
          <w:tblLayout w:type="fixed"/>
          <w:tblCellMar>
            <w:top w:w="0" w:type="dxa"/>
            <w:left w:w="108" w:type="dxa"/>
            <w:bottom w:w="0" w:type="dxa"/>
            <w:right w:w="108" w:type="dxa"/>
          </w:tblCellMar>
        </w:tblPrEx>
        <w:trPr>
          <w:trHeight w:val="879" w:hRule="exact"/>
        </w:trPr>
        <w:tc>
          <w:tcPr>
            <w:tcW w:w="66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80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85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755" w:type="dxa"/>
            <w:tcBorders>
              <w:top w:val="nil"/>
              <w:left w:val="nil"/>
              <w:bottom w:val="single" w:color="auto" w:sz="4" w:space="0"/>
              <w:right w:val="single" w:color="auto" w:sz="4" w:space="0"/>
            </w:tcBorders>
            <w:shd w:val="clear" w:color="auto" w:fill="auto"/>
            <w:vAlign w:val="center"/>
          </w:tcPr>
          <w:p>
            <w:pPr>
              <w:ind w:left="136"/>
              <w:jc w:val="center"/>
              <w:rPr>
                <w:rFonts w:ascii="仿宋" w:hAnsi="仿宋" w:eastAsia="仿宋" w:cs="宋体"/>
                <w:color w:val="000000"/>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0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5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653"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1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94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846"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99"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p>
        </w:tc>
        <w:tc>
          <w:tcPr>
            <w:tcW w:w="721" w:type="dxa"/>
            <w:tcBorders>
              <w:top w:val="single" w:color="auto" w:sz="4" w:space="0"/>
              <w:bottom w:val="single" w:color="auto" w:sz="4" w:space="0"/>
              <w:right w:val="single" w:color="auto" w:sz="4" w:space="0"/>
            </w:tcBorders>
            <w:shd w:val="clear" w:color="auto" w:fill="auto"/>
          </w:tcPr>
          <w:p>
            <w:pPr>
              <w:widowControl/>
              <w:jc w:val="left"/>
              <w:rPr>
                <w:rFonts w:ascii="仿宋" w:hAnsi="仿宋" w:eastAsia="仿宋"/>
                <w:color w:val="000000"/>
                <w:kern w:val="0"/>
                <w:sz w:val="20"/>
              </w:rPr>
            </w:pPr>
          </w:p>
        </w:tc>
      </w:tr>
      <w:tr>
        <w:tblPrEx>
          <w:tblLayout w:type="fixed"/>
          <w:tblCellMar>
            <w:top w:w="0" w:type="dxa"/>
            <w:left w:w="108" w:type="dxa"/>
            <w:bottom w:w="0" w:type="dxa"/>
            <w:right w:w="108" w:type="dxa"/>
          </w:tblCellMar>
        </w:tblPrEx>
        <w:trPr>
          <w:trHeight w:val="879" w:hRule="exact"/>
        </w:trPr>
        <w:tc>
          <w:tcPr>
            <w:tcW w:w="66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4　</w:t>
            </w:r>
          </w:p>
        </w:tc>
        <w:tc>
          <w:tcPr>
            <w:tcW w:w="80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85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755" w:type="dxa"/>
            <w:tcBorders>
              <w:top w:val="nil"/>
              <w:left w:val="nil"/>
              <w:bottom w:val="single" w:color="auto" w:sz="4" w:space="0"/>
              <w:right w:val="single" w:color="auto" w:sz="4" w:space="0"/>
            </w:tcBorders>
            <w:shd w:val="clear" w:color="auto" w:fill="auto"/>
            <w:vAlign w:val="center"/>
          </w:tcPr>
          <w:p>
            <w:pPr>
              <w:ind w:left="136"/>
              <w:jc w:val="center"/>
              <w:rPr>
                <w:rFonts w:ascii="仿宋" w:hAnsi="仿宋" w:eastAsia="仿宋" w:cs="宋体"/>
                <w:color w:val="000000"/>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0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5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653"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1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94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846"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99"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p>
        </w:tc>
        <w:tc>
          <w:tcPr>
            <w:tcW w:w="721" w:type="dxa"/>
            <w:tcBorders>
              <w:top w:val="single" w:color="auto" w:sz="4" w:space="0"/>
              <w:bottom w:val="single" w:color="auto" w:sz="4" w:space="0"/>
              <w:right w:val="single" w:color="auto" w:sz="4" w:space="0"/>
            </w:tcBorders>
            <w:shd w:val="clear" w:color="auto" w:fill="auto"/>
          </w:tcPr>
          <w:p>
            <w:pPr>
              <w:widowControl/>
              <w:jc w:val="left"/>
              <w:rPr>
                <w:rFonts w:ascii="仿宋" w:hAnsi="仿宋" w:eastAsia="仿宋"/>
                <w:color w:val="000000"/>
                <w:kern w:val="0"/>
                <w:sz w:val="20"/>
              </w:rPr>
            </w:pPr>
          </w:p>
        </w:tc>
      </w:tr>
      <w:tr>
        <w:tblPrEx>
          <w:tblLayout w:type="fixed"/>
          <w:tblCellMar>
            <w:top w:w="0" w:type="dxa"/>
            <w:left w:w="108" w:type="dxa"/>
            <w:bottom w:w="0" w:type="dxa"/>
            <w:right w:w="108" w:type="dxa"/>
          </w:tblCellMar>
        </w:tblPrEx>
        <w:trPr>
          <w:trHeight w:val="892" w:hRule="exact"/>
        </w:trPr>
        <w:tc>
          <w:tcPr>
            <w:tcW w:w="66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　</w:t>
            </w:r>
          </w:p>
        </w:tc>
        <w:tc>
          <w:tcPr>
            <w:tcW w:w="80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85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755" w:type="dxa"/>
            <w:tcBorders>
              <w:top w:val="nil"/>
              <w:left w:val="nil"/>
              <w:bottom w:val="single" w:color="auto" w:sz="4" w:space="0"/>
              <w:right w:val="single" w:color="auto" w:sz="4" w:space="0"/>
            </w:tcBorders>
            <w:shd w:val="clear" w:color="auto" w:fill="auto"/>
            <w:vAlign w:val="center"/>
          </w:tcPr>
          <w:p>
            <w:pPr>
              <w:ind w:left="136"/>
              <w:jc w:val="center"/>
              <w:rPr>
                <w:rFonts w:ascii="仿宋" w:hAnsi="仿宋" w:eastAsia="仿宋" w:cs="宋体"/>
                <w:color w:val="000000"/>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0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5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653"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1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94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p>
        </w:tc>
        <w:tc>
          <w:tcPr>
            <w:tcW w:w="846"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699"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kern w:val="0"/>
                <w:sz w:val="24"/>
                <w:szCs w:val="24"/>
              </w:rPr>
            </w:pPr>
          </w:p>
        </w:tc>
        <w:tc>
          <w:tcPr>
            <w:tcW w:w="721" w:type="dxa"/>
            <w:tcBorders>
              <w:top w:val="single" w:color="auto" w:sz="4" w:space="0"/>
              <w:bottom w:val="single" w:color="auto" w:sz="4" w:space="0"/>
              <w:right w:val="single" w:color="auto" w:sz="4" w:space="0"/>
            </w:tcBorders>
            <w:shd w:val="clear" w:color="auto" w:fill="auto"/>
          </w:tcPr>
          <w:p>
            <w:pPr>
              <w:widowControl/>
              <w:jc w:val="left"/>
              <w:rPr>
                <w:rFonts w:ascii="仿宋" w:hAnsi="仿宋" w:eastAsia="仿宋"/>
                <w:color w:val="000000"/>
                <w:kern w:val="0"/>
                <w:sz w:val="20"/>
              </w:rPr>
            </w:pPr>
          </w:p>
        </w:tc>
      </w:tr>
    </w:tbl>
    <w:p>
      <w:pPr>
        <w:keepNext w:val="0"/>
        <w:keepLines w:val="0"/>
        <w:pageBreakBefore w:val="0"/>
        <w:widowControl/>
        <w:kinsoku w:val="0"/>
        <w:wordWrap/>
        <w:overflowPunct/>
        <w:topLinePunct w:val="0"/>
        <w:autoSpaceDE w:val="0"/>
        <w:autoSpaceDN w:val="0"/>
        <w:bidi w:val="0"/>
        <w:adjustRightInd w:val="0"/>
        <w:snapToGrid w:val="0"/>
        <w:spacing w:line="540" w:lineRule="exact"/>
        <w:jc w:val="both"/>
        <w:textAlignment w:val="baseline"/>
        <w:rPr>
          <w:rFonts w:hint="default" w:ascii="仿宋_GB2312" w:hAnsi="仿宋_GB2312" w:eastAsia="仿宋_GB2312" w:cs="仿宋_GB2312"/>
          <w:i w:val="0"/>
          <w:iCs w:val="0"/>
          <w:caps w:val="0"/>
          <w:color w:val="333333"/>
          <w:spacing w:val="0"/>
          <w:sz w:val="28"/>
          <w:szCs w:val="28"/>
          <w:highlight w:val="none"/>
          <w:shd w:val="clear" w:color="080000" w:fill="FFFFFF"/>
          <w:lang w:val="en-US" w:eastAsia="zh-CN"/>
        </w:rPr>
      </w:pPr>
    </w:p>
    <w:p>
      <w:pPr>
        <w:bidi w:val="0"/>
        <w:rPr>
          <w:rFonts w:hint="default" w:ascii="Arial" w:hAnsi="Arial" w:eastAsia="Arial" w:cs="Arial"/>
          <w:snapToGrid w:val="0"/>
          <w:color w:val="000000"/>
          <w:kern w:val="0"/>
          <w:sz w:val="21"/>
          <w:szCs w:val="21"/>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616"/>
        </w:tabs>
        <w:bidi w:val="0"/>
        <w:jc w:val="left"/>
        <w:rPr>
          <w:rFonts w:hint="eastAsia"/>
          <w:lang w:val="en-US" w:eastAsia="zh-CN"/>
        </w:rPr>
        <w:sectPr>
          <w:pgSz w:w="16830" w:h="11900" w:orient="landscape"/>
          <w:pgMar w:top="1011" w:right="1412" w:bottom="1331" w:left="1410" w:header="0" w:footer="1202" w:gutter="0"/>
          <w:cols w:space="720" w:num="1"/>
        </w:sectPr>
      </w:pPr>
      <w:r>
        <w:rPr>
          <w:rFonts w:hint="eastAsia"/>
          <w:lang w:val="en-US" w:eastAsia="zh-CN"/>
        </w:rPr>
        <w:tab/>
      </w:r>
    </w:p>
    <w:p>
      <w:pPr>
        <w:tabs>
          <w:tab w:val="left" w:pos="616"/>
        </w:tabs>
        <w:bidi w:val="0"/>
        <w:jc w:val="left"/>
        <w:rPr>
          <w:rFonts w:hint="eastAsia"/>
          <w:lang w:val="en-US" w:eastAsia="zh-CN"/>
        </w:rPr>
      </w:pPr>
      <w:r>
        <w:rPr>
          <w:rFonts w:hint="eastAsia"/>
          <w:lang w:val="en-US" w:eastAsia="zh-CN"/>
        </w:rPr>
        <w:t>附件：2-2</w:t>
      </w:r>
    </w:p>
    <w:tbl>
      <w:tblPr>
        <w:tblStyle w:val="4"/>
        <w:tblW w:w="96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12"/>
        <w:gridCol w:w="732"/>
        <w:gridCol w:w="3105"/>
        <w:gridCol w:w="3852"/>
        <w:gridCol w:w="500"/>
        <w:gridCol w:w="8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0" w:hRule="atLeast"/>
        </w:trPr>
        <w:tc>
          <w:tcPr>
            <w:tcW w:w="9659" w:type="dxa"/>
            <w:gridSpan w:val="6"/>
            <w:tcBorders>
              <w:top w:val="nil"/>
              <w:left w:val="nil"/>
              <w:bottom w:val="nil"/>
              <w:right w:val="nil"/>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6"/>
                <w:szCs w:val="36"/>
                <w:u w:val="none"/>
              </w:rPr>
            </w:pPr>
            <w:r>
              <w:rPr>
                <w:rFonts w:hint="eastAsia" w:ascii="宋体" w:hAnsi="宋体" w:eastAsia="宋体" w:cs="宋体"/>
                <w:i w:val="0"/>
                <w:snapToGrid w:val="0"/>
                <w:color w:val="000000"/>
                <w:kern w:val="0"/>
                <w:sz w:val="36"/>
                <w:szCs w:val="36"/>
                <w:u w:val="none"/>
                <w:lang w:val="en-US" w:eastAsia="zh-CN" w:bidi="ar"/>
              </w:rPr>
              <w:t xml:space="preserve"> 闽侯县农村客运质量服务日常考核表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考核</w:t>
            </w: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内容</w:t>
            </w:r>
          </w:p>
        </w:tc>
        <w:tc>
          <w:tcPr>
            <w:tcW w:w="7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指标</w:t>
            </w: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名称</w:t>
            </w:r>
          </w:p>
        </w:tc>
        <w:tc>
          <w:tcPr>
            <w:tcW w:w="310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考核标准</w:t>
            </w:r>
          </w:p>
        </w:tc>
        <w:tc>
          <w:tcPr>
            <w:tcW w:w="38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snapToGrid w:val="0"/>
                <w:color w:val="000000"/>
                <w:kern w:val="0"/>
                <w:sz w:val="21"/>
                <w:szCs w:val="21"/>
                <w:u w:val="none"/>
                <w:lang w:val="en-US" w:eastAsia="zh-CN" w:bidi="ar"/>
              </w:rPr>
              <w:t>评分标准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得分</w:t>
            </w:r>
          </w:p>
        </w:tc>
        <w:tc>
          <w:tcPr>
            <w:tcW w:w="85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扣分</w:t>
            </w: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理由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0" w:hRule="atLeast"/>
        </w:trPr>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日常考核指标(满分500</w:t>
            </w: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分 )</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服务设施完备率(最高扣100分)</w:t>
            </w: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车门开关灵活，车窗玻璃无缺损，闭合严密，不漏水，座椅齐全牢固，安全带配备齐全</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车门开关失控的扣1分，座椅靠背不全、松动的扣1分，安全带未配备及损坏的每次扣1分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snapToGrid w:val="0"/>
                <w:color w:val="000000"/>
                <w:kern w:val="0"/>
                <w:sz w:val="21"/>
                <w:szCs w:val="21"/>
                <w:u w:val="none"/>
                <w:lang w:val="en-US" w:eastAsia="zh-CN" w:bidi="ar"/>
              </w:rPr>
              <w:t>座椅齐全牢固，扶手立柱齐全</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座椅靠背不全、松动的扣1分，扶手立柱不全的每次扣1分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安全锤、灭火器齐全有效，服务监督电话信息完整</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缺少安全锤、灭火器的扣1分，服务监督电话未张贴的每次扣1分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禁烟、禁止携带易燃易爆物品上车标志齐全醒目</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禁烟、禁止携带易燃易爆物品上车标志缺少的每次扣1分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8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运营服务合格率(最高扣300分</w:t>
            </w: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持证上岗，着装统一，仪表整洁，文明用语，解答询问</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司乘人员未持证上岗的扣1分；用语不文明，对乘客询问不解答的每次扣1分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6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主动照顾老幼病残孕等特殊</w:t>
            </w: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人群</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未给要求帮助的老幼病残孕等特殊人群提供帮助的每次扣1分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按照规定开启空调</w:t>
            </w:r>
          </w:p>
        </w:tc>
        <w:tc>
          <w:tcPr>
            <w:tcW w:w="38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未按照规定开启空调的每次扣1分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按照规定线路、班次、时间行驶运营，无擅自改道行驶、停班、终止运输的</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未向主管部门报备，出现擅自改道行驶、停班、终止运输的每次扣20分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FF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6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驾驶员工作时无吸烟、打手机、聊天等现象</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驾驶员工作时发生吸烟、打手机、聊天中一项的每次扣1分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斑马线文明礼让</w:t>
            </w:r>
          </w:p>
        </w:tc>
        <w:tc>
          <w:tcPr>
            <w:tcW w:w="38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斑马线不礼让行人的每次扣1分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6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车辆行驶无超速、违规超车</w:t>
            </w: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、抢道等行为</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8"/>
                <w:snapToGrid w:val="0"/>
                <w:color w:val="000000"/>
                <w:lang w:val="en-US" w:eastAsia="zh-CN" w:bidi="ar"/>
              </w:rPr>
              <w:t>车辆行驶中出现超速、违规超车、抢道等行为的每次</w:t>
            </w:r>
            <w:r>
              <w:rPr>
                <w:rStyle w:val="9"/>
                <w:snapToGrid w:val="0"/>
                <w:color w:val="000000"/>
                <w:lang w:val="en-US" w:eastAsia="zh-CN" w:bidi="ar"/>
              </w:rPr>
              <w:t>扣5分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6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车辆整洁合格率(最高扣100分)</w:t>
            </w: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车身外表整洁完好，无损坏、无污迹、尘土</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车身外表破损、有污渍的每处扣1分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头灯、尾灯、方向灯齐全有效</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头灯、尾灯、方向灯出现故障的每处扣2分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车厢内清洁，无尘土，无积水，无杂物</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车厢内发现垃圾、尘土、积水等情况的每处扣0.5分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座椅、扶手无尘土、无污水</w:t>
            </w: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、无杂物</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座椅、扶手现垃圾、尘土、积水等情况每处扣0.5分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车窗清洁明亮，车厢内壁无</w:t>
            </w:r>
            <w:r>
              <w:rPr>
                <w:rFonts w:hint="eastAsia" w:ascii="宋体" w:hAnsi="宋体" w:eastAsia="宋体" w:cs="宋体"/>
                <w:i w:val="0"/>
                <w:snapToGrid w:val="0"/>
                <w:color w:val="000000"/>
                <w:kern w:val="0"/>
                <w:sz w:val="22"/>
                <w:szCs w:val="22"/>
                <w:u w:val="none"/>
                <w:lang w:val="en-US" w:eastAsia="zh-CN" w:bidi="ar"/>
              </w:rPr>
              <w:br w:type="textWrapping"/>
            </w:r>
            <w:r>
              <w:rPr>
                <w:rFonts w:hint="eastAsia" w:ascii="宋体" w:hAnsi="宋体" w:eastAsia="宋体" w:cs="宋体"/>
                <w:i w:val="0"/>
                <w:snapToGrid w:val="0"/>
                <w:color w:val="000000"/>
                <w:kern w:val="0"/>
                <w:sz w:val="22"/>
                <w:szCs w:val="22"/>
                <w:u w:val="none"/>
                <w:lang w:val="en-US" w:eastAsia="zh-CN" w:bidi="ar"/>
              </w:rPr>
              <w:t>污垢</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车窗、车厢内壁有污垢的每处扣0.5分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车内广告发布规范，广告设施牢固、画面整洁</w:t>
            </w:r>
          </w:p>
        </w:tc>
        <w:tc>
          <w:tcPr>
            <w:tcW w:w="38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广告画面松脱破损的，每处扣1分</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98"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689"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日常考核指标成绩</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2" w:hRule="atLeast"/>
        </w:trPr>
        <w:tc>
          <w:tcPr>
            <w:tcW w:w="1344" w:type="dxa"/>
            <w:gridSpan w:val="2"/>
            <w:tcBorders>
              <w:top w:val="nil"/>
              <w:left w:val="nil"/>
              <w:bottom w:val="nil"/>
              <w:right w:val="nil"/>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驾驶员签字：</w:t>
            </w:r>
          </w:p>
        </w:tc>
        <w:tc>
          <w:tcPr>
            <w:tcW w:w="3105" w:type="dxa"/>
            <w:tcBorders>
              <w:top w:val="nil"/>
              <w:left w:val="nil"/>
              <w:bottom w:val="nil"/>
              <w:right w:val="nil"/>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852" w:type="dxa"/>
            <w:tcBorders>
              <w:top w:val="nil"/>
              <w:left w:val="nil"/>
              <w:bottom w:val="nil"/>
              <w:right w:val="nil"/>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考核人员签字：</w:t>
            </w:r>
          </w:p>
        </w:tc>
        <w:tc>
          <w:tcPr>
            <w:tcW w:w="500" w:type="dxa"/>
            <w:tcBorders>
              <w:top w:val="nil"/>
              <w:left w:val="nil"/>
              <w:bottom w:val="nil"/>
              <w:right w:val="nil"/>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858" w:type="dxa"/>
            <w:tcBorders>
              <w:top w:val="nil"/>
              <w:left w:val="nil"/>
              <w:bottom w:val="nil"/>
              <w:right w:val="nil"/>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612" w:type="dxa"/>
            <w:tcBorders>
              <w:top w:val="nil"/>
              <w:left w:val="nil"/>
              <w:bottom w:val="nil"/>
              <w:right w:val="nil"/>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732" w:type="dxa"/>
            <w:tcBorders>
              <w:top w:val="nil"/>
              <w:left w:val="nil"/>
              <w:bottom w:val="nil"/>
              <w:right w:val="nil"/>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3105" w:type="dxa"/>
            <w:tcBorders>
              <w:top w:val="nil"/>
              <w:left w:val="nil"/>
              <w:bottom w:val="nil"/>
              <w:right w:val="nil"/>
            </w:tcBorders>
            <w:shd w:val="clear" w:color="auto" w:fill="auto"/>
            <w:noWrap/>
            <w:tcMar>
              <w:top w:w="12" w:type="dxa"/>
              <w:left w:w="12" w:type="dxa"/>
              <w:right w:w="12" w:type="dxa"/>
            </w:tcMar>
            <w:vAlign w:val="center"/>
          </w:tcPr>
          <w:p>
            <w:pPr>
              <w:jc w:val="right"/>
              <w:rPr>
                <w:rFonts w:hint="eastAsia" w:ascii="宋体" w:hAnsi="宋体" w:eastAsia="宋体" w:cs="宋体"/>
                <w:i w:val="0"/>
                <w:color w:val="000000"/>
                <w:sz w:val="22"/>
                <w:szCs w:val="22"/>
                <w:u w:val="none"/>
              </w:rPr>
            </w:pPr>
          </w:p>
        </w:tc>
        <w:tc>
          <w:tcPr>
            <w:tcW w:w="3852" w:type="dxa"/>
            <w:tcBorders>
              <w:top w:val="nil"/>
              <w:left w:val="nil"/>
              <w:bottom w:val="nil"/>
              <w:right w:val="nil"/>
            </w:tcBorders>
            <w:shd w:val="clear" w:color="auto" w:fill="auto"/>
            <w:noWrap/>
            <w:tcMar>
              <w:top w:w="12" w:type="dxa"/>
              <w:left w:w="12" w:type="dxa"/>
              <w:right w:w="12" w:type="dxa"/>
            </w:tcMar>
            <w:vAlign w:val="center"/>
          </w:tcPr>
          <w:p>
            <w:pPr>
              <w:rPr>
                <w:rFonts w:hint="eastAsia" w:ascii="宋体" w:hAnsi="宋体" w:eastAsia="宋体" w:cs="宋体"/>
                <w:i w:val="0"/>
                <w:color w:val="000000"/>
                <w:sz w:val="22"/>
                <w:szCs w:val="22"/>
                <w:u w:val="none"/>
              </w:rPr>
            </w:pPr>
          </w:p>
        </w:tc>
        <w:tc>
          <w:tcPr>
            <w:tcW w:w="1358" w:type="dxa"/>
            <w:gridSpan w:val="2"/>
            <w:tcBorders>
              <w:top w:val="nil"/>
              <w:left w:val="nil"/>
              <w:bottom w:val="nil"/>
              <w:right w:val="nil"/>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年  月  日</w:t>
            </w:r>
          </w:p>
        </w:tc>
      </w:tr>
    </w:tbl>
    <w:p>
      <w:pPr>
        <w:tabs>
          <w:tab w:val="left" w:pos="616"/>
        </w:tabs>
        <w:bidi w:val="0"/>
        <w:jc w:val="left"/>
        <w:rPr>
          <w:rFonts w:hint="eastAsia"/>
          <w:lang w:val="en-US" w:eastAsia="zh-CN"/>
        </w:rPr>
      </w:pPr>
      <w:r>
        <w:rPr>
          <w:rFonts w:hint="eastAsia"/>
          <w:lang w:val="en-US" w:eastAsia="zh-CN"/>
        </w:rPr>
        <w:t>附件：2-3</w:t>
      </w:r>
    </w:p>
    <w:p>
      <w:pPr>
        <w:keepNext w:val="0"/>
        <w:keepLines w:val="0"/>
        <w:pageBreakBefore w:val="0"/>
        <w:widowControl w:val="0"/>
        <w:kinsoku/>
        <w:wordWrap/>
        <w:overflowPunct/>
        <w:topLinePunct w:val="0"/>
        <w:autoSpaceDE/>
        <w:autoSpaceDN/>
        <w:bidi w:val="0"/>
        <w:adjustRightInd w:val="0"/>
        <w:snapToGrid w:val="0"/>
        <w:spacing w:line="620" w:lineRule="exact"/>
        <w:jc w:val="center"/>
        <w:textAlignment w:val="auto"/>
        <w:rPr>
          <w:rFonts w:hint="eastAsia" w:asciiTheme="majorEastAsia" w:hAnsiTheme="majorEastAsia" w:eastAsiaTheme="majorEastAsia" w:cstheme="majorEastAsia"/>
          <w:sz w:val="36"/>
          <w:szCs w:val="36"/>
        </w:rPr>
      </w:pPr>
      <w:r>
        <w:rPr>
          <w:rFonts w:hint="eastAsia" w:asciiTheme="majorEastAsia" w:hAnsiTheme="majorEastAsia" w:eastAsiaTheme="majorEastAsia" w:cstheme="majorEastAsia"/>
          <w:sz w:val="36"/>
          <w:szCs w:val="36"/>
          <w:lang w:val="en-US" w:eastAsia="zh-CN"/>
        </w:rPr>
        <w:t>闽侯县</w:t>
      </w:r>
      <w:r>
        <w:rPr>
          <w:rFonts w:hint="eastAsia" w:asciiTheme="majorEastAsia" w:hAnsiTheme="majorEastAsia" w:eastAsiaTheme="majorEastAsia" w:cstheme="majorEastAsia"/>
          <w:sz w:val="36"/>
          <w:szCs w:val="36"/>
        </w:rPr>
        <w:t>农村客运</w:t>
      </w:r>
      <w:r>
        <w:rPr>
          <w:rFonts w:hint="eastAsia" w:asciiTheme="majorEastAsia" w:hAnsiTheme="majorEastAsia" w:eastAsiaTheme="majorEastAsia" w:cstheme="majorEastAsia"/>
          <w:sz w:val="36"/>
          <w:szCs w:val="36"/>
          <w:lang w:val="en-US" w:eastAsia="zh-CN"/>
        </w:rPr>
        <w:t>质量服务年度</w:t>
      </w:r>
      <w:r>
        <w:rPr>
          <w:rFonts w:hint="eastAsia" w:asciiTheme="majorEastAsia" w:hAnsiTheme="majorEastAsia" w:eastAsiaTheme="majorEastAsia" w:cstheme="majorEastAsia"/>
          <w:sz w:val="36"/>
          <w:szCs w:val="36"/>
        </w:rPr>
        <w:t>考核表</w:t>
      </w:r>
    </w:p>
    <w:tbl>
      <w:tblPr>
        <w:tblStyle w:val="4"/>
        <w:tblW w:w="9963" w:type="dxa"/>
        <w:jc w:val="center"/>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
        <w:gridCol w:w="431"/>
        <w:gridCol w:w="1343"/>
        <w:gridCol w:w="554"/>
        <w:gridCol w:w="185"/>
        <w:gridCol w:w="3109"/>
        <w:gridCol w:w="525"/>
        <w:gridCol w:w="314"/>
        <w:gridCol w:w="1477"/>
        <w:gridCol w:w="540"/>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3" w:hRule="atLeast"/>
          <w:jc w:val="center"/>
        </w:trPr>
        <w:tc>
          <w:tcPr>
            <w:tcW w:w="83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exact"/>
              <w:textAlignment w:val="auto"/>
              <w:rPr>
                <w:rFonts w:ascii="仿宋_GB2312" w:hAnsi="宋体" w:eastAsia="仿宋_GB2312"/>
                <w:sz w:val="24"/>
              </w:rPr>
            </w:pPr>
            <w:r>
              <w:rPr>
                <w:rFonts w:hint="eastAsia" w:ascii="仿宋_GB2312" w:eastAsia="仿宋_GB2312"/>
                <w:sz w:val="24"/>
                <w:lang w:val="en-US" w:eastAsia="zh-CN"/>
              </w:rPr>
              <w:t xml:space="preserve"> </w:t>
            </w:r>
            <w:r>
              <w:rPr>
                <w:rFonts w:hint="eastAsia" w:ascii="仿宋_GB2312" w:hAnsi="宋体" w:eastAsia="仿宋_GB2312"/>
                <w:sz w:val="24"/>
              </w:rPr>
              <w:t>车辆</w:t>
            </w:r>
          </w:p>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宋体" w:eastAsia="仿宋_GB2312"/>
                <w:sz w:val="24"/>
              </w:rPr>
            </w:pPr>
            <w:r>
              <w:rPr>
                <w:rFonts w:hint="eastAsia" w:ascii="仿宋_GB2312" w:hAnsi="宋体" w:eastAsia="仿宋_GB2312"/>
                <w:sz w:val="24"/>
              </w:rPr>
              <w:t>基本</w:t>
            </w:r>
          </w:p>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sz w:val="24"/>
              </w:rPr>
            </w:pPr>
            <w:r>
              <w:rPr>
                <w:rFonts w:hint="eastAsia" w:ascii="仿宋_GB2312" w:hAnsi="宋体" w:eastAsia="仿宋_GB2312"/>
                <w:sz w:val="24"/>
              </w:rPr>
              <w:t>情况</w:t>
            </w:r>
          </w:p>
        </w:tc>
        <w:tc>
          <w:tcPr>
            <w:tcW w:w="519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sz w:val="24"/>
                <w:u w:val="single"/>
              </w:rPr>
            </w:pPr>
            <w:r>
              <w:rPr>
                <w:rFonts w:hint="eastAsia" w:ascii="仿宋_GB2312" w:hAnsi="宋体" w:eastAsia="仿宋_GB2312"/>
                <w:sz w:val="24"/>
              </w:rPr>
              <w:t>车牌号</w:t>
            </w:r>
            <w:r>
              <w:rPr>
                <w:rFonts w:hint="eastAsia" w:ascii="仿宋_GB2312" w:hAnsi="宋体" w:eastAsia="仿宋_GB2312"/>
                <w:sz w:val="24"/>
                <w:u w:val="single"/>
              </w:rPr>
              <w:t xml:space="preserve">          </w:t>
            </w:r>
            <w:r>
              <w:rPr>
                <w:rFonts w:hint="eastAsia" w:ascii="仿宋_GB2312" w:hAnsi="宋体" w:eastAsia="仿宋_GB2312"/>
                <w:sz w:val="24"/>
              </w:rPr>
              <w:t>道路运输证号</w:t>
            </w:r>
            <w:r>
              <w:rPr>
                <w:rFonts w:hint="eastAsia" w:ascii="仿宋_GB2312" w:hAnsi="宋体" w:eastAsia="仿宋_GB2312"/>
                <w:sz w:val="24"/>
                <w:u w:val="single"/>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sz w:val="24"/>
              </w:rPr>
            </w:pPr>
            <w:r>
              <w:rPr>
                <w:rFonts w:hint="eastAsia" w:ascii="仿宋_GB2312" w:hAnsi="宋体" w:eastAsia="仿宋_GB2312"/>
                <w:sz w:val="24"/>
              </w:rPr>
              <w:t>营运线路</w:t>
            </w:r>
            <w:r>
              <w:rPr>
                <w:rFonts w:hint="eastAsia" w:ascii="仿宋_GB2312" w:hAnsi="宋体" w:eastAsia="仿宋_GB2312"/>
                <w:sz w:val="24"/>
                <w:u w:val="single"/>
              </w:rPr>
              <w:t xml:space="preserve">         </w:t>
            </w:r>
            <w:r>
              <w:rPr>
                <w:rFonts w:hint="eastAsia" w:ascii="仿宋_GB2312" w:hAnsi="宋体" w:eastAsia="仿宋_GB2312"/>
                <w:sz w:val="24"/>
              </w:rPr>
              <w:t>经</w:t>
            </w:r>
            <w:r>
              <w:rPr>
                <w:rFonts w:hint="eastAsia" w:ascii="仿宋_GB2312" w:hAnsi="宋体" w:eastAsia="仿宋_GB2312"/>
                <w:sz w:val="24"/>
                <w:u w:val="single"/>
              </w:rPr>
              <w:t xml:space="preserve">  </w:t>
            </w:r>
            <w:r>
              <w:rPr>
                <w:rFonts w:hint="eastAsia" w:ascii="仿宋_GB2312" w:hAnsi="宋体" w:eastAsia="仿宋_GB2312"/>
                <w:sz w:val="24"/>
                <w:u w:val="single"/>
                <w:lang w:val="en-US" w:eastAsia="zh-CN"/>
              </w:rPr>
              <w:t xml:space="preserve">  </w:t>
            </w:r>
            <w:r>
              <w:rPr>
                <w:rFonts w:hint="eastAsia" w:ascii="仿宋_GB2312" w:hAnsi="宋体" w:eastAsia="仿宋_GB2312"/>
                <w:sz w:val="24"/>
                <w:u w:val="single"/>
              </w:rPr>
              <w:t xml:space="preserve">    </w:t>
            </w:r>
            <w:r>
              <w:rPr>
                <w:rFonts w:hint="eastAsia" w:ascii="仿宋_GB2312" w:hAnsi="宋体" w:eastAsia="仿宋_GB2312"/>
                <w:sz w:val="24"/>
              </w:rPr>
              <w:t>座位数</w:t>
            </w:r>
            <w:r>
              <w:rPr>
                <w:rFonts w:hint="eastAsia" w:ascii="仿宋_GB2312" w:hAnsi="宋体" w:eastAsia="仿宋_GB2312"/>
                <w:sz w:val="24"/>
                <w:u w:val="single"/>
              </w:rPr>
              <w:t xml:space="preserve">      </w:t>
            </w:r>
            <w:r>
              <w:rPr>
                <w:rFonts w:hint="eastAsia" w:ascii="仿宋_GB2312" w:hAnsi="宋体" w:eastAsia="仿宋_GB2312"/>
                <w:sz w:val="24"/>
              </w:rPr>
              <w:t>座</w:t>
            </w:r>
          </w:p>
        </w:tc>
        <w:tc>
          <w:tcPr>
            <w:tcW w:w="83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宋体" w:eastAsia="仿宋_GB2312"/>
                <w:sz w:val="24"/>
              </w:rPr>
            </w:pPr>
            <w:r>
              <w:rPr>
                <w:rFonts w:hint="eastAsia" w:ascii="仿宋_GB2312" w:hAnsi="宋体" w:eastAsia="仿宋_GB2312"/>
                <w:sz w:val="24"/>
              </w:rPr>
              <w:t>人员</w:t>
            </w:r>
          </w:p>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sz w:val="24"/>
                <w:u w:val="single"/>
              </w:rPr>
            </w:pPr>
            <w:r>
              <w:rPr>
                <w:rFonts w:hint="eastAsia" w:ascii="仿宋_GB2312" w:hAnsi="宋体" w:eastAsia="仿宋_GB2312"/>
                <w:sz w:val="24"/>
              </w:rPr>
              <w:t>情况</w:t>
            </w:r>
          </w:p>
        </w:tc>
        <w:tc>
          <w:tcPr>
            <w:tcW w:w="30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sz w:val="24"/>
              </w:rPr>
            </w:pPr>
            <w:r>
              <w:rPr>
                <w:rFonts w:hint="eastAsia" w:ascii="仿宋_GB2312" w:hAnsi="宋体" w:eastAsia="仿宋_GB2312"/>
                <w:sz w:val="24"/>
              </w:rPr>
              <w:t>驾驶员姓名</w:t>
            </w:r>
            <w:r>
              <w:rPr>
                <w:rFonts w:hint="eastAsia" w:ascii="仿宋_GB2312" w:hAnsi="宋体" w:eastAsia="仿宋_GB2312"/>
                <w:sz w:val="24"/>
                <w:u w:val="single"/>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仿宋_GB2312" w:hAnsi="宋体" w:eastAsia="仿宋_GB2312"/>
                <w:sz w:val="24"/>
              </w:rPr>
            </w:pPr>
            <w:r>
              <w:rPr>
                <w:rFonts w:hint="eastAsia" w:ascii="仿宋_GB2312" w:hAnsi="宋体" w:eastAsia="仿宋_GB2312"/>
                <w:sz w:val="24"/>
              </w:rPr>
              <w:t>从业资格证号</w:t>
            </w:r>
            <w:r>
              <w:rPr>
                <w:rFonts w:hint="eastAsia" w:ascii="仿宋_GB2312" w:hAnsi="宋体" w:eastAsia="仿宋_GB2312"/>
                <w:sz w:val="24"/>
                <w:u w:val="single"/>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 w:hRule="atLeast"/>
          <w:jc w:val="center"/>
        </w:trPr>
        <w:tc>
          <w:tcPr>
            <w:tcW w:w="218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_GB2312" w:hAnsi="宋体" w:eastAsia="仿宋_GB2312"/>
                <w:b/>
                <w:sz w:val="24"/>
              </w:rPr>
            </w:pPr>
            <w:r>
              <w:rPr>
                <w:rFonts w:hint="eastAsia" w:ascii="仿宋_GB2312" w:hAnsi="宋体" w:eastAsia="仿宋_GB2312"/>
                <w:b/>
                <w:sz w:val="24"/>
              </w:rPr>
              <w:t>考 核 项 目</w:t>
            </w:r>
          </w:p>
        </w:tc>
        <w:tc>
          <w:tcPr>
            <w:tcW w:w="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_GB2312" w:hAnsi="宋体" w:eastAsia="仿宋_GB2312"/>
                <w:b/>
                <w:sz w:val="24"/>
              </w:rPr>
            </w:pPr>
            <w:r>
              <w:rPr>
                <w:rFonts w:hint="eastAsia" w:ascii="仿宋_GB2312" w:hAnsi="宋体" w:eastAsia="仿宋_GB2312"/>
                <w:b/>
                <w:sz w:val="24"/>
              </w:rPr>
              <w:t>分值</w:t>
            </w:r>
          </w:p>
        </w:tc>
        <w:tc>
          <w:tcPr>
            <w:tcW w:w="5610"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_GB2312" w:hAnsi="宋体" w:eastAsia="仿宋_GB2312"/>
                <w:b/>
                <w:sz w:val="24"/>
              </w:rPr>
            </w:pPr>
            <w:r>
              <w:rPr>
                <w:rFonts w:hint="eastAsia" w:ascii="仿宋_GB2312" w:hAnsi="宋体" w:eastAsia="仿宋_GB2312"/>
                <w:b/>
                <w:sz w:val="24"/>
              </w:rPr>
              <w:t>计 分 标 准</w:t>
            </w:r>
          </w:p>
        </w:tc>
        <w:tc>
          <w:tcPr>
            <w:tcW w:w="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_GB2312" w:hAnsi="宋体" w:eastAsia="仿宋_GB2312"/>
                <w:b/>
                <w:sz w:val="24"/>
              </w:rPr>
            </w:pPr>
            <w:r>
              <w:rPr>
                <w:rFonts w:hint="eastAsia" w:ascii="仿宋_GB2312" w:hAnsi="宋体" w:eastAsia="仿宋_GB2312"/>
                <w:b/>
                <w:sz w:val="24"/>
              </w:rPr>
              <w:t>得分</w:t>
            </w:r>
          </w:p>
        </w:tc>
        <w:tc>
          <w:tcPr>
            <w:tcW w:w="10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_GB2312" w:hAnsi="宋体" w:eastAsia="仿宋_GB2312"/>
                <w:b/>
                <w:sz w:val="24"/>
              </w:rPr>
            </w:pPr>
            <w:r>
              <w:rPr>
                <w:rFonts w:hint="eastAsia" w:ascii="仿宋_GB2312" w:hAnsi="宋体" w:eastAsia="仿宋_GB2312"/>
                <w:b/>
                <w:sz w:val="24"/>
              </w:rPr>
              <w:t>加扣分</w:t>
            </w:r>
          </w:p>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_GB2312" w:hAnsi="宋体" w:eastAsia="仿宋_GB2312"/>
                <w:b/>
                <w:sz w:val="24"/>
              </w:rPr>
            </w:pPr>
            <w:r>
              <w:rPr>
                <w:rFonts w:hint="eastAsia" w:ascii="仿宋_GB2312" w:hAnsi="宋体" w:eastAsia="仿宋_GB2312"/>
                <w:b/>
                <w:sz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51" w:hRule="atLeast"/>
          <w:jc w:val="center"/>
        </w:trPr>
        <w:tc>
          <w:tcPr>
            <w:tcW w:w="40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hAnsi="宋体" w:eastAsia="仿宋_GB2312"/>
                <w:b/>
                <w:bCs/>
                <w:sz w:val="24"/>
              </w:rPr>
            </w:pPr>
            <w:r>
              <w:rPr>
                <w:rFonts w:hint="eastAsia" w:ascii="仿宋_GB2312" w:hAnsi="宋体" w:eastAsia="仿宋_GB2312"/>
                <w:b/>
                <w:bCs/>
                <w:sz w:val="24"/>
              </w:rPr>
              <w:t>运</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b/>
                <w:bCs/>
                <w:sz w:val="24"/>
              </w:rPr>
            </w:pPr>
            <w:r>
              <w:rPr>
                <w:rFonts w:hint="eastAsia" w:ascii="仿宋_GB2312" w:hAnsi="宋体" w:eastAsia="仿宋_GB2312"/>
                <w:b/>
                <w:bCs/>
                <w:sz w:val="24"/>
              </w:rPr>
              <w:t>输</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b/>
                <w:bCs/>
                <w:sz w:val="24"/>
              </w:rPr>
            </w:pPr>
            <w:r>
              <w:rPr>
                <w:rFonts w:hint="eastAsia" w:ascii="仿宋_GB2312" w:hAnsi="宋体" w:eastAsia="仿宋_GB2312"/>
                <w:b/>
                <w:bCs/>
                <w:sz w:val="24"/>
              </w:rPr>
              <w:t>安</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sz w:val="24"/>
              </w:rPr>
            </w:pPr>
            <w:r>
              <w:rPr>
                <w:rFonts w:hint="eastAsia" w:ascii="仿宋_GB2312" w:hAnsi="宋体" w:eastAsia="仿宋_GB2312"/>
                <w:b/>
                <w:bCs/>
                <w:sz w:val="24"/>
              </w:rPr>
              <w:t>全</w:t>
            </w:r>
          </w:p>
          <w:p>
            <w:pPr>
              <w:keepNext w:val="0"/>
              <w:keepLines w:val="0"/>
              <w:pageBreakBefore w:val="0"/>
              <w:kinsoku/>
              <w:wordWrap/>
              <w:overflowPunct/>
              <w:topLinePunct w:val="0"/>
              <w:autoSpaceDE/>
              <w:autoSpaceDN/>
              <w:bidi w:val="0"/>
              <w:adjustRightInd w:val="0"/>
              <w:snapToGrid w:val="0"/>
              <w:spacing w:line="360" w:lineRule="exact"/>
              <w:ind w:left="0" w:leftChars="0"/>
              <w:textAlignment w:val="auto"/>
              <w:rPr>
                <w:rFonts w:ascii="仿宋_GB2312" w:hAnsi="宋体" w:eastAsia="仿宋_GB2312"/>
                <w:spacing w:val="-16"/>
                <w:sz w:val="24"/>
                <w:szCs w:val="21"/>
              </w:rPr>
            </w:pP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rPr>
            </w:pPr>
            <w:r>
              <w:rPr>
                <w:rFonts w:hint="eastAsia" w:ascii="仿宋_GB2312" w:hAnsi="宋体" w:eastAsia="仿宋_GB2312"/>
                <w:sz w:val="24"/>
              </w:rPr>
              <w:t>交通责任</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hAnsi="宋体" w:eastAsia="仿宋_GB2312"/>
                <w:sz w:val="24"/>
              </w:rPr>
            </w:pPr>
            <w:r>
              <w:rPr>
                <w:rFonts w:hint="eastAsia" w:ascii="仿宋_GB2312" w:hAnsi="宋体" w:eastAsia="仿宋_GB2312"/>
                <w:sz w:val="24"/>
              </w:rPr>
              <w:t>事故</w:t>
            </w:r>
          </w:p>
        </w:tc>
        <w:tc>
          <w:tcPr>
            <w:tcW w:w="55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1</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5</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default" w:ascii="仿宋_GB2312" w:hAnsi="宋体" w:eastAsia="仿宋_GB2312"/>
                <w:sz w:val="24"/>
                <w:lang w:val="en-US" w:eastAsia="zh-CN"/>
              </w:rPr>
            </w:pPr>
            <w:r>
              <w:rPr>
                <w:rFonts w:hint="eastAsia" w:ascii="仿宋_GB2312" w:hAnsi="宋体" w:eastAsia="仿宋_GB2312"/>
                <w:sz w:val="24"/>
                <w:lang w:val="en-US" w:eastAsia="zh-CN"/>
              </w:rPr>
              <w:t>0</w:t>
            </w:r>
          </w:p>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_GB2312" w:hAnsi="宋体" w:eastAsia="仿宋_GB2312"/>
                <w:sz w:val="24"/>
              </w:rPr>
            </w:pPr>
            <w:r>
              <w:rPr>
                <w:rFonts w:hint="eastAsia" w:ascii="仿宋_GB2312" w:hAnsi="宋体" w:eastAsia="仿宋_GB2312"/>
                <w:sz w:val="24"/>
              </w:rPr>
              <w:t>分</w:t>
            </w: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default" w:ascii="仿宋_GB2312" w:hAnsi="宋体" w:eastAsia="仿宋_GB2312"/>
                <w:sz w:val="24"/>
                <w:lang w:val="en-US" w:eastAsia="zh-CN"/>
              </w:rPr>
            </w:pPr>
            <w:r>
              <w:rPr>
                <w:rFonts w:hint="eastAsia" w:ascii="仿宋_GB2312" w:hAnsi="宋体" w:eastAsia="仿宋_GB2312"/>
                <w:sz w:val="24"/>
                <w:lang w:val="en-US" w:eastAsia="zh-CN"/>
              </w:rPr>
              <w:t>发生人员伤亡事故未及时报送行业主管部门的，每次扣50分；</w:t>
            </w:r>
            <w:r>
              <w:rPr>
                <w:rFonts w:hint="eastAsia" w:ascii="仿宋_GB2312" w:hAnsi="宋体" w:eastAsia="仿宋_GB2312"/>
                <w:sz w:val="24"/>
                <w:lang w:eastAsia="zh-CN"/>
              </w:rPr>
              <w:t>发生死亡</w:t>
            </w:r>
            <w:r>
              <w:rPr>
                <w:rFonts w:hint="eastAsia" w:ascii="仿宋_GB2312" w:hAnsi="宋体" w:eastAsia="仿宋_GB2312"/>
                <w:sz w:val="24"/>
                <w:lang w:val="en-US" w:eastAsia="zh-CN"/>
              </w:rPr>
              <w:t>1人且负主要责任交通事故或发生死亡2人且负同等责任交通事故的，</w:t>
            </w:r>
            <w:r>
              <w:rPr>
                <w:rFonts w:hint="eastAsia" w:ascii="仿宋_GB2312" w:hAnsi="宋体" w:eastAsia="仿宋_GB2312"/>
                <w:sz w:val="24"/>
                <w:lang w:eastAsia="zh-CN"/>
              </w:rPr>
              <w:t>每次</w:t>
            </w:r>
            <w:r>
              <w:rPr>
                <w:rFonts w:hint="eastAsia" w:ascii="仿宋_GB2312" w:hAnsi="宋体" w:eastAsia="仿宋_GB2312"/>
                <w:sz w:val="24"/>
              </w:rPr>
              <w:t>扣</w:t>
            </w:r>
            <w:r>
              <w:rPr>
                <w:rFonts w:hint="eastAsia"/>
                <w:color w:val="auto"/>
                <w:lang w:val="en-US" w:eastAsia="zh-CN"/>
              </w:rPr>
              <w:t>扣100分</w:t>
            </w:r>
            <w:r>
              <w:rPr>
                <w:rFonts w:hint="eastAsia" w:ascii="仿宋_GB2312" w:hAnsi="宋体" w:eastAsia="仿宋_GB2312"/>
                <w:color w:val="auto"/>
                <w:sz w:val="24"/>
                <w:lang w:eastAsia="zh-CN"/>
              </w:rPr>
              <w:t>；</w:t>
            </w:r>
            <w:r>
              <w:rPr>
                <w:rFonts w:hint="eastAsia" w:ascii="仿宋_GB2312" w:hAnsi="宋体" w:eastAsia="仿宋_GB2312" w:cs="Times New Roman"/>
                <w:color w:val="auto"/>
                <w:sz w:val="24"/>
                <w:highlight w:val="none"/>
                <w:lang w:val="en-US" w:eastAsia="zh-CN"/>
              </w:rPr>
              <w:t>发生较大以上交通事故的,150分全部扣除</w:t>
            </w:r>
            <w:r>
              <w:rPr>
                <w:rFonts w:hint="eastAsia" w:ascii="仿宋_GB2312" w:hAnsi="宋体" w:eastAsia="仿宋_GB2312" w:cs="Times New Roman"/>
                <w:sz w:val="24"/>
                <w:highlight w:val="none"/>
                <w:lang w:val="en-US" w:eastAsia="zh-CN"/>
              </w:rPr>
              <w:t>。</w:t>
            </w:r>
          </w:p>
        </w:tc>
        <w:tc>
          <w:tcPr>
            <w:tcW w:w="540" w:type="dxa"/>
            <w:vMerge w:val="restart"/>
            <w:tcBorders>
              <w:top w:val="single" w:color="auto" w:sz="4" w:space="0"/>
              <w:left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14" w:hRule="atLeast"/>
          <w:jc w:val="center"/>
        </w:trPr>
        <w:tc>
          <w:tcPr>
            <w:tcW w:w="40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360" w:lineRule="exact"/>
              <w:ind w:left="0" w:leftChars="0"/>
              <w:jc w:val="left"/>
              <w:textAlignment w:val="auto"/>
              <w:rPr>
                <w:rFonts w:ascii="仿宋_GB2312" w:hAnsi="宋体" w:eastAsia="仿宋_GB2312"/>
                <w:spacing w:val="-16"/>
                <w:sz w:val="24"/>
                <w:szCs w:val="21"/>
              </w:rPr>
            </w:pP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eastAsia" w:ascii="仿宋_GB2312" w:hAnsi="宋体" w:eastAsia="仿宋_GB2312"/>
                <w:sz w:val="24"/>
              </w:rPr>
            </w:pPr>
            <w:r>
              <w:rPr>
                <w:rFonts w:hint="eastAsia" w:ascii="仿宋_GB2312" w:hAnsi="宋体" w:eastAsia="仿宋_GB2312"/>
                <w:sz w:val="24"/>
                <w:lang w:val="en-US" w:eastAsia="zh-CN"/>
              </w:rPr>
              <w:t>GPS</w:t>
            </w:r>
            <w:r>
              <w:rPr>
                <w:rFonts w:hint="eastAsia" w:ascii="仿宋_GB2312" w:hAnsi="宋体" w:eastAsia="仿宋_GB2312"/>
                <w:sz w:val="24"/>
              </w:rPr>
              <w:t>动态</w:t>
            </w: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ascii="仿宋_GB2312" w:hAnsi="宋体" w:eastAsia="仿宋_GB2312"/>
                <w:sz w:val="24"/>
              </w:rPr>
            </w:pPr>
            <w:r>
              <w:rPr>
                <w:rFonts w:hint="eastAsia" w:ascii="仿宋_GB2312" w:hAnsi="宋体" w:eastAsia="仿宋_GB2312"/>
                <w:sz w:val="24"/>
              </w:rPr>
              <w:t>监控情况</w:t>
            </w:r>
          </w:p>
        </w:tc>
        <w:tc>
          <w:tcPr>
            <w:tcW w:w="554"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hAnsi="宋体" w:eastAsia="仿宋_GB2312"/>
                <w:sz w:val="24"/>
              </w:rPr>
            </w:pP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eastAsia" w:ascii="仿宋_GB2312" w:hAnsi="宋体" w:eastAsia="仿宋_GB2312"/>
                <w:sz w:val="24"/>
                <w:lang w:eastAsia="zh-CN"/>
              </w:rPr>
            </w:pPr>
            <w:r>
              <w:rPr>
                <w:rFonts w:hint="eastAsia" w:ascii="仿宋_GB2312" w:hAnsi="宋体" w:eastAsia="仿宋_GB2312"/>
                <w:sz w:val="24"/>
                <w:lang w:eastAsia="zh-CN"/>
              </w:rPr>
              <w:t>卫星终端使用不正常</w:t>
            </w:r>
            <w:r>
              <w:rPr>
                <w:rFonts w:hint="eastAsia" w:ascii="仿宋_GB2312" w:hAnsi="宋体" w:eastAsia="仿宋_GB2312"/>
                <w:sz w:val="24"/>
              </w:rPr>
              <w:t>，每发现一次扣</w:t>
            </w:r>
            <w:r>
              <w:rPr>
                <w:rFonts w:hint="eastAsia" w:ascii="仿宋_GB2312" w:hAnsi="宋体" w:eastAsia="仿宋_GB2312"/>
                <w:sz w:val="24"/>
                <w:lang w:val="en-US" w:eastAsia="zh-CN"/>
              </w:rPr>
              <w:t>1</w:t>
            </w:r>
            <w:r>
              <w:rPr>
                <w:rFonts w:hint="eastAsia" w:ascii="仿宋_GB2312" w:hAnsi="宋体" w:eastAsia="仿宋_GB2312"/>
                <w:sz w:val="24"/>
              </w:rPr>
              <w:t>分；被上级监管部门通过监管平台抽查发现存在违规操作行为</w:t>
            </w:r>
            <w:r>
              <w:rPr>
                <w:rFonts w:hint="eastAsia" w:ascii="仿宋_GB2312" w:hAnsi="宋体" w:eastAsia="仿宋_GB2312"/>
                <w:sz w:val="24"/>
                <w:lang w:val="en-US" w:eastAsia="zh-CN"/>
              </w:rPr>
              <w:t>的</w:t>
            </w:r>
            <w:r>
              <w:rPr>
                <w:rFonts w:hint="eastAsia" w:ascii="仿宋_GB2312" w:hAnsi="宋体" w:eastAsia="仿宋_GB2312"/>
                <w:sz w:val="24"/>
              </w:rPr>
              <w:t>，每</w:t>
            </w:r>
            <w:r>
              <w:rPr>
                <w:rFonts w:hint="eastAsia" w:ascii="仿宋_GB2312" w:hAnsi="宋体" w:eastAsia="仿宋_GB2312"/>
                <w:sz w:val="24"/>
                <w:lang w:eastAsia="zh-CN"/>
              </w:rPr>
              <w:t>发现</w:t>
            </w:r>
            <w:r>
              <w:rPr>
                <w:rFonts w:hint="eastAsia" w:ascii="仿宋_GB2312" w:hAnsi="宋体" w:eastAsia="仿宋_GB2312"/>
                <w:sz w:val="24"/>
              </w:rPr>
              <w:t>一次扣</w:t>
            </w:r>
            <w:r>
              <w:rPr>
                <w:rFonts w:hint="eastAsia" w:ascii="仿宋_GB2312" w:hAnsi="宋体" w:eastAsia="仿宋_GB2312"/>
                <w:sz w:val="24"/>
                <w:lang w:val="en-US" w:eastAsia="zh-CN"/>
              </w:rPr>
              <w:t>2</w:t>
            </w:r>
            <w:r>
              <w:rPr>
                <w:rFonts w:hint="eastAsia" w:ascii="仿宋_GB2312" w:hAnsi="宋体" w:eastAsia="仿宋_GB2312"/>
                <w:sz w:val="24"/>
              </w:rPr>
              <w:t>分</w:t>
            </w:r>
            <w:r>
              <w:rPr>
                <w:rFonts w:hint="eastAsia" w:ascii="仿宋_GB2312" w:hAnsi="宋体" w:eastAsia="仿宋_GB2312"/>
                <w:sz w:val="24"/>
                <w:lang w:eastAsia="zh-CN"/>
              </w:rPr>
              <w:t>。</w:t>
            </w:r>
          </w:p>
        </w:tc>
        <w:tc>
          <w:tcPr>
            <w:tcW w:w="540" w:type="dxa"/>
            <w:vMerge w:val="continue"/>
            <w:tcBorders>
              <w:left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82" w:hRule="atLeast"/>
          <w:jc w:val="center"/>
        </w:trPr>
        <w:tc>
          <w:tcPr>
            <w:tcW w:w="40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360" w:lineRule="exact"/>
              <w:ind w:left="0" w:leftChars="0"/>
              <w:jc w:val="left"/>
              <w:textAlignment w:val="auto"/>
              <w:rPr>
                <w:rFonts w:ascii="仿宋_GB2312" w:hAnsi="宋体" w:eastAsia="仿宋_GB2312"/>
                <w:spacing w:val="-16"/>
                <w:sz w:val="24"/>
                <w:szCs w:val="21"/>
              </w:rPr>
            </w:pP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240" w:firstLineChars="10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驾驶员守法</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240" w:firstLineChars="100"/>
              <w:jc w:val="center"/>
              <w:textAlignment w:val="auto"/>
              <w:rPr>
                <w:rFonts w:hint="default" w:ascii="仿宋_GB2312" w:hAnsi="宋体" w:eastAsia="仿宋_GB2312"/>
                <w:sz w:val="24"/>
                <w:lang w:val="en-US" w:eastAsia="zh-CN"/>
              </w:rPr>
            </w:pPr>
            <w:r>
              <w:rPr>
                <w:rFonts w:hint="eastAsia" w:ascii="仿宋_GB2312" w:hAnsi="宋体" w:eastAsia="仿宋_GB2312"/>
                <w:sz w:val="24"/>
                <w:lang w:val="en-US" w:eastAsia="zh-CN"/>
              </w:rPr>
              <w:t>驾驶情况</w:t>
            </w:r>
          </w:p>
        </w:tc>
        <w:tc>
          <w:tcPr>
            <w:tcW w:w="554"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hAnsi="宋体" w:eastAsia="仿宋_GB2312"/>
                <w:sz w:val="24"/>
              </w:rPr>
            </w:pP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default" w:ascii="仿宋_GB2312" w:hAnsi="宋体" w:eastAsia="仿宋_GB2312"/>
                <w:spacing w:val="-4"/>
                <w:sz w:val="24"/>
                <w:lang w:val="en-US" w:eastAsia="zh-CN"/>
              </w:rPr>
            </w:pPr>
            <w:r>
              <w:rPr>
                <w:rFonts w:hint="eastAsia" w:ascii="仿宋_GB2312" w:hAnsi="宋体" w:eastAsia="仿宋_GB2312"/>
                <w:color w:val="auto"/>
                <w:spacing w:val="-4"/>
                <w:sz w:val="24"/>
                <w:highlight w:val="none"/>
                <w:lang w:eastAsia="zh-CN"/>
              </w:rPr>
              <w:t>根据交警部门的违章记录，存在超速、超员、</w:t>
            </w:r>
            <w:r>
              <w:rPr>
                <w:rFonts w:hint="eastAsia" w:ascii="仿宋_GB2312" w:hAnsi="宋体" w:eastAsia="仿宋_GB2312"/>
                <w:color w:val="auto"/>
                <w:spacing w:val="-4"/>
                <w:sz w:val="24"/>
                <w:highlight w:val="none"/>
                <w:lang w:val="en-US" w:eastAsia="zh-CN"/>
              </w:rPr>
              <w:t>闯红灯、恶意别车</w:t>
            </w:r>
            <w:r>
              <w:rPr>
                <w:rFonts w:hint="eastAsia" w:ascii="仿宋_GB2312" w:hAnsi="宋体" w:eastAsia="仿宋_GB2312"/>
                <w:color w:val="auto"/>
                <w:spacing w:val="-4"/>
                <w:sz w:val="24"/>
                <w:highlight w:val="none"/>
                <w:lang w:eastAsia="zh-CN"/>
              </w:rPr>
              <w:t>等情形的，每次扣</w:t>
            </w:r>
            <w:r>
              <w:rPr>
                <w:rFonts w:hint="eastAsia" w:ascii="仿宋_GB2312" w:hAnsi="宋体" w:eastAsia="仿宋_GB2312"/>
                <w:color w:val="auto"/>
                <w:sz w:val="24"/>
                <w:highlight w:val="none"/>
                <w:lang w:val="en-US" w:eastAsia="zh-CN"/>
              </w:rPr>
              <w:t>为扣5分；</w:t>
            </w:r>
            <w:r>
              <w:rPr>
                <w:rFonts w:hint="eastAsia" w:ascii="仿宋_GB2312" w:hAnsi="宋体" w:eastAsia="仿宋_GB2312"/>
                <w:color w:val="auto"/>
                <w:spacing w:val="-4"/>
                <w:sz w:val="24"/>
                <w:highlight w:val="none"/>
                <w:lang w:val="en-US" w:eastAsia="zh-CN"/>
              </w:rPr>
              <w:t>行驶过程中驾驶员未系安全带的，每次扣</w:t>
            </w:r>
            <w:r>
              <w:rPr>
                <w:rFonts w:hint="eastAsia" w:ascii="仿宋_GB2312" w:hAnsi="宋体" w:eastAsia="仿宋_GB2312"/>
                <w:color w:val="auto"/>
                <w:sz w:val="24"/>
                <w:highlight w:val="none"/>
                <w:lang w:val="en-US" w:eastAsia="zh-CN"/>
              </w:rPr>
              <w:t>为扣10分</w:t>
            </w:r>
            <w:r>
              <w:rPr>
                <w:rFonts w:hint="eastAsia" w:ascii="仿宋_GB2312" w:hAnsi="宋体" w:eastAsia="仿宋_GB2312"/>
                <w:color w:val="auto"/>
                <w:spacing w:val="-4"/>
                <w:sz w:val="24"/>
                <w:highlight w:val="none"/>
                <w:lang w:val="en-US" w:eastAsia="zh-CN"/>
              </w:rPr>
              <w:t>。</w:t>
            </w:r>
          </w:p>
        </w:tc>
        <w:tc>
          <w:tcPr>
            <w:tcW w:w="540" w:type="dxa"/>
            <w:vMerge w:val="continue"/>
            <w:tcBorders>
              <w:left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6" w:hRule="atLeast"/>
          <w:jc w:val="center"/>
        </w:trPr>
        <w:tc>
          <w:tcPr>
            <w:tcW w:w="40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360" w:lineRule="exact"/>
              <w:ind w:left="0" w:leftChars="0"/>
              <w:jc w:val="left"/>
              <w:textAlignment w:val="auto"/>
              <w:rPr>
                <w:rFonts w:ascii="仿宋_GB2312" w:hAnsi="宋体" w:eastAsia="仿宋_GB2312"/>
                <w:spacing w:val="-16"/>
                <w:sz w:val="24"/>
                <w:szCs w:val="21"/>
              </w:rPr>
            </w:pP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rPr>
            </w:pPr>
            <w:r>
              <w:rPr>
                <w:rFonts w:hint="eastAsia" w:ascii="仿宋_GB2312" w:hAnsi="宋体" w:eastAsia="仿宋_GB2312"/>
                <w:sz w:val="24"/>
              </w:rPr>
              <w:t>驾驶员安全</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hAnsi="宋体" w:eastAsia="仿宋_GB2312"/>
                <w:sz w:val="24"/>
              </w:rPr>
            </w:pPr>
            <w:r>
              <w:rPr>
                <w:rFonts w:hint="eastAsia" w:ascii="仿宋_GB2312" w:hAnsi="宋体" w:eastAsia="仿宋_GB2312"/>
                <w:sz w:val="24"/>
                <w:lang w:eastAsia="zh-CN"/>
              </w:rPr>
              <w:t>教育</w:t>
            </w:r>
            <w:r>
              <w:rPr>
                <w:rFonts w:hint="eastAsia" w:ascii="仿宋_GB2312" w:hAnsi="宋体" w:eastAsia="仿宋_GB2312"/>
                <w:sz w:val="24"/>
              </w:rPr>
              <w:t>学习情况</w:t>
            </w:r>
          </w:p>
        </w:tc>
        <w:tc>
          <w:tcPr>
            <w:tcW w:w="554"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hAnsi="宋体" w:eastAsia="仿宋_GB2312"/>
                <w:sz w:val="24"/>
              </w:rPr>
            </w:pPr>
          </w:p>
        </w:tc>
        <w:tc>
          <w:tcPr>
            <w:tcW w:w="5610"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both"/>
              <w:textAlignment w:val="auto"/>
              <w:rPr>
                <w:rFonts w:hint="eastAsia" w:ascii="仿宋_GB2312" w:hAnsi="宋体" w:eastAsia="仿宋_GB2312"/>
                <w:sz w:val="24"/>
                <w:lang w:eastAsia="zh-CN"/>
              </w:rPr>
            </w:pPr>
            <w:r>
              <w:rPr>
                <w:rFonts w:hint="eastAsia" w:ascii="仿宋_GB2312" w:hAnsi="宋体" w:eastAsia="仿宋_GB2312"/>
                <w:color w:val="auto"/>
                <w:sz w:val="24"/>
                <w:highlight w:val="none"/>
              </w:rPr>
              <w:t>驾驶员</w:t>
            </w:r>
            <w:r>
              <w:rPr>
                <w:rFonts w:hint="eastAsia" w:ascii="仿宋_GB2312" w:hAnsi="宋体" w:eastAsia="仿宋_GB2312"/>
                <w:color w:val="auto"/>
                <w:sz w:val="24"/>
                <w:highlight w:val="none"/>
                <w:lang w:eastAsia="zh-CN"/>
              </w:rPr>
              <w:t>每月至少接受一次安全教育学习</w:t>
            </w:r>
            <w:r>
              <w:rPr>
                <w:rFonts w:hint="eastAsia" w:ascii="仿宋_GB2312" w:hAnsi="宋体" w:eastAsia="仿宋_GB2312"/>
                <w:color w:val="auto"/>
                <w:sz w:val="24"/>
                <w:highlight w:val="none"/>
              </w:rPr>
              <w:t>，</w:t>
            </w:r>
            <w:r>
              <w:rPr>
                <w:rFonts w:hint="eastAsia" w:ascii="仿宋_GB2312" w:hAnsi="宋体" w:eastAsia="仿宋_GB2312"/>
                <w:color w:val="auto"/>
                <w:sz w:val="24"/>
                <w:highlight w:val="none"/>
                <w:lang w:eastAsia="zh-CN"/>
              </w:rPr>
              <w:t>未执行到位的</w:t>
            </w:r>
            <w:r>
              <w:rPr>
                <w:rFonts w:hint="eastAsia" w:ascii="仿宋_GB2312" w:hAnsi="宋体" w:eastAsia="仿宋_GB2312"/>
                <w:color w:val="auto"/>
                <w:sz w:val="24"/>
                <w:highlight w:val="none"/>
              </w:rPr>
              <w:t>每发现一次扣</w:t>
            </w:r>
            <w:r>
              <w:rPr>
                <w:rFonts w:hint="eastAsia" w:ascii="仿宋_GB2312" w:hAnsi="宋体" w:eastAsia="仿宋_GB2312"/>
                <w:color w:val="auto"/>
                <w:sz w:val="24"/>
                <w:highlight w:val="none"/>
                <w:lang w:val="en-US" w:eastAsia="zh-CN"/>
              </w:rPr>
              <w:t>10分</w:t>
            </w:r>
            <w:r>
              <w:rPr>
                <w:rFonts w:hint="eastAsia" w:ascii="仿宋_GB2312" w:hAnsi="宋体" w:eastAsia="仿宋_GB2312"/>
                <w:color w:val="auto"/>
                <w:sz w:val="24"/>
                <w:highlight w:val="none"/>
                <w:lang w:eastAsia="zh-CN"/>
              </w:rPr>
              <w:t>。</w:t>
            </w:r>
          </w:p>
        </w:tc>
        <w:tc>
          <w:tcPr>
            <w:tcW w:w="54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80" w:lineRule="exact"/>
              <w:ind w:left="0" w:leftChars="0"/>
              <w:jc w:val="both"/>
              <w:textAlignment w:val="auto"/>
              <w:rPr>
                <w:rFonts w:ascii="仿宋_GB2312" w:hAnsi="宋体"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80" w:lineRule="exact"/>
              <w:ind w:left="0" w:leftChars="0"/>
              <w:jc w:val="both"/>
              <w:textAlignment w:val="auto"/>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14" w:hRule="atLeast"/>
          <w:jc w:val="center"/>
        </w:trPr>
        <w:tc>
          <w:tcPr>
            <w:tcW w:w="40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hAnsi="宋体" w:eastAsia="仿宋_GB2312"/>
                <w:b/>
                <w:bCs/>
                <w:sz w:val="24"/>
              </w:rPr>
            </w:pPr>
            <w:r>
              <w:rPr>
                <w:rFonts w:hint="eastAsia" w:ascii="仿宋_GB2312" w:hAnsi="宋体" w:eastAsia="仿宋_GB2312"/>
                <w:b/>
                <w:bCs/>
                <w:sz w:val="24"/>
              </w:rPr>
              <w:t>经</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b/>
                <w:bCs/>
                <w:sz w:val="24"/>
              </w:rPr>
            </w:pPr>
            <w:r>
              <w:rPr>
                <w:rFonts w:hint="eastAsia" w:ascii="仿宋_GB2312" w:hAnsi="宋体" w:eastAsia="仿宋_GB2312"/>
                <w:b/>
                <w:bCs/>
                <w:sz w:val="24"/>
              </w:rPr>
              <w:t>营</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b/>
                <w:bCs/>
                <w:sz w:val="24"/>
              </w:rPr>
            </w:pPr>
            <w:r>
              <w:rPr>
                <w:rFonts w:hint="eastAsia" w:ascii="仿宋_GB2312" w:hAnsi="宋体" w:eastAsia="仿宋_GB2312"/>
                <w:b/>
                <w:bCs/>
                <w:sz w:val="24"/>
              </w:rPr>
              <w:t>行</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sz w:val="24"/>
              </w:rPr>
            </w:pPr>
            <w:r>
              <w:rPr>
                <w:rFonts w:hint="eastAsia" w:ascii="仿宋_GB2312" w:hAnsi="宋体" w:eastAsia="仿宋_GB2312"/>
                <w:b/>
                <w:bCs/>
                <w:sz w:val="24"/>
              </w:rPr>
              <w:t>为</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hAnsi="宋体" w:eastAsia="仿宋_GB2312"/>
                <w:spacing w:val="-16"/>
                <w:sz w:val="24"/>
                <w:szCs w:val="21"/>
              </w:rPr>
            </w:pP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240" w:firstLineChars="100"/>
              <w:jc w:val="center"/>
              <w:textAlignment w:val="auto"/>
              <w:rPr>
                <w:rFonts w:hint="eastAsia" w:ascii="仿宋_GB2312" w:hAnsi="宋体" w:eastAsia="仿宋_GB2312"/>
                <w:sz w:val="24"/>
              </w:rPr>
            </w:pPr>
            <w:r>
              <w:rPr>
                <w:rFonts w:hint="eastAsia" w:ascii="仿宋_GB2312" w:hAnsi="宋体" w:eastAsia="仿宋_GB2312"/>
                <w:sz w:val="24"/>
              </w:rPr>
              <w:t>经营许可</w:t>
            </w: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240" w:firstLineChars="100"/>
              <w:jc w:val="center"/>
              <w:textAlignment w:val="auto"/>
              <w:rPr>
                <w:rFonts w:ascii="仿宋_GB2312" w:hAnsi="宋体" w:eastAsia="仿宋_GB2312"/>
                <w:sz w:val="24"/>
              </w:rPr>
            </w:pPr>
            <w:r>
              <w:rPr>
                <w:rFonts w:hint="eastAsia" w:ascii="仿宋_GB2312" w:hAnsi="宋体" w:eastAsia="仿宋_GB2312"/>
                <w:sz w:val="24"/>
              </w:rPr>
              <w:t>执行情况</w:t>
            </w:r>
          </w:p>
        </w:tc>
        <w:tc>
          <w:tcPr>
            <w:tcW w:w="55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1</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5</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default" w:ascii="仿宋_GB2312" w:hAnsi="宋体" w:eastAsia="仿宋_GB2312"/>
                <w:sz w:val="24"/>
                <w:lang w:val="en-US" w:eastAsia="zh-CN"/>
              </w:rPr>
            </w:pPr>
            <w:r>
              <w:rPr>
                <w:rFonts w:hint="eastAsia" w:ascii="仿宋_GB2312" w:hAnsi="宋体" w:eastAsia="仿宋_GB2312"/>
                <w:sz w:val="24"/>
                <w:lang w:val="en-US" w:eastAsia="zh-CN"/>
              </w:rPr>
              <w:t>0</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default" w:ascii="仿宋_GB2312" w:hAnsi="宋体" w:eastAsia="仿宋_GB2312"/>
                <w:sz w:val="24"/>
                <w:lang w:val="en-US" w:eastAsia="zh-CN"/>
              </w:rPr>
            </w:pPr>
            <w:r>
              <w:rPr>
                <w:rFonts w:hint="eastAsia" w:ascii="仿宋_GB2312" w:hAnsi="宋体" w:eastAsia="仿宋_GB2312"/>
                <w:sz w:val="24"/>
              </w:rPr>
              <w:t>分</w:t>
            </w: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default" w:ascii="仿宋_GB2312" w:hAnsi="宋体" w:eastAsia="仿宋_GB2312"/>
                <w:sz w:val="24"/>
                <w:lang w:val="en-US" w:eastAsia="zh-CN"/>
              </w:rPr>
            </w:pPr>
            <w:r>
              <w:rPr>
                <w:rFonts w:hint="eastAsia" w:ascii="仿宋_GB2312" w:hAnsi="宋体" w:eastAsia="仿宋_GB2312"/>
                <w:sz w:val="24"/>
                <w:lang w:eastAsia="zh-CN"/>
              </w:rPr>
              <w:t>未向主管部门报备，</w:t>
            </w:r>
            <w:r>
              <w:rPr>
                <w:rFonts w:hint="eastAsia" w:ascii="仿宋_GB2312" w:hAnsi="宋体" w:eastAsia="仿宋_GB2312"/>
                <w:sz w:val="24"/>
                <w:lang w:val="en-US" w:eastAsia="zh-CN"/>
              </w:rPr>
              <w:t>不按照规定时间及路线行驶，</w:t>
            </w:r>
            <w:r>
              <w:rPr>
                <w:rFonts w:hint="eastAsia" w:ascii="仿宋_GB2312" w:hAnsi="宋体" w:eastAsia="仿宋_GB2312"/>
                <w:sz w:val="24"/>
                <w:lang w:eastAsia="zh-CN"/>
              </w:rPr>
              <w:t>出现擅自改道行驶、停班、终止运输</w:t>
            </w:r>
            <w:r>
              <w:rPr>
                <w:rFonts w:hint="eastAsia" w:ascii="仿宋_GB2312" w:hAnsi="宋体" w:eastAsia="仿宋_GB2312"/>
                <w:color w:val="auto"/>
                <w:sz w:val="24"/>
                <w:highlight w:val="none"/>
                <w:lang w:eastAsia="zh-CN"/>
              </w:rPr>
              <w:t>的每次扣</w:t>
            </w:r>
            <w:r>
              <w:rPr>
                <w:rFonts w:hint="eastAsia" w:ascii="仿宋_GB2312" w:hAnsi="宋体" w:eastAsia="仿宋_GB2312"/>
                <w:color w:val="auto"/>
                <w:sz w:val="24"/>
                <w:highlight w:val="none"/>
                <w:lang w:val="en-US" w:eastAsia="zh-CN"/>
              </w:rPr>
              <w:t>20分。</w:t>
            </w:r>
          </w:p>
        </w:tc>
        <w:tc>
          <w:tcPr>
            <w:tcW w:w="5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14" w:hRule="atLeast"/>
          <w:jc w:val="center"/>
        </w:trPr>
        <w:tc>
          <w:tcPr>
            <w:tcW w:w="40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360" w:lineRule="exact"/>
              <w:ind w:left="0" w:leftChars="0"/>
              <w:jc w:val="left"/>
              <w:textAlignment w:val="auto"/>
              <w:rPr>
                <w:rFonts w:ascii="仿宋_GB2312" w:hAnsi="宋体" w:eastAsia="仿宋_GB2312"/>
                <w:spacing w:val="-16"/>
                <w:sz w:val="24"/>
                <w:szCs w:val="21"/>
              </w:rPr>
            </w:pP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hAnsi="宋体" w:eastAsia="仿宋_GB2312"/>
                <w:sz w:val="24"/>
              </w:rPr>
            </w:pPr>
            <w:r>
              <w:rPr>
                <w:rFonts w:hint="eastAsia" w:ascii="仿宋_GB2312" w:hAnsi="宋体" w:eastAsia="仿宋_GB2312"/>
                <w:sz w:val="24"/>
              </w:rPr>
              <w:t>牌证携带，</w:t>
            </w:r>
            <w:r>
              <w:rPr>
                <w:rFonts w:hint="eastAsia" w:ascii="仿宋_GB2312" w:hAnsi="宋体" w:eastAsia="仿宋_GB2312"/>
                <w:sz w:val="24"/>
                <w:lang w:val="en-US" w:eastAsia="zh-CN"/>
              </w:rPr>
              <w:t>投诉电话或政府性指令</w:t>
            </w:r>
            <w:r>
              <w:rPr>
                <w:rFonts w:hint="eastAsia" w:ascii="仿宋_GB2312" w:hAnsi="宋体" w:eastAsia="仿宋_GB2312"/>
                <w:sz w:val="24"/>
              </w:rPr>
              <w:t>公开情况</w:t>
            </w:r>
          </w:p>
        </w:tc>
        <w:tc>
          <w:tcPr>
            <w:tcW w:w="554"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hAnsi="宋体" w:eastAsia="仿宋_GB2312"/>
                <w:sz w:val="24"/>
              </w:rPr>
            </w:pP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left"/>
              <w:textAlignment w:val="auto"/>
              <w:rPr>
                <w:rFonts w:hint="eastAsia" w:ascii="仿宋_GB2312" w:hAnsi="宋体" w:eastAsia="仿宋_GB2312"/>
                <w:sz w:val="24"/>
                <w:lang w:eastAsia="zh-CN"/>
              </w:rPr>
            </w:pPr>
            <w:r>
              <w:rPr>
                <w:rFonts w:hint="eastAsia" w:ascii="仿宋_GB2312" w:hAnsi="宋体" w:eastAsia="仿宋_GB2312" w:cs="Times New Roman"/>
                <w:sz w:val="24"/>
                <w:lang w:eastAsia="zh-CN"/>
              </w:rPr>
              <w:t>《道路运输证》、班线牌未按规定携带、放置，</w:t>
            </w:r>
            <w:r>
              <w:rPr>
                <w:rFonts w:hint="eastAsia" w:ascii="仿宋_GB2312" w:hAnsi="宋体" w:eastAsia="仿宋_GB2312" w:cs="Times New Roman"/>
                <w:sz w:val="24"/>
              </w:rPr>
              <w:t>车上</w:t>
            </w:r>
            <w:r>
              <w:rPr>
                <w:rFonts w:hint="eastAsia" w:ascii="仿宋_GB2312" w:hAnsi="宋体" w:eastAsia="仿宋_GB2312" w:cs="Times New Roman"/>
                <w:sz w:val="24"/>
                <w:lang w:eastAsia="zh-CN"/>
              </w:rPr>
              <w:t>未</w:t>
            </w:r>
            <w:r>
              <w:rPr>
                <w:rFonts w:hint="eastAsia" w:ascii="仿宋_GB2312" w:hAnsi="宋体" w:eastAsia="仿宋_GB2312" w:cs="Times New Roman"/>
                <w:sz w:val="24"/>
              </w:rPr>
              <w:t>公开举报投诉电话</w:t>
            </w:r>
            <w:r>
              <w:rPr>
                <w:rFonts w:hint="eastAsia" w:ascii="仿宋_GB2312" w:hAnsi="宋体" w:eastAsia="仿宋_GB2312" w:cs="Times New Roman"/>
                <w:sz w:val="24"/>
                <w:lang w:val="en-US" w:eastAsia="zh-CN"/>
              </w:rPr>
              <w:t>和</w:t>
            </w:r>
            <w:r>
              <w:rPr>
                <w:rFonts w:hint="eastAsia" w:ascii="仿宋_GB2312" w:hAnsi="宋体" w:eastAsia="仿宋_GB2312" w:cs="Times New Roman"/>
                <w:sz w:val="24"/>
                <w:lang w:eastAsia="zh-CN"/>
              </w:rPr>
              <w:t>政府性指令</w:t>
            </w:r>
            <w:r>
              <w:rPr>
                <w:rFonts w:hint="eastAsia" w:ascii="仿宋_GB2312" w:hAnsi="宋体" w:eastAsia="仿宋_GB2312" w:cs="Times New Roman"/>
                <w:sz w:val="24"/>
                <w:lang w:val="en-US" w:eastAsia="zh-CN"/>
              </w:rPr>
              <w:t>性文件的</w:t>
            </w:r>
            <w:r>
              <w:rPr>
                <w:rFonts w:hint="eastAsia" w:ascii="仿宋_GB2312" w:hAnsi="宋体" w:eastAsia="仿宋_GB2312" w:cs="Times New Roman"/>
                <w:sz w:val="24"/>
                <w:lang w:eastAsia="zh-CN"/>
              </w:rPr>
              <w:t>，</w:t>
            </w:r>
            <w:r>
              <w:rPr>
                <w:rFonts w:hint="eastAsia" w:ascii="仿宋_GB2312" w:hAnsi="宋体" w:eastAsia="仿宋_GB2312" w:cs="Times New Roman"/>
                <w:sz w:val="24"/>
              </w:rPr>
              <w:t>每发现一次扣2分</w:t>
            </w:r>
            <w:r>
              <w:rPr>
                <w:rFonts w:hint="eastAsia" w:ascii="仿宋_GB2312" w:hAnsi="宋体" w:eastAsia="仿宋_GB2312" w:cs="Times New Roman"/>
                <w:sz w:val="24"/>
                <w:lang w:eastAsia="zh-CN"/>
              </w:rPr>
              <w:t>。</w:t>
            </w:r>
          </w:p>
        </w:tc>
        <w:tc>
          <w:tcPr>
            <w:tcW w:w="5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82" w:hRule="atLeast"/>
          <w:jc w:val="center"/>
        </w:trPr>
        <w:tc>
          <w:tcPr>
            <w:tcW w:w="40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hAnsi="宋体" w:eastAsia="仿宋_GB2312"/>
                <w:b/>
                <w:bCs/>
                <w:sz w:val="24"/>
              </w:rPr>
            </w:pPr>
            <w:r>
              <w:rPr>
                <w:rFonts w:hint="eastAsia" w:ascii="仿宋_GB2312" w:hAnsi="宋体" w:eastAsia="仿宋_GB2312"/>
                <w:b/>
                <w:bCs/>
                <w:sz w:val="24"/>
              </w:rPr>
              <w:t>服</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b/>
                <w:bCs/>
                <w:sz w:val="24"/>
              </w:rPr>
            </w:pPr>
            <w:r>
              <w:rPr>
                <w:rFonts w:hint="eastAsia" w:ascii="仿宋_GB2312" w:hAnsi="宋体" w:eastAsia="仿宋_GB2312"/>
                <w:b/>
                <w:bCs/>
                <w:sz w:val="24"/>
              </w:rPr>
              <w:t>务</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b/>
                <w:bCs/>
                <w:sz w:val="24"/>
              </w:rPr>
            </w:pPr>
            <w:r>
              <w:rPr>
                <w:rFonts w:hint="eastAsia" w:ascii="仿宋_GB2312" w:hAnsi="宋体" w:eastAsia="仿宋_GB2312"/>
                <w:b/>
                <w:bCs/>
                <w:sz w:val="24"/>
              </w:rPr>
              <w:t>质</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b/>
                <w:bCs/>
                <w:sz w:val="24"/>
              </w:rPr>
            </w:pPr>
            <w:r>
              <w:rPr>
                <w:rFonts w:hint="eastAsia" w:ascii="仿宋_GB2312" w:hAnsi="宋体" w:eastAsia="仿宋_GB2312"/>
                <w:b/>
                <w:bCs/>
                <w:sz w:val="24"/>
              </w:rPr>
              <w:t>量</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hAnsi="宋体" w:eastAsia="仿宋_GB2312"/>
                <w:b/>
                <w:bCs/>
                <w:sz w:val="24"/>
              </w:rPr>
            </w:pP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hAnsi="宋体" w:eastAsia="仿宋_GB2312"/>
                <w:spacing w:val="-16"/>
                <w:sz w:val="24"/>
                <w:szCs w:val="21"/>
              </w:rPr>
            </w:pPr>
          </w:p>
        </w:tc>
        <w:tc>
          <w:tcPr>
            <w:tcW w:w="1774" w:type="dxa"/>
            <w:gridSpan w:val="2"/>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firstLine="240" w:firstLineChars="100"/>
              <w:jc w:val="center"/>
              <w:textAlignment w:val="auto"/>
              <w:rPr>
                <w:rFonts w:hint="default" w:ascii="仿宋_GB2312" w:hAnsi="宋体" w:eastAsia="仿宋_GB2312"/>
                <w:sz w:val="24"/>
                <w:lang w:val="en-US" w:eastAsia="zh-CN"/>
              </w:rPr>
            </w:pPr>
            <w:r>
              <w:rPr>
                <w:rFonts w:hint="eastAsia" w:ascii="仿宋_GB2312" w:hAnsi="宋体" w:eastAsia="仿宋_GB2312"/>
                <w:sz w:val="24"/>
                <w:lang w:val="en-US" w:eastAsia="zh-CN"/>
              </w:rPr>
              <w:t>运营情况</w:t>
            </w:r>
          </w:p>
        </w:tc>
        <w:tc>
          <w:tcPr>
            <w:tcW w:w="55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1</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0</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default" w:ascii="仿宋_GB2312" w:hAnsi="宋体" w:eastAsia="仿宋_GB2312"/>
                <w:sz w:val="24"/>
                <w:lang w:val="en-US" w:eastAsia="zh-CN"/>
              </w:rPr>
            </w:pPr>
            <w:r>
              <w:rPr>
                <w:rFonts w:hint="eastAsia" w:ascii="仿宋_GB2312" w:hAnsi="宋体" w:eastAsia="仿宋_GB2312"/>
                <w:sz w:val="24"/>
                <w:lang w:val="en-US" w:eastAsia="zh-CN"/>
              </w:rPr>
              <w:t>0</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default" w:ascii="仿宋_GB2312" w:hAnsi="宋体" w:eastAsia="仿宋_GB2312"/>
                <w:sz w:val="24"/>
                <w:lang w:val="en-US" w:eastAsia="zh-CN"/>
              </w:rPr>
            </w:pPr>
            <w:r>
              <w:rPr>
                <w:rFonts w:hint="eastAsia" w:ascii="仿宋_GB2312" w:hAnsi="宋体" w:eastAsia="仿宋_GB2312"/>
                <w:sz w:val="24"/>
              </w:rPr>
              <w:t>分</w:t>
            </w:r>
          </w:p>
        </w:tc>
        <w:tc>
          <w:tcPr>
            <w:tcW w:w="5610" w:type="dxa"/>
            <w:gridSpan w:val="5"/>
            <w:tcBorders>
              <w:top w:val="single" w:color="auto" w:sz="4" w:space="0"/>
              <w:left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default" w:ascii="仿宋_GB2312" w:hAnsi="宋体" w:eastAsia="仿宋_GB2312"/>
                <w:sz w:val="24"/>
                <w:lang w:val="en-US" w:eastAsia="zh-CN"/>
              </w:rPr>
            </w:pPr>
            <w:r>
              <w:rPr>
                <w:rFonts w:hint="eastAsia" w:ascii="仿宋_GB2312" w:hAnsi="宋体" w:eastAsia="仿宋_GB2312"/>
                <w:sz w:val="24"/>
                <w:lang w:val="en-US" w:eastAsia="zh-CN"/>
              </w:rPr>
              <w:t>违反发改部门规定且未向行业主管部门报告，</w:t>
            </w:r>
            <w:r>
              <w:rPr>
                <w:rFonts w:hint="eastAsia" w:ascii="仿宋_GB2312" w:hAnsi="宋体" w:eastAsia="仿宋_GB2312"/>
                <w:sz w:val="24"/>
                <w:lang w:eastAsia="zh-CN"/>
              </w:rPr>
              <w:t>经查实擅自涨价</w:t>
            </w:r>
            <w:r>
              <w:rPr>
                <w:rFonts w:hint="eastAsia" w:ascii="仿宋_GB2312" w:hAnsi="宋体" w:eastAsia="仿宋_GB2312"/>
                <w:sz w:val="24"/>
                <w:lang w:val="en-US" w:eastAsia="zh-CN"/>
              </w:rPr>
              <w:t>的</w:t>
            </w:r>
            <w:r>
              <w:rPr>
                <w:rFonts w:hint="eastAsia" w:ascii="仿宋_GB2312" w:hAnsi="宋体" w:eastAsia="仿宋_GB2312"/>
                <w:sz w:val="24"/>
                <w:lang w:eastAsia="zh-CN"/>
              </w:rPr>
              <w:t>，</w:t>
            </w:r>
            <w:r>
              <w:rPr>
                <w:rFonts w:hint="eastAsia" w:ascii="仿宋_GB2312" w:hAnsi="宋体" w:eastAsia="仿宋_GB2312"/>
                <w:sz w:val="24"/>
                <w:lang w:val="en-US" w:eastAsia="zh-CN"/>
              </w:rPr>
              <w:t>每发现一次扣2分</w:t>
            </w:r>
            <w:r>
              <w:rPr>
                <w:rFonts w:hint="eastAsia" w:ascii="仿宋_GB2312" w:hAnsi="宋体" w:eastAsia="仿宋_GB2312"/>
                <w:color w:val="auto"/>
                <w:sz w:val="24"/>
                <w:lang w:val="en-US" w:eastAsia="zh-CN"/>
              </w:rPr>
              <w:t>；综合运输服务站及客货邮站点人员擅自脱岗，被投诉经查实的，每发现一次扣扣2分</w:t>
            </w:r>
          </w:p>
        </w:tc>
        <w:tc>
          <w:tcPr>
            <w:tcW w:w="540" w:type="dxa"/>
            <w:vMerge w:val="restart"/>
            <w:tcBorders>
              <w:top w:val="single" w:color="auto" w:sz="4" w:space="0"/>
              <w:left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51" w:hRule="atLeast"/>
          <w:jc w:val="center"/>
        </w:trPr>
        <w:tc>
          <w:tcPr>
            <w:tcW w:w="406"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hAnsi="宋体" w:eastAsia="仿宋_GB2312"/>
                <w:spacing w:val="-16"/>
                <w:sz w:val="24"/>
                <w:szCs w:val="21"/>
              </w:rPr>
            </w:pP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rPr>
            </w:pPr>
            <w:r>
              <w:rPr>
                <w:rFonts w:hint="eastAsia" w:ascii="仿宋_GB2312" w:hAnsi="宋体" w:eastAsia="仿宋_GB2312"/>
                <w:sz w:val="24"/>
              </w:rPr>
              <w:t>社会投诉</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eastAsia="zh-CN"/>
              </w:rPr>
            </w:pPr>
            <w:r>
              <w:rPr>
                <w:rFonts w:hint="eastAsia" w:ascii="仿宋_GB2312" w:hAnsi="宋体" w:eastAsia="仿宋_GB2312"/>
                <w:sz w:val="24"/>
              </w:rPr>
              <w:t>举报</w:t>
            </w:r>
            <w:r>
              <w:rPr>
                <w:rFonts w:hint="eastAsia" w:ascii="仿宋_GB2312" w:hAnsi="宋体" w:eastAsia="仿宋_GB2312"/>
                <w:sz w:val="24"/>
                <w:lang w:eastAsia="zh-CN"/>
              </w:rPr>
              <w:t>情况</w:t>
            </w:r>
          </w:p>
        </w:tc>
        <w:tc>
          <w:tcPr>
            <w:tcW w:w="554"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default" w:ascii="仿宋_GB2312" w:hAnsi="宋体" w:eastAsia="仿宋_GB2312"/>
                <w:sz w:val="24"/>
                <w:lang w:val="en-US" w:eastAsia="zh-CN"/>
              </w:rPr>
            </w:pPr>
            <w:r>
              <w:rPr>
                <w:rFonts w:hint="eastAsia" w:ascii="仿宋_GB2312" w:hAnsi="宋体" w:eastAsia="仿宋_GB2312"/>
                <w:sz w:val="24"/>
                <w:lang w:eastAsia="zh-CN"/>
              </w:rPr>
              <w:t>举报投诉被查实的，每次扣</w:t>
            </w:r>
            <w:r>
              <w:rPr>
                <w:rFonts w:hint="eastAsia" w:ascii="仿宋_GB2312" w:hAnsi="宋体" w:eastAsia="仿宋_GB2312"/>
                <w:sz w:val="24"/>
                <w:highlight w:val="none"/>
                <w:lang w:val="en-US" w:eastAsia="zh-CN"/>
              </w:rPr>
              <w:t>0.5分</w:t>
            </w:r>
            <w:r>
              <w:rPr>
                <w:rFonts w:hint="eastAsia" w:ascii="仿宋_GB2312" w:hAnsi="宋体" w:eastAsia="仿宋_GB2312"/>
                <w:sz w:val="24"/>
                <w:lang w:val="en-US" w:eastAsia="zh-CN"/>
              </w:rPr>
              <w:t>；</w:t>
            </w:r>
            <w:r>
              <w:rPr>
                <w:rFonts w:hint="eastAsia" w:ascii="仿宋_GB2312" w:hAnsi="宋体" w:eastAsia="仿宋_GB2312"/>
                <w:sz w:val="24"/>
                <w:lang w:eastAsia="zh-CN"/>
              </w:rPr>
              <w:t>被县级媒体曝光并被查实的，</w:t>
            </w:r>
            <w:r>
              <w:rPr>
                <w:rFonts w:hint="eastAsia" w:ascii="仿宋_GB2312" w:hAnsi="宋体" w:eastAsia="仿宋_GB2312"/>
                <w:color w:val="auto"/>
                <w:sz w:val="24"/>
                <w:highlight w:val="none"/>
                <w:lang w:eastAsia="zh-CN"/>
              </w:rPr>
              <w:t>每次扣</w:t>
            </w:r>
            <w:r>
              <w:rPr>
                <w:rFonts w:hint="eastAsia" w:ascii="仿宋_GB2312" w:hAnsi="宋体" w:eastAsia="仿宋_GB2312"/>
                <w:color w:val="auto"/>
                <w:sz w:val="24"/>
                <w:highlight w:val="none"/>
                <w:lang w:val="en-US" w:eastAsia="zh-CN"/>
              </w:rPr>
              <w:t>5分</w:t>
            </w:r>
            <w:bookmarkStart w:id="0" w:name="_GoBack"/>
            <w:bookmarkEnd w:id="0"/>
            <w:r>
              <w:rPr>
                <w:rFonts w:hint="eastAsia" w:ascii="仿宋_GB2312" w:hAnsi="宋体" w:eastAsia="仿宋_GB2312"/>
                <w:color w:val="auto"/>
                <w:sz w:val="24"/>
                <w:highlight w:val="none"/>
                <w:lang w:eastAsia="zh-CN"/>
              </w:rPr>
              <w:t>；被市级</w:t>
            </w:r>
            <w:r>
              <w:rPr>
                <w:rFonts w:hint="eastAsia" w:ascii="仿宋_GB2312" w:hAnsi="宋体" w:eastAsia="仿宋_GB2312"/>
                <w:color w:val="auto"/>
                <w:sz w:val="24"/>
                <w:highlight w:val="none"/>
                <w:lang w:val="en-US" w:eastAsia="zh-CN"/>
              </w:rPr>
              <w:t>以上</w:t>
            </w:r>
            <w:r>
              <w:rPr>
                <w:rFonts w:hint="eastAsia" w:ascii="仿宋_GB2312" w:hAnsi="宋体" w:eastAsia="仿宋_GB2312"/>
                <w:color w:val="auto"/>
                <w:sz w:val="24"/>
                <w:highlight w:val="none"/>
                <w:lang w:eastAsia="zh-CN"/>
              </w:rPr>
              <w:t>媒体曝光并被查实的，每次扣</w:t>
            </w:r>
            <w:r>
              <w:rPr>
                <w:rFonts w:hint="eastAsia" w:ascii="仿宋_GB2312" w:hAnsi="宋体" w:eastAsia="仿宋_GB2312"/>
                <w:color w:val="auto"/>
                <w:sz w:val="24"/>
                <w:highlight w:val="none"/>
                <w:lang w:val="en-US" w:eastAsia="zh-CN"/>
              </w:rPr>
              <w:t>扣10分；</w:t>
            </w:r>
            <w:r>
              <w:rPr>
                <w:rFonts w:hint="eastAsia" w:ascii="仿宋_GB2312" w:hAnsi="宋体" w:eastAsia="仿宋_GB2312"/>
                <w:color w:val="auto"/>
                <w:sz w:val="24"/>
                <w:highlight w:val="none"/>
                <w:lang w:eastAsia="zh-CN"/>
              </w:rPr>
              <w:t>被</w:t>
            </w:r>
            <w:r>
              <w:rPr>
                <w:rFonts w:hint="eastAsia" w:ascii="仿宋_GB2312" w:hAnsi="宋体" w:eastAsia="仿宋_GB2312"/>
                <w:color w:val="auto"/>
                <w:sz w:val="24"/>
                <w:highlight w:val="none"/>
                <w:lang w:val="en-US" w:eastAsia="zh-CN"/>
              </w:rPr>
              <w:t>省</w:t>
            </w:r>
            <w:r>
              <w:rPr>
                <w:rFonts w:hint="eastAsia" w:ascii="仿宋_GB2312" w:hAnsi="宋体" w:eastAsia="仿宋_GB2312"/>
                <w:color w:val="auto"/>
                <w:sz w:val="24"/>
                <w:highlight w:val="none"/>
                <w:lang w:eastAsia="zh-CN"/>
              </w:rPr>
              <w:t>级</w:t>
            </w:r>
            <w:r>
              <w:rPr>
                <w:rFonts w:hint="eastAsia" w:ascii="仿宋_GB2312" w:hAnsi="宋体" w:eastAsia="仿宋_GB2312"/>
                <w:color w:val="auto"/>
                <w:sz w:val="24"/>
                <w:highlight w:val="none"/>
                <w:lang w:val="en-US" w:eastAsia="zh-CN"/>
              </w:rPr>
              <w:t>以上</w:t>
            </w:r>
            <w:r>
              <w:rPr>
                <w:rFonts w:hint="eastAsia" w:ascii="仿宋_GB2312" w:hAnsi="宋体" w:eastAsia="仿宋_GB2312"/>
                <w:color w:val="auto"/>
                <w:sz w:val="24"/>
                <w:highlight w:val="none"/>
                <w:lang w:eastAsia="zh-CN"/>
              </w:rPr>
              <w:t>媒体曝光并被查实的，每次扣</w:t>
            </w:r>
            <w:r>
              <w:rPr>
                <w:rFonts w:hint="eastAsia" w:ascii="仿宋_GB2312" w:hAnsi="宋体" w:eastAsia="仿宋_GB2312"/>
                <w:color w:val="auto"/>
                <w:sz w:val="24"/>
                <w:highlight w:val="none"/>
                <w:lang w:val="en-US" w:eastAsia="zh-CN"/>
              </w:rPr>
              <w:t>30分.</w:t>
            </w:r>
          </w:p>
        </w:tc>
        <w:tc>
          <w:tcPr>
            <w:tcW w:w="540" w:type="dxa"/>
            <w:vMerge w:val="continue"/>
            <w:tcBorders>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6" w:hRule="atLeast"/>
          <w:jc w:val="center"/>
        </w:trPr>
        <w:tc>
          <w:tcPr>
            <w:tcW w:w="40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eastAsia="仿宋_GB2312"/>
                <w:b/>
                <w:bCs/>
                <w:sz w:val="24"/>
              </w:rPr>
            </w:pPr>
            <w:r>
              <w:rPr>
                <w:rFonts w:hint="eastAsia" w:ascii="仿宋_GB2312" w:eastAsia="仿宋_GB2312"/>
                <w:b/>
                <w:bCs/>
                <w:sz w:val="24"/>
              </w:rPr>
              <w:t>社</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eastAsia="仿宋_GB2312"/>
                <w:b/>
                <w:bCs/>
                <w:sz w:val="24"/>
              </w:rPr>
            </w:pPr>
            <w:r>
              <w:rPr>
                <w:rFonts w:hint="eastAsia" w:ascii="仿宋_GB2312" w:eastAsia="仿宋_GB2312"/>
                <w:b/>
                <w:bCs/>
                <w:sz w:val="24"/>
              </w:rPr>
              <w:t>会</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eastAsia="仿宋_GB2312"/>
                <w:b/>
                <w:bCs/>
                <w:sz w:val="24"/>
              </w:rPr>
            </w:pPr>
            <w:r>
              <w:rPr>
                <w:rFonts w:hint="eastAsia" w:ascii="仿宋_GB2312" w:eastAsia="仿宋_GB2312"/>
                <w:b/>
                <w:bCs/>
                <w:sz w:val="24"/>
              </w:rPr>
              <w:t>责</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eastAsia="仿宋_GB2312"/>
                <w:b/>
                <w:bCs/>
                <w:spacing w:val="-16"/>
                <w:sz w:val="24"/>
                <w:szCs w:val="21"/>
              </w:rPr>
            </w:pPr>
            <w:r>
              <w:rPr>
                <w:rFonts w:hint="eastAsia" w:ascii="仿宋_GB2312" w:eastAsia="仿宋_GB2312"/>
                <w:b/>
                <w:bCs/>
                <w:sz w:val="24"/>
              </w:rPr>
              <w:t>任</w:t>
            </w: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eastAsia="仿宋_GB2312"/>
                <w:sz w:val="24"/>
              </w:rPr>
            </w:pPr>
            <w:r>
              <w:rPr>
                <w:rFonts w:hint="eastAsia" w:ascii="仿宋_GB2312" w:eastAsia="仿宋_GB2312"/>
                <w:sz w:val="24"/>
              </w:rPr>
              <w:t>维护行业</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eastAsia="仿宋_GB2312"/>
                <w:sz w:val="24"/>
                <w:lang w:eastAsia="zh-CN"/>
              </w:rPr>
            </w:pPr>
            <w:r>
              <w:rPr>
                <w:rFonts w:hint="eastAsia" w:ascii="仿宋_GB2312" w:eastAsia="仿宋_GB2312"/>
                <w:sz w:val="24"/>
              </w:rPr>
              <w:t>稳定</w:t>
            </w:r>
            <w:r>
              <w:rPr>
                <w:rFonts w:hint="eastAsia" w:ascii="仿宋_GB2312" w:eastAsia="仿宋_GB2312"/>
                <w:sz w:val="24"/>
                <w:lang w:eastAsia="zh-CN"/>
              </w:rPr>
              <w:t>情况</w:t>
            </w:r>
          </w:p>
        </w:tc>
        <w:tc>
          <w:tcPr>
            <w:tcW w:w="55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1</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hAnsi="宋体" w:eastAsia="仿宋_GB2312"/>
                <w:sz w:val="24"/>
                <w:lang w:val="en-US" w:eastAsia="zh-CN"/>
              </w:rPr>
            </w:pPr>
            <w:r>
              <w:rPr>
                <w:rFonts w:hint="eastAsia" w:ascii="仿宋_GB2312" w:hAnsi="宋体" w:eastAsia="仿宋_GB2312"/>
                <w:sz w:val="24"/>
                <w:lang w:val="en-US" w:eastAsia="zh-CN"/>
              </w:rPr>
              <w:t>0</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default" w:ascii="仿宋_GB2312" w:hAnsi="宋体" w:eastAsia="仿宋_GB2312"/>
                <w:sz w:val="24"/>
                <w:lang w:val="en-US" w:eastAsia="zh-CN"/>
              </w:rPr>
            </w:pPr>
            <w:r>
              <w:rPr>
                <w:rFonts w:hint="eastAsia" w:ascii="仿宋_GB2312" w:hAnsi="宋体" w:eastAsia="仿宋_GB2312"/>
                <w:sz w:val="24"/>
                <w:lang w:val="en-US" w:eastAsia="zh-CN"/>
              </w:rPr>
              <w:t>0</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r>
              <w:rPr>
                <w:rFonts w:hint="eastAsia" w:ascii="仿宋_GB2312" w:hAnsi="宋体" w:eastAsia="仿宋_GB2312"/>
                <w:sz w:val="24"/>
              </w:rPr>
              <w:t>分</w:t>
            </w: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eastAsia" w:ascii="仿宋_GB2312" w:eastAsia="仿宋_GB2312"/>
                <w:sz w:val="24"/>
                <w:lang w:eastAsia="zh-CN"/>
              </w:rPr>
            </w:pPr>
            <w:r>
              <w:rPr>
                <w:rFonts w:hint="eastAsia" w:ascii="仿宋_GB2312" w:eastAsia="仿宋_GB2312"/>
                <w:sz w:val="24"/>
                <w:lang w:val="en-US" w:eastAsia="zh-CN"/>
              </w:rPr>
              <w:t>从业人员</w:t>
            </w:r>
            <w:r>
              <w:rPr>
                <w:rFonts w:hint="eastAsia" w:ascii="仿宋_GB2312" w:eastAsia="仿宋_GB2312"/>
                <w:sz w:val="24"/>
                <w:lang w:eastAsia="zh-CN"/>
              </w:rPr>
              <w:t>参与越级上访等行为的，</w:t>
            </w:r>
            <w:r>
              <w:rPr>
                <w:rFonts w:hint="eastAsia" w:ascii="仿宋_GB2312" w:eastAsia="仿宋_GB2312"/>
                <w:sz w:val="24"/>
              </w:rPr>
              <w:t>每次扣</w:t>
            </w:r>
            <w:r>
              <w:rPr>
                <w:rFonts w:hint="eastAsia" w:ascii="仿宋_GB2312" w:eastAsia="仿宋_GB2312"/>
                <w:sz w:val="24"/>
                <w:lang w:val="en-US" w:eastAsia="zh-CN"/>
              </w:rPr>
              <w:t>2</w:t>
            </w:r>
            <w:r>
              <w:rPr>
                <w:rFonts w:hint="eastAsia" w:ascii="仿宋_GB2312" w:eastAsia="仿宋_GB2312"/>
                <w:sz w:val="24"/>
              </w:rPr>
              <w:t>分</w:t>
            </w:r>
            <w:r>
              <w:rPr>
                <w:rFonts w:hint="eastAsia" w:ascii="仿宋_GB2312" w:eastAsia="仿宋_GB2312"/>
                <w:sz w:val="24"/>
                <w:lang w:val="en-US" w:eastAsia="zh-CN"/>
              </w:rPr>
              <w:t>；参与</w:t>
            </w:r>
            <w:r>
              <w:rPr>
                <w:rFonts w:hint="eastAsia" w:ascii="仿宋_GB2312" w:eastAsia="仿宋_GB2312"/>
                <w:sz w:val="24"/>
              </w:rPr>
              <w:t>扰乱社会秩序和客运市场秩序</w:t>
            </w:r>
            <w:r>
              <w:rPr>
                <w:rFonts w:hint="eastAsia" w:ascii="仿宋_GB2312" w:eastAsia="仿宋_GB2312"/>
                <w:sz w:val="24"/>
                <w:lang w:val="en-US" w:eastAsia="zh-CN"/>
              </w:rPr>
              <w:t>的</w:t>
            </w:r>
            <w:r>
              <w:rPr>
                <w:rFonts w:hint="eastAsia" w:ascii="仿宋_GB2312" w:eastAsia="仿宋_GB2312"/>
                <w:sz w:val="24"/>
                <w:lang w:eastAsia="zh-CN"/>
              </w:rPr>
              <w:t>，</w:t>
            </w:r>
            <w:r>
              <w:rPr>
                <w:rFonts w:hint="eastAsia" w:ascii="仿宋_GB2312" w:eastAsia="仿宋_GB2312"/>
                <w:sz w:val="24"/>
              </w:rPr>
              <w:t>每次扣</w:t>
            </w:r>
            <w:r>
              <w:rPr>
                <w:rFonts w:hint="eastAsia" w:ascii="仿宋_GB2312" w:eastAsia="仿宋_GB2312"/>
                <w:sz w:val="24"/>
                <w:lang w:val="en-US" w:eastAsia="zh-CN"/>
              </w:rPr>
              <w:t>5</w:t>
            </w:r>
            <w:r>
              <w:rPr>
                <w:rFonts w:hint="eastAsia" w:ascii="仿宋_GB2312" w:eastAsia="仿宋_GB2312"/>
                <w:sz w:val="24"/>
              </w:rPr>
              <w:t>分</w:t>
            </w:r>
            <w:r>
              <w:rPr>
                <w:rFonts w:hint="eastAsia" w:ascii="仿宋_GB2312" w:eastAsia="仿宋_GB2312"/>
                <w:sz w:val="24"/>
                <w:lang w:eastAsia="zh-CN"/>
              </w:rPr>
              <w:t>；</w:t>
            </w:r>
          </w:p>
        </w:tc>
        <w:tc>
          <w:tcPr>
            <w:tcW w:w="540" w:type="dxa"/>
            <w:vMerge w:val="restart"/>
            <w:tcBorders>
              <w:top w:val="single" w:color="auto" w:sz="4" w:space="0"/>
              <w:left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6" w:hRule="atLeast"/>
          <w:jc w:val="center"/>
        </w:trPr>
        <w:tc>
          <w:tcPr>
            <w:tcW w:w="40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360" w:lineRule="exact"/>
              <w:ind w:left="0" w:leftChars="0"/>
              <w:jc w:val="left"/>
              <w:textAlignment w:val="auto"/>
              <w:rPr>
                <w:rFonts w:ascii="仿宋_GB2312" w:eastAsia="仿宋_GB2312"/>
                <w:b/>
                <w:bCs/>
                <w:spacing w:val="-16"/>
                <w:sz w:val="24"/>
                <w:szCs w:val="21"/>
              </w:rPr>
            </w:pP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hint="eastAsia" w:ascii="仿宋_GB2312" w:eastAsia="仿宋_GB2312"/>
                <w:sz w:val="24"/>
              </w:rPr>
            </w:pPr>
            <w:r>
              <w:rPr>
                <w:rFonts w:hint="eastAsia" w:ascii="仿宋_GB2312" w:eastAsia="仿宋_GB2312"/>
                <w:sz w:val="24"/>
              </w:rPr>
              <w:t>指令性运输</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eastAsia="仿宋_GB2312"/>
                <w:sz w:val="24"/>
              </w:rPr>
            </w:pPr>
            <w:r>
              <w:rPr>
                <w:rFonts w:hint="eastAsia" w:ascii="仿宋_GB2312" w:eastAsia="仿宋_GB2312"/>
                <w:sz w:val="24"/>
              </w:rPr>
              <w:t>任务完成情况</w:t>
            </w:r>
          </w:p>
        </w:tc>
        <w:tc>
          <w:tcPr>
            <w:tcW w:w="554"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c>
          <w:tcPr>
            <w:tcW w:w="5610"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jc w:val="center"/>
              <w:textAlignment w:val="auto"/>
              <w:rPr>
                <w:rFonts w:ascii="仿宋_GB2312" w:eastAsia="仿宋_GB2312"/>
                <w:sz w:val="24"/>
              </w:rPr>
            </w:pPr>
            <w:r>
              <w:rPr>
                <w:rFonts w:hint="eastAsia" w:ascii="仿宋_GB2312" w:eastAsia="仿宋_GB2312"/>
                <w:sz w:val="24"/>
                <w:lang w:eastAsia="zh-CN"/>
              </w:rPr>
              <w:t>主管部门下达的运输任务完成不力的，每次扣</w:t>
            </w:r>
            <w:r>
              <w:rPr>
                <w:rFonts w:hint="eastAsia" w:ascii="仿宋_GB2312" w:eastAsia="仿宋_GB2312"/>
                <w:sz w:val="24"/>
              </w:rPr>
              <w:t>5分</w:t>
            </w:r>
          </w:p>
        </w:tc>
        <w:tc>
          <w:tcPr>
            <w:tcW w:w="540" w:type="dxa"/>
            <w:vMerge w:val="continue"/>
            <w:tcBorders>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51" w:hRule="atLeast"/>
          <w:jc w:val="center"/>
        </w:trPr>
        <w:tc>
          <w:tcPr>
            <w:tcW w:w="40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eastAsia="仿宋_GB2312"/>
                <w:b/>
                <w:bCs/>
                <w:sz w:val="24"/>
              </w:rPr>
            </w:pPr>
            <w:r>
              <w:rPr>
                <w:rFonts w:hint="eastAsia" w:ascii="仿宋_GB2312" w:eastAsia="仿宋_GB2312"/>
                <w:b/>
                <w:bCs/>
                <w:sz w:val="24"/>
              </w:rPr>
              <w:t>加</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eastAsia="仿宋_GB2312"/>
                <w:b/>
                <w:bCs/>
                <w:sz w:val="24"/>
              </w:rPr>
            </w:pPr>
            <w:r>
              <w:rPr>
                <w:rFonts w:hint="eastAsia" w:ascii="仿宋_GB2312" w:eastAsia="仿宋_GB2312"/>
                <w:b/>
                <w:bCs/>
                <w:sz w:val="24"/>
              </w:rPr>
              <w:t>分</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仿宋_GB2312" w:eastAsia="仿宋_GB2312"/>
                <w:b/>
                <w:bCs/>
                <w:sz w:val="24"/>
              </w:rPr>
            </w:pPr>
            <w:r>
              <w:rPr>
                <w:rFonts w:hint="eastAsia" w:ascii="仿宋_GB2312" w:eastAsia="仿宋_GB2312"/>
                <w:b/>
                <w:bCs/>
                <w:sz w:val="24"/>
              </w:rPr>
              <w:t>项</w:t>
            </w:r>
          </w:p>
          <w:p>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仿宋_GB2312" w:eastAsia="仿宋_GB2312"/>
                <w:b/>
                <w:bCs/>
                <w:sz w:val="24"/>
              </w:rPr>
            </w:pPr>
            <w:r>
              <w:rPr>
                <w:rFonts w:hint="eastAsia" w:ascii="仿宋_GB2312" w:eastAsia="仿宋_GB2312"/>
                <w:b/>
                <w:bCs/>
                <w:sz w:val="24"/>
              </w:rPr>
              <w:t>目</w:t>
            </w:r>
          </w:p>
        </w:tc>
        <w:tc>
          <w:tcPr>
            <w:tcW w:w="2328"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default" w:ascii="仿宋_GB2312" w:eastAsia="仿宋_GB2312"/>
                <w:sz w:val="24"/>
                <w:lang w:val="en-US" w:eastAsia="zh-CN"/>
              </w:rPr>
            </w:pPr>
            <w:r>
              <w:rPr>
                <w:rFonts w:hint="eastAsia" w:ascii="仿宋_GB2312" w:eastAsia="仿宋_GB2312"/>
                <w:sz w:val="24"/>
                <w:lang w:eastAsia="zh-CN"/>
              </w:rPr>
              <w:t>各类表彰加分（</w:t>
            </w:r>
            <w:r>
              <w:rPr>
                <w:rFonts w:hint="eastAsia" w:ascii="仿宋_GB2312" w:eastAsia="仿宋_GB2312"/>
                <w:sz w:val="24"/>
                <w:lang w:val="en-US" w:eastAsia="zh-CN"/>
              </w:rPr>
              <w:t>5分</w:t>
            </w:r>
            <w:r>
              <w:rPr>
                <w:rFonts w:hint="eastAsia" w:ascii="仿宋_GB2312" w:eastAsia="仿宋_GB2312"/>
                <w:sz w:val="24"/>
                <w:lang w:eastAsia="zh-CN"/>
              </w:rPr>
              <w:t>）</w:t>
            </w: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hint="default" w:ascii="仿宋_GB2312" w:eastAsia="仿宋_GB2312"/>
                <w:sz w:val="24"/>
                <w:lang w:val="en-US" w:eastAsia="zh-CN"/>
              </w:rPr>
            </w:pPr>
            <w:r>
              <w:rPr>
                <w:rFonts w:hint="eastAsia" w:ascii="仿宋_GB2312" w:eastAsia="仿宋_GB2312"/>
                <w:sz w:val="24"/>
                <w:lang w:eastAsia="zh-CN"/>
              </w:rPr>
              <w:t>主管部门</w:t>
            </w:r>
            <w:r>
              <w:rPr>
                <w:rFonts w:hint="eastAsia" w:ascii="仿宋_GB2312" w:eastAsia="仿宋_GB2312"/>
                <w:sz w:val="24"/>
              </w:rPr>
              <w:t>指令性运输任务完成</w:t>
            </w:r>
            <w:r>
              <w:rPr>
                <w:rFonts w:hint="eastAsia" w:ascii="仿宋_GB2312" w:eastAsia="仿宋_GB2312"/>
                <w:sz w:val="24"/>
                <w:lang w:eastAsia="zh-CN"/>
              </w:rPr>
              <w:t>出色</w:t>
            </w:r>
            <w:r>
              <w:rPr>
                <w:rFonts w:hint="eastAsia" w:ascii="仿宋_GB2312" w:eastAsia="仿宋_GB2312"/>
                <w:sz w:val="24"/>
                <w:lang w:val="en-US" w:eastAsia="zh-CN"/>
              </w:rPr>
              <w:t>的</w:t>
            </w:r>
            <w:r>
              <w:rPr>
                <w:rFonts w:hint="eastAsia" w:ascii="仿宋_GB2312" w:eastAsia="仿宋_GB2312"/>
                <w:sz w:val="24"/>
                <w:lang w:eastAsia="zh-CN"/>
              </w:rPr>
              <w:t>，每次</w:t>
            </w:r>
            <w:r>
              <w:rPr>
                <w:rFonts w:hint="eastAsia" w:ascii="仿宋_GB2312" w:eastAsia="仿宋_GB2312"/>
                <w:sz w:val="24"/>
                <w:lang w:val="en-US" w:eastAsia="zh-CN"/>
              </w:rPr>
              <w:t>2分；    受到县级部门或新闻媒体表彰报道的，</w:t>
            </w:r>
            <w:r>
              <w:rPr>
                <w:rFonts w:hint="eastAsia" w:ascii="仿宋_GB2312" w:eastAsia="仿宋_GB2312"/>
                <w:sz w:val="24"/>
                <w:lang w:eastAsia="zh-CN"/>
              </w:rPr>
              <w:t>每次</w:t>
            </w:r>
            <w:r>
              <w:rPr>
                <w:rFonts w:hint="eastAsia" w:ascii="仿宋_GB2312" w:eastAsia="仿宋_GB2312"/>
                <w:sz w:val="24"/>
                <w:lang w:val="en-US" w:eastAsia="zh-CN"/>
              </w:rPr>
              <w:t>3分；受到市级部门或新闻媒体表彰报道的，</w:t>
            </w:r>
            <w:r>
              <w:rPr>
                <w:rFonts w:hint="eastAsia" w:ascii="仿宋_GB2312" w:eastAsia="仿宋_GB2312"/>
                <w:sz w:val="24"/>
                <w:lang w:eastAsia="zh-CN"/>
              </w:rPr>
              <w:t>每次</w:t>
            </w:r>
            <w:r>
              <w:rPr>
                <w:rFonts w:hint="eastAsia" w:ascii="仿宋_GB2312" w:eastAsia="仿宋_GB2312"/>
                <w:sz w:val="24"/>
                <w:lang w:val="en-US" w:eastAsia="zh-CN"/>
              </w:rPr>
              <w:t>5分；</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r>
              <w:rPr>
                <w:rFonts w:hint="eastAsia" w:ascii="仿宋_GB2312" w:eastAsia="仿宋_GB2312"/>
                <w:sz w:val="24"/>
                <w:lang w:val="en-US" w:eastAsia="zh-CN"/>
              </w:rPr>
              <w:t>受到省级以上部门或新闻媒体表彰报道的，</w:t>
            </w:r>
            <w:r>
              <w:rPr>
                <w:rFonts w:hint="eastAsia" w:ascii="仿宋_GB2312" w:eastAsia="仿宋_GB2312"/>
                <w:sz w:val="24"/>
                <w:lang w:eastAsia="zh-CN"/>
              </w:rPr>
              <w:t>每次</w:t>
            </w:r>
            <w:r>
              <w:rPr>
                <w:rFonts w:hint="eastAsia" w:ascii="仿宋_GB2312" w:eastAsia="仿宋_GB2312"/>
                <w:sz w:val="24"/>
                <w:lang w:val="en-US" w:eastAsia="zh-CN"/>
              </w:rPr>
              <w:t>10分；表彰加分只计算单次最高得分，不累计加分。</w:t>
            </w:r>
          </w:p>
        </w:tc>
        <w:tc>
          <w:tcPr>
            <w:tcW w:w="5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7" w:hRule="atLeast"/>
          <w:jc w:val="center"/>
        </w:trPr>
        <w:tc>
          <w:tcPr>
            <w:tcW w:w="40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360" w:lineRule="exact"/>
              <w:ind w:left="0" w:leftChars="0"/>
              <w:jc w:val="left"/>
              <w:textAlignment w:val="auto"/>
              <w:rPr>
                <w:rFonts w:ascii="仿宋_GB2312" w:eastAsia="仿宋_GB2312"/>
                <w:sz w:val="24"/>
              </w:rPr>
            </w:pPr>
          </w:p>
        </w:tc>
        <w:tc>
          <w:tcPr>
            <w:tcW w:w="2328"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r>
              <w:rPr>
                <w:rFonts w:hint="eastAsia" w:ascii="仿宋_GB2312" w:hAnsi="宋体" w:eastAsia="仿宋_GB2312"/>
                <w:sz w:val="24"/>
              </w:rPr>
              <w:t>好人好事（5分）</w:t>
            </w: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r>
              <w:rPr>
                <w:rFonts w:hint="eastAsia" w:ascii="仿宋_GB2312" w:eastAsia="仿宋_GB2312"/>
                <w:color w:val="252525"/>
                <w:sz w:val="24"/>
              </w:rPr>
              <w:t>驾驶员</w:t>
            </w:r>
            <w:r>
              <w:rPr>
                <w:rFonts w:hint="eastAsia" w:ascii="仿宋_GB2312" w:eastAsia="仿宋_GB2312"/>
                <w:color w:val="252525"/>
                <w:sz w:val="24"/>
                <w:lang w:eastAsia="zh-CN"/>
              </w:rPr>
              <w:t>有</w:t>
            </w:r>
            <w:r>
              <w:rPr>
                <w:rFonts w:hint="eastAsia" w:ascii="仿宋_GB2312" w:eastAsia="仿宋_GB2312"/>
                <w:color w:val="252525"/>
                <w:sz w:val="24"/>
              </w:rPr>
              <w:t>见义勇为、救死扶伤</w:t>
            </w:r>
            <w:r>
              <w:rPr>
                <w:rFonts w:hint="eastAsia" w:ascii="仿宋_GB2312" w:eastAsia="仿宋_GB2312"/>
                <w:color w:val="252525"/>
                <w:sz w:val="24"/>
                <w:lang w:eastAsia="zh-CN"/>
              </w:rPr>
              <w:t>、</w:t>
            </w:r>
            <w:r>
              <w:rPr>
                <w:rFonts w:hint="eastAsia" w:ascii="仿宋_GB2312" w:eastAsia="仿宋_GB2312"/>
                <w:color w:val="252525"/>
                <w:sz w:val="24"/>
              </w:rPr>
              <w:t>拾金不昧</w:t>
            </w:r>
            <w:r>
              <w:rPr>
                <w:rFonts w:hint="eastAsia" w:ascii="仿宋_GB2312" w:eastAsia="仿宋_GB2312"/>
                <w:color w:val="252525"/>
                <w:sz w:val="24"/>
                <w:lang w:eastAsia="zh-CN"/>
              </w:rPr>
              <w:t>等行为</w:t>
            </w:r>
            <w:r>
              <w:rPr>
                <w:rFonts w:hint="eastAsia" w:ascii="仿宋_GB2312" w:eastAsia="仿宋_GB2312"/>
                <w:color w:val="252525"/>
                <w:sz w:val="24"/>
              </w:rPr>
              <w:t>，经确认后每次视</w:t>
            </w:r>
            <w:r>
              <w:rPr>
                <w:rFonts w:hint="eastAsia" w:ascii="仿宋_GB2312" w:eastAsia="仿宋_GB2312"/>
                <w:color w:val="252525"/>
                <w:sz w:val="24"/>
                <w:lang w:eastAsia="zh-CN"/>
              </w:rPr>
              <w:t>行为</w:t>
            </w:r>
            <w:r>
              <w:rPr>
                <w:rFonts w:hint="eastAsia" w:ascii="仿宋_GB2312" w:eastAsia="仿宋_GB2312"/>
                <w:color w:val="252525"/>
                <w:sz w:val="24"/>
                <w:lang w:val="en-US" w:eastAsia="zh-CN"/>
              </w:rPr>
              <w:t>的</w:t>
            </w:r>
            <w:r>
              <w:rPr>
                <w:rFonts w:hint="eastAsia" w:ascii="仿宋_GB2312" w:eastAsia="仿宋_GB2312"/>
                <w:color w:val="252525"/>
                <w:sz w:val="24"/>
                <w:lang w:eastAsia="zh-CN"/>
              </w:rPr>
              <w:t>影响力给予加</w:t>
            </w:r>
            <w:r>
              <w:rPr>
                <w:rFonts w:hint="eastAsia" w:ascii="仿宋_GB2312" w:eastAsia="仿宋_GB2312"/>
                <w:color w:val="252525"/>
                <w:sz w:val="24"/>
              </w:rPr>
              <w:t>1-5分。</w:t>
            </w:r>
          </w:p>
        </w:tc>
        <w:tc>
          <w:tcPr>
            <w:tcW w:w="5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6" w:hRule="atLeast"/>
          <w:jc w:val="center"/>
        </w:trPr>
        <w:tc>
          <w:tcPr>
            <w:tcW w:w="40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360" w:lineRule="exact"/>
              <w:ind w:left="0" w:leftChars="0"/>
              <w:jc w:val="left"/>
              <w:textAlignment w:val="auto"/>
              <w:rPr>
                <w:rFonts w:ascii="仿宋_GB2312" w:eastAsia="仿宋_GB2312"/>
                <w:sz w:val="24"/>
              </w:rPr>
            </w:pPr>
          </w:p>
        </w:tc>
        <w:tc>
          <w:tcPr>
            <w:tcW w:w="2328"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ascii="仿宋_GB2312" w:hAnsi="宋体" w:eastAsia="仿宋_GB2312"/>
                <w:sz w:val="24"/>
              </w:rPr>
            </w:pPr>
            <w:r>
              <w:rPr>
                <w:rFonts w:hint="eastAsia" w:ascii="仿宋_GB2312" w:hAnsi="宋体" w:eastAsia="仿宋_GB2312"/>
                <w:sz w:val="24"/>
              </w:rPr>
              <w:t>车辆更新（5分）</w:t>
            </w:r>
          </w:p>
        </w:tc>
        <w:tc>
          <w:tcPr>
            <w:tcW w:w="5610"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textAlignment w:val="auto"/>
              <w:rPr>
                <w:rFonts w:ascii="仿宋_GB2312" w:eastAsia="仿宋_GB2312"/>
                <w:color w:val="353535"/>
                <w:sz w:val="24"/>
              </w:rPr>
            </w:pPr>
            <w:r>
              <w:rPr>
                <w:rFonts w:hint="eastAsia" w:ascii="仿宋_GB2312" w:eastAsia="仿宋_GB2312"/>
                <w:color w:val="252525"/>
                <w:sz w:val="24"/>
              </w:rPr>
              <w:t>车辆使用6年内更新的，加5分，使用8年内更新的加3分，在考核周期内不重复加分。</w:t>
            </w:r>
          </w:p>
        </w:tc>
        <w:tc>
          <w:tcPr>
            <w:tcW w:w="5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color w:val="353535"/>
                <w:sz w:val="24"/>
              </w:rPr>
            </w:pPr>
          </w:p>
        </w:tc>
        <w:tc>
          <w:tcPr>
            <w:tcW w:w="107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jc w:val="center"/>
        </w:trPr>
        <w:tc>
          <w:tcPr>
            <w:tcW w:w="9963"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u w:val="single"/>
              </w:rPr>
            </w:pPr>
            <w:r>
              <w:rPr>
                <w:rFonts w:hint="eastAsia" w:ascii="仿宋_GB2312" w:eastAsia="仿宋_GB2312"/>
                <w:sz w:val="24"/>
              </w:rPr>
              <w:t xml:space="preserve">考核合计得分：        </w:t>
            </w:r>
            <w:r>
              <w:rPr>
                <w:rFonts w:hint="eastAsia" w:ascii="仿宋_GB2312" w:eastAsia="仿宋_GB2312"/>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6" w:hRule="atLeast"/>
          <w:jc w:val="center"/>
        </w:trPr>
        <w:tc>
          <w:tcPr>
            <w:tcW w:w="2919"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ascii="仿宋_GB2312" w:eastAsia="仿宋_GB2312"/>
                <w:sz w:val="24"/>
              </w:rPr>
            </w:pPr>
          </w:p>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hint="eastAsia" w:ascii="仿宋_GB2312" w:eastAsia="仿宋_GB2312"/>
                <w:sz w:val="24"/>
              </w:rPr>
            </w:pPr>
            <w:r>
              <w:rPr>
                <w:rFonts w:hint="eastAsia" w:ascii="仿宋_GB2312" w:eastAsia="仿宋_GB2312"/>
                <w:sz w:val="24"/>
                <w:lang w:val="en-US" w:eastAsia="zh-CN"/>
              </w:rPr>
              <w:t>企业负责人</w:t>
            </w:r>
            <w:r>
              <w:rPr>
                <w:rFonts w:hint="eastAsia" w:ascii="仿宋_GB2312" w:eastAsia="仿宋_GB2312"/>
                <w:sz w:val="24"/>
              </w:rPr>
              <w:t>签字：</w:t>
            </w:r>
          </w:p>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hint="eastAsia" w:ascii="仿宋_GB2312" w:eastAsia="仿宋_GB2312"/>
                <w:sz w:val="24"/>
              </w:rPr>
            </w:pPr>
          </w:p>
          <w:p>
            <w:pPr>
              <w:keepNext w:val="0"/>
              <w:keepLines w:val="0"/>
              <w:pageBreakBefore w:val="0"/>
              <w:kinsoku/>
              <w:wordWrap/>
              <w:overflowPunct/>
              <w:topLinePunct w:val="0"/>
              <w:autoSpaceDE/>
              <w:autoSpaceDN/>
              <w:bidi w:val="0"/>
              <w:adjustRightInd w:val="0"/>
              <w:snapToGrid w:val="0"/>
              <w:spacing w:line="480" w:lineRule="exact"/>
              <w:ind w:left="0" w:leftChars="0" w:firstLine="1320" w:firstLineChars="550"/>
              <w:textAlignment w:val="auto"/>
              <w:rPr>
                <w:rFonts w:ascii="仿宋_GB2312" w:eastAsia="仿宋_GB2312"/>
                <w:sz w:val="24"/>
              </w:rPr>
            </w:pPr>
            <w:r>
              <w:rPr>
                <w:rFonts w:hint="eastAsia" w:ascii="仿宋_GB2312" w:eastAsia="仿宋_GB2312"/>
                <w:sz w:val="24"/>
              </w:rPr>
              <w:t>年  月  日</w:t>
            </w:r>
          </w:p>
        </w:tc>
        <w:tc>
          <w:tcPr>
            <w:tcW w:w="363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80" w:lineRule="exact"/>
              <w:ind w:left="0" w:leftChars="0"/>
              <w:jc w:val="left"/>
              <w:textAlignment w:val="auto"/>
              <w:rPr>
                <w:rFonts w:hint="eastAsia" w:ascii="仿宋_GB2312" w:eastAsia="仿宋_GB2312"/>
                <w:sz w:val="24"/>
              </w:rPr>
            </w:pPr>
            <w:r>
              <w:rPr>
                <w:rFonts w:hint="eastAsia" w:ascii="仿宋_GB2312" w:eastAsia="仿宋_GB2312"/>
                <w:sz w:val="24"/>
              </w:rPr>
              <w:t>考核人员签字：</w:t>
            </w:r>
          </w:p>
          <w:p>
            <w:pPr>
              <w:keepNext w:val="0"/>
              <w:keepLines w:val="0"/>
              <w:pageBreakBefore w:val="0"/>
              <w:widowControl/>
              <w:kinsoku/>
              <w:wordWrap/>
              <w:overflowPunct/>
              <w:topLinePunct w:val="0"/>
              <w:autoSpaceDE/>
              <w:autoSpaceDN/>
              <w:bidi w:val="0"/>
              <w:adjustRightInd w:val="0"/>
              <w:snapToGrid w:val="0"/>
              <w:spacing w:line="480" w:lineRule="exact"/>
              <w:ind w:left="0" w:leftChars="0"/>
              <w:jc w:val="left"/>
              <w:textAlignment w:val="auto"/>
              <w:rPr>
                <w:rFonts w:hint="eastAsia" w:ascii="仿宋_GB2312" w:eastAsia="仿宋_GB2312"/>
                <w:sz w:val="24"/>
              </w:rPr>
            </w:pPr>
          </w:p>
          <w:p>
            <w:pPr>
              <w:keepNext w:val="0"/>
              <w:keepLines w:val="0"/>
              <w:pageBreakBefore w:val="0"/>
              <w:kinsoku/>
              <w:wordWrap/>
              <w:overflowPunct/>
              <w:topLinePunct w:val="0"/>
              <w:autoSpaceDE/>
              <w:autoSpaceDN/>
              <w:bidi w:val="0"/>
              <w:adjustRightInd w:val="0"/>
              <w:snapToGrid w:val="0"/>
              <w:spacing w:line="480" w:lineRule="exact"/>
              <w:ind w:left="0" w:leftChars="0" w:firstLine="2040" w:firstLineChars="850"/>
              <w:textAlignment w:val="auto"/>
              <w:rPr>
                <w:rFonts w:ascii="仿宋_GB2312" w:eastAsia="仿宋_GB2312"/>
                <w:sz w:val="24"/>
              </w:rPr>
            </w:pPr>
            <w:r>
              <w:rPr>
                <w:rFonts w:hint="eastAsia" w:ascii="仿宋_GB2312" w:eastAsia="仿宋_GB2312"/>
                <w:sz w:val="24"/>
              </w:rPr>
              <w:t>年  月  日</w:t>
            </w:r>
          </w:p>
        </w:tc>
        <w:tc>
          <w:tcPr>
            <w:tcW w:w="3410"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hint="eastAsia" w:ascii="仿宋_GB2312" w:eastAsia="仿宋_GB2312"/>
                <w:sz w:val="24"/>
              </w:rPr>
            </w:pPr>
            <w:r>
              <w:rPr>
                <w:rFonts w:hint="eastAsia" w:ascii="仿宋_GB2312" w:eastAsia="仿宋_GB2312"/>
                <w:sz w:val="24"/>
              </w:rPr>
              <w:t>考核</w:t>
            </w:r>
            <w:r>
              <w:rPr>
                <w:rFonts w:hint="eastAsia" w:ascii="仿宋_GB2312" w:eastAsia="仿宋_GB2312"/>
                <w:sz w:val="24"/>
                <w:lang w:val="en-US" w:eastAsia="zh-CN"/>
              </w:rPr>
              <w:t>组</w:t>
            </w:r>
            <w:r>
              <w:rPr>
                <w:rFonts w:hint="eastAsia" w:ascii="仿宋_GB2312" w:eastAsia="仿宋_GB2312"/>
                <w:sz w:val="24"/>
              </w:rPr>
              <w:t>负责人签字：</w:t>
            </w:r>
          </w:p>
          <w:p>
            <w:pPr>
              <w:keepNext w:val="0"/>
              <w:keepLines w:val="0"/>
              <w:pageBreakBefore w:val="0"/>
              <w:kinsoku/>
              <w:wordWrap/>
              <w:overflowPunct/>
              <w:topLinePunct w:val="0"/>
              <w:autoSpaceDE/>
              <w:autoSpaceDN/>
              <w:bidi w:val="0"/>
              <w:adjustRightInd w:val="0"/>
              <w:snapToGrid w:val="0"/>
              <w:spacing w:line="480" w:lineRule="exact"/>
              <w:ind w:left="0" w:leftChars="0"/>
              <w:textAlignment w:val="auto"/>
              <w:rPr>
                <w:rFonts w:hint="eastAsia" w:ascii="仿宋_GB2312" w:eastAsia="仿宋_GB2312"/>
                <w:sz w:val="24"/>
              </w:rPr>
            </w:pPr>
          </w:p>
          <w:p>
            <w:pPr>
              <w:keepNext w:val="0"/>
              <w:keepLines w:val="0"/>
              <w:pageBreakBefore w:val="0"/>
              <w:kinsoku/>
              <w:wordWrap/>
              <w:overflowPunct/>
              <w:topLinePunct w:val="0"/>
              <w:autoSpaceDE/>
              <w:autoSpaceDN/>
              <w:bidi w:val="0"/>
              <w:adjustRightInd w:val="0"/>
              <w:snapToGrid w:val="0"/>
              <w:spacing w:line="480" w:lineRule="exact"/>
              <w:ind w:left="0" w:leftChars="0" w:firstLine="1680" w:firstLineChars="700"/>
              <w:textAlignment w:val="auto"/>
              <w:rPr>
                <w:rFonts w:ascii="仿宋_GB2312" w:eastAsia="仿宋_GB2312"/>
                <w:sz w:val="24"/>
              </w:rPr>
            </w:pPr>
            <w:r>
              <w:rPr>
                <w:rFonts w:hint="eastAsia" w:ascii="仿宋_GB2312" w:eastAsia="仿宋_GB2312"/>
                <w:sz w:val="24"/>
              </w:rPr>
              <w:t>年   月   日</w:t>
            </w:r>
          </w:p>
        </w:tc>
      </w:tr>
    </w:tbl>
    <w:p>
      <w:pPr>
        <w:tabs>
          <w:tab w:val="left" w:pos="616"/>
        </w:tabs>
        <w:bidi w:val="0"/>
        <w:jc w:val="left"/>
        <w:rPr>
          <w:rFonts w:hint="default"/>
          <w:lang w:val="en-US" w:eastAsia="zh-CN"/>
        </w:rPr>
      </w:pPr>
    </w:p>
    <w:sectPr>
      <w:pgSz w:w="11900" w:h="16830"/>
      <w:pgMar w:top="1440" w:right="1800" w:bottom="1440" w:left="1800" w:header="0" w:footer="120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ind w:left="6859"/>
      <w:rPr>
        <w:rFonts w:ascii="宋体" w:hAnsi="宋体" w:eastAsia="宋体" w:cs="宋体"/>
        <w:sz w:val="13"/>
        <w:szCs w:val="13"/>
      </w:rPr>
    </w:pPr>
    <w:r>
      <w:rPr>
        <w:sz w:val="13"/>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v:textbox>
            </v:shape>
          </w:pict>
        </mc:Fallback>
      </mc:AlternateContent>
    </w:r>
    <w:r>
      <w:rPr>
        <w:rFonts w:ascii="宋体" w:hAnsi="宋体" w:eastAsia="宋体" w:cs="宋体"/>
        <w:spacing w:val="-4"/>
        <w:sz w:val="13"/>
        <w:szCs w:val="13"/>
      </w:rPr>
      <w:t>14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3B5257"/>
    <w:rsid w:val="00E84BC5"/>
    <w:rsid w:val="01414783"/>
    <w:rsid w:val="028C61AF"/>
    <w:rsid w:val="062F1908"/>
    <w:rsid w:val="06B424B2"/>
    <w:rsid w:val="0842139D"/>
    <w:rsid w:val="0ADF22E0"/>
    <w:rsid w:val="0CC528EB"/>
    <w:rsid w:val="14C46D23"/>
    <w:rsid w:val="16A22DD4"/>
    <w:rsid w:val="16E556C1"/>
    <w:rsid w:val="1BD437DE"/>
    <w:rsid w:val="1D373AA4"/>
    <w:rsid w:val="20FA421E"/>
    <w:rsid w:val="243B5257"/>
    <w:rsid w:val="26762088"/>
    <w:rsid w:val="2740717C"/>
    <w:rsid w:val="2AD906EB"/>
    <w:rsid w:val="309F38D1"/>
    <w:rsid w:val="3A982DBB"/>
    <w:rsid w:val="3E056700"/>
    <w:rsid w:val="3E4C29B7"/>
    <w:rsid w:val="40662C8D"/>
    <w:rsid w:val="434C20BA"/>
    <w:rsid w:val="445C27C7"/>
    <w:rsid w:val="473416ED"/>
    <w:rsid w:val="4D047DEB"/>
    <w:rsid w:val="4F112D1F"/>
    <w:rsid w:val="53B74DAE"/>
    <w:rsid w:val="5406444C"/>
    <w:rsid w:val="58C0608E"/>
    <w:rsid w:val="5BA13DFF"/>
    <w:rsid w:val="5DED5889"/>
    <w:rsid w:val="68D37276"/>
    <w:rsid w:val="69AF74A1"/>
    <w:rsid w:val="6DC263E5"/>
    <w:rsid w:val="732F2B1F"/>
    <w:rsid w:val="78F8335D"/>
    <w:rsid w:val="7C7548C9"/>
    <w:rsid w:val="7FDF6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character" w:styleId="6">
    <w:name w:val="Emphasis"/>
    <w:basedOn w:val="5"/>
    <w:qFormat/>
    <w:uiPriority w:val="0"/>
    <w:rPr>
      <w:i/>
    </w:rPr>
  </w:style>
  <w:style w:type="table" w:customStyle="1" w:styleId="7">
    <w:name w:val="Table Normal"/>
    <w:semiHidden/>
    <w:unhideWhenUsed/>
    <w:qFormat/>
    <w:uiPriority w:val="0"/>
    <w:tblPr>
      <w:tblLayout w:type="fixed"/>
      <w:tblCellMar>
        <w:top w:w="0" w:type="dxa"/>
        <w:left w:w="0" w:type="dxa"/>
        <w:bottom w:w="0" w:type="dxa"/>
        <w:right w:w="0" w:type="dxa"/>
      </w:tblCellMar>
    </w:tblPr>
  </w:style>
  <w:style w:type="character" w:customStyle="1" w:styleId="8">
    <w:name w:val="font01"/>
    <w:basedOn w:val="5"/>
    <w:qFormat/>
    <w:uiPriority w:val="0"/>
    <w:rPr>
      <w:rFonts w:hint="eastAsia" w:ascii="宋体" w:hAnsi="宋体" w:eastAsia="宋体" w:cs="宋体"/>
      <w:color w:val="000000"/>
      <w:sz w:val="22"/>
      <w:szCs w:val="22"/>
      <w:u w:val="none"/>
    </w:rPr>
  </w:style>
  <w:style w:type="character" w:customStyle="1" w:styleId="9">
    <w:name w:val="font11"/>
    <w:basedOn w:val="5"/>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2037</Words>
  <Characters>2067</Characters>
  <Lines>0</Lines>
  <Paragraphs>0</Paragraphs>
  <TotalTime>3</TotalTime>
  <ScaleCrop>false</ScaleCrop>
  <LinksUpToDate>false</LinksUpToDate>
  <CharactersWithSpaces>2083</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2023-04-11T07:23:00Z</dcterms:created>
  <dc:creator>山水之中</dc:creator>
  <cp:lastModifiedBy>jt114</cp:lastModifiedBy>
  <cp:lastPrinted>2025-12-23T07:41:00Z</cp:lastPrinted>
  <dcterms:modified xsi:type="dcterms:W3CDTF">2026-09-10T02:30:29Z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83AE7461A1A546DAAC7C7EABB57B19A8_13</vt:lpwstr>
  </property>
  <property fmtid="{D5CDD505-2E9C-101B-9397-08002B2CF9AE}" pid="4" name="KSOTemplateDocerSaveRecord">
    <vt:lpwstr>eyJoZGlkIjoiM2U1YTkxYjAyYTVhOGQyMjQwYWE3ZDQzNzliZjlmZWMiLCJ1c2VySWQiOiI0NjU3NjAxNDIifQ==</vt:lpwstr>
  </property>
</Properties>
</file>