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b/>
          <w:sz w:val="32"/>
          <w:szCs w:val="32"/>
        </w:rPr>
      </w:pPr>
      <w:r>
        <w:rPr>
          <w:rFonts w:hint="eastAsia" w:ascii="仿宋" w:hAnsi="仿宋" w:eastAsia="仿宋" w:cs="Times New Roman"/>
          <w:b/>
          <w:sz w:val="32"/>
          <w:szCs w:val="32"/>
        </w:rPr>
        <w:t xml:space="preserve">                                    榕侯环评〔2023</w:t>
      </w:r>
      <w:bookmarkStart w:id="1" w:name="_GoBack"/>
      <w:r>
        <w:rPr>
          <w:rFonts w:hint="eastAsia" w:ascii="仿宋" w:hAnsi="仿宋" w:eastAsia="仿宋" w:cs="仿宋"/>
          <w:b/>
          <w:bCs/>
          <w:sz w:val="32"/>
          <w:szCs w:val="32"/>
        </w:rPr>
        <w:t>〕</w:t>
      </w:r>
      <w:bookmarkEnd w:id="1"/>
      <w:r>
        <w:rPr>
          <w:rFonts w:hint="eastAsia" w:ascii="仿宋" w:hAnsi="仿宋" w:eastAsia="仿宋" w:cs="Times New Roman"/>
          <w:b/>
          <w:sz w:val="32"/>
          <w:szCs w:val="32"/>
        </w:rPr>
        <w:t>50号</w: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6" w:hRule="atLeast"/>
        </w:trPr>
        <w:tc>
          <w:tcPr>
            <w:tcW w:w="10314" w:type="dxa"/>
          </w:tcPr>
          <w:p>
            <w:pPr>
              <w:spacing w:line="560" w:lineRule="exact"/>
              <w:rPr>
                <w:rFonts w:ascii="仿宋" w:hAnsi="仿宋" w:eastAsia="仿宋"/>
                <w:b/>
                <w:bCs/>
                <w:sz w:val="32"/>
                <w:szCs w:val="32"/>
              </w:rPr>
            </w:pPr>
            <w:r>
              <w:rPr>
                <w:rFonts w:hint="eastAsia" w:ascii="仿宋" w:hAnsi="仿宋" w:eastAsia="仿宋"/>
                <w:b/>
                <w:bCs/>
                <w:sz w:val="32"/>
                <w:szCs w:val="32"/>
              </w:rPr>
              <w:t>生态环境行政主管部门审批（审查）意见：</w:t>
            </w:r>
          </w:p>
          <w:p>
            <w:pPr>
              <w:spacing w:line="560" w:lineRule="exact"/>
              <w:ind w:firstLine="640" w:firstLineChars="200"/>
              <w:rPr>
                <w:rFonts w:ascii="仿宋" w:hAnsi="仿宋" w:eastAsia="仿宋" w:cs="Arial Unicode MS"/>
                <w:sz w:val="32"/>
                <w:szCs w:val="32"/>
              </w:rPr>
            </w:pPr>
            <w:r>
              <w:rPr>
                <w:rFonts w:ascii="仿宋" w:hAnsi="仿宋" w:eastAsia="仿宋"/>
                <w:sz w:val="32"/>
                <w:szCs w:val="32"/>
              </w:rPr>
              <w:t>福州美时家居有限公司</w:t>
            </w:r>
            <w:r>
              <w:rPr>
                <w:rFonts w:hint="eastAsia" w:ascii="仿宋" w:hAnsi="仿宋" w:eastAsia="仿宋" w:cs="仿宋"/>
                <w:bCs/>
                <w:sz w:val="32"/>
                <w:szCs w:val="32"/>
              </w:rPr>
              <w:t>报</w:t>
            </w:r>
            <w:r>
              <w:rPr>
                <w:rFonts w:hint="eastAsia" w:ascii="仿宋" w:hAnsi="仿宋" w:eastAsia="仿宋"/>
                <w:sz w:val="32"/>
                <w:szCs w:val="32"/>
              </w:rPr>
              <w:t>送的《</w:t>
            </w:r>
            <w:bookmarkStart w:id="0" w:name="项目名称"/>
            <w:r>
              <w:rPr>
                <w:rFonts w:ascii="仿宋" w:hAnsi="仿宋" w:eastAsia="仿宋"/>
                <w:sz w:val="32"/>
                <w:szCs w:val="32"/>
              </w:rPr>
              <w:t>福州美时家居有限公司年加工工艺品10万件建设项目</w:t>
            </w:r>
            <w:bookmarkEnd w:id="0"/>
            <w:r>
              <w:rPr>
                <w:rFonts w:hint="eastAsia" w:ascii="仿宋" w:hAnsi="仿宋" w:eastAsia="仿宋"/>
                <w:sz w:val="32"/>
                <w:szCs w:val="32"/>
              </w:rPr>
              <w:t>环境影响报</w:t>
            </w:r>
            <w:r>
              <w:rPr>
                <w:rFonts w:hint="eastAsia" w:ascii="仿宋" w:hAnsi="仿宋" w:eastAsia="仿宋" w:cs="Arial Unicode MS"/>
                <w:sz w:val="32"/>
                <w:szCs w:val="32"/>
              </w:rPr>
              <w:t>告表》及相关申请审批的材料收悉。根据《环境影响评价法》第22条等规定，现提出审批意见如下：</w:t>
            </w:r>
          </w:p>
          <w:p>
            <w:pPr>
              <w:spacing w:line="560" w:lineRule="exact"/>
              <w:ind w:firstLine="640" w:firstLineChars="200"/>
              <w:rPr>
                <w:rFonts w:ascii="仿宋" w:hAnsi="仿宋" w:eastAsia="仿宋" w:cs="Arial Unicode MS"/>
                <w:sz w:val="32"/>
                <w:szCs w:val="32"/>
              </w:rPr>
            </w:pPr>
            <w:r>
              <w:rPr>
                <w:rFonts w:hint="eastAsia" w:ascii="仿宋" w:hAnsi="仿宋" w:eastAsia="仿宋" w:cs="Arial Unicode MS"/>
                <w:sz w:val="32"/>
                <w:szCs w:val="32"/>
              </w:rPr>
              <w:t>一、同意《</w:t>
            </w:r>
            <w:r>
              <w:rPr>
                <w:rFonts w:ascii="仿宋" w:hAnsi="仿宋" w:eastAsia="仿宋"/>
                <w:sz w:val="32"/>
                <w:szCs w:val="32"/>
              </w:rPr>
              <w:t>福州美时家居有限公司年加工工艺品10万件建设项目</w:t>
            </w:r>
            <w:r>
              <w:rPr>
                <w:rFonts w:hint="eastAsia" w:ascii="仿宋" w:hAnsi="仿宋" w:eastAsia="仿宋" w:cs="Arial Unicode MS"/>
                <w:sz w:val="32"/>
                <w:szCs w:val="32"/>
              </w:rPr>
              <w:t>环境影响报告表》的环评内容，项目位于</w:t>
            </w:r>
            <w:r>
              <w:rPr>
                <w:rFonts w:ascii="仿宋" w:hAnsi="仿宋" w:eastAsia="仿宋"/>
                <w:sz w:val="32"/>
                <w:szCs w:val="32"/>
              </w:rPr>
              <w:t>闽侯县甘蔗街道官莊路</w:t>
            </w:r>
            <w:r>
              <w:rPr>
                <w:rFonts w:hint="eastAsia" w:ascii="仿宋" w:hAnsi="仿宋" w:eastAsia="仿宋" w:cs="Arial Unicode MS"/>
                <w:sz w:val="32"/>
                <w:szCs w:val="32"/>
              </w:rPr>
              <w:t>，租赁刘澍辉厂房，租赁面积2000</w:t>
            </w:r>
            <w:r>
              <w:rPr>
                <w:rFonts w:ascii="仿宋" w:hAnsi="仿宋" w:eastAsia="仿宋" w:cs="Arial Unicode MS"/>
                <w:sz w:val="32"/>
                <w:szCs w:val="32"/>
              </w:rPr>
              <w:t>m</w:t>
            </w:r>
            <w:r>
              <w:rPr>
                <w:rFonts w:ascii="仿宋" w:hAnsi="仿宋" w:eastAsia="仿宋" w:cs="Arial Unicode MS"/>
                <w:sz w:val="32"/>
                <w:szCs w:val="32"/>
                <w:vertAlign w:val="superscript"/>
              </w:rPr>
              <w:t>2</w:t>
            </w:r>
            <w:r>
              <w:rPr>
                <w:rFonts w:hint="eastAsia" w:ascii="仿宋" w:hAnsi="仿宋" w:eastAsia="仿宋" w:cs="Arial Unicode MS"/>
                <w:sz w:val="32"/>
                <w:szCs w:val="32"/>
              </w:rPr>
              <w:t>。年产家居装饰品10万件,总投资50万元,环保投资15万元。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二、项目在设计、施工和日常运营管理过程中应认真落实《报告表》提出的各项污染防治措施和风险防范措施，确保各项污染物达标排放，并着重做好以下工作（标准更新应按新标准执行）：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应严格实行雨污分流，生活污水经处理达标执行GB8978-1996《污水综合排放标准》表4三级排放浓度限值（氨氮排放参照GB/T31962-2015《污水排入城镇下水道水质标准》表1中B等级水质控制限值）后排入市政污水管网，生活污水排放量≤144t/a。</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粉尘排放执行GB16297-1996《大气污染物综合排放标准》表2的二级标准及无组织排放监控浓度限值。采取密闭，负压等措施，提高车间内有机废气收集效率。挥发性有机物排放执行DB35/1783-2018《工业涂装工序挥发性有机物排放标准》中涉涂装工序的其他行业排放限值要求。无组织排放达到DB35/1783-2018《工业涂装工序挥发性有机物排放标准》表3、表4标准限值, 企业厂区内VOCs无组织排放监控点，NMHC浓度执行GB37822-2019《挥发性有机物无组织排放控制标准》附录A的表A.1的排放限值。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3、项目建成后允许主要污染物排放总量控制要求： VOCs（以非甲烷总烃计）≤0.36t/a。今后生态环境行政主管部门将根据国家政策和实际情况对污染物排放总量进行调整核定，你司应按照执行。企业主要污染物总量控制指标应依法获得后，项目方可投入生产。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4、项目应合理布局，产生噪声的设备应采取隔声、消声、减振措施，厂界噪声执行</w:t>
            </w:r>
            <w:r>
              <w:rPr>
                <w:rFonts w:ascii="仿宋" w:hAnsi="仿宋" w:eastAsia="仿宋"/>
                <w:sz w:val="32"/>
                <w:szCs w:val="32"/>
              </w:rPr>
              <w:t>GB12348-2008《工业企业厂界环境噪声排放标准》</w:t>
            </w:r>
            <w:r>
              <w:rPr>
                <w:rFonts w:hint="eastAsia" w:ascii="仿宋" w:hAnsi="仿宋" w:eastAsia="仿宋"/>
                <w:sz w:val="32"/>
                <w:szCs w:val="32"/>
              </w:rPr>
              <w:t>表1</w:t>
            </w:r>
            <w:r>
              <w:rPr>
                <w:rFonts w:ascii="仿宋" w:hAnsi="仿宋" w:eastAsia="仿宋"/>
                <w:sz w:val="32"/>
                <w:szCs w:val="32"/>
              </w:rPr>
              <w:t>中</w:t>
            </w:r>
            <w:r>
              <w:rPr>
                <w:rFonts w:hint="eastAsia" w:ascii="仿宋" w:hAnsi="仿宋" w:eastAsia="仿宋"/>
                <w:sz w:val="32"/>
                <w:szCs w:val="32"/>
              </w:rPr>
              <w:t>3</w:t>
            </w:r>
            <w:r>
              <w:rPr>
                <w:rFonts w:ascii="仿宋" w:hAnsi="仿宋" w:eastAsia="仿宋"/>
                <w:sz w:val="32"/>
                <w:szCs w:val="32"/>
              </w:rPr>
              <w:t>类</w:t>
            </w:r>
            <w:r>
              <w:rPr>
                <w:rFonts w:hint="eastAsia" w:ascii="仿宋" w:hAnsi="仿宋" w:eastAsia="仿宋"/>
                <w:sz w:val="32"/>
                <w:szCs w:val="32"/>
              </w:rPr>
              <w:t xml:space="preserve">排放限值。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5、项目产生的生活垃圾应委托环卫部门统一收集后处理；一般工业固体废物应综合利用妥善处置，严禁随意堆弃；危险废物贮存和转运应严格按照GB18597-2023《危险废物贮存污染控制标准》有关规定执行。</w:t>
            </w:r>
          </w:p>
          <w:p>
            <w:pPr>
              <w:tabs>
                <w:tab w:val="left" w:pos="3825"/>
                <w:tab w:val="left" w:pos="4680"/>
              </w:tabs>
              <w:adjustRightInd w:val="0"/>
              <w:snapToGrid w:val="0"/>
              <w:spacing w:line="560" w:lineRule="exact"/>
              <w:rPr>
                <w:rFonts w:ascii="仿宋" w:hAnsi="仿宋" w:eastAsia="仿宋"/>
                <w:sz w:val="32"/>
                <w:szCs w:val="32"/>
              </w:rPr>
            </w:pPr>
            <w:r>
              <w:rPr>
                <w:rFonts w:hint="eastAsia" w:ascii="仿宋" w:hAnsi="仿宋" w:eastAsia="仿宋"/>
                <w:sz w:val="32"/>
                <w:szCs w:val="32"/>
              </w:rPr>
              <w:t xml:space="preserve">    6、健全和完善企业的环保管理制度，加强环保设施运行管理与维护。落实事故应急处置和风险防范措施，确保环境安全，维护社会安定稳定。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报告表》经批准后，项目的性质、规模、地点、生产工艺或者防治污染的措施发生重大变动的，应当重新报批该项目《报告表》，《报告表》自批准之日起超过5年，方决定该项目开工建设的，《报告表》应当报我局重新审核。</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三、项目应严格执行环境保护设施与主体工程同时设计、同时施工、同时投产使用的环境保护“三同时”制度，试生产前应按规定申请排污许可，建成后应当依法开展竣工环境保护自主验收。我局委托福州市闽侯生态环境保护综合执法大队组织开展该项目“三同时”监督检查和日常监督管理。</w:t>
            </w:r>
          </w:p>
          <w:p>
            <w:pPr>
              <w:spacing w:line="560" w:lineRule="exact"/>
              <w:ind w:firstLine="7360" w:firstLineChars="2300"/>
              <w:rPr>
                <w:rFonts w:ascii="仿宋" w:hAnsi="仿宋" w:eastAsia="仿宋" w:cs="仿宋_GB2312"/>
                <w:sz w:val="32"/>
                <w:szCs w:val="32"/>
              </w:rPr>
            </w:pPr>
          </w:p>
          <w:p>
            <w:pPr>
              <w:spacing w:line="560" w:lineRule="exact"/>
              <w:ind w:firstLine="7360" w:firstLineChars="2300"/>
              <w:rPr>
                <w:rFonts w:ascii="仿宋" w:hAnsi="仿宋" w:eastAsia="仿宋" w:cs="仿宋_GB2312"/>
                <w:sz w:val="32"/>
                <w:szCs w:val="32"/>
              </w:rPr>
            </w:pPr>
          </w:p>
          <w:p>
            <w:pPr>
              <w:spacing w:line="560" w:lineRule="exact"/>
              <w:ind w:firstLine="6400" w:firstLineChars="2000"/>
              <w:rPr>
                <w:rFonts w:ascii="仿宋" w:hAnsi="仿宋" w:eastAsia="仿宋" w:cs="仿宋_GB2312"/>
                <w:sz w:val="32"/>
                <w:szCs w:val="32"/>
              </w:rPr>
            </w:pPr>
            <w:r>
              <w:rPr>
                <w:rFonts w:hint="eastAsia" w:ascii="仿宋" w:hAnsi="仿宋" w:eastAsia="仿宋" w:cs="仿宋_GB2312"/>
                <w:sz w:val="32"/>
                <w:szCs w:val="32"/>
              </w:rPr>
              <w:t>福州市生态环境局</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2023年10月17日</w:t>
            </w: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r>
              <w:rPr>
                <w:rFonts w:hint="eastAsia" w:ascii="仿宋" w:hAnsi="仿宋" w:eastAsia="仿宋" w:cs="仿宋_GB2312"/>
                <w:sz w:val="32"/>
                <w:szCs w:val="32"/>
              </w:rPr>
              <w:t>经办：</w:t>
            </w:r>
          </w:p>
        </w:tc>
      </w:tr>
    </w:tbl>
    <w:p/>
    <w:sectPr>
      <w:pgSz w:w="11906" w:h="16838"/>
      <w:pgMar w:top="567"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5241"/>
    <w:rsid w:val="00046A5E"/>
    <w:rsid w:val="00120667"/>
    <w:rsid w:val="00175241"/>
    <w:rsid w:val="002A78BF"/>
    <w:rsid w:val="00615249"/>
    <w:rsid w:val="006561CF"/>
    <w:rsid w:val="006F2650"/>
    <w:rsid w:val="00802D3C"/>
    <w:rsid w:val="0084280D"/>
    <w:rsid w:val="00934B00"/>
    <w:rsid w:val="009906AE"/>
    <w:rsid w:val="00B367BD"/>
    <w:rsid w:val="00C56948"/>
    <w:rsid w:val="00D01E33"/>
    <w:rsid w:val="00E9135B"/>
    <w:rsid w:val="00EB56E6"/>
    <w:rsid w:val="24174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spacing w:line="540" w:lineRule="exact"/>
      <w:ind w:firstLine="596"/>
    </w:pPr>
    <w:rPr>
      <w:sz w:val="24"/>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正文文本缩进 Char"/>
    <w:basedOn w:val="5"/>
    <w:link w:val="2"/>
    <w:uiPriority w:val="0"/>
    <w:rPr>
      <w:sz w:val="24"/>
    </w:rPr>
  </w:style>
  <w:style w:type="character" w:customStyle="1" w:styleId="10">
    <w:name w:val="正文文本缩进 Char1"/>
    <w:basedOn w:val="5"/>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210</Words>
  <Characters>1201</Characters>
  <Lines>10</Lines>
  <Paragraphs>2</Paragraphs>
  <TotalTime>0</TotalTime>
  <ScaleCrop>false</ScaleCrop>
  <LinksUpToDate>false</LinksUpToDate>
  <CharactersWithSpaces>1409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2023-09-11T01:06:00Z</dcterms:created>
  <dc:creator>K11</dc:creator>
  <cp:lastModifiedBy>NTKO</cp:lastModifiedBy>
  <cp:lastPrinted>2023-10-09T07:23:00Z</cp:lastPrinted>
  <dcterms:modified xsi:type="dcterms:W3CDTF">2023-10-16T02:41:30Z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